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05" w:rsidRPr="001A6EB8" w:rsidRDefault="00FC6F52" w:rsidP="00902B05">
      <w:pPr>
        <w:spacing w:after="0" w:line="240" w:lineRule="auto"/>
        <w:jc w:val="center"/>
        <w:rPr>
          <w:rFonts w:ascii="Times New Roman" w:hAnsi="Times New Roman"/>
          <w:b/>
          <w:sz w:val="26"/>
          <w:szCs w:val="26"/>
        </w:rPr>
      </w:pPr>
      <w:bookmarkStart w:id="0" w:name="OLE_LINK1"/>
      <w:bookmarkStart w:id="1" w:name="OLE_LINK2"/>
      <w:r w:rsidRPr="001A6EB8">
        <w:rPr>
          <w:rFonts w:ascii="Times New Roman" w:hAnsi="Times New Roman"/>
          <w:b/>
          <w:sz w:val="26"/>
          <w:szCs w:val="26"/>
        </w:rPr>
        <w:t xml:space="preserve"> </w:t>
      </w:r>
      <w:r w:rsidR="00902B05" w:rsidRPr="001A6EB8">
        <w:rPr>
          <w:rFonts w:ascii="Times New Roman" w:hAnsi="Times New Roman"/>
          <w:b/>
          <w:sz w:val="26"/>
          <w:szCs w:val="26"/>
        </w:rPr>
        <w:t>Ministru kabineta noteikumu projekta</w:t>
      </w:r>
    </w:p>
    <w:bookmarkEnd w:id="0"/>
    <w:bookmarkEnd w:id="1"/>
    <w:p w:rsidR="00902B05" w:rsidRPr="001A6EB8" w:rsidRDefault="006453A0" w:rsidP="00902B05">
      <w:pPr>
        <w:pStyle w:val="tv20787921"/>
        <w:spacing w:after="0" w:line="240" w:lineRule="auto"/>
        <w:rPr>
          <w:rFonts w:ascii="Times New Roman" w:hAnsi="Times New Roman"/>
          <w:bCs w:val="0"/>
          <w:sz w:val="26"/>
          <w:szCs w:val="26"/>
        </w:rPr>
      </w:pPr>
      <w:r w:rsidRPr="001A6EB8">
        <w:rPr>
          <w:rFonts w:ascii="Times New Roman" w:hAnsi="Times New Roman"/>
          <w:bCs w:val="0"/>
          <w:sz w:val="26"/>
          <w:szCs w:val="26"/>
        </w:rPr>
        <w:t xml:space="preserve">Grozījumi Ministru kabineta 2006.gada 12.decembra noteikumos Nr.994  “Kārtība, kādā augstskolas un koledžas tiek finansētas no valsts budžeta līdzekļiem” </w:t>
      </w:r>
      <w:r w:rsidR="00902B05" w:rsidRPr="001A6EB8">
        <w:rPr>
          <w:rFonts w:ascii="Times New Roman" w:hAnsi="Times New Roman"/>
          <w:bCs w:val="0"/>
          <w:sz w:val="26"/>
          <w:szCs w:val="26"/>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6"/>
        <w:gridCol w:w="2777"/>
        <w:gridCol w:w="5734"/>
      </w:tblGrid>
      <w:tr w:rsidR="00BF122F" w:rsidRPr="001A6EB8"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1A6EB8" w:rsidRDefault="00514935" w:rsidP="00514935">
            <w:pPr>
              <w:spacing w:before="100" w:beforeAutospacing="1" w:after="100" w:afterAutospacing="1" w:line="293" w:lineRule="atLeast"/>
              <w:jc w:val="center"/>
              <w:rPr>
                <w:rFonts w:ascii="Times New Roman" w:hAnsi="Times New Roman"/>
                <w:b/>
                <w:bCs/>
                <w:sz w:val="26"/>
                <w:szCs w:val="26"/>
              </w:rPr>
            </w:pPr>
            <w:r w:rsidRPr="001A6EB8">
              <w:rPr>
                <w:rFonts w:ascii="Times New Roman" w:hAnsi="Times New Roman"/>
                <w:b/>
                <w:bCs/>
                <w:sz w:val="26"/>
                <w:szCs w:val="26"/>
              </w:rPr>
              <w:t>I. Tiesību akta projekta izstrādes nepieciešamība</w:t>
            </w:r>
          </w:p>
        </w:tc>
      </w:tr>
      <w:tr w:rsidR="00BF122F" w:rsidRPr="001A6EB8" w:rsidTr="00755DA9">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jc w:val="center"/>
              <w:rPr>
                <w:rFonts w:ascii="Times New Roman" w:hAnsi="Times New Roman"/>
                <w:sz w:val="26"/>
                <w:szCs w:val="26"/>
              </w:rPr>
            </w:pPr>
            <w:r w:rsidRPr="001A6EB8">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7200F1" w:rsidRPr="001A6EB8" w:rsidRDefault="00752704" w:rsidP="006C7CBE">
            <w:pPr>
              <w:pStyle w:val="tv20787921"/>
              <w:spacing w:after="0" w:line="240" w:lineRule="auto"/>
              <w:jc w:val="both"/>
              <w:rPr>
                <w:rFonts w:ascii="Times New Roman" w:hAnsi="Times New Roman"/>
                <w:b w:val="0"/>
                <w:sz w:val="26"/>
                <w:szCs w:val="26"/>
              </w:rPr>
            </w:pPr>
            <w:r w:rsidRPr="001A6EB8">
              <w:rPr>
                <w:rFonts w:ascii="Times New Roman" w:hAnsi="Times New Roman"/>
                <w:b w:val="0"/>
                <w:sz w:val="26"/>
                <w:szCs w:val="26"/>
              </w:rPr>
              <w:t>Izglītības un zinātnes ministrija (turpmāk – ministrija) ir sagatavojusi Ministru kabineta noteikumu projektu “</w:t>
            </w:r>
            <w:r w:rsidR="003A3EC8" w:rsidRPr="001A6EB8">
              <w:rPr>
                <w:rFonts w:ascii="Times New Roman" w:hAnsi="Times New Roman"/>
                <w:b w:val="0"/>
                <w:bCs w:val="0"/>
                <w:sz w:val="26"/>
                <w:szCs w:val="26"/>
              </w:rPr>
              <w:t xml:space="preserve">Grozījumi Ministru kabineta 2006.gada 12.decembra noteikumos Nr.994 “Kārtība, kādā augstskolas un koledžas tiek finansētas no valsts budžeta līdzekļiem”” </w:t>
            </w:r>
            <w:r w:rsidR="00B128F8" w:rsidRPr="001A6EB8">
              <w:rPr>
                <w:rFonts w:ascii="Times New Roman" w:hAnsi="Times New Roman"/>
                <w:b w:val="0"/>
                <w:sz w:val="26"/>
                <w:szCs w:val="26"/>
              </w:rPr>
              <w:t xml:space="preserve">(turpmāk – noteikumu projekts) </w:t>
            </w:r>
            <w:r w:rsidRPr="001A6EB8">
              <w:rPr>
                <w:rFonts w:ascii="Times New Roman" w:hAnsi="Times New Roman"/>
                <w:b w:val="0"/>
                <w:sz w:val="26"/>
                <w:szCs w:val="26"/>
              </w:rPr>
              <w:t xml:space="preserve">saskaņā ar </w:t>
            </w:r>
            <w:r w:rsidR="003A3EC8" w:rsidRPr="001A6EB8">
              <w:rPr>
                <w:rFonts w:ascii="Times New Roman" w:hAnsi="Times New Roman"/>
                <w:b w:val="0"/>
                <w:sz w:val="26"/>
                <w:szCs w:val="26"/>
              </w:rPr>
              <w:t>Augstskolu</w:t>
            </w:r>
            <w:r w:rsidRPr="001A6EB8">
              <w:rPr>
                <w:rFonts w:ascii="Times New Roman" w:hAnsi="Times New Roman"/>
                <w:b w:val="0"/>
                <w:sz w:val="26"/>
                <w:szCs w:val="26"/>
              </w:rPr>
              <w:t xml:space="preserve"> likuma</w:t>
            </w:r>
            <w:r w:rsidR="00633800" w:rsidRPr="001A6EB8">
              <w:rPr>
                <w:rFonts w:ascii="Times New Roman" w:hAnsi="Times New Roman"/>
                <w:b w:val="0"/>
                <w:sz w:val="26"/>
                <w:szCs w:val="26"/>
              </w:rPr>
              <w:t xml:space="preserve"> </w:t>
            </w:r>
            <w:r w:rsidR="003A3EC8" w:rsidRPr="001A6EB8">
              <w:rPr>
                <w:rFonts w:ascii="Times New Roman" w:hAnsi="Times New Roman"/>
                <w:b w:val="0"/>
                <w:sz w:val="26"/>
                <w:szCs w:val="26"/>
              </w:rPr>
              <w:t>52</w:t>
            </w:r>
            <w:r w:rsidRPr="001A6EB8">
              <w:rPr>
                <w:rFonts w:ascii="Times New Roman" w:hAnsi="Times New Roman"/>
                <w:b w:val="0"/>
                <w:sz w:val="26"/>
                <w:szCs w:val="26"/>
              </w:rPr>
              <w:t>.pa</w:t>
            </w:r>
            <w:r w:rsidR="00150833" w:rsidRPr="001A6EB8">
              <w:rPr>
                <w:rFonts w:ascii="Times New Roman" w:hAnsi="Times New Roman"/>
                <w:b w:val="0"/>
                <w:sz w:val="26"/>
                <w:szCs w:val="26"/>
              </w:rPr>
              <w:t xml:space="preserve">nta pirmo daļu, kas nosaka, ka </w:t>
            </w:r>
            <w:r w:rsidR="003A3EC8" w:rsidRPr="001A6EB8">
              <w:rPr>
                <w:rFonts w:ascii="Times New Roman" w:hAnsi="Times New Roman"/>
                <w:b w:val="0"/>
                <w:sz w:val="26"/>
                <w:szCs w:val="26"/>
              </w:rPr>
              <w:t xml:space="preserve">kārtību, kādā augstskolas un koledžas tiek finansētas no valsts budžeta līdzekļiem, nosaka Ministru kabinets. </w:t>
            </w:r>
            <w:r w:rsidRPr="001A6EB8">
              <w:rPr>
                <w:rFonts w:ascii="Times New Roman" w:hAnsi="Times New Roman"/>
                <w:b w:val="0"/>
                <w:sz w:val="26"/>
                <w:szCs w:val="26"/>
              </w:rPr>
              <w:t xml:space="preserve">Noteikumu projekts </w:t>
            </w:r>
            <w:r w:rsidR="00633800" w:rsidRPr="001A6EB8">
              <w:rPr>
                <w:rFonts w:ascii="Times New Roman" w:hAnsi="Times New Roman"/>
                <w:b w:val="0"/>
                <w:sz w:val="26"/>
                <w:szCs w:val="26"/>
              </w:rPr>
              <w:t>izst</w:t>
            </w:r>
            <w:r w:rsidR="008C5740" w:rsidRPr="001A6EB8">
              <w:rPr>
                <w:rFonts w:ascii="Times New Roman" w:hAnsi="Times New Roman"/>
                <w:b w:val="0"/>
                <w:sz w:val="26"/>
                <w:szCs w:val="26"/>
              </w:rPr>
              <w:t xml:space="preserve">rādāts, pamatojoties uz </w:t>
            </w:r>
            <w:r w:rsidR="00B07F11" w:rsidRPr="001A6EB8">
              <w:rPr>
                <w:rFonts w:ascii="Times New Roman" w:hAnsi="Times New Roman"/>
                <w:b w:val="0"/>
                <w:sz w:val="26"/>
                <w:szCs w:val="26"/>
              </w:rPr>
              <w:t xml:space="preserve"> Ministru kabineta 2015.gada 9.jūnija sēdē </w:t>
            </w:r>
            <w:r w:rsidR="00572AAA" w:rsidRPr="001A6EB8">
              <w:rPr>
                <w:rFonts w:ascii="Times New Roman" w:hAnsi="Times New Roman"/>
                <w:b w:val="0"/>
                <w:sz w:val="26"/>
                <w:szCs w:val="26"/>
              </w:rPr>
              <w:t xml:space="preserve">izskatīto un </w:t>
            </w:r>
            <w:r w:rsidR="00B07F11" w:rsidRPr="001A6EB8">
              <w:rPr>
                <w:rFonts w:ascii="Times New Roman" w:hAnsi="Times New Roman"/>
                <w:b w:val="0"/>
                <w:sz w:val="26"/>
                <w:szCs w:val="26"/>
              </w:rPr>
              <w:t>apstiprināto</w:t>
            </w:r>
            <w:r w:rsidR="003A3EC8" w:rsidRPr="001A6EB8">
              <w:rPr>
                <w:rFonts w:ascii="Times New Roman" w:hAnsi="Times New Roman"/>
                <w:b w:val="0"/>
                <w:sz w:val="26"/>
                <w:szCs w:val="26"/>
              </w:rPr>
              <w:t xml:space="preserve"> </w:t>
            </w:r>
            <w:r w:rsidR="008E2387" w:rsidRPr="001A6EB8">
              <w:rPr>
                <w:rFonts w:ascii="Times New Roman" w:hAnsi="Times New Roman"/>
                <w:b w:val="0"/>
                <w:sz w:val="26"/>
                <w:szCs w:val="26"/>
              </w:rPr>
              <w:t>I</w:t>
            </w:r>
            <w:r w:rsidR="003A3EC8" w:rsidRPr="001A6EB8">
              <w:rPr>
                <w:rFonts w:ascii="Times New Roman" w:hAnsi="Times New Roman"/>
                <w:b w:val="0"/>
                <w:sz w:val="26"/>
                <w:szCs w:val="26"/>
              </w:rPr>
              <w:t>zglītības un zinātnes ministrijas</w:t>
            </w:r>
            <w:r w:rsidR="008E2387" w:rsidRPr="001A6EB8">
              <w:rPr>
                <w:rFonts w:ascii="Times New Roman" w:hAnsi="Times New Roman"/>
                <w:b w:val="0"/>
                <w:sz w:val="26"/>
                <w:szCs w:val="26"/>
              </w:rPr>
              <w:t xml:space="preserve"> </w:t>
            </w:r>
            <w:r w:rsidR="003A3EC8" w:rsidRPr="001A6EB8">
              <w:rPr>
                <w:rFonts w:ascii="Times New Roman" w:hAnsi="Times New Roman"/>
                <w:b w:val="0"/>
                <w:sz w:val="26"/>
                <w:szCs w:val="26"/>
              </w:rPr>
              <w:t xml:space="preserve">konceptuālo ziņojumu </w:t>
            </w:r>
            <w:r w:rsidR="00484D90" w:rsidRPr="001A6EB8">
              <w:rPr>
                <w:rFonts w:ascii="Times New Roman" w:hAnsi="Times New Roman"/>
                <w:b w:val="0"/>
                <w:sz w:val="26"/>
                <w:szCs w:val="26"/>
              </w:rPr>
              <w:t xml:space="preserve">„Jauna augstākās izglītības finansēšanas modeļa ieviešana Latvijā” un </w:t>
            </w:r>
            <w:r w:rsidR="00B07F11" w:rsidRPr="001A6EB8">
              <w:rPr>
                <w:rFonts w:ascii="Times New Roman" w:hAnsi="Times New Roman"/>
                <w:b w:val="0"/>
                <w:sz w:val="26"/>
                <w:szCs w:val="26"/>
              </w:rPr>
              <w:t xml:space="preserve">attiecīgo Ministru kabineta </w:t>
            </w:r>
            <w:r w:rsidR="00484D90" w:rsidRPr="001A6EB8">
              <w:rPr>
                <w:rFonts w:ascii="Times New Roman" w:hAnsi="Times New Roman"/>
                <w:b w:val="0"/>
                <w:sz w:val="26"/>
                <w:szCs w:val="26"/>
              </w:rPr>
              <w:t xml:space="preserve">rīkojumu, kas </w:t>
            </w:r>
            <w:r w:rsidR="008C5740" w:rsidRPr="001A6EB8">
              <w:rPr>
                <w:rFonts w:ascii="Times New Roman" w:hAnsi="Times New Roman"/>
                <w:b w:val="0"/>
                <w:sz w:val="26"/>
                <w:szCs w:val="26"/>
              </w:rPr>
              <w:t>uzdod</w:t>
            </w:r>
            <w:r w:rsidR="00484D90" w:rsidRPr="001A6EB8">
              <w:rPr>
                <w:rFonts w:ascii="Times New Roman" w:hAnsi="Times New Roman"/>
                <w:b w:val="0"/>
                <w:sz w:val="26"/>
                <w:szCs w:val="26"/>
              </w:rPr>
              <w:t>:</w:t>
            </w:r>
          </w:p>
          <w:p w:rsidR="00B07F11" w:rsidRPr="001A6EB8" w:rsidRDefault="00B07F11" w:rsidP="006C7CBE">
            <w:pPr>
              <w:pStyle w:val="ColorfulList-Accent11"/>
              <w:numPr>
                <w:ilvl w:val="0"/>
                <w:numId w:val="11"/>
              </w:numPr>
              <w:jc w:val="both"/>
              <w:rPr>
                <w:sz w:val="26"/>
                <w:szCs w:val="26"/>
              </w:rPr>
            </w:pPr>
            <w:r w:rsidRPr="001A6EB8">
              <w:rPr>
                <w:sz w:val="26"/>
                <w:szCs w:val="26"/>
              </w:rPr>
              <w:t xml:space="preserve">Izglītības un zinātnes ministrijai, līdz 2015.gada 1.jūlijam sagatavot un iesniegt noteiktā kārtībā kā Ministru kabineta lietu grozījumus Ministru kabineta </w:t>
            </w:r>
            <w:r w:rsidRPr="001A6EB8">
              <w:rPr>
                <w:bCs/>
                <w:sz w:val="26"/>
                <w:szCs w:val="26"/>
              </w:rPr>
              <w:t xml:space="preserve">2006.gada 12.decembra noteikumos Nr.994 “Kārtība, kādā </w:t>
            </w:r>
            <w:r w:rsidRPr="001A6EB8">
              <w:rPr>
                <w:bCs/>
                <w:sz w:val="26"/>
                <w:szCs w:val="26"/>
                <w:shd w:val="clear" w:color="auto" w:fill="FFFFFF"/>
              </w:rPr>
              <w:t xml:space="preserve">augstskolas un koledžas tiek finansētas no valsts budžeta līdzekļiem”, nosakot </w:t>
            </w:r>
            <w:r w:rsidRPr="001A6EB8">
              <w:rPr>
                <w:sz w:val="26"/>
                <w:szCs w:val="26"/>
              </w:rPr>
              <w:t xml:space="preserve">kārtību apakšprogrammas 03.03.00 “Zinātniskās darbības attīstība augstskolās un koledžās” līdzekļu piešķiršanai par sniegumu pētniecībā balstītas augstākās izglītības īstenošanā augstākās izglītības institūcijās, kurās ir ieviesta rezultātu pārvaldība un rezultātos balstīta personāla atalgojuma sistēma; </w:t>
            </w:r>
          </w:p>
          <w:p w:rsidR="00484D90" w:rsidRPr="001A6EB8" w:rsidRDefault="00B07F11" w:rsidP="006C7CBE">
            <w:pPr>
              <w:pStyle w:val="ColorfulList-Accent11"/>
              <w:numPr>
                <w:ilvl w:val="0"/>
                <w:numId w:val="11"/>
              </w:numPr>
              <w:jc w:val="both"/>
              <w:rPr>
                <w:sz w:val="26"/>
                <w:szCs w:val="26"/>
              </w:rPr>
            </w:pPr>
            <w:r w:rsidRPr="001A6EB8">
              <w:rPr>
                <w:sz w:val="26"/>
                <w:szCs w:val="26"/>
              </w:rPr>
              <w:t>Izglītības un zinātnes ministrijai, nodrošināt līdzekļu piešķiršanu par sniegumu pētniecībā balstītas augstākās izglītības īstenošanā līdz 2015.gada 1.oktobrim no valsts budžeta apakšprogrammas 03.03.00 “Zinātniskās darbības attīstība augstskolās un koledžās” līdzekļiem.</w:t>
            </w:r>
          </w:p>
        </w:tc>
      </w:tr>
      <w:tr w:rsidR="00BF122F" w:rsidRPr="001A6EB8"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jc w:val="center"/>
              <w:rPr>
                <w:rFonts w:ascii="Times New Roman" w:hAnsi="Times New Roman"/>
                <w:sz w:val="26"/>
                <w:szCs w:val="26"/>
              </w:rPr>
            </w:pPr>
            <w:r w:rsidRPr="001A6EB8">
              <w:rPr>
                <w:rFonts w:ascii="Times New Roman" w:hAnsi="Times New Roman"/>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 xml:space="preserve">Pašreizējā situācija un problēmas, kuru risināšanai tiesību akta projekts izstrādāts, </w:t>
            </w:r>
            <w:r w:rsidRPr="001A6EB8">
              <w:rPr>
                <w:rFonts w:ascii="Times New Roman" w:hAnsi="Times New Roman"/>
                <w:sz w:val="26"/>
                <w:szCs w:val="26"/>
              </w:rPr>
              <w:lastRenderedPageBreak/>
              <w:t>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BB3F93" w:rsidRPr="00BB3F93" w:rsidRDefault="009D2929" w:rsidP="00124BE0">
            <w:pPr>
              <w:spacing w:after="0" w:line="240" w:lineRule="auto"/>
              <w:jc w:val="both"/>
              <w:rPr>
                <w:rFonts w:ascii="Times New Roman" w:hAnsi="Times New Roman"/>
                <w:sz w:val="26"/>
                <w:szCs w:val="26"/>
              </w:rPr>
            </w:pPr>
            <w:r>
              <w:rPr>
                <w:rFonts w:ascii="Times New Roman" w:hAnsi="Times New Roman"/>
                <w:bCs/>
                <w:sz w:val="26"/>
                <w:szCs w:val="26"/>
              </w:rPr>
              <w:lastRenderedPageBreak/>
              <w:t>Noteikumu</w:t>
            </w:r>
            <w:r w:rsidR="00D568ED" w:rsidRPr="001A6EB8">
              <w:rPr>
                <w:rFonts w:ascii="Times New Roman" w:hAnsi="Times New Roman"/>
                <w:bCs/>
                <w:sz w:val="26"/>
                <w:szCs w:val="26"/>
              </w:rPr>
              <w:t xml:space="preserve"> projekts nepieciešams, lai nodrošinātu </w:t>
            </w:r>
            <w:r w:rsidR="00A402D7" w:rsidRPr="001A6EB8">
              <w:rPr>
                <w:rFonts w:ascii="Times New Roman" w:hAnsi="Times New Roman"/>
                <w:bCs/>
                <w:sz w:val="26"/>
                <w:szCs w:val="26"/>
              </w:rPr>
              <w:t xml:space="preserve">normatīvo bāzi </w:t>
            </w:r>
            <w:r w:rsidR="00D568ED" w:rsidRPr="001A6EB8">
              <w:rPr>
                <w:rFonts w:ascii="Times New Roman" w:hAnsi="Times New Roman"/>
                <w:bCs/>
                <w:sz w:val="26"/>
                <w:szCs w:val="26"/>
              </w:rPr>
              <w:t>sniegumā balstītas augstākās izglītības finansēšanas uzsākšan</w:t>
            </w:r>
            <w:r w:rsidR="00A402D7" w:rsidRPr="001A6EB8">
              <w:rPr>
                <w:rFonts w:ascii="Times New Roman" w:hAnsi="Times New Roman"/>
                <w:bCs/>
                <w:sz w:val="26"/>
                <w:szCs w:val="26"/>
              </w:rPr>
              <w:t>ai</w:t>
            </w:r>
            <w:r w:rsidR="00D568ED" w:rsidRPr="001A6EB8">
              <w:rPr>
                <w:rFonts w:ascii="Times New Roman" w:hAnsi="Times New Roman"/>
                <w:bCs/>
                <w:sz w:val="26"/>
                <w:szCs w:val="26"/>
              </w:rPr>
              <w:t xml:space="preserve"> 2015.gadā atbilstoši konceptuālajā ziņojumā </w:t>
            </w:r>
            <w:r w:rsidR="00D568ED" w:rsidRPr="001A6EB8">
              <w:rPr>
                <w:rFonts w:ascii="Times New Roman" w:hAnsi="Times New Roman"/>
                <w:sz w:val="26"/>
                <w:szCs w:val="26"/>
              </w:rPr>
              <w:t xml:space="preserve">„Jauna augstākās izglītības finansēšanas modeļa ieviešana Latvijā” izvirzītajiem </w:t>
            </w:r>
            <w:r w:rsidR="00D568ED" w:rsidRPr="001A6EB8">
              <w:rPr>
                <w:rFonts w:ascii="Times New Roman" w:hAnsi="Times New Roman"/>
                <w:sz w:val="26"/>
                <w:szCs w:val="26"/>
              </w:rPr>
              <w:lastRenderedPageBreak/>
              <w:t>priekšlikumiem</w:t>
            </w:r>
            <w:r w:rsidR="006C7CBE" w:rsidRPr="001A6EB8">
              <w:rPr>
                <w:rFonts w:ascii="Times New Roman" w:hAnsi="Times New Roman"/>
                <w:sz w:val="26"/>
                <w:szCs w:val="26"/>
              </w:rPr>
              <w:t xml:space="preserve">. Ministrijas </w:t>
            </w:r>
            <w:r w:rsidR="0076703B">
              <w:rPr>
                <w:rFonts w:ascii="Times New Roman" w:hAnsi="Times New Roman"/>
                <w:sz w:val="26"/>
                <w:szCs w:val="26"/>
              </w:rPr>
              <w:t xml:space="preserve">izstrādātā </w:t>
            </w:r>
            <w:r w:rsidR="006C7CBE" w:rsidRPr="001A6EB8">
              <w:rPr>
                <w:rFonts w:ascii="Times New Roman" w:hAnsi="Times New Roman"/>
                <w:sz w:val="26"/>
                <w:szCs w:val="26"/>
              </w:rPr>
              <w:t xml:space="preserve">augstākās izglītības finansēšanas reforma paredz ieviest trīs pīlāru augstākās izglītības un augstskolu pētniecības finansēšanas modeli, kurā bāzes finansējums (pirmais pīlārs) nodrošina sistēmas ilgtspēju, snieguma finansējums (otrais pīlārs) veicina rezultātu sasniegšanu, savukārt attīstības finansējums (trešais pīlārs) veicina sasaisti ar </w:t>
            </w:r>
            <w:r w:rsidR="006C7CBE" w:rsidRPr="00BB3F93">
              <w:rPr>
                <w:rFonts w:ascii="Times New Roman" w:hAnsi="Times New Roman"/>
                <w:sz w:val="26"/>
                <w:szCs w:val="26"/>
              </w:rPr>
              <w:t>ilgtermiņa tautsaimniecības attīstības vajadzībām.</w:t>
            </w:r>
            <w:r w:rsidR="00BB3F93">
              <w:rPr>
                <w:rFonts w:ascii="Times New Roman" w:hAnsi="Times New Roman"/>
                <w:sz w:val="26"/>
                <w:szCs w:val="26"/>
              </w:rPr>
              <w:t xml:space="preserve"> </w:t>
            </w:r>
            <w:r w:rsidR="00D458C4" w:rsidRPr="00BB3F93">
              <w:rPr>
                <w:rFonts w:ascii="Times New Roman" w:hAnsi="Times New Roman"/>
                <w:sz w:val="26"/>
                <w:szCs w:val="26"/>
              </w:rPr>
              <w:t xml:space="preserve">             </w:t>
            </w:r>
          </w:p>
          <w:p w:rsidR="00BB3F93" w:rsidRDefault="00536BC7" w:rsidP="00124BE0">
            <w:pPr>
              <w:spacing w:after="0" w:line="240" w:lineRule="auto"/>
              <w:jc w:val="both"/>
              <w:rPr>
                <w:rFonts w:ascii="Times New Roman" w:hAnsi="Times New Roman"/>
                <w:sz w:val="26"/>
                <w:szCs w:val="26"/>
              </w:rPr>
            </w:pPr>
            <w:r>
              <w:rPr>
                <w:rFonts w:ascii="Times New Roman" w:hAnsi="Times New Roman"/>
                <w:sz w:val="26"/>
                <w:szCs w:val="26"/>
              </w:rPr>
              <w:t xml:space="preserve">          </w:t>
            </w:r>
            <w:r w:rsidR="00BB3F93">
              <w:rPr>
                <w:rFonts w:ascii="Times New Roman" w:hAnsi="Times New Roman"/>
                <w:sz w:val="26"/>
                <w:szCs w:val="26"/>
              </w:rPr>
              <w:t>Saskaņā ar konceptuālo ziņojumu s</w:t>
            </w:r>
            <w:r w:rsidR="00BB3F93" w:rsidRPr="00BB3F93">
              <w:rPr>
                <w:rFonts w:ascii="Times New Roman" w:hAnsi="Times New Roman"/>
                <w:sz w:val="26"/>
                <w:szCs w:val="26"/>
              </w:rPr>
              <w:t xml:space="preserve">nieguma finansējums (otrais pīlārs) ir </w:t>
            </w:r>
            <w:proofErr w:type="spellStart"/>
            <w:r w:rsidR="00BB3F93" w:rsidRPr="00BB3F93">
              <w:rPr>
                <w:rFonts w:ascii="Times New Roman" w:hAnsi="Times New Roman"/>
                <w:i/>
                <w:sz w:val="26"/>
                <w:szCs w:val="26"/>
              </w:rPr>
              <w:t>ex</w:t>
            </w:r>
            <w:proofErr w:type="spellEnd"/>
            <w:r w:rsidR="00BB3F93" w:rsidRPr="00BB3F93">
              <w:rPr>
                <w:rFonts w:ascii="Times New Roman" w:hAnsi="Times New Roman"/>
                <w:i/>
                <w:sz w:val="26"/>
                <w:szCs w:val="26"/>
              </w:rPr>
              <w:t xml:space="preserve"> post</w:t>
            </w:r>
            <w:r w:rsidR="00BB3F93" w:rsidRPr="00BB3F93">
              <w:rPr>
                <w:rFonts w:ascii="Times New Roman" w:hAnsi="Times New Roman"/>
                <w:sz w:val="26"/>
                <w:szCs w:val="26"/>
              </w:rPr>
              <w:t xml:space="preserve"> </w:t>
            </w:r>
            <w:r>
              <w:rPr>
                <w:rFonts w:ascii="Times New Roman" w:hAnsi="Times New Roman"/>
                <w:sz w:val="26"/>
                <w:szCs w:val="26"/>
              </w:rPr>
              <w:t xml:space="preserve">(“pēc </w:t>
            </w:r>
            <w:r w:rsidR="00572CFC">
              <w:rPr>
                <w:rFonts w:ascii="Times New Roman" w:hAnsi="Times New Roman"/>
                <w:sz w:val="26"/>
                <w:szCs w:val="26"/>
              </w:rPr>
              <w:t>fakta</w:t>
            </w:r>
            <w:r>
              <w:rPr>
                <w:rFonts w:ascii="Times New Roman" w:hAnsi="Times New Roman"/>
                <w:sz w:val="26"/>
                <w:szCs w:val="26"/>
              </w:rPr>
              <w:t xml:space="preserve">”) </w:t>
            </w:r>
            <w:r w:rsidR="00BB3F93" w:rsidRPr="00BB3F93">
              <w:rPr>
                <w:rFonts w:ascii="Times New Roman" w:hAnsi="Times New Roman"/>
                <w:sz w:val="26"/>
                <w:szCs w:val="26"/>
              </w:rPr>
              <w:t>finansējums, kas tiek piešķirts augstskolām par sasniegtajiem darbības rezultātiem. Piešķīrums augstskolai tiek aprēķināts pēc kritērijiem, kas ļauj novērtēt augstskolas devumu politikas mērķu sasniegšanā līdzšinējā finansēšanas periodā. Saņemto finansējumu augstskola izmanto atbilstoši tās attīstības vajadzībām.</w:t>
            </w:r>
          </w:p>
          <w:p w:rsidR="00124BE0" w:rsidRPr="00124BE0" w:rsidRDefault="00536BC7" w:rsidP="00124BE0">
            <w:pPr>
              <w:spacing w:after="0" w:line="240" w:lineRule="auto"/>
              <w:jc w:val="both"/>
              <w:rPr>
                <w:rFonts w:ascii="Times New Roman" w:eastAsia="Calibri" w:hAnsi="Times New Roman"/>
                <w:sz w:val="26"/>
                <w:szCs w:val="26"/>
                <w:lang w:eastAsia="x-none"/>
              </w:rPr>
            </w:pPr>
            <w:r>
              <w:rPr>
                <w:rFonts w:ascii="Times New Roman" w:hAnsi="Times New Roman"/>
                <w:sz w:val="26"/>
                <w:szCs w:val="26"/>
              </w:rPr>
              <w:t xml:space="preserve">        </w:t>
            </w:r>
            <w:r w:rsidR="000223E6" w:rsidRPr="00B30056">
              <w:rPr>
                <w:rFonts w:ascii="Times New Roman" w:hAnsi="Times New Roman"/>
                <w:sz w:val="26"/>
                <w:szCs w:val="26"/>
              </w:rPr>
              <w:t xml:space="preserve">Ar Ministru kabineta 2014.gada 10. novembra sēdes </w:t>
            </w:r>
            <w:proofErr w:type="spellStart"/>
            <w:r w:rsidR="000223E6" w:rsidRPr="00B30056">
              <w:rPr>
                <w:rFonts w:ascii="Times New Roman" w:hAnsi="Times New Roman"/>
                <w:sz w:val="26"/>
                <w:szCs w:val="26"/>
              </w:rPr>
              <w:t>protokollēmuma</w:t>
            </w:r>
            <w:proofErr w:type="spellEnd"/>
            <w:r w:rsidR="000223E6" w:rsidRPr="00B30056">
              <w:rPr>
                <w:rFonts w:ascii="Times New Roman" w:hAnsi="Times New Roman"/>
                <w:sz w:val="26"/>
                <w:szCs w:val="26"/>
              </w:rPr>
              <w:t xml:space="preserve"> Nr.61 </w:t>
            </w:r>
            <w:bookmarkStart w:id="2" w:name="28"/>
            <w:r w:rsidR="000223E6" w:rsidRPr="00B30056">
              <w:rPr>
                <w:rFonts w:ascii="Times New Roman" w:hAnsi="Times New Roman"/>
                <w:sz w:val="26"/>
                <w:szCs w:val="26"/>
              </w:rPr>
              <w:t>28.§</w:t>
            </w:r>
            <w:bookmarkEnd w:id="2"/>
            <w:r w:rsidR="000223E6" w:rsidRPr="00B30056">
              <w:rPr>
                <w:rFonts w:ascii="Times New Roman" w:hAnsi="Times New Roman"/>
                <w:sz w:val="26"/>
                <w:szCs w:val="26"/>
              </w:rPr>
              <w:t xml:space="preserve"> </w:t>
            </w:r>
            <w:r w:rsidR="000223E6" w:rsidRPr="00B30056">
              <w:rPr>
                <w:rFonts w:ascii="Times New Roman" w:hAnsi="Times New Roman"/>
                <w:i/>
                <w:sz w:val="26"/>
                <w:szCs w:val="26"/>
              </w:rPr>
              <w:t xml:space="preserve">“Informatīvais ziņojums "Par ministriju iesniegtajiem priekšlikumiem likumā "Par vidēja termiņa budžeta ietvaru 2014., 2015. un 2016.gadam" 2015.gadam un turpmākajiem gadiem paredzētajam finansējumam jauno politikas iniciatīvu īstenošanai un citu ministriju iesniegto pasākumu, kas pozitīvi ietekmē fiskālās telpas apjomu, izdevumu </w:t>
            </w:r>
            <w:proofErr w:type="spellStart"/>
            <w:r w:rsidR="000223E6" w:rsidRPr="00B30056">
              <w:rPr>
                <w:rFonts w:ascii="Times New Roman" w:hAnsi="Times New Roman"/>
                <w:i/>
                <w:sz w:val="26"/>
                <w:szCs w:val="26"/>
              </w:rPr>
              <w:t>izvērtējums</w:t>
            </w:r>
            <w:proofErr w:type="spellEnd"/>
            <w:r w:rsidR="000223E6" w:rsidRPr="00B30056">
              <w:rPr>
                <w:rFonts w:ascii="Times New Roman" w:hAnsi="Times New Roman"/>
                <w:i/>
                <w:sz w:val="26"/>
                <w:szCs w:val="26"/>
              </w:rPr>
              <w:t>"</w:t>
            </w:r>
            <w:r w:rsidR="000223E6" w:rsidRPr="00B30056">
              <w:rPr>
                <w:rFonts w:ascii="Times New Roman" w:hAnsi="Times New Roman"/>
                <w:sz w:val="26"/>
                <w:szCs w:val="26"/>
              </w:rPr>
              <w:t xml:space="preserve"> 13.2.punktu tika atbalstīts ministrijas priekšlikums samazināt izdevumus apakšprogrammā 05.02.00 “Zinātnes bāzes finansējums” 2015.gadam un turpmāk ik gadus par</w:t>
            </w:r>
            <w:r w:rsidR="00A80DE4">
              <w:rPr>
                <w:rFonts w:ascii="Times New Roman" w:hAnsi="Times New Roman"/>
                <w:sz w:val="26"/>
                <w:szCs w:val="26"/>
              </w:rPr>
              <w:t xml:space="preserve">       </w:t>
            </w:r>
            <w:r w:rsidR="000223E6" w:rsidRPr="00B30056">
              <w:rPr>
                <w:rFonts w:ascii="Times New Roman" w:hAnsi="Times New Roman"/>
                <w:sz w:val="26"/>
                <w:szCs w:val="26"/>
              </w:rPr>
              <w:t xml:space="preserve"> 1 500 000 </w:t>
            </w:r>
            <w:r w:rsidR="000223E6" w:rsidRPr="00B30056">
              <w:rPr>
                <w:rFonts w:ascii="Times New Roman" w:hAnsi="Times New Roman"/>
                <w:iCs/>
                <w:sz w:val="26"/>
                <w:szCs w:val="26"/>
              </w:rPr>
              <w:t>EUR</w:t>
            </w:r>
            <w:r w:rsidR="000223E6" w:rsidRPr="00B30056">
              <w:rPr>
                <w:rFonts w:ascii="Times New Roman" w:hAnsi="Times New Roman"/>
                <w:sz w:val="26"/>
                <w:szCs w:val="26"/>
              </w:rPr>
              <w:t xml:space="preserve"> un par attiecīgo finansējuma apmēru palielināt izdevumus </w:t>
            </w:r>
            <w:proofErr w:type="spellStart"/>
            <w:r w:rsidR="000223E6" w:rsidRPr="00B30056">
              <w:rPr>
                <w:rFonts w:ascii="Times New Roman" w:hAnsi="Times New Roman"/>
                <w:sz w:val="26"/>
                <w:szCs w:val="26"/>
              </w:rPr>
              <w:t>jaunizveidojamā</w:t>
            </w:r>
            <w:proofErr w:type="spellEnd"/>
            <w:r w:rsidR="000223E6" w:rsidRPr="00B30056">
              <w:rPr>
                <w:rFonts w:ascii="Times New Roman" w:hAnsi="Times New Roman"/>
                <w:sz w:val="26"/>
                <w:szCs w:val="26"/>
              </w:rPr>
              <w:t xml:space="preserve"> apakšprogrammā 03.03.00 “Zinātniskās darbības attīstība augstskolās un koledžās”, lai tādējādi nodrošinātu augstākās izglītības snieguma finansēšanas ieviešanu (otro pīlāru), piešķirot finansējumu augstskolām un koledžām, kurās ir ieviesta rezultātu pārvaldība.</w:t>
            </w:r>
          </w:p>
          <w:p w:rsidR="000223E6" w:rsidRPr="00B30056" w:rsidRDefault="000223E6" w:rsidP="000223E6">
            <w:pPr>
              <w:spacing w:after="0" w:line="240" w:lineRule="auto"/>
              <w:ind w:firstLine="720"/>
              <w:jc w:val="both"/>
              <w:rPr>
                <w:rFonts w:ascii="Times New Roman" w:hAnsi="Times New Roman"/>
                <w:sz w:val="26"/>
                <w:szCs w:val="26"/>
              </w:rPr>
            </w:pPr>
            <w:r w:rsidRPr="00B30056">
              <w:rPr>
                <w:rFonts w:ascii="Times New Roman" w:hAnsi="Times New Roman"/>
                <w:sz w:val="26"/>
                <w:szCs w:val="26"/>
              </w:rPr>
              <w:t>Lai attīstītu otrā pīlāra finansēšanu, Minist</w:t>
            </w:r>
            <w:r w:rsidR="00EC3543">
              <w:rPr>
                <w:rFonts w:ascii="Times New Roman" w:hAnsi="Times New Roman"/>
                <w:sz w:val="26"/>
                <w:szCs w:val="26"/>
              </w:rPr>
              <w:t xml:space="preserve">ru kabinets atbalstīja papildu līdzekļu </w:t>
            </w:r>
            <w:r w:rsidRPr="00B30056">
              <w:rPr>
                <w:rFonts w:ascii="Times New Roman" w:hAnsi="Times New Roman"/>
                <w:sz w:val="26"/>
                <w:szCs w:val="26"/>
              </w:rPr>
              <w:t xml:space="preserve">piešķiršanu pētniecībā balstītas augstākās izglītības finansēšanai 2015.gadā 4 milj. EUR apmērā, kā arī 2016. un 2017.gadā 5. milj. EUR apmērā (gadā). Ar 2014.gada 10.novembra sēdes </w:t>
            </w:r>
            <w:proofErr w:type="spellStart"/>
            <w:r w:rsidRPr="00B30056">
              <w:rPr>
                <w:rFonts w:ascii="Times New Roman" w:hAnsi="Times New Roman"/>
                <w:sz w:val="26"/>
                <w:szCs w:val="26"/>
              </w:rPr>
              <w:t>protokollēmuma</w:t>
            </w:r>
            <w:proofErr w:type="spellEnd"/>
            <w:r w:rsidRPr="00B30056">
              <w:rPr>
                <w:rFonts w:ascii="Times New Roman" w:hAnsi="Times New Roman"/>
                <w:sz w:val="26"/>
                <w:szCs w:val="26"/>
              </w:rPr>
              <w:t xml:space="preserve"> Nr.61 28.§ 33.punktu nolemts likumprojektā “Par valsts budžetu </w:t>
            </w:r>
            <w:r w:rsidRPr="00B30056">
              <w:rPr>
                <w:rFonts w:ascii="Times New Roman" w:hAnsi="Times New Roman"/>
                <w:sz w:val="26"/>
                <w:szCs w:val="26"/>
              </w:rPr>
              <w:lastRenderedPageBreak/>
              <w:t>2015.gadam” paredzēt, ka Izglītības un zinātnes ministrija nodrošina papildus piešķirtā finansējuma augstākajai izglītībai 2015.gadā 4 000 000 EUR apmērā sadali starp Izglītības un zinātnes ministrijas, Kultūras ministrijas, Veselības ministrijas un Zemkopības ministrijas padotībā esošajām augstākās izglītības institūcijām. Ministrija nodrošina finansējuma piešķiršanu pēc vienotiem kritērijiem.</w:t>
            </w:r>
          </w:p>
          <w:p w:rsidR="009D4CE0" w:rsidRPr="00773309" w:rsidRDefault="0035259A" w:rsidP="00EC3543">
            <w:pPr>
              <w:spacing w:line="240" w:lineRule="auto"/>
              <w:jc w:val="both"/>
              <w:rPr>
                <w:rFonts w:ascii="Times New Roman" w:eastAsia="Calibri" w:hAnsi="Times New Roman"/>
                <w:sz w:val="26"/>
                <w:szCs w:val="26"/>
                <w:lang w:eastAsia="x-none"/>
              </w:rPr>
            </w:pPr>
            <w:r w:rsidRPr="001A6EB8">
              <w:rPr>
                <w:rFonts w:ascii="Times New Roman" w:hAnsi="Times New Roman"/>
                <w:sz w:val="26"/>
                <w:szCs w:val="26"/>
              </w:rPr>
              <w:t xml:space="preserve">   </w:t>
            </w:r>
            <w:r w:rsidR="00536BC7">
              <w:rPr>
                <w:rFonts w:ascii="Times New Roman" w:hAnsi="Times New Roman"/>
                <w:sz w:val="26"/>
                <w:szCs w:val="26"/>
              </w:rPr>
              <w:t xml:space="preserve">       </w:t>
            </w:r>
            <w:r w:rsidR="00E82290" w:rsidRPr="001A6EB8">
              <w:rPr>
                <w:rFonts w:ascii="Times New Roman" w:hAnsi="Times New Roman"/>
                <w:sz w:val="26"/>
                <w:szCs w:val="26"/>
              </w:rPr>
              <w:t xml:space="preserve">Izpildot Ministru kabineta </w:t>
            </w:r>
            <w:r w:rsidR="0089264C" w:rsidRPr="001A6EB8">
              <w:rPr>
                <w:rFonts w:ascii="Times New Roman" w:hAnsi="Times New Roman"/>
                <w:sz w:val="26"/>
                <w:szCs w:val="26"/>
              </w:rPr>
              <w:t xml:space="preserve">2014.gada 10. novembra sēdes </w:t>
            </w:r>
            <w:proofErr w:type="spellStart"/>
            <w:r w:rsidR="0089264C" w:rsidRPr="001A6EB8">
              <w:rPr>
                <w:rFonts w:ascii="Times New Roman" w:hAnsi="Times New Roman"/>
                <w:sz w:val="26"/>
                <w:szCs w:val="26"/>
              </w:rPr>
              <w:t>protokollēmumā</w:t>
            </w:r>
            <w:proofErr w:type="spellEnd"/>
            <w:r w:rsidR="0089264C" w:rsidRPr="001A6EB8">
              <w:rPr>
                <w:rFonts w:ascii="Times New Roman" w:hAnsi="Times New Roman"/>
                <w:sz w:val="26"/>
                <w:szCs w:val="26"/>
              </w:rPr>
              <w:t xml:space="preserve"> Nr.61 </w:t>
            </w:r>
            <w:r w:rsidR="00684CA2">
              <w:rPr>
                <w:rFonts w:ascii="Times New Roman" w:hAnsi="Times New Roman"/>
                <w:sz w:val="26"/>
                <w:szCs w:val="26"/>
              </w:rPr>
              <w:t>28.§</w:t>
            </w:r>
            <w:r w:rsidR="00D458C4" w:rsidRPr="001A6EB8">
              <w:rPr>
                <w:rFonts w:ascii="Times New Roman" w:hAnsi="Times New Roman"/>
                <w:sz w:val="26"/>
                <w:szCs w:val="26"/>
              </w:rPr>
              <w:t xml:space="preserve"> 13.2. un 33.punktā </w:t>
            </w:r>
            <w:r w:rsidR="00E82290" w:rsidRPr="001A6EB8">
              <w:rPr>
                <w:rFonts w:ascii="Times New Roman" w:hAnsi="Times New Roman"/>
                <w:sz w:val="26"/>
                <w:szCs w:val="26"/>
              </w:rPr>
              <w:t>noteikto, m</w:t>
            </w:r>
            <w:r w:rsidR="00D568ED" w:rsidRPr="001A6EB8">
              <w:rPr>
                <w:rFonts w:ascii="Times New Roman" w:hAnsi="Times New Roman"/>
                <w:sz w:val="26"/>
                <w:szCs w:val="26"/>
              </w:rPr>
              <w:t>inistrija ir izstrādājusi</w:t>
            </w:r>
            <w:r w:rsidR="00D458C4" w:rsidRPr="001A6EB8">
              <w:rPr>
                <w:rFonts w:ascii="Times New Roman" w:hAnsi="Times New Roman"/>
                <w:sz w:val="26"/>
                <w:szCs w:val="26"/>
              </w:rPr>
              <w:t xml:space="preserve"> noteikumu projektu, kas </w:t>
            </w:r>
            <w:r w:rsidR="00D458C4" w:rsidRPr="009D4CE0">
              <w:rPr>
                <w:rFonts w:ascii="Times New Roman" w:hAnsi="Times New Roman"/>
                <w:sz w:val="26"/>
                <w:szCs w:val="26"/>
              </w:rPr>
              <w:t xml:space="preserve">paredz ieviest papildu </w:t>
            </w:r>
            <w:r w:rsidRPr="009D4CE0">
              <w:rPr>
                <w:rFonts w:ascii="Times New Roman" w:hAnsi="Times New Roman"/>
                <w:sz w:val="26"/>
                <w:szCs w:val="26"/>
              </w:rPr>
              <w:t>kritērijus</w:t>
            </w:r>
            <w:r w:rsidR="00D458C4" w:rsidRPr="009D4CE0">
              <w:rPr>
                <w:rFonts w:ascii="Times New Roman" w:hAnsi="Times New Roman"/>
                <w:sz w:val="26"/>
                <w:szCs w:val="26"/>
              </w:rPr>
              <w:t xml:space="preserve"> augst</w:t>
            </w:r>
            <w:r w:rsidR="00684CA2" w:rsidRPr="009D4CE0">
              <w:rPr>
                <w:rFonts w:ascii="Times New Roman" w:hAnsi="Times New Roman"/>
                <w:sz w:val="26"/>
                <w:szCs w:val="26"/>
              </w:rPr>
              <w:t>s</w:t>
            </w:r>
            <w:r w:rsidR="00D458C4" w:rsidRPr="009D4CE0">
              <w:rPr>
                <w:rFonts w:ascii="Times New Roman" w:hAnsi="Times New Roman"/>
                <w:sz w:val="26"/>
                <w:szCs w:val="26"/>
              </w:rPr>
              <w:t>kolu un koledžu finansēšanai, balstoties</w:t>
            </w:r>
            <w:r w:rsidR="008D7266" w:rsidRPr="009D4CE0">
              <w:rPr>
                <w:rFonts w:ascii="Times New Roman" w:hAnsi="Times New Roman"/>
                <w:sz w:val="26"/>
                <w:szCs w:val="26"/>
              </w:rPr>
              <w:t xml:space="preserve"> uz to darbības radītājiem šādu politikas mērķu sasniegšanai</w:t>
            </w:r>
            <w:r w:rsidR="00D458C4" w:rsidRPr="009D4CE0">
              <w:rPr>
                <w:rFonts w:ascii="Times New Roman" w:hAnsi="Times New Roman"/>
                <w:sz w:val="26"/>
                <w:szCs w:val="26"/>
              </w:rPr>
              <w:t xml:space="preserve">: </w:t>
            </w:r>
            <w:r w:rsidR="00D458C4" w:rsidRPr="009D4CE0">
              <w:rPr>
                <w:rFonts w:ascii="Times New Roman" w:hAnsi="Times New Roman"/>
                <w:iCs/>
                <w:sz w:val="26"/>
                <w:szCs w:val="26"/>
              </w:rPr>
              <w:t>cilvēkresursu ataudze pētniecībā un tehnoloģiju attīstībā, pētniecības internacionalizācija un starptautiskā konkurētspēja, pētn</w:t>
            </w:r>
            <w:r w:rsidR="0012767F">
              <w:rPr>
                <w:rFonts w:ascii="Times New Roman" w:hAnsi="Times New Roman"/>
                <w:iCs/>
                <w:sz w:val="26"/>
                <w:szCs w:val="26"/>
              </w:rPr>
              <w:t xml:space="preserve">iecības sasaiste ar </w:t>
            </w:r>
            <w:r w:rsidR="00D458C4" w:rsidRPr="009D4CE0">
              <w:rPr>
                <w:rFonts w:ascii="Times New Roman" w:hAnsi="Times New Roman"/>
                <w:iCs/>
                <w:sz w:val="26"/>
                <w:szCs w:val="26"/>
              </w:rPr>
              <w:t>nozares</w:t>
            </w:r>
            <w:r w:rsidR="00601FD1">
              <w:rPr>
                <w:rFonts w:ascii="Times New Roman" w:hAnsi="Times New Roman"/>
                <w:iCs/>
                <w:sz w:val="26"/>
                <w:szCs w:val="26"/>
              </w:rPr>
              <w:t xml:space="preserve"> un reģiona</w:t>
            </w:r>
            <w:r w:rsidR="00D458C4" w:rsidRPr="009D4CE0">
              <w:rPr>
                <w:rFonts w:ascii="Times New Roman" w:hAnsi="Times New Roman"/>
                <w:iCs/>
                <w:sz w:val="26"/>
                <w:szCs w:val="26"/>
              </w:rPr>
              <w:t xml:space="preserve"> vajadzībām</w:t>
            </w:r>
            <w:r w:rsidR="008D7266" w:rsidRPr="009D4CE0">
              <w:rPr>
                <w:rFonts w:ascii="Times New Roman" w:hAnsi="Times New Roman"/>
                <w:iCs/>
                <w:sz w:val="26"/>
                <w:szCs w:val="26"/>
              </w:rPr>
              <w:t>, radošo un māksliniecisko projektu attīstība.</w:t>
            </w:r>
            <w:r w:rsidR="00D458C4" w:rsidRPr="009D4CE0">
              <w:rPr>
                <w:rFonts w:ascii="Times New Roman" w:hAnsi="Times New Roman"/>
                <w:iCs/>
                <w:sz w:val="26"/>
                <w:szCs w:val="26"/>
              </w:rPr>
              <w:t xml:space="preserve"> S</w:t>
            </w:r>
            <w:r w:rsidR="00247D7A" w:rsidRPr="009D4CE0">
              <w:rPr>
                <w:rFonts w:ascii="Times New Roman" w:hAnsi="Times New Roman"/>
                <w:sz w:val="26"/>
                <w:szCs w:val="26"/>
              </w:rPr>
              <w:t>niegumā</w:t>
            </w:r>
            <w:r w:rsidR="00D458C4" w:rsidRPr="009D4CE0">
              <w:rPr>
                <w:rFonts w:ascii="Times New Roman" w:hAnsi="Times New Roman"/>
                <w:sz w:val="26"/>
                <w:szCs w:val="26"/>
              </w:rPr>
              <w:t xml:space="preserve"> balstītā</w:t>
            </w:r>
            <w:r w:rsidR="00D568ED" w:rsidRPr="009D4CE0">
              <w:rPr>
                <w:rFonts w:ascii="Times New Roman" w:hAnsi="Times New Roman"/>
                <w:sz w:val="26"/>
                <w:szCs w:val="26"/>
              </w:rPr>
              <w:t xml:space="preserve"> augstskolu un </w:t>
            </w:r>
            <w:r w:rsidR="00D568ED" w:rsidRPr="00124BE0">
              <w:rPr>
                <w:rFonts w:ascii="Times New Roman" w:hAnsi="Times New Roman"/>
                <w:sz w:val="26"/>
                <w:szCs w:val="26"/>
              </w:rPr>
              <w:t>koledžu finansēšana</w:t>
            </w:r>
            <w:r w:rsidR="0012767F">
              <w:rPr>
                <w:rFonts w:ascii="Times New Roman" w:hAnsi="Times New Roman"/>
                <w:sz w:val="26"/>
                <w:szCs w:val="26"/>
              </w:rPr>
              <w:t xml:space="preserve"> tiks veikta</w:t>
            </w:r>
            <w:r w:rsidR="00D458C4" w:rsidRPr="00124BE0">
              <w:rPr>
                <w:rFonts w:ascii="Times New Roman" w:hAnsi="Times New Roman"/>
                <w:sz w:val="26"/>
                <w:szCs w:val="26"/>
              </w:rPr>
              <w:t xml:space="preserve"> </w:t>
            </w:r>
            <w:r w:rsidRPr="00124BE0">
              <w:rPr>
                <w:rFonts w:ascii="Times New Roman" w:hAnsi="Times New Roman"/>
                <w:sz w:val="26"/>
                <w:szCs w:val="26"/>
              </w:rPr>
              <w:t xml:space="preserve">no </w:t>
            </w:r>
            <w:r w:rsidR="00D568ED" w:rsidRPr="00124BE0">
              <w:rPr>
                <w:rFonts w:ascii="Times New Roman" w:hAnsi="Times New Roman"/>
                <w:sz w:val="26"/>
                <w:szCs w:val="26"/>
              </w:rPr>
              <w:t>budžeta apakšprogramm</w:t>
            </w:r>
            <w:r w:rsidRPr="00124BE0">
              <w:rPr>
                <w:rFonts w:ascii="Times New Roman" w:hAnsi="Times New Roman"/>
                <w:sz w:val="26"/>
                <w:szCs w:val="26"/>
              </w:rPr>
              <w:t>as</w:t>
            </w:r>
            <w:r w:rsidR="00D568ED" w:rsidRPr="00124BE0">
              <w:rPr>
                <w:rFonts w:ascii="Times New Roman" w:hAnsi="Times New Roman"/>
                <w:sz w:val="26"/>
                <w:szCs w:val="26"/>
              </w:rPr>
              <w:t xml:space="preserve"> 03.03.00 </w:t>
            </w:r>
            <w:r w:rsidR="00D568ED" w:rsidRPr="00124BE0">
              <w:rPr>
                <w:rFonts w:ascii="Times New Roman" w:hAnsi="Times New Roman"/>
                <w:i/>
                <w:sz w:val="26"/>
                <w:szCs w:val="26"/>
              </w:rPr>
              <w:t>Zinātniskās darbības attīstība  augstskolās un koledžās</w:t>
            </w:r>
            <w:r w:rsidRPr="00124BE0">
              <w:rPr>
                <w:rFonts w:ascii="Times New Roman" w:hAnsi="Times New Roman"/>
                <w:i/>
                <w:sz w:val="26"/>
                <w:szCs w:val="26"/>
              </w:rPr>
              <w:t xml:space="preserve"> </w:t>
            </w:r>
            <w:r w:rsidRPr="00124BE0">
              <w:rPr>
                <w:rFonts w:ascii="Times New Roman" w:hAnsi="Times New Roman"/>
                <w:sz w:val="26"/>
                <w:szCs w:val="26"/>
              </w:rPr>
              <w:t>līdzek</w:t>
            </w:r>
            <w:r w:rsidR="00510157" w:rsidRPr="00124BE0">
              <w:rPr>
                <w:rFonts w:ascii="Times New Roman" w:hAnsi="Times New Roman"/>
                <w:sz w:val="26"/>
                <w:szCs w:val="26"/>
              </w:rPr>
              <w:t>ļiem.</w:t>
            </w:r>
            <w:r w:rsidR="00247D7A" w:rsidRPr="00124BE0">
              <w:rPr>
                <w:rFonts w:ascii="Times New Roman" w:hAnsi="Times New Roman"/>
                <w:sz w:val="26"/>
                <w:szCs w:val="26"/>
              </w:rPr>
              <w:t xml:space="preserve"> </w:t>
            </w:r>
            <w:r w:rsidR="0089264C" w:rsidRPr="00124BE0">
              <w:rPr>
                <w:rFonts w:ascii="Times New Roman" w:hAnsi="Times New Roman"/>
                <w:iCs/>
                <w:sz w:val="26"/>
                <w:szCs w:val="26"/>
              </w:rPr>
              <w:t xml:space="preserve">Tādējādi </w:t>
            </w:r>
            <w:r w:rsidR="009D2929" w:rsidRPr="00124BE0">
              <w:rPr>
                <w:rFonts w:ascii="Times New Roman" w:hAnsi="Times New Roman"/>
                <w:iCs/>
                <w:sz w:val="26"/>
                <w:szCs w:val="26"/>
              </w:rPr>
              <w:t>noteikumu</w:t>
            </w:r>
            <w:r w:rsidR="0089264C" w:rsidRPr="00124BE0">
              <w:rPr>
                <w:rFonts w:ascii="Times New Roman" w:hAnsi="Times New Roman"/>
                <w:iCs/>
                <w:sz w:val="26"/>
                <w:szCs w:val="26"/>
              </w:rPr>
              <w:t xml:space="preserve"> projekts </w:t>
            </w:r>
            <w:r w:rsidR="00510157" w:rsidRPr="00124BE0">
              <w:rPr>
                <w:rFonts w:ascii="Times New Roman" w:hAnsi="Times New Roman"/>
                <w:iCs/>
                <w:sz w:val="26"/>
                <w:szCs w:val="26"/>
              </w:rPr>
              <w:t>nodrošinā</w:t>
            </w:r>
            <w:r w:rsidR="0012767F">
              <w:rPr>
                <w:rFonts w:ascii="Times New Roman" w:hAnsi="Times New Roman"/>
                <w:iCs/>
                <w:sz w:val="26"/>
                <w:szCs w:val="26"/>
              </w:rPr>
              <w:t>s</w:t>
            </w:r>
            <w:r w:rsidR="00510157" w:rsidRPr="00124BE0">
              <w:rPr>
                <w:rFonts w:ascii="Times New Roman" w:hAnsi="Times New Roman"/>
                <w:iCs/>
                <w:sz w:val="26"/>
                <w:szCs w:val="26"/>
              </w:rPr>
              <w:t xml:space="preserve"> </w:t>
            </w:r>
            <w:r w:rsidR="00510157" w:rsidRPr="00124BE0">
              <w:rPr>
                <w:rFonts w:ascii="Times New Roman" w:hAnsi="Times New Roman"/>
                <w:sz w:val="26"/>
                <w:szCs w:val="26"/>
              </w:rPr>
              <w:t xml:space="preserve">jaunā finansēšanas </w:t>
            </w:r>
            <w:r w:rsidR="00510157" w:rsidRPr="00773309">
              <w:rPr>
                <w:rFonts w:ascii="Times New Roman" w:hAnsi="Times New Roman"/>
                <w:sz w:val="26"/>
                <w:szCs w:val="26"/>
              </w:rPr>
              <w:t>modeļa otrā pīlārā ieviešanu 2015.gadā</w:t>
            </w:r>
            <w:r w:rsidR="00B71039" w:rsidRPr="00773309">
              <w:rPr>
                <w:rFonts w:ascii="Times New Roman" w:hAnsi="Times New Roman"/>
                <w:sz w:val="26"/>
                <w:szCs w:val="26"/>
              </w:rPr>
              <w:t>.</w:t>
            </w:r>
            <w:r w:rsidR="00AC167E" w:rsidRPr="00773309">
              <w:rPr>
                <w:rFonts w:ascii="Times New Roman" w:hAnsi="Times New Roman"/>
                <w:sz w:val="26"/>
                <w:szCs w:val="26"/>
              </w:rPr>
              <w:t xml:space="preserve"> </w:t>
            </w:r>
            <w:r w:rsidR="002A3E3A" w:rsidRPr="00773309">
              <w:rPr>
                <w:rFonts w:ascii="Times New Roman" w:hAnsi="Times New Roman"/>
                <w:sz w:val="26"/>
                <w:szCs w:val="26"/>
              </w:rPr>
              <w:t>S</w:t>
            </w:r>
            <w:r w:rsidR="009D4CE0" w:rsidRPr="00773309">
              <w:rPr>
                <w:rFonts w:ascii="Times New Roman" w:hAnsi="Times New Roman"/>
                <w:sz w:val="26"/>
                <w:szCs w:val="26"/>
              </w:rPr>
              <w:t>nieguma finansējuma aprēķināšanai tiks izmantota  augstskolu sniegtā informācija zinā</w:t>
            </w:r>
            <w:r w:rsidR="008F4990">
              <w:rPr>
                <w:rFonts w:ascii="Times New Roman" w:hAnsi="Times New Roman"/>
                <w:sz w:val="26"/>
                <w:szCs w:val="26"/>
              </w:rPr>
              <w:t>tnes bāzes finansējuma saņemšanai, kas saskaņā ar Ministru kabineta 2013.gada 12.novembra noteikumu Nr.1316 10.punktu tiek iesniegta līdz kārtējā finansēšanas perioda 1.aprīlim un kuru pārbauda zvērināts revidents.</w:t>
            </w:r>
            <w:r w:rsidR="009D4CE0" w:rsidRPr="00773309">
              <w:rPr>
                <w:rFonts w:ascii="Times New Roman" w:hAnsi="Times New Roman"/>
                <w:sz w:val="26"/>
                <w:szCs w:val="26"/>
              </w:rPr>
              <w:t xml:space="preserve"> </w:t>
            </w:r>
            <w:r w:rsidR="00773309" w:rsidRPr="00773309">
              <w:rPr>
                <w:rFonts w:ascii="Times New Roman" w:hAnsi="Times New Roman"/>
                <w:sz w:val="26"/>
                <w:szCs w:val="26"/>
              </w:rPr>
              <w:t xml:space="preserve">Informācija par koledžu pētniecības projektu finansējuma apmēru, </w:t>
            </w:r>
            <w:r w:rsidR="00164C5C">
              <w:rPr>
                <w:rFonts w:ascii="Times New Roman" w:hAnsi="Times New Roman"/>
                <w:sz w:val="26"/>
                <w:szCs w:val="26"/>
              </w:rPr>
              <w:t xml:space="preserve">pēc pašvaldību pasūtījuma īstenoto pētniecības un attīstības projektu finansējuma apmēru, </w:t>
            </w:r>
            <w:r w:rsidR="00773309" w:rsidRPr="00773309">
              <w:rPr>
                <w:rFonts w:ascii="Times New Roman" w:hAnsi="Times New Roman"/>
                <w:sz w:val="26"/>
                <w:szCs w:val="26"/>
              </w:rPr>
              <w:t>kā arī radošo un māksliniecisko projektu</w:t>
            </w:r>
            <w:r w:rsidR="0036572F">
              <w:rPr>
                <w:rFonts w:ascii="Times New Roman" w:hAnsi="Times New Roman"/>
                <w:sz w:val="26"/>
                <w:szCs w:val="26"/>
              </w:rPr>
              <w:t xml:space="preserve"> (atbilstoši NACE klasifikācijai)</w:t>
            </w:r>
            <w:r w:rsidR="00773309" w:rsidRPr="00773309">
              <w:rPr>
                <w:rFonts w:ascii="Times New Roman" w:hAnsi="Times New Roman"/>
                <w:sz w:val="26"/>
                <w:szCs w:val="26"/>
              </w:rPr>
              <w:t xml:space="preserve"> finansējuma apmēru</w:t>
            </w:r>
            <w:r w:rsidR="00FC03A6">
              <w:rPr>
                <w:rFonts w:ascii="Times New Roman" w:hAnsi="Times New Roman"/>
                <w:sz w:val="26"/>
                <w:szCs w:val="26"/>
              </w:rPr>
              <w:t>,</w:t>
            </w:r>
            <w:r w:rsidR="00FC03A6" w:rsidRPr="00773309">
              <w:rPr>
                <w:rFonts w:ascii="Times New Roman" w:hAnsi="Times New Roman"/>
                <w:sz w:val="26"/>
                <w:szCs w:val="26"/>
              </w:rPr>
              <w:t xml:space="preserve"> saskaņā</w:t>
            </w:r>
            <w:r w:rsidR="00FC03A6">
              <w:rPr>
                <w:rFonts w:ascii="Times New Roman" w:hAnsi="Times New Roman"/>
                <w:sz w:val="26"/>
                <w:szCs w:val="26"/>
              </w:rPr>
              <w:t xml:space="preserve"> ar </w:t>
            </w:r>
            <w:r w:rsidR="00FC03A6" w:rsidRPr="00773309">
              <w:rPr>
                <w:rFonts w:ascii="Times New Roman" w:hAnsi="Times New Roman"/>
                <w:sz w:val="26"/>
                <w:szCs w:val="26"/>
              </w:rPr>
              <w:t>noteikumu</w:t>
            </w:r>
            <w:r w:rsidR="00FC03A6">
              <w:rPr>
                <w:rFonts w:ascii="Times New Roman" w:hAnsi="Times New Roman"/>
                <w:sz w:val="26"/>
                <w:szCs w:val="26"/>
              </w:rPr>
              <w:t xml:space="preserve"> projekta</w:t>
            </w:r>
            <w:r w:rsidR="00FC03A6" w:rsidRPr="00773309">
              <w:rPr>
                <w:rFonts w:ascii="Times New Roman" w:hAnsi="Times New Roman"/>
                <w:sz w:val="26"/>
                <w:szCs w:val="26"/>
              </w:rPr>
              <w:t xml:space="preserve"> 3.pielikumu</w:t>
            </w:r>
            <w:r w:rsidR="00FC03A6">
              <w:rPr>
                <w:rFonts w:ascii="Times New Roman" w:hAnsi="Times New Roman"/>
                <w:sz w:val="26"/>
                <w:szCs w:val="26"/>
              </w:rPr>
              <w:t>, 2015.gadā</w:t>
            </w:r>
            <w:r w:rsidR="00773309" w:rsidRPr="00773309">
              <w:rPr>
                <w:rFonts w:ascii="Times New Roman" w:hAnsi="Times New Roman"/>
                <w:sz w:val="26"/>
                <w:szCs w:val="26"/>
              </w:rPr>
              <w:t xml:space="preserve"> tik</w:t>
            </w:r>
            <w:r w:rsidR="008F4990">
              <w:rPr>
                <w:rFonts w:ascii="Times New Roman" w:hAnsi="Times New Roman"/>
                <w:sz w:val="26"/>
                <w:szCs w:val="26"/>
              </w:rPr>
              <w:t>s</w:t>
            </w:r>
            <w:r w:rsidR="00773309" w:rsidRPr="00773309">
              <w:rPr>
                <w:rFonts w:ascii="Times New Roman" w:hAnsi="Times New Roman"/>
                <w:sz w:val="26"/>
                <w:szCs w:val="26"/>
              </w:rPr>
              <w:t xml:space="preserve"> sniegta</w:t>
            </w:r>
            <w:r w:rsidR="00BB1BB2">
              <w:rPr>
                <w:rFonts w:ascii="Times New Roman" w:hAnsi="Times New Roman"/>
                <w:sz w:val="26"/>
                <w:szCs w:val="26"/>
              </w:rPr>
              <w:t xml:space="preserve"> līdz 15.septembrim</w:t>
            </w:r>
            <w:r w:rsidR="00FC03A6">
              <w:rPr>
                <w:rFonts w:ascii="Times New Roman" w:hAnsi="Times New Roman"/>
                <w:sz w:val="26"/>
                <w:szCs w:val="26"/>
              </w:rPr>
              <w:t>, nākamajos gados šo informāciju iesniedzot līdz 1.aprīlim</w:t>
            </w:r>
            <w:r w:rsidR="00773309" w:rsidRPr="00773309">
              <w:rPr>
                <w:rFonts w:ascii="Times New Roman" w:eastAsia="Calibri" w:hAnsi="Times New Roman"/>
                <w:sz w:val="26"/>
                <w:szCs w:val="26"/>
                <w:lang w:eastAsia="x-none"/>
              </w:rPr>
              <w:t>.</w:t>
            </w:r>
            <w:r w:rsidR="00164C5C">
              <w:rPr>
                <w:rFonts w:ascii="Times New Roman" w:eastAsia="Calibri" w:hAnsi="Times New Roman"/>
                <w:sz w:val="26"/>
                <w:szCs w:val="26"/>
                <w:lang w:eastAsia="x-none"/>
              </w:rPr>
              <w:t xml:space="preserve"> Sn</w:t>
            </w:r>
            <w:r w:rsidR="00FD1F8D">
              <w:rPr>
                <w:rFonts w:ascii="Times New Roman" w:eastAsia="Calibri" w:hAnsi="Times New Roman"/>
                <w:sz w:val="26"/>
                <w:szCs w:val="26"/>
                <w:lang w:eastAsia="x-none"/>
              </w:rPr>
              <w:t>ieguma finansējumam iesniegtie dati un aprēķinātais finansējums tiks publicēts ministrijas mājas lapā.</w:t>
            </w:r>
          </w:p>
          <w:p w:rsidR="009D4CE0" w:rsidRPr="001A6EB8" w:rsidRDefault="00EC3543" w:rsidP="0051145D">
            <w:pPr>
              <w:spacing w:after="0" w:line="240" w:lineRule="auto"/>
              <w:jc w:val="both"/>
              <w:rPr>
                <w:rFonts w:ascii="Times New Roman" w:hAnsi="Times New Roman"/>
                <w:sz w:val="26"/>
                <w:szCs w:val="26"/>
              </w:rPr>
            </w:pPr>
            <w:r>
              <w:rPr>
                <w:rFonts w:ascii="Times New Roman" w:hAnsi="Times New Roman"/>
                <w:sz w:val="26"/>
                <w:szCs w:val="26"/>
              </w:rPr>
              <w:t xml:space="preserve">        </w:t>
            </w:r>
            <w:r w:rsidR="00226883">
              <w:rPr>
                <w:rFonts w:ascii="Times New Roman" w:hAnsi="Times New Roman"/>
                <w:sz w:val="26"/>
                <w:szCs w:val="26"/>
              </w:rPr>
              <w:t>L</w:t>
            </w:r>
            <w:r w:rsidR="00804655" w:rsidRPr="00851F8A">
              <w:rPr>
                <w:rFonts w:ascii="Times New Roman" w:hAnsi="Times New Roman"/>
                <w:sz w:val="26"/>
                <w:szCs w:val="26"/>
              </w:rPr>
              <w:t>ai nodrošinātu</w:t>
            </w:r>
            <w:r w:rsidR="00851F8A" w:rsidRPr="00851F8A">
              <w:rPr>
                <w:rFonts w:ascii="Times New Roman" w:hAnsi="Times New Roman"/>
                <w:sz w:val="26"/>
                <w:szCs w:val="26"/>
              </w:rPr>
              <w:t xml:space="preserve"> </w:t>
            </w:r>
            <w:r w:rsidR="000D41DE">
              <w:rPr>
                <w:rFonts w:ascii="Times New Roman" w:hAnsi="Times New Roman"/>
                <w:sz w:val="26"/>
                <w:szCs w:val="26"/>
              </w:rPr>
              <w:t xml:space="preserve">finansēšanas </w:t>
            </w:r>
            <w:r w:rsidR="008455C2">
              <w:rPr>
                <w:rFonts w:ascii="Times New Roman" w:hAnsi="Times New Roman"/>
                <w:sz w:val="26"/>
                <w:szCs w:val="26"/>
              </w:rPr>
              <w:t>regulējumā ietverto</w:t>
            </w:r>
            <w:r w:rsidR="000D41DE">
              <w:rPr>
                <w:rFonts w:ascii="Times New Roman" w:hAnsi="Times New Roman"/>
                <w:sz w:val="26"/>
                <w:szCs w:val="26"/>
              </w:rPr>
              <w:t xml:space="preserve"> normu </w:t>
            </w:r>
            <w:proofErr w:type="spellStart"/>
            <w:r w:rsidR="008455C2">
              <w:rPr>
                <w:rFonts w:ascii="Times New Roman" w:hAnsi="Times New Roman"/>
                <w:sz w:val="26"/>
                <w:szCs w:val="26"/>
              </w:rPr>
              <w:t>sistēmiskumu</w:t>
            </w:r>
            <w:proofErr w:type="spellEnd"/>
            <w:r w:rsidR="008455C2">
              <w:rPr>
                <w:rFonts w:ascii="Times New Roman" w:hAnsi="Times New Roman"/>
                <w:sz w:val="26"/>
                <w:szCs w:val="26"/>
              </w:rPr>
              <w:t xml:space="preserve"> un </w:t>
            </w:r>
            <w:r w:rsidR="000B1FE6">
              <w:rPr>
                <w:rFonts w:ascii="Times New Roman" w:hAnsi="Times New Roman"/>
                <w:sz w:val="26"/>
                <w:szCs w:val="26"/>
              </w:rPr>
              <w:t>konsekventu terminoloģijas lietojumu</w:t>
            </w:r>
            <w:r w:rsidR="008455C2">
              <w:rPr>
                <w:rFonts w:ascii="Times New Roman" w:hAnsi="Times New Roman"/>
                <w:sz w:val="26"/>
                <w:szCs w:val="26"/>
              </w:rPr>
              <w:t xml:space="preserve"> </w:t>
            </w:r>
            <w:r w:rsidR="000B1FE6">
              <w:rPr>
                <w:rFonts w:ascii="Times New Roman" w:hAnsi="Times New Roman"/>
                <w:sz w:val="26"/>
                <w:szCs w:val="26"/>
              </w:rPr>
              <w:t>atbilstoši jaunā finansēšanas modeļa koncepcijai</w:t>
            </w:r>
            <w:r w:rsidR="00804655" w:rsidRPr="00851F8A">
              <w:rPr>
                <w:rFonts w:ascii="Times New Roman" w:hAnsi="Times New Roman"/>
                <w:sz w:val="26"/>
                <w:szCs w:val="26"/>
              </w:rPr>
              <w:t>, noteikumu projektā</w:t>
            </w:r>
            <w:r w:rsidR="00BE527A">
              <w:rPr>
                <w:rFonts w:ascii="Times New Roman" w:hAnsi="Times New Roman"/>
                <w:sz w:val="26"/>
                <w:szCs w:val="26"/>
              </w:rPr>
              <w:t>, kur nepieciešams,</w:t>
            </w:r>
            <w:r w:rsidR="00804655" w:rsidRPr="00851F8A">
              <w:rPr>
                <w:rFonts w:ascii="Times New Roman" w:hAnsi="Times New Roman"/>
                <w:sz w:val="26"/>
                <w:szCs w:val="26"/>
              </w:rPr>
              <w:t xml:space="preserve"> </w:t>
            </w:r>
            <w:r w:rsidR="000B1FE6">
              <w:rPr>
                <w:rFonts w:ascii="Times New Roman" w:hAnsi="Times New Roman"/>
                <w:sz w:val="26"/>
                <w:szCs w:val="26"/>
              </w:rPr>
              <w:t xml:space="preserve">apzīmējums “studiju finansējums” </w:t>
            </w:r>
            <w:r w:rsidR="00BE527A">
              <w:rPr>
                <w:rFonts w:ascii="Times New Roman" w:hAnsi="Times New Roman"/>
                <w:sz w:val="26"/>
                <w:szCs w:val="26"/>
              </w:rPr>
              <w:t xml:space="preserve">precizēts kā </w:t>
            </w:r>
            <w:r w:rsidR="000B1FE6">
              <w:rPr>
                <w:rFonts w:ascii="Times New Roman" w:hAnsi="Times New Roman"/>
                <w:sz w:val="26"/>
                <w:szCs w:val="26"/>
              </w:rPr>
              <w:lastRenderedPageBreak/>
              <w:t xml:space="preserve">“studiju bāzes finansējums”. </w:t>
            </w:r>
            <w:r w:rsidR="00851F8A" w:rsidRPr="00851F8A">
              <w:rPr>
                <w:rFonts w:ascii="Times New Roman" w:hAnsi="Times New Roman"/>
                <w:sz w:val="26"/>
                <w:szCs w:val="26"/>
              </w:rPr>
              <w:t xml:space="preserve"> </w:t>
            </w:r>
            <w:r w:rsidR="00804655" w:rsidRPr="00851F8A">
              <w:rPr>
                <w:rFonts w:ascii="Times New Roman" w:hAnsi="Times New Roman"/>
                <w:sz w:val="26"/>
                <w:szCs w:val="26"/>
              </w:rPr>
              <w:t>Noteikumu projektā</w:t>
            </w:r>
            <w:r w:rsidR="00FF3E0C">
              <w:rPr>
                <w:rFonts w:ascii="Times New Roman" w:hAnsi="Times New Roman"/>
                <w:sz w:val="26"/>
                <w:szCs w:val="26"/>
              </w:rPr>
              <w:t xml:space="preserve"> arī koriģēta informācija attiecībā uz </w:t>
            </w:r>
            <w:r w:rsidR="00560D6E">
              <w:rPr>
                <w:rFonts w:ascii="Times New Roman" w:hAnsi="Times New Roman"/>
                <w:sz w:val="26"/>
                <w:szCs w:val="26"/>
              </w:rPr>
              <w:t xml:space="preserve">augstskolām un koledžām </w:t>
            </w:r>
            <w:r w:rsidR="00FF3E0C">
              <w:rPr>
                <w:rFonts w:ascii="Times New Roman" w:hAnsi="Times New Roman"/>
                <w:sz w:val="26"/>
                <w:szCs w:val="26"/>
              </w:rPr>
              <w:t>no valsts pamatbudžeta</w:t>
            </w:r>
            <w:r w:rsidR="00560D6E">
              <w:rPr>
                <w:rFonts w:ascii="Times New Roman" w:hAnsi="Times New Roman"/>
                <w:sz w:val="26"/>
                <w:szCs w:val="26"/>
              </w:rPr>
              <w:t xml:space="preserve"> piešķirto finansējumu</w:t>
            </w:r>
            <w:r w:rsidR="00FF3E0C">
              <w:rPr>
                <w:rFonts w:ascii="Times New Roman" w:hAnsi="Times New Roman"/>
                <w:sz w:val="26"/>
                <w:szCs w:val="26"/>
              </w:rPr>
              <w:t xml:space="preserve">, </w:t>
            </w:r>
            <w:r w:rsidR="003978B8">
              <w:rPr>
                <w:rFonts w:ascii="Times New Roman" w:hAnsi="Times New Roman"/>
                <w:sz w:val="26"/>
                <w:szCs w:val="26"/>
              </w:rPr>
              <w:t>norādot, ka tas</w:t>
            </w:r>
            <w:r w:rsidR="00560D6E">
              <w:rPr>
                <w:rFonts w:ascii="Times New Roman" w:hAnsi="Times New Roman"/>
                <w:sz w:val="26"/>
                <w:szCs w:val="26"/>
              </w:rPr>
              <w:t xml:space="preserve"> ietver finansējumu</w:t>
            </w:r>
            <w:r w:rsidR="00BE527A">
              <w:rPr>
                <w:rFonts w:ascii="Times New Roman" w:hAnsi="Times New Roman"/>
                <w:sz w:val="26"/>
                <w:szCs w:val="26"/>
              </w:rPr>
              <w:t xml:space="preserve"> zinātnei</w:t>
            </w:r>
            <w:r w:rsidR="0051145D">
              <w:rPr>
                <w:rFonts w:ascii="Times New Roman" w:hAnsi="Times New Roman"/>
                <w:sz w:val="26"/>
                <w:szCs w:val="26"/>
              </w:rPr>
              <w:t xml:space="preserve"> </w:t>
            </w:r>
            <w:r w:rsidR="00FF3E0C">
              <w:rPr>
                <w:rFonts w:ascii="Times New Roman" w:hAnsi="Times New Roman"/>
                <w:sz w:val="26"/>
                <w:szCs w:val="26"/>
              </w:rPr>
              <w:t>saskaņā ar</w:t>
            </w:r>
            <w:r w:rsidR="00851F8A" w:rsidRPr="00851F8A">
              <w:rPr>
                <w:rFonts w:ascii="Times New Roman" w:hAnsi="Times New Roman"/>
                <w:bCs/>
                <w:sz w:val="26"/>
                <w:szCs w:val="26"/>
              </w:rPr>
              <w:t xml:space="preserve"> </w:t>
            </w:r>
            <w:r w:rsidR="00851F8A" w:rsidRPr="00851F8A">
              <w:rPr>
                <w:rFonts w:ascii="Times New Roman" w:hAnsi="Times New Roman"/>
                <w:sz w:val="26"/>
                <w:szCs w:val="26"/>
              </w:rPr>
              <w:t xml:space="preserve">Ministru kabineta </w:t>
            </w:r>
            <w:r w:rsidR="00851F8A" w:rsidRPr="00851F8A">
              <w:rPr>
                <w:rFonts w:ascii="Times New Roman" w:hAnsi="Times New Roman"/>
                <w:bCs/>
                <w:sz w:val="26"/>
                <w:szCs w:val="26"/>
              </w:rPr>
              <w:t>2013.gada 12.novembra noteikumi</w:t>
            </w:r>
            <w:r w:rsidR="00FF3E0C">
              <w:rPr>
                <w:rFonts w:ascii="Times New Roman" w:hAnsi="Times New Roman"/>
                <w:bCs/>
                <w:sz w:val="26"/>
                <w:szCs w:val="26"/>
              </w:rPr>
              <w:t>em</w:t>
            </w:r>
            <w:r w:rsidR="00851F8A" w:rsidRPr="00851F8A">
              <w:rPr>
                <w:rFonts w:ascii="Times New Roman" w:hAnsi="Times New Roman"/>
                <w:bCs/>
                <w:sz w:val="26"/>
                <w:szCs w:val="26"/>
              </w:rPr>
              <w:t xml:space="preserve"> Nr.1316 “Kārtība, kādā aprēķina un piešķir bāzes finansējumu zinātniskajām institūcijām”. </w:t>
            </w:r>
            <w:r w:rsidR="000B1FE6">
              <w:rPr>
                <w:rFonts w:ascii="Times New Roman" w:hAnsi="Times New Roman"/>
                <w:sz w:val="26"/>
                <w:szCs w:val="26"/>
              </w:rPr>
              <w:t>Tāpat precizēts, ka augstskolu</w:t>
            </w:r>
            <w:r w:rsidR="00FF3E0C">
              <w:rPr>
                <w:rFonts w:ascii="Times New Roman" w:hAnsi="Times New Roman"/>
                <w:sz w:val="26"/>
                <w:szCs w:val="26"/>
              </w:rPr>
              <w:t xml:space="preserve"> un koledžu</w:t>
            </w:r>
            <w:r w:rsidR="000B1FE6">
              <w:rPr>
                <w:rFonts w:ascii="Times New Roman" w:hAnsi="Times New Roman"/>
                <w:sz w:val="26"/>
                <w:szCs w:val="26"/>
              </w:rPr>
              <w:t xml:space="preserve"> finans</w:t>
            </w:r>
            <w:r w:rsidR="00FF3E0C">
              <w:rPr>
                <w:rFonts w:ascii="Times New Roman" w:hAnsi="Times New Roman"/>
                <w:sz w:val="26"/>
                <w:szCs w:val="26"/>
              </w:rPr>
              <w:t xml:space="preserve">ējumā ietilpst </w:t>
            </w:r>
            <w:r w:rsidR="000B1FE6">
              <w:rPr>
                <w:rFonts w:ascii="Times New Roman" w:hAnsi="Times New Roman"/>
                <w:sz w:val="26"/>
                <w:szCs w:val="26"/>
              </w:rPr>
              <w:t xml:space="preserve"> finansējums zinātniskajai darb</w:t>
            </w:r>
            <w:r w:rsidR="00560D6E">
              <w:rPr>
                <w:rFonts w:ascii="Times New Roman" w:hAnsi="Times New Roman"/>
                <w:sz w:val="26"/>
                <w:szCs w:val="26"/>
              </w:rPr>
              <w:t xml:space="preserve">ībai, ņemot vērā, ka spēkā esošie Ministru kabineta </w:t>
            </w:r>
            <w:r w:rsidR="001C72AF" w:rsidRPr="001A6EB8">
              <w:rPr>
                <w:rFonts w:ascii="Times New Roman" w:hAnsi="Times New Roman"/>
                <w:sz w:val="26"/>
                <w:szCs w:val="26"/>
              </w:rPr>
              <w:t xml:space="preserve">2006.gada 12.decembra </w:t>
            </w:r>
            <w:r w:rsidR="00560D6E">
              <w:rPr>
                <w:rFonts w:ascii="Times New Roman" w:hAnsi="Times New Roman"/>
                <w:sz w:val="26"/>
                <w:szCs w:val="26"/>
              </w:rPr>
              <w:t xml:space="preserve">noteikumi Nr.994 </w:t>
            </w:r>
            <w:r w:rsidR="00560D6E" w:rsidRPr="001A6EB8">
              <w:rPr>
                <w:rFonts w:ascii="Times New Roman" w:hAnsi="Times New Roman"/>
                <w:sz w:val="26"/>
                <w:szCs w:val="26"/>
              </w:rPr>
              <w:t>“Kārtība, kādā augstskolas un koledžas tiek finansētas no valsts budžeta līdzekļiem”</w:t>
            </w:r>
            <w:r w:rsidR="00560D6E">
              <w:rPr>
                <w:rFonts w:ascii="Times New Roman" w:hAnsi="Times New Roman"/>
                <w:sz w:val="26"/>
                <w:szCs w:val="26"/>
              </w:rPr>
              <w:t xml:space="preserve"> nosaka principus, pēc kuriem tiek piešķirts finansējums augstskolu un koledžu zinātniskajai darbībai.</w:t>
            </w:r>
          </w:p>
        </w:tc>
      </w:tr>
      <w:tr w:rsidR="00BF122F" w:rsidRPr="001A6EB8"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jc w:val="center"/>
              <w:rPr>
                <w:rFonts w:ascii="Times New Roman" w:hAnsi="Times New Roman"/>
                <w:sz w:val="26"/>
                <w:szCs w:val="26"/>
              </w:rPr>
            </w:pPr>
            <w:r w:rsidRPr="001A6EB8">
              <w:rPr>
                <w:rFonts w:ascii="Times New Roman" w:hAnsi="Times New Roman"/>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rsidR="00AD4864" w:rsidRPr="001A6EB8" w:rsidRDefault="009E730E" w:rsidP="00AD4864">
            <w:pPr>
              <w:spacing w:after="0" w:line="240" w:lineRule="auto"/>
              <w:jc w:val="both"/>
              <w:rPr>
                <w:rFonts w:ascii="Times New Roman" w:hAnsi="Times New Roman"/>
                <w:sz w:val="26"/>
                <w:szCs w:val="26"/>
              </w:rPr>
            </w:pPr>
            <w:r w:rsidRPr="001A6EB8">
              <w:rPr>
                <w:rFonts w:ascii="Times New Roman" w:hAnsi="Times New Roman"/>
                <w:sz w:val="26"/>
                <w:szCs w:val="26"/>
              </w:rPr>
              <w:t>Izglītības un zinātnes ministrija</w:t>
            </w:r>
            <w:r w:rsidR="003D4723" w:rsidRPr="001A6EB8">
              <w:rPr>
                <w:rFonts w:ascii="Times New Roman" w:hAnsi="Times New Roman"/>
                <w:sz w:val="26"/>
                <w:szCs w:val="26"/>
              </w:rPr>
              <w:t>.</w:t>
            </w:r>
          </w:p>
        </w:tc>
      </w:tr>
      <w:tr w:rsidR="00514935" w:rsidRPr="001A6EB8" w:rsidTr="00755DA9">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jc w:val="center"/>
              <w:rPr>
                <w:rFonts w:ascii="Times New Roman" w:hAnsi="Times New Roman"/>
                <w:sz w:val="26"/>
                <w:szCs w:val="26"/>
              </w:rPr>
            </w:pPr>
            <w:r w:rsidRPr="001A6EB8">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rPr>
                <w:rFonts w:ascii="Times New Roman" w:hAnsi="Times New Roman"/>
                <w:sz w:val="26"/>
                <w:szCs w:val="26"/>
              </w:rPr>
            </w:pPr>
            <w:r w:rsidRPr="001A6EB8">
              <w:rPr>
                <w:rFonts w:ascii="Times New Roman" w:hAnsi="Times New Roman"/>
                <w:sz w:val="26"/>
                <w:szCs w:val="26"/>
              </w:rPr>
              <w:t>Nav</w:t>
            </w:r>
          </w:p>
        </w:tc>
      </w:tr>
    </w:tbl>
    <w:p w:rsidR="009A5D18" w:rsidRPr="001A6EB8" w:rsidRDefault="009A5D18">
      <w:pPr>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6"/>
        <w:gridCol w:w="2777"/>
        <w:gridCol w:w="5734"/>
      </w:tblGrid>
      <w:tr w:rsidR="00BF122F" w:rsidRPr="001A6EB8"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1A6EB8" w:rsidRDefault="00514935" w:rsidP="00514935">
            <w:pPr>
              <w:spacing w:before="100" w:beforeAutospacing="1" w:after="100" w:afterAutospacing="1" w:line="293" w:lineRule="atLeast"/>
              <w:jc w:val="center"/>
              <w:rPr>
                <w:rFonts w:ascii="Times New Roman" w:hAnsi="Times New Roman"/>
                <w:b/>
                <w:bCs/>
                <w:sz w:val="26"/>
                <w:szCs w:val="26"/>
              </w:rPr>
            </w:pPr>
            <w:r w:rsidRPr="001A6EB8">
              <w:rPr>
                <w:rFonts w:ascii="Times New Roman" w:hAnsi="Times New Roman"/>
                <w:sz w:val="26"/>
                <w:szCs w:val="26"/>
              </w:rPr>
              <w:t> </w:t>
            </w:r>
            <w:r w:rsidRPr="001A6EB8">
              <w:rPr>
                <w:rFonts w:ascii="Times New Roman" w:hAnsi="Times New Roman"/>
                <w:b/>
                <w:bCs/>
                <w:sz w:val="26"/>
                <w:szCs w:val="26"/>
              </w:rPr>
              <w:t>II. Tiesību akta projekta ietekme uz sabiedrību, tautsaimniecības attīstību un administratīvo slogu</w:t>
            </w:r>
          </w:p>
        </w:tc>
      </w:tr>
      <w:tr w:rsidR="00BF122F" w:rsidRPr="001A6EB8"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 xml:space="preserve">Sabiedrības </w:t>
            </w:r>
            <w:proofErr w:type="spellStart"/>
            <w:r w:rsidRPr="001A6EB8">
              <w:rPr>
                <w:rFonts w:ascii="Times New Roman" w:hAnsi="Times New Roman"/>
                <w:sz w:val="26"/>
                <w:szCs w:val="26"/>
              </w:rPr>
              <w:t>mērķgrupas</w:t>
            </w:r>
            <w:proofErr w:type="spellEnd"/>
            <w:r w:rsidRPr="001A6EB8">
              <w:rPr>
                <w:rFonts w:ascii="Times New Roman" w:hAnsi="Times New Roman"/>
                <w:sz w:val="26"/>
                <w:szCs w:val="26"/>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41669F" w:rsidRPr="001A6EB8" w:rsidRDefault="00484D90" w:rsidP="00AB0214">
            <w:pPr>
              <w:spacing w:after="0" w:line="240" w:lineRule="auto"/>
              <w:jc w:val="both"/>
              <w:rPr>
                <w:rFonts w:ascii="Times New Roman" w:hAnsi="Times New Roman"/>
                <w:sz w:val="26"/>
                <w:szCs w:val="26"/>
              </w:rPr>
            </w:pPr>
            <w:r w:rsidRPr="001A6EB8">
              <w:rPr>
                <w:rFonts w:ascii="Times New Roman" w:hAnsi="Times New Roman"/>
                <w:sz w:val="26"/>
                <w:szCs w:val="26"/>
              </w:rPr>
              <w:t xml:space="preserve">Valsts </w:t>
            </w:r>
            <w:r w:rsidR="00E82290" w:rsidRPr="001A6EB8">
              <w:rPr>
                <w:rFonts w:ascii="Times New Roman" w:hAnsi="Times New Roman"/>
                <w:sz w:val="26"/>
                <w:szCs w:val="26"/>
              </w:rPr>
              <w:t xml:space="preserve">dibinātās </w:t>
            </w:r>
            <w:r w:rsidRPr="001A6EB8">
              <w:rPr>
                <w:rFonts w:ascii="Times New Roman" w:hAnsi="Times New Roman"/>
                <w:sz w:val="26"/>
                <w:szCs w:val="26"/>
              </w:rPr>
              <w:t>augstskolas un koledžas</w:t>
            </w:r>
          </w:p>
        </w:tc>
      </w:tr>
      <w:tr w:rsidR="00BF122F" w:rsidRPr="001A6EB8" w:rsidTr="00795E4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3E0F10" w:rsidRPr="001A6EB8" w:rsidRDefault="00987529" w:rsidP="00EC3543">
            <w:pPr>
              <w:spacing w:after="0" w:line="240" w:lineRule="auto"/>
              <w:jc w:val="both"/>
              <w:rPr>
                <w:rFonts w:ascii="Times New Roman" w:hAnsi="Times New Roman"/>
                <w:sz w:val="26"/>
                <w:szCs w:val="26"/>
              </w:rPr>
            </w:pPr>
            <w:r w:rsidRPr="001A6EB8">
              <w:rPr>
                <w:rFonts w:ascii="Times New Roman" w:hAnsi="Times New Roman"/>
                <w:sz w:val="26"/>
                <w:szCs w:val="26"/>
              </w:rPr>
              <w:t xml:space="preserve">Sniegumā balstīta finansēšana tiek īstenota, balstoties uz augstskolu sniegtajiem datiem zinātnes bāzes finansējuma saņemšanai, </w:t>
            </w:r>
            <w:r w:rsidR="009D2929">
              <w:rPr>
                <w:rFonts w:ascii="Times New Roman" w:hAnsi="Times New Roman"/>
                <w:sz w:val="26"/>
                <w:szCs w:val="26"/>
              </w:rPr>
              <w:t>kā arī augstskolu un koledžu sniegt</w:t>
            </w:r>
            <w:r w:rsidR="000411C5">
              <w:rPr>
                <w:rFonts w:ascii="Times New Roman" w:hAnsi="Times New Roman"/>
                <w:sz w:val="26"/>
                <w:szCs w:val="26"/>
              </w:rPr>
              <w:t>o</w:t>
            </w:r>
            <w:r w:rsidR="009D2929">
              <w:rPr>
                <w:rFonts w:ascii="Times New Roman" w:hAnsi="Times New Roman"/>
                <w:sz w:val="26"/>
                <w:szCs w:val="26"/>
              </w:rPr>
              <w:t xml:space="preserve"> informācij</w:t>
            </w:r>
            <w:r w:rsidR="000411C5">
              <w:rPr>
                <w:rFonts w:ascii="Times New Roman" w:hAnsi="Times New Roman"/>
                <w:sz w:val="26"/>
                <w:szCs w:val="26"/>
              </w:rPr>
              <w:t>u</w:t>
            </w:r>
            <w:r w:rsidR="009D2929">
              <w:rPr>
                <w:rFonts w:ascii="Times New Roman" w:hAnsi="Times New Roman"/>
                <w:sz w:val="26"/>
                <w:szCs w:val="26"/>
              </w:rPr>
              <w:t xml:space="preserve"> atbilstoši ministrijas </w:t>
            </w:r>
            <w:r w:rsidR="00A344BC">
              <w:rPr>
                <w:rFonts w:ascii="Times New Roman" w:hAnsi="Times New Roman"/>
                <w:sz w:val="26"/>
                <w:szCs w:val="26"/>
              </w:rPr>
              <w:t>sagatavot</w:t>
            </w:r>
            <w:r w:rsidR="0012767F">
              <w:rPr>
                <w:rFonts w:ascii="Times New Roman" w:hAnsi="Times New Roman"/>
                <w:sz w:val="26"/>
                <w:szCs w:val="26"/>
              </w:rPr>
              <w:t>aj</w:t>
            </w:r>
            <w:r w:rsidR="00EC3543">
              <w:rPr>
                <w:rFonts w:ascii="Times New Roman" w:hAnsi="Times New Roman"/>
                <w:sz w:val="26"/>
                <w:szCs w:val="26"/>
              </w:rPr>
              <w:t>ām</w:t>
            </w:r>
            <w:r w:rsidR="000411C5">
              <w:rPr>
                <w:rFonts w:ascii="Times New Roman" w:hAnsi="Times New Roman"/>
                <w:sz w:val="26"/>
                <w:szCs w:val="26"/>
              </w:rPr>
              <w:t xml:space="preserve"> veidlap</w:t>
            </w:r>
            <w:r w:rsidR="00EC3543">
              <w:rPr>
                <w:rFonts w:ascii="Times New Roman" w:hAnsi="Times New Roman"/>
                <w:sz w:val="26"/>
                <w:szCs w:val="26"/>
              </w:rPr>
              <w:t>ām</w:t>
            </w:r>
            <w:r w:rsidR="00A344BC">
              <w:rPr>
                <w:rFonts w:ascii="Times New Roman" w:hAnsi="Times New Roman"/>
                <w:sz w:val="26"/>
                <w:szCs w:val="26"/>
              </w:rPr>
              <w:t xml:space="preserve">, kas </w:t>
            </w:r>
            <w:r w:rsidR="00190092">
              <w:rPr>
                <w:rFonts w:ascii="Times New Roman" w:hAnsi="Times New Roman"/>
                <w:sz w:val="26"/>
                <w:szCs w:val="26"/>
              </w:rPr>
              <w:t>iekļauta</w:t>
            </w:r>
            <w:r w:rsidR="00EC3543">
              <w:rPr>
                <w:rFonts w:ascii="Times New Roman" w:hAnsi="Times New Roman"/>
                <w:sz w:val="26"/>
                <w:szCs w:val="26"/>
              </w:rPr>
              <w:t>s</w:t>
            </w:r>
            <w:r w:rsidR="00190092">
              <w:rPr>
                <w:rFonts w:ascii="Times New Roman" w:hAnsi="Times New Roman"/>
                <w:sz w:val="26"/>
                <w:szCs w:val="26"/>
              </w:rPr>
              <w:t xml:space="preserve"> noteikumu projekta 3.pielikumā</w:t>
            </w:r>
            <w:r w:rsidR="00A344BC">
              <w:rPr>
                <w:rFonts w:ascii="Times New Roman" w:hAnsi="Times New Roman"/>
                <w:sz w:val="26"/>
                <w:szCs w:val="26"/>
              </w:rPr>
              <w:t>.</w:t>
            </w:r>
            <w:r w:rsidR="000411C5">
              <w:rPr>
                <w:rFonts w:ascii="Times New Roman" w:hAnsi="Times New Roman"/>
                <w:sz w:val="26"/>
                <w:szCs w:val="26"/>
              </w:rPr>
              <w:t xml:space="preserve"> L</w:t>
            </w:r>
            <w:r w:rsidRPr="001A6EB8">
              <w:rPr>
                <w:rFonts w:ascii="Times New Roman" w:hAnsi="Times New Roman"/>
                <w:sz w:val="26"/>
                <w:szCs w:val="26"/>
              </w:rPr>
              <w:t>īdz ar to</w:t>
            </w:r>
            <w:r w:rsidR="009D2929">
              <w:rPr>
                <w:rFonts w:ascii="Times New Roman" w:hAnsi="Times New Roman"/>
                <w:sz w:val="26"/>
                <w:szCs w:val="26"/>
              </w:rPr>
              <w:t xml:space="preserve"> </w:t>
            </w:r>
            <w:r w:rsidR="000411C5">
              <w:rPr>
                <w:rFonts w:ascii="Times New Roman" w:hAnsi="Times New Roman"/>
                <w:sz w:val="26"/>
                <w:szCs w:val="26"/>
              </w:rPr>
              <w:t xml:space="preserve">sniegumā balstītā finansēšana tiks veikta ar minimālu administratīvo slogu </w:t>
            </w:r>
            <w:r w:rsidR="009D2929">
              <w:rPr>
                <w:rFonts w:ascii="Times New Roman" w:hAnsi="Times New Roman"/>
                <w:sz w:val="26"/>
                <w:szCs w:val="26"/>
              </w:rPr>
              <w:t>augstskolām un koledžām</w:t>
            </w:r>
            <w:r w:rsidR="000411C5">
              <w:rPr>
                <w:rFonts w:ascii="Times New Roman" w:hAnsi="Times New Roman"/>
                <w:sz w:val="26"/>
                <w:szCs w:val="26"/>
              </w:rPr>
              <w:t>.</w:t>
            </w:r>
          </w:p>
        </w:tc>
      </w:tr>
      <w:tr w:rsidR="00BF122F" w:rsidRPr="001A6EB8" w:rsidTr="00755DA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243F52" w:rsidRPr="001A6EB8" w:rsidRDefault="00687DEE" w:rsidP="00243F52">
            <w:pPr>
              <w:spacing w:after="0" w:line="240" w:lineRule="auto"/>
              <w:jc w:val="both"/>
              <w:rPr>
                <w:rFonts w:ascii="Times New Roman" w:hAnsi="Times New Roman"/>
                <w:sz w:val="26"/>
                <w:szCs w:val="26"/>
              </w:rPr>
            </w:pPr>
            <w:r w:rsidRPr="001A6EB8">
              <w:rPr>
                <w:rFonts w:ascii="Times New Roman" w:hAnsi="Times New Roman"/>
                <w:sz w:val="26"/>
                <w:szCs w:val="26"/>
              </w:rPr>
              <w:t>Projekts šo jomu neskar.</w:t>
            </w:r>
          </w:p>
        </w:tc>
      </w:tr>
      <w:tr w:rsidR="00514935" w:rsidRPr="001A6EB8" w:rsidTr="00755DA9">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after="0" w:line="240" w:lineRule="auto"/>
              <w:rPr>
                <w:rFonts w:ascii="Times New Roman" w:hAnsi="Times New Roman"/>
                <w:sz w:val="26"/>
                <w:szCs w:val="26"/>
              </w:rPr>
            </w:pPr>
            <w:r w:rsidRPr="001A6EB8">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1A6EB8" w:rsidRDefault="00514935" w:rsidP="00514935">
            <w:pPr>
              <w:spacing w:before="100" w:beforeAutospacing="1" w:after="100" w:afterAutospacing="1" w:line="293" w:lineRule="atLeast"/>
              <w:rPr>
                <w:rFonts w:ascii="Times New Roman" w:hAnsi="Times New Roman"/>
                <w:sz w:val="26"/>
                <w:szCs w:val="26"/>
              </w:rPr>
            </w:pPr>
            <w:r w:rsidRPr="001A6EB8">
              <w:rPr>
                <w:rFonts w:ascii="Times New Roman" w:hAnsi="Times New Roman"/>
                <w:sz w:val="26"/>
                <w:szCs w:val="26"/>
              </w:rPr>
              <w:t>Nav</w:t>
            </w:r>
          </w:p>
        </w:tc>
      </w:tr>
    </w:tbl>
    <w:p w:rsidR="00472DE5" w:rsidRDefault="00472DE5">
      <w:pPr>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97"/>
        <w:gridCol w:w="1155"/>
        <w:gridCol w:w="1315"/>
        <w:gridCol w:w="1181"/>
        <w:gridCol w:w="1247"/>
        <w:gridCol w:w="1562"/>
      </w:tblGrid>
      <w:tr w:rsidR="00472DE5" w:rsidRPr="008F4B46" w:rsidTr="001969B5">
        <w:trPr>
          <w:trHeight w:val="36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jc w:val="center"/>
              <w:rPr>
                <w:rFonts w:ascii="Times New Roman" w:hAnsi="Times New Roman"/>
                <w:b/>
                <w:bCs/>
                <w:sz w:val="26"/>
                <w:szCs w:val="26"/>
              </w:rPr>
            </w:pPr>
            <w:r w:rsidRPr="00472DE5">
              <w:rPr>
                <w:rFonts w:ascii="Times New Roman" w:hAnsi="Times New Roman"/>
                <w:b/>
                <w:bCs/>
                <w:sz w:val="26"/>
                <w:szCs w:val="26"/>
              </w:rPr>
              <w:t>III. Tiesību akta projekta ietekme uz valsts budžetu un pašvaldību budžetiem</w:t>
            </w:r>
          </w:p>
        </w:tc>
      </w:tr>
      <w:tr w:rsidR="00472DE5" w:rsidRPr="008F4B46" w:rsidTr="001969B5">
        <w:tc>
          <w:tcPr>
            <w:tcW w:w="1394" w:type="pct"/>
            <w:vMerge w:val="restar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bCs/>
                <w:sz w:val="26"/>
                <w:szCs w:val="26"/>
              </w:rPr>
            </w:pPr>
            <w:r w:rsidRPr="00472DE5">
              <w:rPr>
                <w:rFonts w:ascii="Times New Roman" w:hAnsi="Times New Roman"/>
                <w:bCs/>
                <w:sz w:val="26"/>
                <w:szCs w:val="26"/>
              </w:rPr>
              <w:t>Rādītāji</w:t>
            </w:r>
          </w:p>
        </w:tc>
        <w:tc>
          <w:tcPr>
            <w:tcW w:w="13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bCs/>
                <w:sz w:val="26"/>
                <w:szCs w:val="26"/>
              </w:rPr>
            </w:pPr>
            <w:r w:rsidRPr="00472DE5">
              <w:rPr>
                <w:rFonts w:ascii="Times New Roman" w:hAnsi="Times New Roman"/>
                <w:bCs/>
                <w:sz w:val="26"/>
                <w:szCs w:val="26"/>
              </w:rPr>
              <w:t>2015.gads</w:t>
            </w:r>
          </w:p>
        </w:tc>
        <w:tc>
          <w:tcPr>
            <w:tcW w:w="2228" w:type="pct"/>
            <w:gridSpan w:val="3"/>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EE0976">
            <w:pPr>
              <w:spacing w:after="0" w:line="240" w:lineRule="auto"/>
              <w:ind w:firstLine="300"/>
              <w:rPr>
                <w:rFonts w:ascii="Times New Roman" w:hAnsi="Times New Roman"/>
                <w:sz w:val="26"/>
                <w:szCs w:val="26"/>
              </w:rPr>
            </w:pPr>
            <w:r w:rsidRPr="00472DE5">
              <w:rPr>
                <w:rFonts w:ascii="Times New Roman" w:hAnsi="Times New Roman"/>
                <w:sz w:val="26"/>
                <w:szCs w:val="26"/>
              </w:rPr>
              <w:t xml:space="preserve">Turpmākie trīs gadi </w:t>
            </w:r>
            <w:proofErr w:type="spellStart"/>
            <w:r w:rsidRPr="00472DE5">
              <w:rPr>
                <w:rFonts w:ascii="Times New Roman" w:hAnsi="Times New Roman"/>
                <w:sz w:val="26"/>
                <w:szCs w:val="26"/>
              </w:rPr>
              <w:t>euro</w:t>
            </w:r>
            <w:proofErr w:type="spellEnd"/>
          </w:p>
        </w:tc>
      </w:tr>
      <w:tr w:rsidR="00472DE5" w:rsidRPr="008F4B46" w:rsidTr="001969B5">
        <w:tc>
          <w:tcPr>
            <w:tcW w:w="1394"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p>
        </w:tc>
        <w:tc>
          <w:tcPr>
            <w:tcW w:w="1379" w:type="pct"/>
            <w:gridSpan w:val="2"/>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r w:rsidRPr="00472DE5">
              <w:rPr>
                <w:rFonts w:ascii="Times New Roman" w:hAnsi="Times New Roman"/>
                <w:bCs/>
                <w:sz w:val="26"/>
                <w:szCs w:val="26"/>
              </w:rPr>
              <w:t>2016.gads</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r w:rsidRPr="00472DE5">
              <w:rPr>
                <w:rFonts w:ascii="Times New Roman" w:hAnsi="Times New Roman"/>
                <w:bCs/>
                <w:sz w:val="26"/>
                <w:szCs w:val="26"/>
              </w:rPr>
              <w:t>2017.gads</w:t>
            </w:r>
          </w:p>
        </w:tc>
        <w:tc>
          <w:tcPr>
            <w:tcW w:w="873"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bCs/>
                <w:sz w:val="26"/>
                <w:szCs w:val="26"/>
              </w:rPr>
            </w:pPr>
            <w:r w:rsidRPr="00472DE5">
              <w:rPr>
                <w:rFonts w:ascii="Times New Roman" w:hAnsi="Times New Roman"/>
                <w:bCs/>
                <w:sz w:val="26"/>
                <w:szCs w:val="26"/>
              </w:rPr>
              <w:t>2018.gads</w:t>
            </w:r>
          </w:p>
        </w:tc>
      </w:tr>
      <w:tr w:rsidR="00472DE5" w:rsidRPr="008F4B46" w:rsidTr="001969B5">
        <w:tc>
          <w:tcPr>
            <w:tcW w:w="1394"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bCs/>
                <w:sz w:val="26"/>
                <w:szCs w:val="26"/>
              </w:rPr>
            </w:pPr>
          </w:p>
        </w:tc>
        <w:tc>
          <w:tcPr>
            <w:tcW w:w="645"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saskaņā ar valsts budžetu kārtējam gadam</w:t>
            </w:r>
          </w:p>
        </w:tc>
        <w:tc>
          <w:tcPr>
            <w:tcW w:w="734"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izmaiņas kārtējā gadā, salīdzinot ar valsts budžetu kārtējam gadam</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iz</w:t>
            </w:r>
            <w:r w:rsidR="004D517C">
              <w:rPr>
                <w:rFonts w:ascii="Times New Roman" w:hAnsi="Times New Roman"/>
                <w:sz w:val="26"/>
                <w:szCs w:val="26"/>
              </w:rPr>
              <w:t>maiņas, salīdzinot ar kārtējo (2015</w:t>
            </w:r>
            <w:r w:rsidRPr="00472DE5">
              <w:rPr>
                <w:rFonts w:ascii="Times New Roman" w:hAnsi="Times New Roman"/>
                <w:sz w:val="26"/>
                <w:szCs w:val="26"/>
              </w:rPr>
              <w:t>) gadu</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iz</w:t>
            </w:r>
            <w:r w:rsidR="004D517C">
              <w:rPr>
                <w:rFonts w:ascii="Times New Roman" w:hAnsi="Times New Roman"/>
                <w:sz w:val="26"/>
                <w:szCs w:val="26"/>
              </w:rPr>
              <w:t>maiņas, salīdzinot ar kārtējo (2015</w:t>
            </w:r>
            <w:r w:rsidRPr="00472DE5">
              <w:rPr>
                <w:rFonts w:ascii="Times New Roman" w:hAnsi="Times New Roman"/>
                <w:sz w:val="26"/>
                <w:szCs w:val="26"/>
              </w:rPr>
              <w:t>) gadu</w:t>
            </w:r>
          </w:p>
        </w:tc>
        <w:tc>
          <w:tcPr>
            <w:tcW w:w="873"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8"/>
              <w:rPr>
                <w:rFonts w:ascii="Times New Roman" w:hAnsi="Times New Roman"/>
                <w:sz w:val="26"/>
                <w:szCs w:val="26"/>
              </w:rPr>
            </w:pPr>
            <w:r w:rsidRPr="00472DE5">
              <w:rPr>
                <w:rFonts w:ascii="Times New Roman" w:hAnsi="Times New Roman"/>
                <w:sz w:val="26"/>
                <w:szCs w:val="26"/>
              </w:rPr>
              <w:t>iz</w:t>
            </w:r>
            <w:r w:rsidR="004D517C">
              <w:rPr>
                <w:rFonts w:ascii="Times New Roman" w:hAnsi="Times New Roman"/>
                <w:sz w:val="26"/>
                <w:szCs w:val="26"/>
              </w:rPr>
              <w:t>maiņas, salīdzinot ar kārtējo (2015</w:t>
            </w:r>
            <w:r w:rsidRPr="00472DE5">
              <w:rPr>
                <w:rFonts w:ascii="Times New Roman" w:hAnsi="Times New Roman"/>
                <w:sz w:val="26"/>
                <w:szCs w:val="26"/>
              </w:rPr>
              <w:t>) gadu</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1</w:t>
            </w:r>
          </w:p>
        </w:tc>
        <w:tc>
          <w:tcPr>
            <w:tcW w:w="645"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2</w:t>
            </w:r>
          </w:p>
        </w:tc>
        <w:tc>
          <w:tcPr>
            <w:tcW w:w="734"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3</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4</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5</w:t>
            </w:r>
          </w:p>
        </w:tc>
        <w:tc>
          <w:tcPr>
            <w:tcW w:w="873"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6</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1. Budžeta ieņēmumi:</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EB0095" w:rsidP="00EE0976">
            <w:pPr>
              <w:spacing w:after="0" w:line="240" w:lineRule="auto"/>
              <w:rPr>
                <w:rFonts w:ascii="Times New Roman" w:hAnsi="Times New Roman"/>
                <w:sz w:val="26"/>
                <w:szCs w:val="26"/>
              </w:rPr>
            </w:pPr>
            <w:r>
              <w:rPr>
                <w:rFonts w:ascii="Times New Roman" w:hAnsi="Times New Roman"/>
                <w:sz w:val="26"/>
                <w:szCs w:val="26"/>
              </w:rPr>
              <w:t>5 500 000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EE0976" w:rsidP="004443A7">
            <w:pPr>
              <w:spacing w:after="0" w:line="240" w:lineRule="auto"/>
              <w:rPr>
                <w:rFonts w:ascii="Times New Roman" w:hAnsi="Times New Roman"/>
                <w:sz w:val="26"/>
                <w:szCs w:val="26"/>
              </w:rPr>
            </w:pPr>
            <w:r>
              <w:rPr>
                <w:rFonts w:ascii="Times New Roman" w:hAnsi="Times New Roman"/>
                <w:sz w:val="26"/>
                <w:szCs w:val="26"/>
              </w:rPr>
              <w:t> </w:t>
            </w:r>
            <w:r w:rsidR="00EB0095">
              <w:rPr>
                <w:rFonts w:ascii="Times New Roman" w:hAnsi="Times New Roman"/>
                <w:sz w:val="26"/>
                <w:szCs w:val="26"/>
              </w:rPr>
              <w:t>1 000 000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4443A7">
            <w:pPr>
              <w:spacing w:after="0" w:line="240" w:lineRule="auto"/>
              <w:rPr>
                <w:rFonts w:ascii="Times New Roman" w:hAnsi="Times New Roman"/>
                <w:sz w:val="26"/>
                <w:szCs w:val="26"/>
              </w:rPr>
            </w:pPr>
            <w:r w:rsidRPr="00472DE5">
              <w:rPr>
                <w:rFonts w:ascii="Times New Roman" w:hAnsi="Times New Roman"/>
                <w:sz w:val="26"/>
                <w:szCs w:val="26"/>
              </w:rPr>
              <w:t> </w:t>
            </w:r>
            <w:r w:rsidR="00EB0095">
              <w:rPr>
                <w:rFonts w:ascii="Times New Roman" w:hAnsi="Times New Roman"/>
                <w:sz w:val="26"/>
                <w:szCs w:val="26"/>
              </w:rPr>
              <w:t>1 000 000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r w:rsidR="00EB0095">
              <w:rPr>
                <w:rFonts w:ascii="Times New Roman" w:hAnsi="Times New Roman"/>
                <w:sz w:val="26"/>
                <w:szCs w:val="26"/>
              </w:rPr>
              <w:t>1 000 000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1.1. valsts pamatbudžets, tai skaitā ieņēmumi no maksas pakalpojumiem un citi pašu ieņēmumi</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EB0095" w:rsidP="00FD1F8D">
            <w:pPr>
              <w:spacing w:after="0" w:line="240" w:lineRule="auto"/>
              <w:rPr>
                <w:rFonts w:ascii="Times New Roman" w:hAnsi="Times New Roman"/>
                <w:sz w:val="26"/>
                <w:szCs w:val="26"/>
              </w:rPr>
            </w:pPr>
            <w:r>
              <w:rPr>
                <w:rFonts w:ascii="Times New Roman" w:hAnsi="Times New Roman"/>
                <w:sz w:val="26"/>
                <w:szCs w:val="26"/>
              </w:rPr>
              <w:t>5 500 000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0 </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EB0095" w:rsidP="00FD1F8D">
            <w:pPr>
              <w:spacing w:after="0" w:line="240" w:lineRule="auto"/>
              <w:rPr>
                <w:rFonts w:ascii="Times New Roman" w:hAnsi="Times New Roman"/>
                <w:sz w:val="26"/>
                <w:szCs w:val="26"/>
              </w:rPr>
            </w:pPr>
            <w:r>
              <w:rPr>
                <w:rFonts w:ascii="Times New Roman" w:hAnsi="Times New Roman"/>
                <w:sz w:val="26"/>
                <w:szCs w:val="26"/>
              </w:rPr>
              <w:t>1 000 000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EB0095" w:rsidP="00FD1F8D">
            <w:pPr>
              <w:spacing w:after="0" w:line="240" w:lineRule="auto"/>
              <w:rPr>
                <w:rFonts w:ascii="Times New Roman" w:hAnsi="Times New Roman"/>
                <w:sz w:val="26"/>
                <w:szCs w:val="26"/>
              </w:rPr>
            </w:pPr>
            <w:r>
              <w:rPr>
                <w:rFonts w:ascii="Times New Roman" w:hAnsi="Times New Roman"/>
                <w:sz w:val="26"/>
                <w:szCs w:val="26"/>
              </w:rPr>
              <w:t>1 000 000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r w:rsidR="00EB0095">
              <w:rPr>
                <w:rFonts w:ascii="Times New Roman" w:hAnsi="Times New Roman"/>
                <w:sz w:val="26"/>
                <w:szCs w:val="26"/>
              </w:rPr>
              <w:t>1 000 000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1.2. valsts speciālais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1.3. pašvaldību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2. Budžeta izdevumi:</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EE0976" w:rsidP="00FD1F8D">
            <w:pPr>
              <w:spacing w:after="0" w:line="240" w:lineRule="auto"/>
              <w:rPr>
                <w:rFonts w:ascii="Times New Roman" w:hAnsi="Times New Roman"/>
                <w:sz w:val="26"/>
                <w:szCs w:val="26"/>
              </w:rPr>
            </w:pPr>
            <w:r>
              <w:rPr>
                <w:rFonts w:ascii="Times New Roman" w:hAnsi="Times New Roman"/>
                <w:sz w:val="26"/>
                <w:szCs w:val="26"/>
              </w:rPr>
              <w:t>5 500 000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w:t>
            </w:r>
            <w:r w:rsidR="00A44ABF">
              <w:rPr>
                <w:rFonts w:ascii="Times New Roman" w:hAnsi="Times New Roman"/>
                <w:sz w:val="26"/>
                <w:szCs w:val="26"/>
              </w:rPr>
              <w:t>1 000 000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w:t>
            </w:r>
            <w:r w:rsidR="00A44ABF">
              <w:rPr>
                <w:rFonts w:ascii="Times New Roman" w:hAnsi="Times New Roman"/>
                <w:sz w:val="26"/>
                <w:szCs w:val="26"/>
              </w:rPr>
              <w:t>1 000 000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w:t>
            </w:r>
            <w:r w:rsidR="00EB0095">
              <w:rPr>
                <w:rFonts w:ascii="Times New Roman" w:hAnsi="Times New Roman"/>
                <w:sz w:val="26"/>
                <w:szCs w:val="26"/>
              </w:rPr>
              <w:t>1 000 000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2.1. valsts pamatbudžets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EE0976" w:rsidP="00FD1F8D">
            <w:pPr>
              <w:spacing w:after="0" w:line="240" w:lineRule="auto"/>
              <w:rPr>
                <w:rFonts w:ascii="Times New Roman" w:hAnsi="Times New Roman"/>
                <w:sz w:val="26"/>
                <w:szCs w:val="26"/>
              </w:rPr>
            </w:pPr>
            <w:r>
              <w:rPr>
                <w:rFonts w:ascii="Times New Roman" w:hAnsi="Times New Roman"/>
                <w:sz w:val="26"/>
                <w:szCs w:val="26"/>
              </w:rPr>
              <w:t>5 500 000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w:t>
            </w:r>
            <w:r w:rsidR="00A44ABF">
              <w:rPr>
                <w:rFonts w:ascii="Times New Roman" w:hAnsi="Times New Roman"/>
                <w:sz w:val="26"/>
                <w:szCs w:val="26"/>
              </w:rPr>
              <w:t>1 000 000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w:t>
            </w:r>
            <w:r w:rsidR="00A44ABF">
              <w:rPr>
                <w:rFonts w:ascii="Times New Roman" w:hAnsi="Times New Roman"/>
                <w:sz w:val="26"/>
                <w:szCs w:val="26"/>
              </w:rPr>
              <w:t>1 000 000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w:t>
            </w:r>
            <w:r w:rsidR="00EB0095">
              <w:rPr>
                <w:rFonts w:ascii="Times New Roman" w:hAnsi="Times New Roman"/>
                <w:sz w:val="26"/>
                <w:szCs w:val="26"/>
              </w:rPr>
              <w:t>1 000 000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2.2. valsts speciālais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2.3. pašvaldību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3. Finansiālā ietekme:</w:t>
            </w:r>
          </w:p>
        </w:tc>
        <w:tc>
          <w:tcPr>
            <w:tcW w:w="645" w:type="pct"/>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3.1. valsts pamatbudžets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eastAsia="Calibri" w:hAnsi="Times New Roman"/>
                <w:sz w:val="26"/>
                <w:szCs w:val="26"/>
              </w:rPr>
            </w:pPr>
            <w:r w:rsidRPr="00472DE5">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xml:space="preserve">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3.2. speciālais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3.3. pašvaldību budžets</w:t>
            </w:r>
          </w:p>
        </w:tc>
        <w:tc>
          <w:tcPr>
            <w:tcW w:w="645"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vMerge w:val="restar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4. Finanšu līdzekļi papildu izdevumu finansēšanai (kompensējošu izdevumu samazinājumu norāda ar "+" zīmi)</w:t>
            </w:r>
          </w:p>
        </w:tc>
        <w:tc>
          <w:tcPr>
            <w:tcW w:w="645" w:type="pct"/>
            <w:vMerge w:val="restar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x</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lastRenderedPageBreak/>
              <w:t>5. Precizēta finansiālā ietekme:</w:t>
            </w:r>
          </w:p>
        </w:tc>
        <w:tc>
          <w:tcPr>
            <w:tcW w:w="645" w:type="pct"/>
            <w:vMerge w:val="restar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ind w:firstLine="300"/>
              <w:rPr>
                <w:rFonts w:ascii="Times New Roman" w:hAnsi="Times New Roman"/>
                <w:sz w:val="26"/>
                <w:szCs w:val="26"/>
              </w:rPr>
            </w:pPr>
            <w:r w:rsidRPr="00472DE5">
              <w:rPr>
                <w:rFonts w:ascii="Times New Roman" w:hAnsi="Times New Roman"/>
                <w:sz w:val="26"/>
                <w:szCs w:val="26"/>
              </w:rPr>
              <w:t>x</w:t>
            </w: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5.1. valsts pamatbudžets</w:t>
            </w: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5.2. speciālais budžets</w:t>
            </w: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5.3. pašvaldību budžets</w:t>
            </w:r>
          </w:p>
        </w:tc>
        <w:tc>
          <w:tcPr>
            <w:tcW w:w="645" w:type="pct"/>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c>
          <w:tcPr>
            <w:tcW w:w="73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c>
          <w:tcPr>
            <w:tcW w:w="873"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 0</w:t>
            </w: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6. Detalizēts ieņēmumu un izdevumu aprēķins (ja nepieciešams, detalizētu ieņēmumu un izdevumu aprēķinu var pievienot anotācijas pielikumā):</w:t>
            </w:r>
          </w:p>
        </w:tc>
        <w:tc>
          <w:tcPr>
            <w:tcW w:w="36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56C2B" w:rsidRPr="001969B5" w:rsidRDefault="005516CD" w:rsidP="004F2587">
            <w:pPr>
              <w:spacing w:after="0" w:line="240" w:lineRule="auto"/>
              <w:jc w:val="both"/>
              <w:rPr>
                <w:rFonts w:ascii="Times New Roman" w:hAnsi="Times New Roman"/>
                <w:sz w:val="26"/>
                <w:szCs w:val="26"/>
              </w:rPr>
            </w:pPr>
            <w:r w:rsidRPr="001969B5">
              <w:rPr>
                <w:rFonts w:ascii="Times New Roman" w:hAnsi="Times New Roman"/>
                <w:sz w:val="26"/>
                <w:szCs w:val="26"/>
              </w:rPr>
              <w:t>Atbilstoši likumam „Par valsts budžetu 2015.gadam”</w:t>
            </w:r>
            <w:r w:rsidR="001969B5" w:rsidRPr="001969B5">
              <w:rPr>
                <w:rFonts w:ascii="Times New Roman" w:hAnsi="Times New Roman"/>
                <w:sz w:val="26"/>
                <w:szCs w:val="26"/>
              </w:rPr>
              <w:t xml:space="preserve"> un likumam „Par vidēja termiņa budžeta ietvaru 2015., 2016. un 2017.gadam” </w:t>
            </w:r>
            <w:r w:rsidRPr="001969B5">
              <w:rPr>
                <w:rFonts w:ascii="Times New Roman" w:hAnsi="Times New Roman"/>
                <w:sz w:val="26"/>
                <w:szCs w:val="26"/>
              </w:rPr>
              <w:t>budžeta programmas 03.00.00 „Augstākā izglītība” apakšprogrammā 03.03.00 „Zinātniskās darbības attīstība  augstskolās un koledžās” pieš</w:t>
            </w:r>
            <w:r w:rsidR="001969B5">
              <w:rPr>
                <w:rFonts w:ascii="Times New Roman" w:hAnsi="Times New Roman"/>
                <w:sz w:val="26"/>
                <w:szCs w:val="26"/>
              </w:rPr>
              <w:t>ķ</w:t>
            </w:r>
            <w:r w:rsidRPr="001969B5">
              <w:rPr>
                <w:rFonts w:ascii="Times New Roman" w:hAnsi="Times New Roman"/>
                <w:sz w:val="26"/>
                <w:szCs w:val="26"/>
              </w:rPr>
              <w:t>irts finansējums par sniegumu pētniecībā balstītas augstākās izglītības īstenošanu</w:t>
            </w:r>
            <w:r w:rsidR="001969B5" w:rsidRPr="001969B5">
              <w:rPr>
                <w:rFonts w:ascii="Times New Roman" w:hAnsi="Times New Roman"/>
                <w:sz w:val="26"/>
                <w:szCs w:val="26"/>
              </w:rPr>
              <w:t xml:space="preserve"> 2015.gadā </w:t>
            </w:r>
            <w:r w:rsidRPr="001969B5">
              <w:rPr>
                <w:rFonts w:ascii="Times New Roman" w:hAnsi="Times New Roman"/>
                <w:sz w:val="26"/>
                <w:szCs w:val="26"/>
              </w:rPr>
              <w:t xml:space="preserve">5 500 000 </w:t>
            </w:r>
            <w:proofErr w:type="spellStart"/>
            <w:r w:rsidRPr="001969B5">
              <w:rPr>
                <w:rFonts w:ascii="Times New Roman" w:hAnsi="Times New Roman"/>
                <w:i/>
                <w:sz w:val="26"/>
                <w:szCs w:val="26"/>
              </w:rPr>
              <w:t>euro</w:t>
            </w:r>
            <w:proofErr w:type="spellEnd"/>
            <w:r w:rsidR="001969B5" w:rsidRPr="001969B5">
              <w:rPr>
                <w:rFonts w:ascii="Times New Roman" w:hAnsi="Times New Roman"/>
                <w:sz w:val="26"/>
                <w:szCs w:val="26"/>
              </w:rPr>
              <w:t xml:space="preserve"> apmērā, 2016.gadā un turpmāk 6 500 000 </w:t>
            </w:r>
            <w:proofErr w:type="spellStart"/>
            <w:r w:rsidR="001969B5" w:rsidRPr="001969B5">
              <w:rPr>
                <w:rFonts w:ascii="Times New Roman" w:hAnsi="Times New Roman"/>
                <w:i/>
                <w:sz w:val="26"/>
                <w:szCs w:val="26"/>
              </w:rPr>
              <w:t>euro</w:t>
            </w:r>
            <w:proofErr w:type="spellEnd"/>
            <w:r w:rsidR="001969B5" w:rsidRPr="001969B5">
              <w:rPr>
                <w:rFonts w:ascii="Times New Roman" w:hAnsi="Times New Roman"/>
                <w:sz w:val="26"/>
                <w:szCs w:val="26"/>
              </w:rPr>
              <w:t xml:space="preserve"> apmērā</w:t>
            </w:r>
            <w:r w:rsidRPr="001969B5">
              <w:rPr>
                <w:rFonts w:ascii="Times New Roman" w:hAnsi="Times New Roman"/>
                <w:sz w:val="26"/>
                <w:szCs w:val="26"/>
              </w:rPr>
              <w:t xml:space="preserve">. </w:t>
            </w:r>
          </w:p>
          <w:p w:rsidR="005516CD" w:rsidRDefault="001969B5" w:rsidP="004F2587">
            <w:pPr>
              <w:spacing w:after="0" w:line="240" w:lineRule="auto"/>
              <w:jc w:val="both"/>
              <w:rPr>
                <w:rFonts w:ascii="Times New Roman" w:hAnsi="Times New Roman"/>
                <w:sz w:val="26"/>
                <w:szCs w:val="26"/>
              </w:rPr>
            </w:pPr>
            <w:r w:rsidRPr="009B6CEA">
              <w:rPr>
                <w:rFonts w:ascii="Times New Roman" w:hAnsi="Times New Roman"/>
                <w:sz w:val="26"/>
                <w:szCs w:val="26"/>
              </w:rPr>
              <w:t>Noteikumu projektam nav ietekmes uz valsts un pašvaldību budžetiem, tas tiks īstenots valsts budžetā piešķirto līdzekļu ietvaros.</w:t>
            </w:r>
          </w:p>
          <w:p w:rsidR="00472DE5" w:rsidRPr="00472DE5" w:rsidRDefault="00472DE5" w:rsidP="004F2587">
            <w:pPr>
              <w:spacing w:after="0" w:line="240" w:lineRule="auto"/>
              <w:jc w:val="both"/>
              <w:rPr>
                <w:rFonts w:ascii="Times New Roman" w:hAnsi="Times New Roman"/>
                <w:sz w:val="26"/>
                <w:szCs w:val="26"/>
              </w:rPr>
            </w:pP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6.1. detalizēts ieņēmumu aprēķins</w:t>
            </w:r>
          </w:p>
        </w:tc>
        <w:tc>
          <w:tcPr>
            <w:tcW w:w="3606" w:type="pct"/>
            <w:gridSpan w:val="5"/>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r>
      <w:tr w:rsidR="00472DE5" w:rsidRPr="008F4B46" w:rsidTr="001969B5">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6.2. detalizēts izdevumu aprēķins</w:t>
            </w:r>
          </w:p>
        </w:tc>
        <w:tc>
          <w:tcPr>
            <w:tcW w:w="3606" w:type="pct"/>
            <w:gridSpan w:val="5"/>
            <w:vMerge/>
            <w:tcBorders>
              <w:top w:val="outset" w:sz="6" w:space="0" w:color="414142"/>
              <w:left w:val="outset" w:sz="6" w:space="0" w:color="414142"/>
              <w:bottom w:val="outset" w:sz="6" w:space="0" w:color="414142"/>
              <w:right w:val="outset" w:sz="6" w:space="0" w:color="414142"/>
            </w:tcBorders>
            <w:vAlign w:val="center"/>
            <w:hideMark/>
          </w:tcPr>
          <w:p w:rsidR="00472DE5" w:rsidRPr="00472DE5" w:rsidRDefault="00472DE5" w:rsidP="00FD1F8D">
            <w:pPr>
              <w:spacing w:after="0" w:line="240" w:lineRule="auto"/>
              <w:rPr>
                <w:rFonts w:ascii="Times New Roman" w:hAnsi="Times New Roman"/>
                <w:sz w:val="26"/>
                <w:szCs w:val="26"/>
              </w:rPr>
            </w:pPr>
          </w:p>
        </w:tc>
      </w:tr>
      <w:tr w:rsidR="00472DE5" w:rsidRPr="008F4B46" w:rsidTr="001969B5">
        <w:trPr>
          <w:trHeight w:val="559"/>
        </w:trPr>
        <w:tc>
          <w:tcPr>
            <w:tcW w:w="1394" w:type="pct"/>
            <w:tcBorders>
              <w:top w:val="outset" w:sz="6" w:space="0" w:color="414142"/>
              <w:left w:val="outset" w:sz="6" w:space="0" w:color="414142"/>
              <w:bottom w:val="outset" w:sz="6" w:space="0" w:color="414142"/>
              <w:right w:val="outset" w:sz="6" w:space="0" w:color="414142"/>
            </w:tcBorders>
            <w:hideMark/>
          </w:tcPr>
          <w:p w:rsidR="00472DE5" w:rsidRPr="00472DE5" w:rsidRDefault="00472DE5" w:rsidP="00FD1F8D">
            <w:pPr>
              <w:spacing w:after="0" w:line="240" w:lineRule="auto"/>
              <w:rPr>
                <w:rFonts w:ascii="Times New Roman" w:hAnsi="Times New Roman"/>
                <w:sz w:val="26"/>
                <w:szCs w:val="26"/>
              </w:rPr>
            </w:pPr>
            <w:r w:rsidRPr="00472DE5">
              <w:rPr>
                <w:rFonts w:ascii="Times New Roman" w:hAnsi="Times New Roman"/>
                <w:sz w:val="26"/>
                <w:szCs w:val="26"/>
              </w:rPr>
              <w:t>7. Cita informācija</w:t>
            </w:r>
          </w:p>
        </w:tc>
        <w:tc>
          <w:tcPr>
            <w:tcW w:w="3606" w:type="pct"/>
            <w:gridSpan w:val="5"/>
            <w:tcBorders>
              <w:top w:val="outset" w:sz="6" w:space="0" w:color="414142"/>
              <w:left w:val="outset" w:sz="6" w:space="0" w:color="414142"/>
              <w:bottom w:val="outset" w:sz="6" w:space="0" w:color="414142"/>
              <w:right w:val="outset" w:sz="6" w:space="0" w:color="414142"/>
            </w:tcBorders>
            <w:hideMark/>
          </w:tcPr>
          <w:p w:rsidR="00472DE5" w:rsidRPr="00472DE5" w:rsidRDefault="00090664" w:rsidP="00EE0976">
            <w:pPr>
              <w:spacing w:after="0" w:line="240" w:lineRule="auto"/>
              <w:jc w:val="both"/>
              <w:rPr>
                <w:rFonts w:ascii="Times New Roman" w:hAnsi="Times New Roman"/>
                <w:sz w:val="26"/>
                <w:szCs w:val="26"/>
              </w:rPr>
            </w:pPr>
            <w:r>
              <w:rPr>
                <w:rFonts w:ascii="Times New Roman" w:hAnsi="Times New Roman"/>
                <w:sz w:val="26"/>
                <w:szCs w:val="26"/>
              </w:rPr>
              <w:t>Nav</w:t>
            </w:r>
          </w:p>
        </w:tc>
      </w:tr>
    </w:tbl>
    <w:p w:rsidR="00472DE5" w:rsidRPr="001A6EB8" w:rsidRDefault="00472DE5">
      <w:pPr>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9"/>
        <w:gridCol w:w="3042"/>
        <w:gridCol w:w="5376"/>
      </w:tblGrid>
      <w:tr w:rsidR="002C11D2" w:rsidRPr="001A6EB8" w:rsidTr="00FD1F8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C11D2" w:rsidRPr="001A6EB8" w:rsidRDefault="002C11D2" w:rsidP="00FD1F8D">
            <w:pPr>
              <w:spacing w:before="100" w:beforeAutospacing="1" w:after="100" w:afterAutospacing="1" w:line="293" w:lineRule="atLeast"/>
              <w:jc w:val="center"/>
              <w:rPr>
                <w:rFonts w:ascii="Times New Roman" w:hAnsi="Times New Roman"/>
                <w:b/>
                <w:bCs/>
                <w:sz w:val="26"/>
                <w:szCs w:val="26"/>
              </w:rPr>
            </w:pPr>
            <w:r w:rsidRPr="001A6EB8">
              <w:rPr>
                <w:rFonts w:ascii="Times New Roman" w:hAnsi="Times New Roman"/>
                <w:sz w:val="26"/>
                <w:szCs w:val="26"/>
              </w:rPr>
              <w:t> </w:t>
            </w:r>
            <w:r w:rsidRPr="001A6EB8">
              <w:rPr>
                <w:rFonts w:ascii="Times New Roman" w:hAnsi="Times New Roman"/>
                <w:b/>
                <w:bCs/>
                <w:sz w:val="26"/>
                <w:szCs w:val="26"/>
              </w:rPr>
              <w:t>IV. Tiesību akta projekta ietekme uz spēkā esošo tiesību normu sistēmu</w:t>
            </w:r>
          </w:p>
        </w:tc>
      </w:tr>
      <w:tr w:rsidR="006C48B6" w:rsidRPr="001A6EB8" w:rsidTr="00472DE5">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rsidR="006C48B6" w:rsidRPr="001A6EB8" w:rsidRDefault="006C48B6" w:rsidP="006C48B6">
            <w:pPr>
              <w:spacing w:after="0" w:line="240" w:lineRule="auto"/>
              <w:rPr>
                <w:rFonts w:ascii="Times New Roman" w:hAnsi="Times New Roman"/>
                <w:sz w:val="26"/>
                <w:szCs w:val="26"/>
              </w:rPr>
            </w:pPr>
            <w:r w:rsidRPr="001A6EB8">
              <w:rPr>
                <w:rFonts w:ascii="Times New Roman" w:hAnsi="Times New Roman"/>
                <w:sz w:val="26"/>
                <w:szCs w:val="26"/>
              </w:rPr>
              <w:t>1.</w:t>
            </w:r>
          </w:p>
        </w:tc>
        <w:tc>
          <w:tcPr>
            <w:tcW w:w="1698" w:type="pct"/>
            <w:tcBorders>
              <w:top w:val="single" w:sz="4" w:space="0" w:color="auto"/>
              <w:left w:val="single" w:sz="4" w:space="0" w:color="auto"/>
              <w:bottom w:val="single" w:sz="4" w:space="0" w:color="auto"/>
              <w:right w:val="single" w:sz="4" w:space="0" w:color="auto"/>
            </w:tcBorders>
          </w:tcPr>
          <w:p w:rsidR="006C48B6" w:rsidRPr="001A6EB8" w:rsidRDefault="006C48B6" w:rsidP="006C48B6">
            <w:pPr>
              <w:spacing w:after="0" w:line="240" w:lineRule="auto"/>
              <w:rPr>
                <w:rFonts w:ascii="Times New Roman" w:hAnsi="Times New Roman"/>
                <w:sz w:val="26"/>
                <w:szCs w:val="26"/>
              </w:rPr>
            </w:pPr>
            <w:r w:rsidRPr="001A6EB8">
              <w:rPr>
                <w:rFonts w:ascii="Times New Roman" w:hAnsi="Times New Roman"/>
                <w:sz w:val="26"/>
                <w:szCs w:val="26"/>
              </w:rPr>
              <w:t>Nepieciešamie saistītie tiesību aktu projekti</w:t>
            </w:r>
          </w:p>
          <w:p w:rsidR="006C48B6" w:rsidRPr="001A6EB8" w:rsidRDefault="006C48B6" w:rsidP="00FD1F8D">
            <w:pPr>
              <w:spacing w:after="0" w:line="240" w:lineRule="auto"/>
              <w:rPr>
                <w:rFonts w:ascii="Times New Roman" w:hAnsi="Times New Roman"/>
                <w:sz w:val="26"/>
                <w:szCs w:val="26"/>
              </w:rPr>
            </w:pPr>
          </w:p>
        </w:tc>
        <w:tc>
          <w:tcPr>
            <w:tcW w:w="3001" w:type="pct"/>
            <w:tcBorders>
              <w:top w:val="outset" w:sz="6" w:space="0" w:color="414142"/>
              <w:left w:val="single" w:sz="4" w:space="0" w:color="auto"/>
              <w:bottom w:val="outset" w:sz="6" w:space="0" w:color="414142"/>
              <w:right w:val="outset" w:sz="6" w:space="0" w:color="414142"/>
            </w:tcBorders>
            <w:hideMark/>
          </w:tcPr>
          <w:p w:rsidR="00AB0214" w:rsidRPr="001A6EB8" w:rsidRDefault="00F97E40" w:rsidP="00EF2AF9">
            <w:pPr>
              <w:spacing w:after="0" w:line="240" w:lineRule="auto"/>
              <w:jc w:val="both"/>
              <w:rPr>
                <w:rFonts w:ascii="Times New Roman" w:hAnsi="Times New Roman"/>
                <w:sz w:val="26"/>
                <w:szCs w:val="26"/>
              </w:rPr>
            </w:pPr>
            <w:r>
              <w:rPr>
                <w:rFonts w:ascii="Times New Roman" w:hAnsi="Times New Roman"/>
                <w:sz w:val="26"/>
                <w:szCs w:val="26"/>
              </w:rPr>
              <w:t>Nav</w:t>
            </w:r>
          </w:p>
        </w:tc>
      </w:tr>
      <w:tr w:rsidR="006C48B6" w:rsidRPr="001A6EB8" w:rsidTr="00472DE5">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rsidR="006C48B6" w:rsidRPr="001A6EB8" w:rsidRDefault="006C48B6" w:rsidP="00FD1F8D">
            <w:pPr>
              <w:spacing w:after="0" w:line="240" w:lineRule="auto"/>
              <w:rPr>
                <w:rFonts w:ascii="Times New Roman" w:hAnsi="Times New Roman"/>
                <w:sz w:val="26"/>
                <w:szCs w:val="26"/>
              </w:rPr>
            </w:pPr>
            <w:r w:rsidRPr="001A6EB8">
              <w:rPr>
                <w:rFonts w:ascii="Times New Roman" w:hAnsi="Times New Roman"/>
                <w:sz w:val="26"/>
                <w:szCs w:val="26"/>
              </w:rPr>
              <w:t>2.</w:t>
            </w:r>
          </w:p>
        </w:tc>
        <w:tc>
          <w:tcPr>
            <w:tcW w:w="1698" w:type="pct"/>
            <w:tcBorders>
              <w:top w:val="single" w:sz="4" w:space="0" w:color="auto"/>
              <w:left w:val="single" w:sz="4" w:space="0" w:color="auto"/>
              <w:bottom w:val="single" w:sz="4" w:space="0" w:color="auto"/>
              <w:right w:val="single" w:sz="4" w:space="0" w:color="auto"/>
            </w:tcBorders>
          </w:tcPr>
          <w:p w:rsidR="006C48B6" w:rsidRPr="001A6EB8" w:rsidRDefault="006C48B6" w:rsidP="00FD1F8D">
            <w:pPr>
              <w:spacing w:after="0" w:line="240" w:lineRule="auto"/>
              <w:rPr>
                <w:rFonts w:ascii="Times New Roman" w:hAnsi="Times New Roman"/>
                <w:sz w:val="26"/>
                <w:szCs w:val="26"/>
              </w:rPr>
            </w:pPr>
            <w:r w:rsidRPr="001A6EB8">
              <w:rPr>
                <w:rFonts w:ascii="Times New Roman" w:hAnsi="Times New Roman"/>
                <w:sz w:val="26"/>
                <w:szCs w:val="26"/>
              </w:rPr>
              <w:t>Atbildīgā institūcija</w:t>
            </w:r>
          </w:p>
        </w:tc>
        <w:tc>
          <w:tcPr>
            <w:tcW w:w="3001" w:type="pct"/>
            <w:tcBorders>
              <w:top w:val="outset" w:sz="6" w:space="0" w:color="414142"/>
              <w:left w:val="single" w:sz="4" w:space="0" w:color="auto"/>
              <w:bottom w:val="outset" w:sz="6" w:space="0" w:color="414142"/>
              <w:right w:val="outset" w:sz="6" w:space="0" w:color="414142"/>
            </w:tcBorders>
            <w:vAlign w:val="center"/>
            <w:hideMark/>
          </w:tcPr>
          <w:p w:rsidR="006C48B6" w:rsidRPr="001A6EB8" w:rsidRDefault="006C48B6" w:rsidP="002967D6">
            <w:pPr>
              <w:spacing w:after="0" w:line="240" w:lineRule="auto"/>
              <w:jc w:val="both"/>
              <w:rPr>
                <w:rFonts w:ascii="Times New Roman" w:hAnsi="Times New Roman"/>
                <w:sz w:val="26"/>
                <w:szCs w:val="26"/>
              </w:rPr>
            </w:pPr>
            <w:r w:rsidRPr="001A6EB8">
              <w:rPr>
                <w:rFonts w:ascii="Times New Roman" w:hAnsi="Times New Roman"/>
                <w:sz w:val="26"/>
                <w:szCs w:val="26"/>
              </w:rPr>
              <w:t>Izglītības un zinātnes ministrija.</w:t>
            </w:r>
          </w:p>
        </w:tc>
      </w:tr>
      <w:tr w:rsidR="006C48B6" w:rsidRPr="001A6EB8" w:rsidTr="00472DE5">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rsidR="006C48B6" w:rsidRPr="001A6EB8" w:rsidRDefault="006C48B6" w:rsidP="00FD1F8D">
            <w:pPr>
              <w:spacing w:after="0" w:line="240" w:lineRule="auto"/>
              <w:rPr>
                <w:rFonts w:ascii="Times New Roman" w:hAnsi="Times New Roman"/>
                <w:sz w:val="26"/>
                <w:szCs w:val="26"/>
              </w:rPr>
            </w:pPr>
            <w:r w:rsidRPr="001A6EB8">
              <w:rPr>
                <w:rFonts w:ascii="Times New Roman" w:hAnsi="Times New Roman"/>
                <w:sz w:val="26"/>
                <w:szCs w:val="26"/>
              </w:rPr>
              <w:t>3.</w:t>
            </w:r>
          </w:p>
        </w:tc>
        <w:tc>
          <w:tcPr>
            <w:tcW w:w="1698" w:type="pct"/>
            <w:tcBorders>
              <w:top w:val="single" w:sz="4" w:space="0" w:color="auto"/>
              <w:left w:val="single" w:sz="4" w:space="0" w:color="auto"/>
              <w:bottom w:val="single" w:sz="4" w:space="0" w:color="auto"/>
              <w:right w:val="single" w:sz="4" w:space="0" w:color="auto"/>
            </w:tcBorders>
          </w:tcPr>
          <w:p w:rsidR="006C48B6" w:rsidRPr="001A6EB8" w:rsidRDefault="006C48B6" w:rsidP="00FD1F8D">
            <w:pPr>
              <w:spacing w:after="0" w:line="240" w:lineRule="auto"/>
              <w:rPr>
                <w:rFonts w:ascii="Times New Roman" w:hAnsi="Times New Roman"/>
                <w:sz w:val="26"/>
                <w:szCs w:val="26"/>
              </w:rPr>
            </w:pPr>
            <w:r w:rsidRPr="001A6EB8">
              <w:rPr>
                <w:rFonts w:ascii="Times New Roman" w:hAnsi="Times New Roman"/>
                <w:sz w:val="26"/>
                <w:szCs w:val="26"/>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rsidR="006C48B6" w:rsidRPr="001A6EB8" w:rsidRDefault="006C48B6" w:rsidP="00FD1F8D">
            <w:pPr>
              <w:spacing w:before="100" w:beforeAutospacing="1" w:after="100" w:afterAutospacing="1" w:line="293" w:lineRule="atLeast"/>
              <w:rPr>
                <w:rFonts w:ascii="Times New Roman" w:hAnsi="Times New Roman"/>
                <w:sz w:val="26"/>
                <w:szCs w:val="26"/>
              </w:rPr>
            </w:pPr>
            <w:r w:rsidRPr="001A6EB8">
              <w:rPr>
                <w:rFonts w:ascii="Times New Roman" w:hAnsi="Times New Roman"/>
                <w:sz w:val="26"/>
                <w:szCs w:val="26"/>
              </w:rPr>
              <w:t>Nav</w:t>
            </w:r>
          </w:p>
        </w:tc>
      </w:tr>
    </w:tbl>
    <w:p w:rsidR="00064126" w:rsidRPr="001A6EB8" w:rsidRDefault="00064126" w:rsidP="00235E16">
      <w:pPr>
        <w:spacing w:after="0" w:line="240" w:lineRule="auto"/>
        <w:rPr>
          <w:rFonts w:ascii="Times New Roman" w:hAnsi="Times New Roman"/>
          <w:sz w:val="26"/>
          <w:szCs w:val="26"/>
        </w:rPr>
      </w:pPr>
    </w:p>
    <w:p w:rsidR="009E521B" w:rsidRPr="001A6EB8" w:rsidRDefault="009E521B" w:rsidP="00235E16">
      <w:pPr>
        <w:spacing w:after="0" w:line="240" w:lineRule="auto"/>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3040"/>
        <w:gridCol w:w="5376"/>
      </w:tblGrid>
      <w:tr w:rsidR="00BF122F" w:rsidRPr="001A6EB8" w:rsidTr="006132EB">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C1995" w:rsidRPr="001A6EB8" w:rsidRDefault="00FC1995" w:rsidP="006132EB">
            <w:pPr>
              <w:spacing w:before="100" w:beforeAutospacing="1" w:after="100" w:afterAutospacing="1" w:line="293" w:lineRule="atLeast"/>
              <w:jc w:val="center"/>
              <w:rPr>
                <w:rFonts w:ascii="Times New Roman" w:hAnsi="Times New Roman"/>
                <w:b/>
                <w:bCs/>
                <w:sz w:val="26"/>
                <w:szCs w:val="26"/>
              </w:rPr>
            </w:pPr>
            <w:r w:rsidRPr="001A6EB8">
              <w:rPr>
                <w:rFonts w:ascii="Times New Roman" w:hAnsi="Times New Roman"/>
                <w:sz w:val="26"/>
                <w:szCs w:val="26"/>
              </w:rPr>
              <w:t> </w:t>
            </w:r>
            <w:r w:rsidRPr="001A6EB8">
              <w:rPr>
                <w:rFonts w:ascii="Times New Roman" w:hAnsi="Times New Roman"/>
                <w:b/>
                <w:bCs/>
                <w:sz w:val="26"/>
                <w:szCs w:val="26"/>
              </w:rPr>
              <w:t>VII. Tiesību akta projekta izpildes nodrošināšana un tās ietekme uz institūcijām</w:t>
            </w:r>
          </w:p>
        </w:tc>
      </w:tr>
      <w:tr w:rsidR="00092594" w:rsidRPr="001A6EB8" w:rsidTr="0009259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092594" w:rsidRPr="001A6EB8" w:rsidRDefault="00092594" w:rsidP="00092594">
            <w:pPr>
              <w:spacing w:after="0" w:line="240" w:lineRule="auto"/>
              <w:rPr>
                <w:rFonts w:ascii="Times New Roman" w:hAnsi="Times New Roman"/>
                <w:sz w:val="26"/>
                <w:szCs w:val="26"/>
              </w:rPr>
            </w:pPr>
            <w:r w:rsidRPr="001A6EB8">
              <w:rPr>
                <w:rFonts w:ascii="Times New Roman" w:hAnsi="Times New Roman"/>
                <w:sz w:val="26"/>
                <w:szCs w:val="26"/>
              </w:rPr>
              <w:t>1.</w:t>
            </w:r>
          </w:p>
        </w:tc>
        <w:tc>
          <w:tcPr>
            <w:tcW w:w="1697" w:type="pct"/>
            <w:tcBorders>
              <w:top w:val="single" w:sz="4" w:space="0" w:color="auto"/>
              <w:left w:val="single" w:sz="4" w:space="0" w:color="auto"/>
              <w:bottom w:val="single" w:sz="4" w:space="0" w:color="auto"/>
              <w:right w:val="single" w:sz="4" w:space="0" w:color="auto"/>
            </w:tcBorders>
          </w:tcPr>
          <w:p w:rsidR="00092594" w:rsidRPr="001A6EB8" w:rsidRDefault="00092594" w:rsidP="00092594">
            <w:pPr>
              <w:spacing w:after="0" w:line="240" w:lineRule="auto"/>
              <w:rPr>
                <w:rFonts w:ascii="Times New Roman" w:hAnsi="Times New Roman"/>
                <w:sz w:val="26"/>
                <w:szCs w:val="26"/>
              </w:rPr>
            </w:pPr>
            <w:r w:rsidRPr="001A6EB8">
              <w:rPr>
                <w:rFonts w:ascii="Times New Roman" w:hAnsi="Times New Roman"/>
                <w:sz w:val="26"/>
                <w:szCs w:val="26"/>
              </w:rPr>
              <w:t>Projekta izpildē iesaistītās institūcijas</w:t>
            </w:r>
          </w:p>
          <w:p w:rsidR="00092594" w:rsidRPr="001A6EB8" w:rsidRDefault="00092594" w:rsidP="006132EB">
            <w:pPr>
              <w:spacing w:after="0" w:line="240" w:lineRule="auto"/>
              <w:rPr>
                <w:rFonts w:ascii="Times New Roman" w:hAnsi="Times New Roman"/>
                <w:sz w:val="26"/>
                <w:szCs w:val="26"/>
              </w:rPr>
            </w:pPr>
          </w:p>
        </w:tc>
        <w:tc>
          <w:tcPr>
            <w:tcW w:w="3000" w:type="pct"/>
            <w:tcBorders>
              <w:top w:val="outset" w:sz="6" w:space="0" w:color="414142"/>
              <w:left w:val="single" w:sz="4" w:space="0" w:color="auto"/>
              <w:bottom w:val="outset" w:sz="6" w:space="0" w:color="414142"/>
              <w:right w:val="outset" w:sz="6" w:space="0" w:color="414142"/>
            </w:tcBorders>
            <w:hideMark/>
          </w:tcPr>
          <w:p w:rsidR="00092594" w:rsidRPr="001A6EB8" w:rsidRDefault="00092594" w:rsidP="004444CC">
            <w:pPr>
              <w:spacing w:after="0" w:line="240" w:lineRule="auto"/>
              <w:rPr>
                <w:rFonts w:ascii="Times New Roman" w:hAnsi="Times New Roman"/>
                <w:sz w:val="26"/>
                <w:szCs w:val="26"/>
              </w:rPr>
            </w:pPr>
            <w:r w:rsidRPr="001A6EB8">
              <w:rPr>
                <w:rFonts w:ascii="Times New Roman" w:hAnsi="Times New Roman"/>
                <w:sz w:val="26"/>
                <w:szCs w:val="26"/>
              </w:rPr>
              <w:t xml:space="preserve"> Izglītības un zinātnes ministrija.</w:t>
            </w:r>
          </w:p>
        </w:tc>
      </w:tr>
      <w:tr w:rsidR="00092594" w:rsidRPr="001A6EB8" w:rsidTr="0009259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092594" w:rsidRPr="001A6EB8" w:rsidRDefault="00092594" w:rsidP="006132EB">
            <w:pPr>
              <w:spacing w:after="0" w:line="240" w:lineRule="auto"/>
              <w:rPr>
                <w:rFonts w:ascii="Times New Roman" w:hAnsi="Times New Roman"/>
                <w:sz w:val="26"/>
                <w:szCs w:val="26"/>
              </w:rPr>
            </w:pPr>
            <w:r w:rsidRPr="001A6EB8">
              <w:rPr>
                <w:rFonts w:ascii="Times New Roman" w:hAnsi="Times New Roman"/>
                <w:sz w:val="26"/>
                <w:szCs w:val="26"/>
              </w:rPr>
              <w:t>2.</w:t>
            </w:r>
          </w:p>
        </w:tc>
        <w:tc>
          <w:tcPr>
            <w:tcW w:w="1697" w:type="pct"/>
            <w:tcBorders>
              <w:top w:val="single" w:sz="4" w:space="0" w:color="auto"/>
              <w:left w:val="single" w:sz="4" w:space="0" w:color="auto"/>
              <w:bottom w:val="single" w:sz="4" w:space="0" w:color="auto"/>
              <w:right w:val="single" w:sz="4" w:space="0" w:color="auto"/>
            </w:tcBorders>
          </w:tcPr>
          <w:p w:rsidR="00092594" w:rsidRPr="001A6EB8" w:rsidRDefault="00092594" w:rsidP="006132EB">
            <w:pPr>
              <w:spacing w:after="0" w:line="240" w:lineRule="auto"/>
              <w:rPr>
                <w:rFonts w:ascii="Times New Roman" w:hAnsi="Times New Roman"/>
                <w:sz w:val="26"/>
                <w:szCs w:val="26"/>
              </w:rPr>
            </w:pPr>
            <w:r w:rsidRPr="001A6EB8">
              <w:rPr>
                <w:rFonts w:ascii="Times New Roman" w:hAnsi="Times New Roman"/>
                <w:sz w:val="26"/>
                <w:szCs w:val="26"/>
              </w:rPr>
              <w:t xml:space="preserve">Projekta izpildes ietekme uz pārvaldes funkcijām un institucionālo struktūru. Jaunu institūciju izveide, esošu institūciju likvidācija </w:t>
            </w:r>
            <w:r w:rsidRPr="001A6EB8">
              <w:rPr>
                <w:rFonts w:ascii="Times New Roman" w:hAnsi="Times New Roman"/>
                <w:sz w:val="26"/>
                <w:szCs w:val="26"/>
              </w:rPr>
              <w:lastRenderedPageBreak/>
              <w:t>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092594" w:rsidRPr="001A6EB8" w:rsidRDefault="00092594" w:rsidP="00235E16">
            <w:pPr>
              <w:spacing w:after="0" w:line="240" w:lineRule="auto"/>
              <w:jc w:val="both"/>
              <w:rPr>
                <w:rFonts w:ascii="Times New Roman" w:hAnsi="Times New Roman"/>
                <w:sz w:val="26"/>
                <w:szCs w:val="26"/>
              </w:rPr>
            </w:pPr>
            <w:r w:rsidRPr="001A6EB8">
              <w:rPr>
                <w:rFonts w:ascii="Times New Roman" w:hAnsi="Times New Roman"/>
                <w:sz w:val="26"/>
                <w:szCs w:val="26"/>
              </w:rPr>
              <w:lastRenderedPageBreak/>
              <w:t>Projekts šo jomu neskar.</w:t>
            </w:r>
          </w:p>
        </w:tc>
      </w:tr>
      <w:tr w:rsidR="00092594" w:rsidRPr="001A6EB8" w:rsidTr="0009259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092594" w:rsidRPr="001A6EB8" w:rsidRDefault="00092594" w:rsidP="006132EB">
            <w:pPr>
              <w:spacing w:after="0" w:line="240" w:lineRule="auto"/>
              <w:rPr>
                <w:rFonts w:ascii="Times New Roman" w:hAnsi="Times New Roman"/>
                <w:sz w:val="26"/>
                <w:szCs w:val="26"/>
              </w:rPr>
            </w:pPr>
            <w:r w:rsidRPr="001A6EB8">
              <w:rPr>
                <w:rFonts w:ascii="Times New Roman" w:hAnsi="Times New Roman"/>
                <w:sz w:val="26"/>
                <w:szCs w:val="26"/>
              </w:rPr>
              <w:lastRenderedPageBreak/>
              <w:t>3.</w:t>
            </w:r>
          </w:p>
        </w:tc>
        <w:tc>
          <w:tcPr>
            <w:tcW w:w="1697" w:type="pct"/>
            <w:tcBorders>
              <w:top w:val="single" w:sz="4" w:space="0" w:color="auto"/>
              <w:left w:val="single" w:sz="4" w:space="0" w:color="auto"/>
              <w:bottom w:val="single" w:sz="4" w:space="0" w:color="auto"/>
              <w:right w:val="single" w:sz="4" w:space="0" w:color="auto"/>
            </w:tcBorders>
          </w:tcPr>
          <w:p w:rsidR="00092594" w:rsidRPr="001A6EB8" w:rsidRDefault="00092594" w:rsidP="006132EB">
            <w:pPr>
              <w:spacing w:after="0" w:line="240" w:lineRule="auto"/>
              <w:rPr>
                <w:rFonts w:ascii="Times New Roman" w:hAnsi="Times New Roman"/>
                <w:sz w:val="26"/>
                <w:szCs w:val="26"/>
              </w:rPr>
            </w:pPr>
            <w:r w:rsidRPr="001A6EB8">
              <w:rPr>
                <w:rFonts w:ascii="Times New Roman" w:hAnsi="Times New Roman"/>
                <w:sz w:val="26"/>
                <w:szCs w:val="26"/>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092594" w:rsidRPr="001A6EB8" w:rsidRDefault="00092594" w:rsidP="006132EB">
            <w:pPr>
              <w:spacing w:before="100" w:beforeAutospacing="1" w:after="100" w:afterAutospacing="1" w:line="293" w:lineRule="atLeast"/>
              <w:rPr>
                <w:rFonts w:ascii="Times New Roman" w:hAnsi="Times New Roman"/>
                <w:sz w:val="26"/>
                <w:szCs w:val="26"/>
              </w:rPr>
            </w:pPr>
            <w:r w:rsidRPr="001A6EB8">
              <w:rPr>
                <w:rFonts w:ascii="Times New Roman" w:hAnsi="Times New Roman"/>
                <w:sz w:val="26"/>
                <w:szCs w:val="26"/>
              </w:rPr>
              <w:t>Nav</w:t>
            </w:r>
          </w:p>
        </w:tc>
      </w:tr>
    </w:tbl>
    <w:p w:rsidR="00FC1995" w:rsidRPr="001A6EB8" w:rsidRDefault="00FC1995" w:rsidP="008C2B1F">
      <w:pPr>
        <w:pStyle w:val="naisf"/>
        <w:spacing w:before="0" w:after="0"/>
        <w:ind w:firstLine="567"/>
        <w:rPr>
          <w:i/>
          <w:sz w:val="26"/>
          <w:szCs w:val="26"/>
        </w:rPr>
      </w:pPr>
    </w:p>
    <w:p w:rsidR="008C2B1F" w:rsidRPr="001A6EB8" w:rsidRDefault="008C2B1F" w:rsidP="008C2B1F">
      <w:pPr>
        <w:pStyle w:val="naisf"/>
        <w:spacing w:before="0" w:after="0"/>
        <w:ind w:firstLine="567"/>
        <w:rPr>
          <w:i/>
          <w:sz w:val="26"/>
          <w:szCs w:val="26"/>
        </w:rPr>
      </w:pPr>
      <w:r w:rsidRPr="001A6EB8">
        <w:rPr>
          <w:i/>
          <w:sz w:val="26"/>
          <w:szCs w:val="26"/>
        </w:rPr>
        <w:t xml:space="preserve">Anotācijas </w:t>
      </w:r>
      <w:r w:rsidR="00687DEE" w:rsidRPr="001A6EB8">
        <w:rPr>
          <w:i/>
          <w:sz w:val="26"/>
          <w:szCs w:val="26"/>
        </w:rPr>
        <w:t>V</w:t>
      </w:r>
      <w:r w:rsidRPr="001A6EB8">
        <w:rPr>
          <w:i/>
          <w:sz w:val="26"/>
          <w:szCs w:val="26"/>
        </w:rPr>
        <w:t xml:space="preserve"> un VI sadaļa – </w:t>
      </w:r>
      <w:r w:rsidR="00687DEE" w:rsidRPr="001A6EB8">
        <w:rPr>
          <w:i/>
          <w:sz w:val="26"/>
          <w:szCs w:val="26"/>
        </w:rPr>
        <w:t xml:space="preserve">noteikumu </w:t>
      </w:r>
      <w:r w:rsidRPr="001A6EB8">
        <w:rPr>
          <w:i/>
          <w:sz w:val="26"/>
          <w:szCs w:val="26"/>
        </w:rPr>
        <w:t>projekts šīs jomas neskar.</w:t>
      </w:r>
    </w:p>
    <w:p w:rsidR="00983296" w:rsidRPr="001A6EB8" w:rsidRDefault="007C0A73" w:rsidP="00F97E40">
      <w:pPr>
        <w:spacing w:after="0" w:line="240" w:lineRule="auto"/>
        <w:ind w:firstLine="709"/>
        <w:jc w:val="both"/>
        <w:rPr>
          <w:rFonts w:ascii="Times New Roman" w:hAnsi="Times New Roman"/>
          <w:sz w:val="26"/>
          <w:szCs w:val="26"/>
        </w:rPr>
      </w:pPr>
      <w:r w:rsidRPr="001A6EB8">
        <w:rPr>
          <w:rFonts w:ascii="Times New Roman" w:hAnsi="Times New Roman"/>
          <w:sz w:val="26"/>
          <w:szCs w:val="26"/>
        </w:rPr>
        <w:tab/>
      </w:r>
      <w:r w:rsidRPr="001A6EB8">
        <w:rPr>
          <w:rFonts w:ascii="Times New Roman" w:hAnsi="Times New Roman"/>
          <w:sz w:val="26"/>
          <w:szCs w:val="26"/>
        </w:rPr>
        <w:tab/>
      </w:r>
      <w:r w:rsidRPr="001A6EB8">
        <w:rPr>
          <w:rFonts w:ascii="Times New Roman" w:hAnsi="Times New Roman"/>
          <w:sz w:val="26"/>
          <w:szCs w:val="26"/>
        </w:rPr>
        <w:tab/>
      </w:r>
      <w:r w:rsidR="00983296" w:rsidRPr="001A6EB8">
        <w:rPr>
          <w:rFonts w:ascii="Times New Roman" w:hAnsi="Times New Roman"/>
          <w:sz w:val="26"/>
          <w:szCs w:val="26"/>
        </w:rPr>
        <w:tab/>
      </w:r>
      <w:r w:rsidR="00983296" w:rsidRPr="001A6EB8">
        <w:rPr>
          <w:rFonts w:ascii="Times New Roman" w:hAnsi="Times New Roman"/>
          <w:sz w:val="26"/>
          <w:szCs w:val="26"/>
        </w:rPr>
        <w:tab/>
      </w:r>
      <w:r w:rsidR="00983296" w:rsidRPr="001A6EB8">
        <w:rPr>
          <w:rFonts w:ascii="Times New Roman" w:hAnsi="Times New Roman"/>
          <w:sz w:val="26"/>
          <w:szCs w:val="26"/>
        </w:rPr>
        <w:tab/>
      </w:r>
      <w:r w:rsidRPr="001A6EB8">
        <w:rPr>
          <w:rFonts w:ascii="Times New Roman" w:hAnsi="Times New Roman"/>
          <w:sz w:val="26"/>
          <w:szCs w:val="26"/>
        </w:rPr>
        <w:t xml:space="preserve"> </w:t>
      </w:r>
    </w:p>
    <w:p w:rsidR="00983296" w:rsidRDefault="00983296" w:rsidP="00F97E40">
      <w:pPr>
        <w:spacing w:after="0" w:line="240" w:lineRule="auto"/>
        <w:jc w:val="both"/>
        <w:rPr>
          <w:rFonts w:ascii="Times New Roman" w:hAnsi="Times New Roman"/>
          <w:sz w:val="26"/>
          <w:szCs w:val="26"/>
        </w:rPr>
      </w:pPr>
    </w:p>
    <w:p w:rsidR="006C7BB6" w:rsidRPr="001A6EB8" w:rsidRDefault="006C7BB6" w:rsidP="00F97E40">
      <w:pPr>
        <w:spacing w:line="240" w:lineRule="auto"/>
        <w:ind w:firstLine="460"/>
        <w:jc w:val="both"/>
        <w:rPr>
          <w:rFonts w:ascii="Times New Roman" w:hAnsi="Times New Roman"/>
          <w:sz w:val="26"/>
          <w:szCs w:val="26"/>
        </w:rPr>
      </w:pPr>
      <w:r w:rsidRPr="001A6EB8">
        <w:rPr>
          <w:rFonts w:ascii="Times New Roman" w:hAnsi="Times New Roman"/>
          <w:sz w:val="26"/>
          <w:szCs w:val="26"/>
        </w:rPr>
        <w:t xml:space="preserve">    </w:t>
      </w:r>
      <w:r w:rsidR="00E33254" w:rsidRPr="001A6EB8">
        <w:rPr>
          <w:rFonts w:ascii="Times New Roman" w:hAnsi="Times New Roman"/>
          <w:sz w:val="26"/>
          <w:szCs w:val="26"/>
        </w:rPr>
        <w:t>Izglītības un zinātnes ministre</w:t>
      </w:r>
      <w:r w:rsidR="00E33254" w:rsidRPr="001A6EB8">
        <w:rPr>
          <w:rFonts w:ascii="Times New Roman" w:hAnsi="Times New Roman"/>
          <w:sz w:val="26"/>
          <w:szCs w:val="26"/>
        </w:rPr>
        <w:tab/>
      </w:r>
      <w:r w:rsidRPr="001A6EB8">
        <w:rPr>
          <w:rFonts w:ascii="Times New Roman" w:hAnsi="Times New Roman"/>
          <w:sz w:val="26"/>
          <w:szCs w:val="26"/>
        </w:rPr>
        <w:tab/>
      </w:r>
      <w:r w:rsidRPr="001A6EB8">
        <w:rPr>
          <w:rFonts w:ascii="Times New Roman" w:hAnsi="Times New Roman"/>
          <w:sz w:val="26"/>
          <w:szCs w:val="26"/>
        </w:rPr>
        <w:tab/>
      </w:r>
      <w:r w:rsidR="000B0756" w:rsidRPr="001A6EB8">
        <w:rPr>
          <w:rFonts w:ascii="Times New Roman" w:hAnsi="Times New Roman"/>
          <w:sz w:val="26"/>
          <w:szCs w:val="26"/>
        </w:rPr>
        <w:t xml:space="preserve">        </w:t>
      </w:r>
      <w:r w:rsidR="0059796C" w:rsidRPr="001A6EB8">
        <w:rPr>
          <w:rFonts w:ascii="Times New Roman" w:hAnsi="Times New Roman"/>
          <w:sz w:val="26"/>
          <w:szCs w:val="26"/>
        </w:rPr>
        <w:t>Mārīte Seile</w:t>
      </w:r>
    </w:p>
    <w:p w:rsidR="00983296" w:rsidRPr="001A6EB8" w:rsidRDefault="00983296" w:rsidP="00F97E40">
      <w:pPr>
        <w:spacing w:after="0" w:line="240" w:lineRule="auto"/>
        <w:ind w:firstLine="720"/>
        <w:jc w:val="both"/>
        <w:rPr>
          <w:rFonts w:ascii="Times New Roman" w:hAnsi="Times New Roman"/>
          <w:sz w:val="26"/>
          <w:szCs w:val="26"/>
        </w:rPr>
      </w:pPr>
    </w:p>
    <w:p w:rsidR="007C0A73" w:rsidRPr="001A6EB8" w:rsidRDefault="007C0A73" w:rsidP="00F97E40">
      <w:pPr>
        <w:spacing w:after="0" w:line="240" w:lineRule="auto"/>
        <w:ind w:firstLine="709"/>
        <w:jc w:val="both"/>
        <w:rPr>
          <w:rFonts w:ascii="Times New Roman" w:hAnsi="Times New Roman"/>
          <w:sz w:val="26"/>
          <w:szCs w:val="26"/>
        </w:rPr>
      </w:pPr>
    </w:p>
    <w:p w:rsidR="00B91E6F" w:rsidRPr="00234192" w:rsidRDefault="00B91E6F" w:rsidP="00B91E6F">
      <w:pPr>
        <w:spacing w:after="0" w:line="240" w:lineRule="auto"/>
        <w:ind w:firstLine="709"/>
        <w:jc w:val="both"/>
        <w:rPr>
          <w:rFonts w:ascii="Times New Roman" w:hAnsi="Times New Roman"/>
          <w:sz w:val="28"/>
          <w:szCs w:val="28"/>
        </w:rPr>
      </w:pPr>
    </w:p>
    <w:p w:rsidR="00B91E6F" w:rsidRPr="00B91E6F" w:rsidRDefault="00B91E6F" w:rsidP="00B91E6F">
      <w:pPr>
        <w:spacing w:after="0" w:line="240" w:lineRule="auto"/>
        <w:ind w:left="2160" w:hanging="1451"/>
        <w:jc w:val="both"/>
        <w:rPr>
          <w:rFonts w:ascii="Times New Roman" w:hAnsi="Times New Roman"/>
          <w:sz w:val="26"/>
          <w:szCs w:val="26"/>
        </w:rPr>
      </w:pPr>
      <w:r w:rsidRPr="00B91E6F">
        <w:rPr>
          <w:rFonts w:ascii="Times New Roman" w:hAnsi="Times New Roman"/>
          <w:sz w:val="26"/>
          <w:szCs w:val="26"/>
        </w:rPr>
        <w:t xml:space="preserve">Valsts sekretāra vietnieks – </w:t>
      </w:r>
    </w:p>
    <w:p w:rsidR="00B91E6F" w:rsidRPr="00B91E6F" w:rsidRDefault="00B91E6F" w:rsidP="00B91E6F">
      <w:pPr>
        <w:spacing w:after="0" w:line="240" w:lineRule="auto"/>
        <w:ind w:left="2160" w:hanging="1451"/>
        <w:jc w:val="both"/>
        <w:rPr>
          <w:rFonts w:ascii="Times New Roman" w:hAnsi="Times New Roman"/>
          <w:sz w:val="26"/>
          <w:szCs w:val="26"/>
        </w:rPr>
      </w:pPr>
      <w:r w:rsidRPr="00B91E6F">
        <w:rPr>
          <w:rFonts w:ascii="Times New Roman" w:hAnsi="Times New Roman"/>
          <w:sz w:val="26"/>
          <w:szCs w:val="26"/>
        </w:rPr>
        <w:t>Nodrošinājuma un finanšu</w:t>
      </w:r>
    </w:p>
    <w:p w:rsidR="00B91E6F" w:rsidRPr="00B91E6F" w:rsidRDefault="00B91E6F" w:rsidP="00B91E6F">
      <w:pPr>
        <w:spacing w:after="0" w:line="240" w:lineRule="auto"/>
        <w:ind w:left="2160" w:hanging="1451"/>
        <w:jc w:val="both"/>
        <w:rPr>
          <w:rFonts w:ascii="Times New Roman" w:hAnsi="Times New Roman"/>
          <w:sz w:val="26"/>
          <w:szCs w:val="26"/>
        </w:rPr>
      </w:pPr>
      <w:r w:rsidRPr="00B91E6F">
        <w:rPr>
          <w:rFonts w:ascii="Times New Roman" w:hAnsi="Times New Roman"/>
          <w:sz w:val="26"/>
          <w:szCs w:val="26"/>
        </w:rPr>
        <w:t>departamenta direktors,</w:t>
      </w:r>
    </w:p>
    <w:p w:rsidR="00B91E6F" w:rsidRPr="00B91E6F" w:rsidRDefault="00B91E6F" w:rsidP="00B91E6F">
      <w:pPr>
        <w:spacing w:after="0" w:line="240" w:lineRule="auto"/>
        <w:ind w:left="2160" w:hanging="1451"/>
        <w:jc w:val="both"/>
        <w:rPr>
          <w:rFonts w:ascii="Times New Roman" w:hAnsi="Times New Roman"/>
          <w:sz w:val="26"/>
          <w:szCs w:val="26"/>
        </w:rPr>
      </w:pPr>
      <w:r w:rsidRPr="00B91E6F">
        <w:rPr>
          <w:rFonts w:ascii="Times New Roman" w:hAnsi="Times New Roman"/>
          <w:sz w:val="26"/>
          <w:szCs w:val="26"/>
        </w:rPr>
        <w:t>valsts sekretāra pienākumu izpildītājs</w:t>
      </w:r>
      <w:r w:rsidRPr="00B91E6F">
        <w:rPr>
          <w:rFonts w:ascii="Times New Roman" w:hAnsi="Times New Roman"/>
          <w:sz w:val="26"/>
          <w:szCs w:val="26"/>
        </w:rPr>
        <w:tab/>
        <w:t xml:space="preserve"> </w:t>
      </w:r>
      <w:r w:rsidRPr="00B91E6F">
        <w:rPr>
          <w:rFonts w:ascii="Times New Roman" w:hAnsi="Times New Roman"/>
          <w:sz w:val="26"/>
          <w:szCs w:val="26"/>
        </w:rPr>
        <w:tab/>
      </w:r>
      <w:r>
        <w:rPr>
          <w:rFonts w:ascii="Times New Roman" w:hAnsi="Times New Roman"/>
          <w:sz w:val="26"/>
          <w:szCs w:val="26"/>
        </w:rPr>
        <w:t xml:space="preserve">       </w:t>
      </w:r>
      <w:proofErr w:type="spellStart"/>
      <w:r w:rsidRPr="00B91E6F">
        <w:rPr>
          <w:rFonts w:ascii="Times New Roman" w:hAnsi="Times New Roman"/>
          <w:sz w:val="26"/>
          <w:szCs w:val="26"/>
        </w:rPr>
        <w:t>E.Martinsons</w:t>
      </w:r>
      <w:proofErr w:type="spellEnd"/>
    </w:p>
    <w:p w:rsidR="000B0756" w:rsidRPr="00B91E6F" w:rsidRDefault="000B0756" w:rsidP="00004D58">
      <w:pPr>
        <w:spacing w:after="0" w:line="240" w:lineRule="auto"/>
        <w:rPr>
          <w:rFonts w:ascii="Times New Roman" w:hAnsi="Times New Roman"/>
          <w:szCs w:val="20"/>
        </w:rPr>
      </w:pPr>
    </w:p>
    <w:p w:rsidR="00356406" w:rsidRDefault="00356406" w:rsidP="00004D58">
      <w:pPr>
        <w:spacing w:line="240" w:lineRule="auto"/>
        <w:ind w:left="709" w:firstLine="11"/>
        <w:rPr>
          <w:rFonts w:ascii="Times New Roman" w:hAnsi="Times New Roman"/>
          <w:sz w:val="20"/>
          <w:szCs w:val="20"/>
        </w:rPr>
      </w:pPr>
    </w:p>
    <w:p w:rsidR="00356406" w:rsidRDefault="00356406" w:rsidP="00004D58">
      <w:pPr>
        <w:spacing w:line="240" w:lineRule="auto"/>
        <w:ind w:left="709" w:firstLine="11"/>
        <w:rPr>
          <w:rFonts w:ascii="Times New Roman" w:hAnsi="Times New Roman"/>
          <w:sz w:val="20"/>
          <w:szCs w:val="20"/>
        </w:rPr>
      </w:pPr>
    </w:p>
    <w:p w:rsidR="00356406" w:rsidRDefault="00356406" w:rsidP="00004D58">
      <w:pPr>
        <w:spacing w:line="240" w:lineRule="auto"/>
        <w:ind w:left="709" w:firstLine="11"/>
        <w:rPr>
          <w:rFonts w:ascii="Times New Roman" w:hAnsi="Times New Roman"/>
          <w:sz w:val="20"/>
          <w:szCs w:val="20"/>
        </w:rPr>
      </w:pPr>
    </w:p>
    <w:p w:rsidR="00356406" w:rsidRDefault="00356406" w:rsidP="00004D58">
      <w:pPr>
        <w:spacing w:line="240" w:lineRule="auto"/>
        <w:ind w:left="709" w:firstLine="11"/>
        <w:rPr>
          <w:rFonts w:ascii="Times New Roman" w:hAnsi="Times New Roman"/>
          <w:sz w:val="20"/>
          <w:szCs w:val="20"/>
        </w:rPr>
      </w:pPr>
    </w:p>
    <w:p w:rsidR="00356406" w:rsidRDefault="00356406" w:rsidP="00004D58">
      <w:pPr>
        <w:spacing w:line="240" w:lineRule="auto"/>
        <w:ind w:left="709" w:firstLine="11"/>
        <w:rPr>
          <w:rFonts w:ascii="Times New Roman" w:hAnsi="Times New Roman"/>
          <w:sz w:val="20"/>
          <w:szCs w:val="20"/>
        </w:rPr>
      </w:pPr>
    </w:p>
    <w:p w:rsidR="00EC3543" w:rsidRDefault="00FC03A6" w:rsidP="00004D58">
      <w:pPr>
        <w:spacing w:line="240" w:lineRule="auto"/>
        <w:ind w:left="709" w:firstLine="11"/>
        <w:rPr>
          <w:rFonts w:ascii="Times New Roman" w:hAnsi="Times New Roman"/>
          <w:sz w:val="20"/>
          <w:szCs w:val="20"/>
        </w:rPr>
      </w:pPr>
      <w:r>
        <w:rPr>
          <w:rFonts w:ascii="Times New Roman" w:hAnsi="Times New Roman"/>
          <w:sz w:val="20"/>
          <w:szCs w:val="20"/>
        </w:rPr>
        <w:t>2</w:t>
      </w:r>
      <w:r w:rsidR="00F47853">
        <w:rPr>
          <w:rFonts w:ascii="Times New Roman" w:hAnsi="Times New Roman"/>
          <w:sz w:val="20"/>
          <w:szCs w:val="20"/>
        </w:rPr>
        <w:t>4</w:t>
      </w:r>
      <w:r w:rsidR="0003028A">
        <w:rPr>
          <w:rFonts w:ascii="Times New Roman" w:hAnsi="Times New Roman"/>
          <w:sz w:val="20"/>
          <w:szCs w:val="20"/>
        </w:rPr>
        <w:t>.07</w:t>
      </w:r>
      <w:r w:rsidR="00FD5356" w:rsidRPr="001A6EB8">
        <w:rPr>
          <w:rFonts w:ascii="Times New Roman" w:hAnsi="Times New Roman"/>
          <w:sz w:val="20"/>
          <w:szCs w:val="20"/>
        </w:rPr>
        <w:t>.201</w:t>
      </w:r>
      <w:r w:rsidR="0003028A">
        <w:rPr>
          <w:rFonts w:ascii="Times New Roman" w:hAnsi="Times New Roman"/>
          <w:sz w:val="20"/>
          <w:szCs w:val="20"/>
        </w:rPr>
        <w:t>5</w:t>
      </w:r>
      <w:r w:rsidR="00FD5356" w:rsidRPr="001A6EB8">
        <w:rPr>
          <w:rFonts w:ascii="Times New Roman" w:hAnsi="Times New Roman"/>
          <w:sz w:val="20"/>
          <w:szCs w:val="20"/>
        </w:rPr>
        <w:t xml:space="preserve">                                                                                                                                                                        </w:t>
      </w:r>
      <w:r w:rsidR="00FD5356" w:rsidRPr="001A6EB8">
        <w:rPr>
          <w:rFonts w:ascii="Times New Roman" w:hAnsi="Times New Roman"/>
          <w:sz w:val="20"/>
          <w:szCs w:val="20"/>
        </w:rPr>
        <w:tab/>
      </w:r>
      <w:r>
        <w:rPr>
          <w:rFonts w:ascii="Times New Roman" w:hAnsi="Times New Roman"/>
          <w:sz w:val="20"/>
          <w:szCs w:val="20"/>
        </w:rPr>
        <w:t>1412</w:t>
      </w:r>
      <w:r w:rsidR="00FD5356" w:rsidRPr="001A6EB8">
        <w:rPr>
          <w:rFonts w:ascii="Times New Roman" w:hAnsi="Times New Roman"/>
          <w:sz w:val="20"/>
          <w:szCs w:val="20"/>
        </w:rPr>
        <w:t xml:space="preserve">                                                                                                                                                                                </w:t>
      </w:r>
      <w:r w:rsidR="00FD5356" w:rsidRPr="001A6EB8">
        <w:rPr>
          <w:rFonts w:ascii="Times New Roman" w:hAnsi="Times New Roman"/>
          <w:noProof/>
          <w:sz w:val="20"/>
          <w:szCs w:val="20"/>
        </w:rPr>
        <w:t xml:space="preserve">L.Treimane                                                                                                                                           </w:t>
      </w:r>
      <w:hyperlink r:id="rId8" w:history="1">
        <w:r w:rsidR="00FD5356" w:rsidRPr="001A6EB8">
          <w:rPr>
            <w:rStyle w:val="Hyperlink"/>
            <w:rFonts w:ascii="Times New Roman" w:hAnsi="Times New Roman"/>
            <w:noProof/>
            <w:sz w:val="20"/>
            <w:szCs w:val="20"/>
          </w:rPr>
          <w:t>Laura.Treimane@izm.gov.lv</w:t>
        </w:r>
      </w:hyperlink>
      <w:r w:rsidR="00FD5356" w:rsidRPr="001A6EB8">
        <w:rPr>
          <w:rFonts w:ascii="Times New Roman" w:hAnsi="Times New Roman"/>
          <w:noProof/>
          <w:sz w:val="20"/>
          <w:szCs w:val="20"/>
        </w:rPr>
        <w:t xml:space="preserve">                                                                                                                                           67047966</w:t>
      </w:r>
    </w:p>
    <w:p w:rsidR="00FD5356" w:rsidRPr="00EC3543" w:rsidRDefault="00EC3543" w:rsidP="00EC3543">
      <w:pPr>
        <w:tabs>
          <w:tab w:val="left" w:pos="2730"/>
        </w:tabs>
        <w:rPr>
          <w:rFonts w:ascii="Times New Roman" w:hAnsi="Times New Roman"/>
          <w:sz w:val="20"/>
          <w:szCs w:val="20"/>
        </w:rPr>
      </w:pPr>
      <w:r>
        <w:rPr>
          <w:rFonts w:ascii="Times New Roman" w:hAnsi="Times New Roman"/>
          <w:sz w:val="20"/>
          <w:szCs w:val="20"/>
        </w:rPr>
        <w:tab/>
      </w:r>
      <w:bookmarkStart w:id="3" w:name="_GoBack"/>
      <w:bookmarkEnd w:id="3"/>
    </w:p>
    <w:sectPr w:rsidR="00FD5356" w:rsidRPr="00EC3543" w:rsidSect="0079514B">
      <w:headerReference w:type="default" r:id="rId9"/>
      <w:footerReference w:type="default" r:id="rId10"/>
      <w:footerReference w:type="first" r:id="rId11"/>
      <w:pgSz w:w="11906" w:h="16838"/>
      <w:pgMar w:top="851" w:right="1133"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8C" w:rsidRDefault="00EC4D8C" w:rsidP="0098651A">
      <w:pPr>
        <w:spacing w:after="0" w:line="240" w:lineRule="auto"/>
      </w:pPr>
      <w:r>
        <w:separator/>
      </w:r>
    </w:p>
  </w:endnote>
  <w:endnote w:type="continuationSeparator" w:id="0">
    <w:p w:rsidR="00EC4D8C" w:rsidRDefault="00EC4D8C"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8D" w:rsidRPr="000C6E8D" w:rsidRDefault="00FD1F8D" w:rsidP="000C6E8D">
    <w:pPr>
      <w:spacing w:after="0" w:line="240" w:lineRule="auto"/>
      <w:jc w:val="both"/>
      <w:rPr>
        <w:rFonts w:ascii="Times New Roman" w:hAnsi="Times New Roman"/>
        <w:bCs/>
        <w:sz w:val="20"/>
        <w:szCs w:val="20"/>
      </w:rPr>
    </w:pPr>
    <w:r w:rsidRPr="000C6E8D">
      <w:rPr>
        <w:rFonts w:ascii="Times New Roman" w:hAnsi="Times New Roman"/>
        <w:sz w:val="20"/>
        <w:szCs w:val="20"/>
      </w:rPr>
      <w:t>IZManot_</w:t>
    </w:r>
    <w:r w:rsidR="003062D5">
      <w:rPr>
        <w:rFonts w:ascii="Times New Roman" w:hAnsi="Times New Roman"/>
        <w:sz w:val="20"/>
        <w:szCs w:val="20"/>
      </w:rPr>
      <w:t>2</w:t>
    </w:r>
    <w:r w:rsidR="00BC6249">
      <w:rPr>
        <w:rFonts w:ascii="Times New Roman" w:hAnsi="Times New Roman"/>
        <w:sz w:val="20"/>
        <w:szCs w:val="20"/>
      </w:rPr>
      <w:t>4</w:t>
    </w:r>
    <w:r>
      <w:rPr>
        <w:rFonts w:ascii="Times New Roman" w:hAnsi="Times New Roman"/>
        <w:sz w:val="20"/>
        <w:szCs w:val="20"/>
      </w:rPr>
      <w:t>07</w:t>
    </w:r>
    <w:r w:rsidRPr="000C6E8D">
      <w:rPr>
        <w:rFonts w:ascii="Times New Roman" w:hAnsi="Times New Roman"/>
        <w:sz w:val="20"/>
        <w:szCs w:val="20"/>
      </w:rPr>
      <w:t>2015_finmodelis; Ministru kabineta noteikumu projekta</w:t>
    </w:r>
    <w:r>
      <w:rPr>
        <w:rFonts w:ascii="Times New Roman" w:hAnsi="Times New Roman"/>
        <w:sz w:val="20"/>
        <w:szCs w:val="20"/>
      </w:rPr>
      <w:t xml:space="preserve"> “</w:t>
    </w:r>
    <w:r w:rsidRPr="000C6E8D">
      <w:rPr>
        <w:rFonts w:ascii="Times New Roman" w:hAnsi="Times New Roman"/>
        <w:sz w:val="20"/>
        <w:szCs w:val="20"/>
      </w:rPr>
      <w:t>Grozījumi Ministru kabineta 2006.gada 12.decembra noteikumos Nr.994 “Kārtība, kādā augstskolas un koledžas tiek finansētas no valsts budžeta līdzekļiem”</w:t>
    </w:r>
    <w:r>
      <w:rPr>
        <w:rFonts w:ascii="Times New Roman" w:hAnsi="Times New Roman"/>
        <w:sz w:val="20"/>
        <w:szCs w:val="20"/>
      </w:rPr>
      <w:t>”</w:t>
    </w:r>
    <w:r w:rsidRPr="000C6E8D">
      <w:rPr>
        <w:rFonts w:ascii="Times New Roman" w:hAnsi="Times New Roman"/>
        <w:sz w:val="20"/>
        <w:szCs w:val="20"/>
      </w:rPr>
      <w:t xml:space="preserve"> sākotnējās ietekmes novērtējuma ziņojums (anotācija)</w:t>
    </w:r>
  </w:p>
  <w:p w:rsidR="00FD1F8D" w:rsidRPr="00752704" w:rsidRDefault="00FD1F8D" w:rsidP="000C6E8D">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8D" w:rsidRPr="000C6E8D" w:rsidRDefault="00FD1F8D" w:rsidP="008144A4">
    <w:pPr>
      <w:spacing w:after="0" w:line="240" w:lineRule="auto"/>
      <w:jc w:val="both"/>
      <w:rPr>
        <w:rFonts w:ascii="Times New Roman" w:hAnsi="Times New Roman"/>
        <w:bCs/>
        <w:sz w:val="20"/>
        <w:szCs w:val="20"/>
      </w:rPr>
    </w:pPr>
    <w:r w:rsidRPr="000C6E8D">
      <w:rPr>
        <w:rFonts w:ascii="Times New Roman" w:hAnsi="Times New Roman"/>
        <w:sz w:val="20"/>
        <w:szCs w:val="20"/>
      </w:rPr>
      <w:t>IZManot_</w:t>
    </w:r>
    <w:r w:rsidR="003062D5">
      <w:rPr>
        <w:rFonts w:ascii="Times New Roman" w:hAnsi="Times New Roman"/>
        <w:sz w:val="20"/>
        <w:szCs w:val="20"/>
      </w:rPr>
      <w:t>2</w:t>
    </w:r>
    <w:r w:rsidR="00BC6249">
      <w:rPr>
        <w:rFonts w:ascii="Times New Roman" w:hAnsi="Times New Roman"/>
        <w:sz w:val="20"/>
        <w:szCs w:val="20"/>
      </w:rPr>
      <w:t>4</w:t>
    </w:r>
    <w:r>
      <w:rPr>
        <w:rFonts w:ascii="Times New Roman" w:hAnsi="Times New Roman"/>
        <w:sz w:val="20"/>
        <w:szCs w:val="20"/>
      </w:rPr>
      <w:t>07</w:t>
    </w:r>
    <w:r w:rsidRPr="000C6E8D">
      <w:rPr>
        <w:rFonts w:ascii="Times New Roman" w:hAnsi="Times New Roman"/>
        <w:sz w:val="20"/>
        <w:szCs w:val="20"/>
      </w:rPr>
      <w:t>2015_finmodelis; Ministru kabineta noteikumu projekta</w:t>
    </w:r>
    <w:r>
      <w:rPr>
        <w:rFonts w:ascii="Times New Roman" w:hAnsi="Times New Roman"/>
        <w:sz w:val="20"/>
        <w:szCs w:val="20"/>
      </w:rPr>
      <w:t xml:space="preserve"> “</w:t>
    </w:r>
    <w:r w:rsidRPr="000C6E8D">
      <w:rPr>
        <w:rFonts w:ascii="Times New Roman" w:hAnsi="Times New Roman"/>
        <w:sz w:val="20"/>
        <w:szCs w:val="20"/>
      </w:rPr>
      <w:t>Grozījumi Ministru kabineta 2006.gada 12.decembra noteikumos Nr.994  “Kārtība, kādā augstskolas un koledžas tiek finansētas no valsts budžeta līdzekļiem”</w:t>
    </w:r>
    <w:r>
      <w:rPr>
        <w:rFonts w:ascii="Times New Roman" w:hAnsi="Times New Roman"/>
        <w:sz w:val="20"/>
        <w:szCs w:val="20"/>
      </w:rPr>
      <w:t>”</w:t>
    </w:r>
    <w:r w:rsidRPr="000C6E8D">
      <w:rPr>
        <w:rFonts w:ascii="Times New Roman" w:hAnsi="Times New Roman"/>
        <w:sz w:val="20"/>
        <w:szCs w:val="20"/>
      </w:rPr>
      <w:t xml:space="preserve"> sākotnējās ietekmes novērtējuma ziņojums (anotācija)</w:t>
    </w:r>
  </w:p>
  <w:p w:rsidR="00FD1F8D" w:rsidRPr="00752704" w:rsidRDefault="00FD1F8D"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8C" w:rsidRDefault="00EC4D8C" w:rsidP="0098651A">
      <w:pPr>
        <w:spacing w:after="0" w:line="240" w:lineRule="auto"/>
      </w:pPr>
      <w:r>
        <w:separator/>
      </w:r>
    </w:p>
  </w:footnote>
  <w:footnote w:type="continuationSeparator" w:id="0">
    <w:p w:rsidR="00EC4D8C" w:rsidRDefault="00EC4D8C"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8D" w:rsidRDefault="00FD1F8D">
    <w:pPr>
      <w:pStyle w:val="Header"/>
      <w:jc w:val="center"/>
    </w:pPr>
    <w:r>
      <w:fldChar w:fldCharType="begin"/>
    </w:r>
    <w:r>
      <w:instrText xml:space="preserve"> PAGE   \* MERGEFORMAT </w:instrText>
    </w:r>
    <w:r>
      <w:fldChar w:fldCharType="separate"/>
    </w:r>
    <w:r w:rsidR="00F47853">
      <w:rPr>
        <w:noProof/>
      </w:rPr>
      <w:t>6</w:t>
    </w:r>
    <w:r>
      <w:rPr>
        <w:noProof/>
      </w:rPr>
      <w:fldChar w:fldCharType="end"/>
    </w:r>
  </w:p>
  <w:p w:rsidR="00FD1F8D" w:rsidRDefault="00FD1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C5FBC"/>
    <w:multiLevelType w:val="hybridMultilevel"/>
    <w:tmpl w:val="E9EEF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D0B44"/>
    <w:multiLevelType w:val="hybridMultilevel"/>
    <w:tmpl w:val="DD8AA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1A4AF5"/>
    <w:multiLevelType w:val="hybridMultilevel"/>
    <w:tmpl w:val="0356372A"/>
    <w:lvl w:ilvl="0" w:tplc="7F02D6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94D0887"/>
    <w:multiLevelType w:val="hybridMultilevel"/>
    <w:tmpl w:val="858E2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831FB0"/>
    <w:multiLevelType w:val="hybridMultilevel"/>
    <w:tmpl w:val="971EB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630956"/>
    <w:multiLevelType w:val="hybridMultilevel"/>
    <w:tmpl w:val="676C3A46"/>
    <w:lvl w:ilvl="0" w:tplc="151C5B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6A0EED"/>
    <w:multiLevelType w:val="hybridMultilevel"/>
    <w:tmpl w:val="509E5512"/>
    <w:lvl w:ilvl="0" w:tplc="5C1656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3"/>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4D58"/>
    <w:rsid w:val="00005B2E"/>
    <w:rsid w:val="000105C3"/>
    <w:rsid w:val="00012D78"/>
    <w:rsid w:val="0001642C"/>
    <w:rsid w:val="000223E6"/>
    <w:rsid w:val="00027863"/>
    <w:rsid w:val="0003028A"/>
    <w:rsid w:val="00030C06"/>
    <w:rsid w:val="0003533C"/>
    <w:rsid w:val="00035734"/>
    <w:rsid w:val="000411C5"/>
    <w:rsid w:val="00044F39"/>
    <w:rsid w:val="00045ECB"/>
    <w:rsid w:val="00056C2B"/>
    <w:rsid w:val="00061538"/>
    <w:rsid w:val="00063E84"/>
    <w:rsid w:val="00064126"/>
    <w:rsid w:val="00074D78"/>
    <w:rsid w:val="00077740"/>
    <w:rsid w:val="00081BCC"/>
    <w:rsid w:val="00082386"/>
    <w:rsid w:val="00082E4E"/>
    <w:rsid w:val="00084034"/>
    <w:rsid w:val="00090664"/>
    <w:rsid w:val="00092594"/>
    <w:rsid w:val="00093EA7"/>
    <w:rsid w:val="000940E8"/>
    <w:rsid w:val="000A4E48"/>
    <w:rsid w:val="000A7055"/>
    <w:rsid w:val="000B0426"/>
    <w:rsid w:val="000B0756"/>
    <w:rsid w:val="000B0F88"/>
    <w:rsid w:val="000B1FE6"/>
    <w:rsid w:val="000B386D"/>
    <w:rsid w:val="000B4176"/>
    <w:rsid w:val="000C1FC6"/>
    <w:rsid w:val="000C5CD3"/>
    <w:rsid w:val="000C6E8D"/>
    <w:rsid w:val="000D41DE"/>
    <w:rsid w:val="000F1CAC"/>
    <w:rsid w:val="000F7887"/>
    <w:rsid w:val="001066DB"/>
    <w:rsid w:val="00117511"/>
    <w:rsid w:val="00121986"/>
    <w:rsid w:val="0012402C"/>
    <w:rsid w:val="001243AE"/>
    <w:rsid w:val="00124BE0"/>
    <w:rsid w:val="00125F3A"/>
    <w:rsid w:val="0012767F"/>
    <w:rsid w:val="001277E1"/>
    <w:rsid w:val="00131CF5"/>
    <w:rsid w:val="0013491D"/>
    <w:rsid w:val="0014120C"/>
    <w:rsid w:val="0014280C"/>
    <w:rsid w:val="00145AD3"/>
    <w:rsid w:val="00150833"/>
    <w:rsid w:val="0015151D"/>
    <w:rsid w:val="00152CD7"/>
    <w:rsid w:val="00160EE0"/>
    <w:rsid w:val="00164C5C"/>
    <w:rsid w:val="00164F1E"/>
    <w:rsid w:val="00167678"/>
    <w:rsid w:val="001750E1"/>
    <w:rsid w:val="00176344"/>
    <w:rsid w:val="001777FF"/>
    <w:rsid w:val="00180D34"/>
    <w:rsid w:val="00183217"/>
    <w:rsid w:val="00183413"/>
    <w:rsid w:val="00190092"/>
    <w:rsid w:val="0019114C"/>
    <w:rsid w:val="00193DB6"/>
    <w:rsid w:val="00196446"/>
    <w:rsid w:val="001969B5"/>
    <w:rsid w:val="001A560F"/>
    <w:rsid w:val="001A6EB8"/>
    <w:rsid w:val="001B2EFF"/>
    <w:rsid w:val="001C2537"/>
    <w:rsid w:val="001C3E46"/>
    <w:rsid w:val="001C72AF"/>
    <w:rsid w:val="001D422A"/>
    <w:rsid w:val="001D584E"/>
    <w:rsid w:val="001D69A7"/>
    <w:rsid w:val="001E1522"/>
    <w:rsid w:val="001E2E9D"/>
    <w:rsid w:val="001F0E74"/>
    <w:rsid w:val="001F5451"/>
    <w:rsid w:val="001F6B34"/>
    <w:rsid w:val="00204D85"/>
    <w:rsid w:val="002060B1"/>
    <w:rsid w:val="002062B6"/>
    <w:rsid w:val="0020751E"/>
    <w:rsid w:val="00222BAD"/>
    <w:rsid w:val="002234F8"/>
    <w:rsid w:val="00226883"/>
    <w:rsid w:val="00226A8B"/>
    <w:rsid w:val="00231FCD"/>
    <w:rsid w:val="00235747"/>
    <w:rsid w:val="00235E16"/>
    <w:rsid w:val="00243F52"/>
    <w:rsid w:val="00247D7A"/>
    <w:rsid w:val="002515BA"/>
    <w:rsid w:val="00256800"/>
    <w:rsid w:val="002730F1"/>
    <w:rsid w:val="002864F9"/>
    <w:rsid w:val="002902C9"/>
    <w:rsid w:val="002967D6"/>
    <w:rsid w:val="002A0F4A"/>
    <w:rsid w:val="002A3E3A"/>
    <w:rsid w:val="002B3167"/>
    <w:rsid w:val="002C0276"/>
    <w:rsid w:val="002C11D2"/>
    <w:rsid w:val="002C2B6C"/>
    <w:rsid w:val="002C7C1D"/>
    <w:rsid w:val="002D15F6"/>
    <w:rsid w:val="002D1C02"/>
    <w:rsid w:val="002D1D28"/>
    <w:rsid w:val="002D5A87"/>
    <w:rsid w:val="002E1DCE"/>
    <w:rsid w:val="002F12DC"/>
    <w:rsid w:val="002F270E"/>
    <w:rsid w:val="003047C4"/>
    <w:rsid w:val="003062D5"/>
    <w:rsid w:val="00323584"/>
    <w:rsid w:val="00341AE4"/>
    <w:rsid w:val="00345F52"/>
    <w:rsid w:val="0035259A"/>
    <w:rsid w:val="00354312"/>
    <w:rsid w:val="00356406"/>
    <w:rsid w:val="0036572F"/>
    <w:rsid w:val="00365F3D"/>
    <w:rsid w:val="00376F6E"/>
    <w:rsid w:val="00377773"/>
    <w:rsid w:val="003819D5"/>
    <w:rsid w:val="00391975"/>
    <w:rsid w:val="00392C38"/>
    <w:rsid w:val="00394B82"/>
    <w:rsid w:val="003978B8"/>
    <w:rsid w:val="003A3EC8"/>
    <w:rsid w:val="003A4D21"/>
    <w:rsid w:val="003B0DCB"/>
    <w:rsid w:val="003B2C0C"/>
    <w:rsid w:val="003B3493"/>
    <w:rsid w:val="003B5837"/>
    <w:rsid w:val="003B7162"/>
    <w:rsid w:val="003C12A1"/>
    <w:rsid w:val="003C2A33"/>
    <w:rsid w:val="003C7CC9"/>
    <w:rsid w:val="003D4723"/>
    <w:rsid w:val="003D4ECF"/>
    <w:rsid w:val="003E0F10"/>
    <w:rsid w:val="003F4268"/>
    <w:rsid w:val="004014DD"/>
    <w:rsid w:val="00401FFF"/>
    <w:rsid w:val="00405B2D"/>
    <w:rsid w:val="00410D1A"/>
    <w:rsid w:val="0041669F"/>
    <w:rsid w:val="00417D8C"/>
    <w:rsid w:val="00427C9B"/>
    <w:rsid w:val="00430D21"/>
    <w:rsid w:val="00436276"/>
    <w:rsid w:val="004443A7"/>
    <w:rsid w:val="004444CC"/>
    <w:rsid w:val="0044663F"/>
    <w:rsid w:val="00447B88"/>
    <w:rsid w:val="004568DB"/>
    <w:rsid w:val="0046101A"/>
    <w:rsid w:val="004677D9"/>
    <w:rsid w:val="00471E59"/>
    <w:rsid w:val="00472DE5"/>
    <w:rsid w:val="00476C4D"/>
    <w:rsid w:val="00484331"/>
    <w:rsid w:val="00484D90"/>
    <w:rsid w:val="00495945"/>
    <w:rsid w:val="004B009D"/>
    <w:rsid w:val="004B0C9B"/>
    <w:rsid w:val="004C1D96"/>
    <w:rsid w:val="004C2477"/>
    <w:rsid w:val="004C62A0"/>
    <w:rsid w:val="004C7603"/>
    <w:rsid w:val="004D0575"/>
    <w:rsid w:val="004D1BFE"/>
    <w:rsid w:val="004D517C"/>
    <w:rsid w:val="004E1AFA"/>
    <w:rsid w:val="004F2587"/>
    <w:rsid w:val="004F4D16"/>
    <w:rsid w:val="004F5CF6"/>
    <w:rsid w:val="004F6154"/>
    <w:rsid w:val="00501DC1"/>
    <w:rsid w:val="00510157"/>
    <w:rsid w:val="0051145D"/>
    <w:rsid w:val="00514935"/>
    <w:rsid w:val="00514C57"/>
    <w:rsid w:val="005225D3"/>
    <w:rsid w:val="00524A34"/>
    <w:rsid w:val="00526CFE"/>
    <w:rsid w:val="00536BC7"/>
    <w:rsid w:val="00537D6F"/>
    <w:rsid w:val="005415B0"/>
    <w:rsid w:val="00544DA0"/>
    <w:rsid w:val="005455E1"/>
    <w:rsid w:val="0054699A"/>
    <w:rsid w:val="005516CD"/>
    <w:rsid w:val="00552BBD"/>
    <w:rsid w:val="00556CCA"/>
    <w:rsid w:val="00556EB6"/>
    <w:rsid w:val="00557FA7"/>
    <w:rsid w:val="00560D6E"/>
    <w:rsid w:val="00572AAA"/>
    <w:rsid w:val="00572CFC"/>
    <w:rsid w:val="00587DD8"/>
    <w:rsid w:val="0059397D"/>
    <w:rsid w:val="0059796C"/>
    <w:rsid w:val="005A5AE0"/>
    <w:rsid w:val="005B686C"/>
    <w:rsid w:val="005C080C"/>
    <w:rsid w:val="005C592A"/>
    <w:rsid w:val="005C78C4"/>
    <w:rsid w:val="005D1EB2"/>
    <w:rsid w:val="005E6F35"/>
    <w:rsid w:val="005F0471"/>
    <w:rsid w:val="005F14FB"/>
    <w:rsid w:val="005F6922"/>
    <w:rsid w:val="00601FD1"/>
    <w:rsid w:val="0060204E"/>
    <w:rsid w:val="006108B5"/>
    <w:rsid w:val="006112F5"/>
    <w:rsid w:val="006132EB"/>
    <w:rsid w:val="00614E91"/>
    <w:rsid w:val="006240C7"/>
    <w:rsid w:val="00624DC3"/>
    <w:rsid w:val="00626E5D"/>
    <w:rsid w:val="0063113E"/>
    <w:rsid w:val="00632865"/>
    <w:rsid w:val="00633800"/>
    <w:rsid w:val="00634511"/>
    <w:rsid w:val="006371A6"/>
    <w:rsid w:val="006451C6"/>
    <w:rsid w:val="006453A0"/>
    <w:rsid w:val="00650390"/>
    <w:rsid w:val="006556B2"/>
    <w:rsid w:val="00655F90"/>
    <w:rsid w:val="006609B8"/>
    <w:rsid w:val="00661087"/>
    <w:rsid w:val="006645C7"/>
    <w:rsid w:val="00671FD8"/>
    <w:rsid w:val="006776DE"/>
    <w:rsid w:val="00684CA2"/>
    <w:rsid w:val="00687DEE"/>
    <w:rsid w:val="0069413F"/>
    <w:rsid w:val="00694FA2"/>
    <w:rsid w:val="006A0835"/>
    <w:rsid w:val="006B0D4F"/>
    <w:rsid w:val="006B2619"/>
    <w:rsid w:val="006C15C9"/>
    <w:rsid w:val="006C48B6"/>
    <w:rsid w:val="006C7BB6"/>
    <w:rsid w:val="006C7CBE"/>
    <w:rsid w:val="006D1BA2"/>
    <w:rsid w:val="006D4B4A"/>
    <w:rsid w:val="006E111D"/>
    <w:rsid w:val="006E3F40"/>
    <w:rsid w:val="006E5E8E"/>
    <w:rsid w:val="006E6DD5"/>
    <w:rsid w:val="006F123D"/>
    <w:rsid w:val="00701CF8"/>
    <w:rsid w:val="00702DEA"/>
    <w:rsid w:val="007108F9"/>
    <w:rsid w:val="007200F1"/>
    <w:rsid w:val="00720F87"/>
    <w:rsid w:val="007211DB"/>
    <w:rsid w:val="007240B1"/>
    <w:rsid w:val="00733BCC"/>
    <w:rsid w:val="0073566F"/>
    <w:rsid w:val="00735746"/>
    <w:rsid w:val="007369F4"/>
    <w:rsid w:val="0073740C"/>
    <w:rsid w:val="00742E76"/>
    <w:rsid w:val="00752704"/>
    <w:rsid w:val="00755DA9"/>
    <w:rsid w:val="007602DC"/>
    <w:rsid w:val="0076089F"/>
    <w:rsid w:val="00761745"/>
    <w:rsid w:val="00762B3D"/>
    <w:rsid w:val="0076703B"/>
    <w:rsid w:val="00773309"/>
    <w:rsid w:val="00775C77"/>
    <w:rsid w:val="00785090"/>
    <w:rsid w:val="00787A27"/>
    <w:rsid w:val="0079514B"/>
    <w:rsid w:val="00795E49"/>
    <w:rsid w:val="00796530"/>
    <w:rsid w:val="00797022"/>
    <w:rsid w:val="0079740F"/>
    <w:rsid w:val="007B165A"/>
    <w:rsid w:val="007B59D6"/>
    <w:rsid w:val="007B7A24"/>
    <w:rsid w:val="007C0A73"/>
    <w:rsid w:val="007D2C23"/>
    <w:rsid w:val="007D7662"/>
    <w:rsid w:val="007E1B94"/>
    <w:rsid w:val="007E2D71"/>
    <w:rsid w:val="007F0A2D"/>
    <w:rsid w:val="007F3710"/>
    <w:rsid w:val="00804655"/>
    <w:rsid w:val="008057A0"/>
    <w:rsid w:val="008074AE"/>
    <w:rsid w:val="008144A4"/>
    <w:rsid w:val="008179B3"/>
    <w:rsid w:val="008246FF"/>
    <w:rsid w:val="00826D5A"/>
    <w:rsid w:val="0082730A"/>
    <w:rsid w:val="00833B75"/>
    <w:rsid w:val="008374D7"/>
    <w:rsid w:val="00840040"/>
    <w:rsid w:val="008441F2"/>
    <w:rsid w:val="008442BC"/>
    <w:rsid w:val="008455C2"/>
    <w:rsid w:val="00851F8A"/>
    <w:rsid w:val="00853B83"/>
    <w:rsid w:val="008551C8"/>
    <w:rsid w:val="00856C21"/>
    <w:rsid w:val="00857DA6"/>
    <w:rsid w:val="008751B9"/>
    <w:rsid w:val="008848C4"/>
    <w:rsid w:val="00887EBE"/>
    <w:rsid w:val="0089264C"/>
    <w:rsid w:val="00892AE6"/>
    <w:rsid w:val="008975CE"/>
    <w:rsid w:val="008A5547"/>
    <w:rsid w:val="008B4BF9"/>
    <w:rsid w:val="008C2147"/>
    <w:rsid w:val="008C2B1F"/>
    <w:rsid w:val="008C2E05"/>
    <w:rsid w:val="008C2F8F"/>
    <w:rsid w:val="008C36DE"/>
    <w:rsid w:val="008C5740"/>
    <w:rsid w:val="008D0456"/>
    <w:rsid w:val="008D2282"/>
    <w:rsid w:val="008D628C"/>
    <w:rsid w:val="008D7266"/>
    <w:rsid w:val="008E11DA"/>
    <w:rsid w:val="008E1285"/>
    <w:rsid w:val="008E21CF"/>
    <w:rsid w:val="008E2387"/>
    <w:rsid w:val="008E3B46"/>
    <w:rsid w:val="008F4990"/>
    <w:rsid w:val="008F5329"/>
    <w:rsid w:val="00901568"/>
    <w:rsid w:val="00902B05"/>
    <w:rsid w:val="0090339F"/>
    <w:rsid w:val="009132DF"/>
    <w:rsid w:val="009152D4"/>
    <w:rsid w:val="00921AAE"/>
    <w:rsid w:val="00937A20"/>
    <w:rsid w:val="00943B68"/>
    <w:rsid w:val="0095022A"/>
    <w:rsid w:val="00955F10"/>
    <w:rsid w:val="009570DE"/>
    <w:rsid w:val="00957F2A"/>
    <w:rsid w:val="0096485D"/>
    <w:rsid w:val="009648ED"/>
    <w:rsid w:val="00982325"/>
    <w:rsid w:val="00982519"/>
    <w:rsid w:val="00983296"/>
    <w:rsid w:val="00984EA1"/>
    <w:rsid w:val="0098651A"/>
    <w:rsid w:val="00987529"/>
    <w:rsid w:val="00991BE5"/>
    <w:rsid w:val="00992AEB"/>
    <w:rsid w:val="00992B04"/>
    <w:rsid w:val="009A3C61"/>
    <w:rsid w:val="009A4D7F"/>
    <w:rsid w:val="009A5D18"/>
    <w:rsid w:val="009B15E8"/>
    <w:rsid w:val="009C1662"/>
    <w:rsid w:val="009C2E3F"/>
    <w:rsid w:val="009D2929"/>
    <w:rsid w:val="009D451C"/>
    <w:rsid w:val="009D4CE0"/>
    <w:rsid w:val="009D6D4E"/>
    <w:rsid w:val="009D7714"/>
    <w:rsid w:val="009E2D13"/>
    <w:rsid w:val="009E521B"/>
    <w:rsid w:val="009E730E"/>
    <w:rsid w:val="009F13A0"/>
    <w:rsid w:val="009F2902"/>
    <w:rsid w:val="009F5B55"/>
    <w:rsid w:val="009F7CF9"/>
    <w:rsid w:val="00A02256"/>
    <w:rsid w:val="00A07AF7"/>
    <w:rsid w:val="00A12C61"/>
    <w:rsid w:val="00A13E3C"/>
    <w:rsid w:val="00A150AA"/>
    <w:rsid w:val="00A204FA"/>
    <w:rsid w:val="00A245A9"/>
    <w:rsid w:val="00A251E5"/>
    <w:rsid w:val="00A3067D"/>
    <w:rsid w:val="00A30AC9"/>
    <w:rsid w:val="00A344BC"/>
    <w:rsid w:val="00A402D7"/>
    <w:rsid w:val="00A42FA4"/>
    <w:rsid w:val="00A44A39"/>
    <w:rsid w:val="00A44ABF"/>
    <w:rsid w:val="00A45ADE"/>
    <w:rsid w:val="00A5207C"/>
    <w:rsid w:val="00A53705"/>
    <w:rsid w:val="00A53ACA"/>
    <w:rsid w:val="00A5656B"/>
    <w:rsid w:val="00A57B89"/>
    <w:rsid w:val="00A65835"/>
    <w:rsid w:val="00A72B61"/>
    <w:rsid w:val="00A73E88"/>
    <w:rsid w:val="00A74851"/>
    <w:rsid w:val="00A75C92"/>
    <w:rsid w:val="00A80DE4"/>
    <w:rsid w:val="00A81165"/>
    <w:rsid w:val="00A821B7"/>
    <w:rsid w:val="00A83624"/>
    <w:rsid w:val="00A8370F"/>
    <w:rsid w:val="00AA045B"/>
    <w:rsid w:val="00AB0214"/>
    <w:rsid w:val="00AB0CCD"/>
    <w:rsid w:val="00AC167E"/>
    <w:rsid w:val="00AC1E0D"/>
    <w:rsid w:val="00AC4D59"/>
    <w:rsid w:val="00AD2EC9"/>
    <w:rsid w:val="00AD4864"/>
    <w:rsid w:val="00AE5F14"/>
    <w:rsid w:val="00AF1134"/>
    <w:rsid w:val="00AF3DF8"/>
    <w:rsid w:val="00AF4F31"/>
    <w:rsid w:val="00B00F9A"/>
    <w:rsid w:val="00B025EB"/>
    <w:rsid w:val="00B07F11"/>
    <w:rsid w:val="00B128F8"/>
    <w:rsid w:val="00B156FA"/>
    <w:rsid w:val="00B17866"/>
    <w:rsid w:val="00B24A2F"/>
    <w:rsid w:val="00B25F0E"/>
    <w:rsid w:val="00B32CEB"/>
    <w:rsid w:val="00B342D6"/>
    <w:rsid w:val="00B41397"/>
    <w:rsid w:val="00B45A12"/>
    <w:rsid w:val="00B4629D"/>
    <w:rsid w:val="00B47B24"/>
    <w:rsid w:val="00B52E30"/>
    <w:rsid w:val="00B53B7D"/>
    <w:rsid w:val="00B613E9"/>
    <w:rsid w:val="00B6194B"/>
    <w:rsid w:val="00B644EA"/>
    <w:rsid w:val="00B67901"/>
    <w:rsid w:val="00B70585"/>
    <w:rsid w:val="00B71039"/>
    <w:rsid w:val="00B73A88"/>
    <w:rsid w:val="00B77578"/>
    <w:rsid w:val="00B81A0E"/>
    <w:rsid w:val="00B85763"/>
    <w:rsid w:val="00B913E3"/>
    <w:rsid w:val="00B91E6F"/>
    <w:rsid w:val="00B93517"/>
    <w:rsid w:val="00B936DB"/>
    <w:rsid w:val="00B968CB"/>
    <w:rsid w:val="00BA0C9E"/>
    <w:rsid w:val="00BA0E6F"/>
    <w:rsid w:val="00BA3BB3"/>
    <w:rsid w:val="00BA44A1"/>
    <w:rsid w:val="00BA7B4E"/>
    <w:rsid w:val="00BB11D7"/>
    <w:rsid w:val="00BB1BB2"/>
    <w:rsid w:val="00BB3F93"/>
    <w:rsid w:val="00BC307F"/>
    <w:rsid w:val="00BC6249"/>
    <w:rsid w:val="00BD711A"/>
    <w:rsid w:val="00BE4E1D"/>
    <w:rsid w:val="00BE527A"/>
    <w:rsid w:val="00BF122F"/>
    <w:rsid w:val="00BF1F8C"/>
    <w:rsid w:val="00BF36B7"/>
    <w:rsid w:val="00BF4259"/>
    <w:rsid w:val="00BF5A64"/>
    <w:rsid w:val="00BF63CF"/>
    <w:rsid w:val="00C10433"/>
    <w:rsid w:val="00C14AB8"/>
    <w:rsid w:val="00C166ED"/>
    <w:rsid w:val="00C16F79"/>
    <w:rsid w:val="00C30192"/>
    <w:rsid w:val="00C36E2A"/>
    <w:rsid w:val="00C36EF5"/>
    <w:rsid w:val="00C40CA8"/>
    <w:rsid w:val="00C46129"/>
    <w:rsid w:val="00C47425"/>
    <w:rsid w:val="00C47B0E"/>
    <w:rsid w:val="00C55629"/>
    <w:rsid w:val="00C611C6"/>
    <w:rsid w:val="00C82DD9"/>
    <w:rsid w:val="00C83830"/>
    <w:rsid w:val="00CA0487"/>
    <w:rsid w:val="00CA35DF"/>
    <w:rsid w:val="00CA53F5"/>
    <w:rsid w:val="00CA6A05"/>
    <w:rsid w:val="00CA79BF"/>
    <w:rsid w:val="00CB1E25"/>
    <w:rsid w:val="00CB3EEF"/>
    <w:rsid w:val="00CB4C0D"/>
    <w:rsid w:val="00CB6A5E"/>
    <w:rsid w:val="00CC1AD4"/>
    <w:rsid w:val="00CC25B8"/>
    <w:rsid w:val="00CD48A5"/>
    <w:rsid w:val="00CE0B92"/>
    <w:rsid w:val="00CE3BDD"/>
    <w:rsid w:val="00CF690E"/>
    <w:rsid w:val="00D04081"/>
    <w:rsid w:val="00D05090"/>
    <w:rsid w:val="00D12CC6"/>
    <w:rsid w:val="00D16986"/>
    <w:rsid w:val="00D17D4A"/>
    <w:rsid w:val="00D272B9"/>
    <w:rsid w:val="00D311DB"/>
    <w:rsid w:val="00D31929"/>
    <w:rsid w:val="00D425CC"/>
    <w:rsid w:val="00D458C4"/>
    <w:rsid w:val="00D5226D"/>
    <w:rsid w:val="00D568ED"/>
    <w:rsid w:val="00D57123"/>
    <w:rsid w:val="00D6576E"/>
    <w:rsid w:val="00D66320"/>
    <w:rsid w:val="00D73AE0"/>
    <w:rsid w:val="00D8255A"/>
    <w:rsid w:val="00D93BD4"/>
    <w:rsid w:val="00D9762E"/>
    <w:rsid w:val="00DA0984"/>
    <w:rsid w:val="00DA15E1"/>
    <w:rsid w:val="00DA2B83"/>
    <w:rsid w:val="00DA5DE1"/>
    <w:rsid w:val="00DB02F0"/>
    <w:rsid w:val="00DB2980"/>
    <w:rsid w:val="00DB2EE4"/>
    <w:rsid w:val="00DB2FBC"/>
    <w:rsid w:val="00DC775A"/>
    <w:rsid w:val="00DC7E13"/>
    <w:rsid w:val="00DD4792"/>
    <w:rsid w:val="00DE75F0"/>
    <w:rsid w:val="00DF66E9"/>
    <w:rsid w:val="00E329D9"/>
    <w:rsid w:val="00E32ABC"/>
    <w:rsid w:val="00E33254"/>
    <w:rsid w:val="00E3583D"/>
    <w:rsid w:val="00E37264"/>
    <w:rsid w:val="00E373A4"/>
    <w:rsid w:val="00E44CFD"/>
    <w:rsid w:val="00E450AF"/>
    <w:rsid w:val="00E554B8"/>
    <w:rsid w:val="00E67953"/>
    <w:rsid w:val="00E81A4A"/>
    <w:rsid w:val="00E81AE7"/>
    <w:rsid w:val="00E82290"/>
    <w:rsid w:val="00E85AF7"/>
    <w:rsid w:val="00E91CA2"/>
    <w:rsid w:val="00E91CD7"/>
    <w:rsid w:val="00EA21EA"/>
    <w:rsid w:val="00EA31A2"/>
    <w:rsid w:val="00EA436E"/>
    <w:rsid w:val="00EA7165"/>
    <w:rsid w:val="00EB0095"/>
    <w:rsid w:val="00EB467F"/>
    <w:rsid w:val="00EC24CB"/>
    <w:rsid w:val="00EC3543"/>
    <w:rsid w:val="00EC45A3"/>
    <w:rsid w:val="00EC4D8C"/>
    <w:rsid w:val="00EC5E43"/>
    <w:rsid w:val="00ED16DF"/>
    <w:rsid w:val="00ED28CC"/>
    <w:rsid w:val="00ED6770"/>
    <w:rsid w:val="00ED7550"/>
    <w:rsid w:val="00EE0976"/>
    <w:rsid w:val="00EE0C22"/>
    <w:rsid w:val="00EE5EE1"/>
    <w:rsid w:val="00EF2AF9"/>
    <w:rsid w:val="00EF5E0D"/>
    <w:rsid w:val="00F118B4"/>
    <w:rsid w:val="00F1324D"/>
    <w:rsid w:val="00F16C9B"/>
    <w:rsid w:val="00F20A5D"/>
    <w:rsid w:val="00F3057E"/>
    <w:rsid w:val="00F36A91"/>
    <w:rsid w:val="00F3739A"/>
    <w:rsid w:val="00F400EB"/>
    <w:rsid w:val="00F4402A"/>
    <w:rsid w:val="00F47853"/>
    <w:rsid w:val="00F52DBB"/>
    <w:rsid w:val="00F55010"/>
    <w:rsid w:val="00F561EE"/>
    <w:rsid w:val="00F56AD2"/>
    <w:rsid w:val="00F703C3"/>
    <w:rsid w:val="00F71A36"/>
    <w:rsid w:val="00F76924"/>
    <w:rsid w:val="00F82160"/>
    <w:rsid w:val="00F82BE5"/>
    <w:rsid w:val="00F82D2F"/>
    <w:rsid w:val="00F86C26"/>
    <w:rsid w:val="00F94954"/>
    <w:rsid w:val="00F94CB1"/>
    <w:rsid w:val="00F95248"/>
    <w:rsid w:val="00F95A63"/>
    <w:rsid w:val="00F97E40"/>
    <w:rsid w:val="00FA2843"/>
    <w:rsid w:val="00FA5A82"/>
    <w:rsid w:val="00FB04B2"/>
    <w:rsid w:val="00FB65C1"/>
    <w:rsid w:val="00FC03A6"/>
    <w:rsid w:val="00FC1171"/>
    <w:rsid w:val="00FC1995"/>
    <w:rsid w:val="00FC4241"/>
    <w:rsid w:val="00FC4539"/>
    <w:rsid w:val="00FC531B"/>
    <w:rsid w:val="00FC6F52"/>
    <w:rsid w:val="00FC7FEE"/>
    <w:rsid w:val="00FD0116"/>
    <w:rsid w:val="00FD1F8D"/>
    <w:rsid w:val="00FD5356"/>
    <w:rsid w:val="00FE49BD"/>
    <w:rsid w:val="00FE5A26"/>
    <w:rsid w:val="00FF114B"/>
    <w:rsid w:val="00FF3203"/>
    <w:rsid w:val="00FF3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0E679-313D-4810-8F0F-304EC5DA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52CD7"/>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E85AF7"/>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paragraph" w:customStyle="1" w:styleId="ColorfulList-Accent11">
    <w:name w:val="Colorful List - Accent 11"/>
    <w:basedOn w:val="Normal"/>
    <w:uiPriority w:val="34"/>
    <w:qFormat/>
    <w:rsid w:val="00484D90"/>
    <w:pPr>
      <w:spacing w:after="0" w:line="240" w:lineRule="auto"/>
      <w:ind w:left="720"/>
      <w:contextualSpacing/>
    </w:pPr>
    <w:rPr>
      <w:rFonts w:ascii="Times New Roman" w:hAnsi="Times New Roman"/>
      <w:sz w:val="24"/>
      <w:szCs w:val="24"/>
    </w:rPr>
  </w:style>
  <w:style w:type="paragraph" w:customStyle="1" w:styleId="naisc">
    <w:name w:val="naisc"/>
    <w:basedOn w:val="Normal"/>
    <w:rsid w:val="00484D90"/>
    <w:pPr>
      <w:spacing w:before="75" w:after="75"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754">
      <w:bodyDiv w:val="1"/>
      <w:marLeft w:val="0"/>
      <w:marRight w:val="0"/>
      <w:marTop w:val="0"/>
      <w:marBottom w:val="0"/>
      <w:divBdr>
        <w:top w:val="none" w:sz="0" w:space="0" w:color="auto"/>
        <w:left w:val="none" w:sz="0" w:space="0" w:color="auto"/>
        <w:bottom w:val="none" w:sz="0" w:space="0" w:color="auto"/>
        <w:right w:val="none" w:sz="0" w:space="0" w:color="auto"/>
      </w:divBdr>
      <w:divsChild>
        <w:div w:id="465394047">
          <w:marLeft w:val="0"/>
          <w:marRight w:val="0"/>
          <w:marTop w:val="0"/>
          <w:marBottom w:val="0"/>
          <w:divBdr>
            <w:top w:val="none" w:sz="0" w:space="0" w:color="auto"/>
            <w:left w:val="none" w:sz="0" w:space="0" w:color="auto"/>
            <w:bottom w:val="none" w:sz="0" w:space="0" w:color="auto"/>
            <w:right w:val="none" w:sz="0" w:space="0" w:color="auto"/>
          </w:divBdr>
          <w:divsChild>
            <w:div w:id="846484667">
              <w:marLeft w:val="0"/>
              <w:marRight w:val="0"/>
              <w:marTop w:val="0"/>
              <w:marBottom w:val="0"/>
              <w:divBdr>
                <w:top w:val="none" w:sz="0" w:space="0" w:color="auto"/>
                <w:left w:val="none" w:sz="0" w:space="0" w:color="auto"/>
                <w:bottom w:val="none" w:sz="0" w:space="0" w:color="auto"/>
                <w:right w:val="none" w:sz="0" w:space="0" w:color="auto"/>
              </w:divBdr>
              <w:divsChild>
                <w:div w:id="1240749777">
                  <w:marLeft w:val="0"/>
                  <w:marRight w:val="0"/>
                  <w:marTop w:val="0"/>
                  <w:marBottom w:val="0"/>
                  <w:divBdr>
                    <w:top w:val="none" w:sz="0" w:space="0" w:color="auto"/>
                    <w:left w:val="none" w:sz="0" w:space="0" w:color="auto"/>
                    <w:bottom w:val="none" w:sz="0" w:space="0" w:color="auto"/>
                    <w:right w:val="none" w:sz="0" w:space="0" w:color="auto"/>
                  </w:divBdr>
                  <w:divsChild>
                    <w:div w:id="1564101589">
                      <w:marLeft w:val="0"/>
                      <w:marRight w:val="0"/>
                      <w:marTop w:val="0"/>
                      <w:marBottom w:val="0"/>
                      <w:divBdr>
                        <w:top w:val="none" w:sz="0" w:space="0" w:color="auto"/>
                        <w:left w:val="none" w:sz="0" w:space="0" w:color="auto"/>
                        <w:bottom w:val="none" w:sz="0" w:space="0" w:color="auto"/>
                        <w:right w:val="none" w:sz="0" w:space="0" w:color="auto"/>
                      </w:divBdr>
                      <w:divsChild>
                        <w:div w:id="1421680927">
                          <w:marLeft w:val="0"/>
                          <w:marRight w:val="0"/>
                          <w:marTop w:val="0"/>
                          <w:marBottom w:val="0"/>
                          <w:divBdr>
                            <w:top w:val="none" w:sz="0" w:space="0" w:color="auto"/>
                            <w:left w:val="none" w:sz="0" w:space="0" w:color="auto"/>
                            <w:bottom w:val="none" w:sz="0" w:space="0" w:color="auto"/>
                            <w:right w:val="none" w:sz="0" w:space="0" w:color="auto"/>
                          </w:divBdr>
                          <w:divsChild>
                            <w:div w:id="15453614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60135442">
      <w:bodyDiv w:val="1"/>
      <w:marLeft w:val="0"/>
      <w:marRight w:val="0"/>
      <w:marTop w:val="0"/>
      <w:marBottom w:val="0"/>
      <w:divBdr>
        <w:top w:val="none" w:sz="0" w:space="0" w:color="auto"/>
        <w:left w:val="none" w:sz="0" w:space="0" w:color="auto"/>
        <w:bottom w:val="none" w:sz="0" w:space="0" w:color="auto"/>
        <w:right w:val="none" w:sz="0" w:space="0" w:color="auto"/>
      </w:divBdr>
    </w:div>
    <w:div w:id="484050418">
      <w:bodyDiv w:val="1"/>
      <w:marLeft w:val="0"/>
      <w:marRight w:val="0"/>
      <w:marTop w:val="0"/>
      <w:marBottom w:val="0"/>
      <w:divBdr>
        <w:top w:val="none" w:sz="0" w:space="0" w:color="auto"/>
        <w:left w:val="none" w:sz="0" w:space="0" w:color="auto"/>
        <w:bottom w:val="none" w:sz="0" w:space="0" w:color="auto"/>
        <w:right w:val="none" w:sz="0" w:space="0" w:color="auto"/>
      </w:divBdr>
      <w:divsChild>
        <w:div w:id="1986279612">
          <w:marLeft w:val="0"/>
          <w:marRight w:val="0"/>
          <w:marTop w:val="0"/>
          <w:marBottom w:val="0"/>
          <w:divBdr>
            <w:top w:val="none" w:sz="0" w:space="0" w:color="auto"/>
            <w:left w:val="none" w:sz="0" w:space="0" w:color="auto"/>
            <w:bottom w:val="none" w:sz="0" w:space="0" w:color="auto"/>
            <w:right w:val="none" w:sz="0" w:space="0" w:color="auto"/>
          </w:divBdr>
          <w:divsChild>
            <w:div w:id="2042120881">
              <w:marLeft w:val="0"/>
              <w:marRight w:val="0"/>
              <w:marTop w:val="0"/>
              <w:marBottom w:val="0"/>
              <w:divBdr>
                <w:top w:val="none" w:sz="0" w:space="0" w:color="auto"/>
                <w:left w:val="none" w:sz="0" w:space="0" w:color="auto"/>
                <w:bottom w:val="none" w:sz="0" w:space="0" w:color="auto"/>
                <w:right w:val="none" w:sz="0" w:space="0" w:color="auto"/>
              </w:divBdr>
              <w:divsChild>
                <w:div w:id="642781305">
                  <w:marLeft w:val="0"/>
                  <w:marRight w:val="0"/>
                  <w:marTop w:val="0"/>
                  <w:marBottom w:val="0"/>
                  <w:divBdr>
                    <w:top w:val="none" w:sz="0" w:space="0" w:color="auto"/>
                    <w:left w:val="none" w:sz="0" w:space="0" w:color="auto"/>
                    <w:bottom w:val="none" w:sz="0" w:space="0" w:color="auto"/>
                    <w:right w:val="none" w:sz="0" w:space="0" w:color="auto"/>
                  </w:divBdr>
                  <w:divsChild>
                    <w:div w:id="832255978">
                      <w:marLeft w:val="0"/>
                      <w:marRight w:val="0"/>
                      <w:marTop w:val="0"/>
                      <w:marBottom w:val="0"/>
                      <w:divBdr>
                        <w:top w:val="none" w:sz="0" w:space="0" w:color="auto"/>
                        <w:left w:val="none" w:sz="0" w:space="0" w:color="auto"/>
                        <w:bottom w:val="none" w:sz="0" w:space="0" w:color="auto"/>
                        <w:right w:val="none" w:sz="0" w:space="0" w:color="auto"/>
                      </w:divBdr>
                      <w:divsChild>
                        <w:div w:id="226377328">
                          <w:marLeft w:val="0"/>
                          <w:marRight w:val="0"/>
                          <w:marTop w:val="0"/>
                          <w:marBottom w:val="0"/>
                          <w:divBdr>
                            <w:top w:val="none" w:sz="0" w:space="0" w:color="auto"/>
                            <w:left w:val="none" w:sz="0" w:space="0" w:color="auto"/>
                            <w:bottom w:val="none" w:sz="0" w:space="0" w:color="auto"/>
                            <w:right w:val="none" w:sz="0" w:space="0" w:color="auto"/>
                          </w:divBdr>
                          <w:divsChild>
                            <w:div w:id="9971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08203">
      <w:bodyDiv w:val="1"/>
      <w:marLeft w:val="0"/>
      <w:marRight w:val="0"/>
      <w:marTop w:val="0"/>
      <w:marBottom w:val="0"/>
      <w:divBdr>
        <w:top w:val="none" w:sz="0" w:space="0" w:color="auto"/>
        <w:left w:val="none" w:sz="0" w:space="0" w:color="auto"/>
        <w:bottom w:val="none" w:sz="0" w:space="0" w:color="auto"/>
        <w:right w:val="none" w:sz="0" w:space="0" w:color="auto"/>
      </w:divBdr>
      <w:divsChild>
        <w:div w:id="1922137552">
          <w:marLeft w:val="0"/>
          <w:marRight w:val="0"/>
          <w:marTop w:val="0"/>
          <w:marBottom w:val="0"/>
          <w:divBdr>
            <w:top w:val="none" w:sz="0" w:space="0" w:color="auto"/>
            <w:left w:val="none" w:sz="0" w:space="0" w:color="auto"/>
            <w:bottom w:val="none" w:sz="0" w:space="0" w:color="auto"/>
            <w:right w:val="none" w:sz="0" w:space="0" w:color="auto"/>
          </w:divBdr>
          <w:divsChild>
            <w:div w:id="546256402">
              <w:marLeft w:val="0"/>
              <w:marRight w:val="0"/>
              <w:marTop w:val="0"/>
              <w:marBottom w:val="0"/>
              <w:divBdr>
                <w:top w:val="none" w:sz="0" w:space="0" w:color="auto"/>
                <w:left w:val="none" w:sz="0" w:space="0" w:color="auto"/>
                <w:bottom w:val="none" w:sz="0" w:space="0" w:color="auto"/>
                <w:right w:val="none" w:sz="0" w:space="0" w:color="auto"/>
              </w:divBdr>
              <w:divsChild>
                <w:div w:id="2057469398">
                  <w:marLeft w:val="0"/>
                  <w:marRight w:val="0"/>
                  <w:marTop w:val="0"/>
                  <w:marBottom w:val="0"/>
                  <w:divBdr>
                    <w:top w:val="none" w:sz="0" w:space="0" w:color="auto"/>
                    <w:left w:val="none" w:sz="0" w:space="0" w:color="auto"/>
                    <w:bottom w:val="none" w:sz="0" w:space="0" w:color="auto"/>
                    <w:right w:val="none" w:sz="0" w:space="0" w:color="auto"/>
                  </w:divBdr>
                  <w:divsChild>
                    <w:div w:id="72355177">
                      <w:marLeft w:val="0"/>
                      <w:marRight w:val="0"/>
                      <w:marTop w:val="0"/>
                      <w:marBottom w:val="0"/>
                      <w:divBdr>
                        <w:top w:val="none" w:sz="0" w:space="0" w:color="auto"/>
                        <w:left w:val="none" w:sz="0" w:space="0" w:color="auto"/>
                        <w:bottom w:val="none" w:sz="0" w:space="0" w:color="auto"/>
                        <w:right w:val="none" w:sz="0" w:space="0" w:color="auto"/>
                      </w:divBdr>
                      <w:divsChild>
                        <w:div w:id="1448543098">
                          <w:marLeft w:val="0"/>
                          <w:marRight w:val="0"/>
                          <w:marTop w:val="0"/>
                          <w:marBottom w:val="0"/>
                          <w:divBdr>
                            <w:top w:val="none" w:sz="0" w:space="0" w:color="auto"/>
                            <w:left w:val="none" w:sz="0" w:space="0" w:color="auto"/>
                            <w:bottom w:val="none" w:sz="0" w:space="0" w:color="auto"/>
                            <w:right w:val="none" w:sz="0" w:space="0" w:color="auto"/>
                          </w:divBdr>
                          <w:divsChild>
                            <w:div w:id="1332027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889585">
      <w:bodyDiv w:val="1"/>
      <w:marLeft w:val="0"/>
      <w:marRight w:val="0"/>
      <w:marTop w:val="0"/>
      <w:marBottom w:val="0"/>
      <w:divBdr>
        <w:top w:val="none" w:sz="0" w:space="0" w:color="auto"/>
        <w:left w:val="none" w:sz="0" w:space="0" w:color="auto"/>
        <w:bottom w:val="none" w:sz="0" w:space="0" w:color="auto"/>
        <w:right w:val="none" w:sz="0" w:space="0" w:color="auto"/>
      </w:divBdr>
      <w:divsChild>
        <w:div w:id="1056666898">
          <w:marLeft w:val="0"/>
          <w:marRight w:val="0"/>
          <w:marTop w:val="0"/>
          <w:marBottom w:val="0"/>
          <w:divBdr>
            <w:top w:val="none" w:sz="0" w:space="0" w:color="auto"/>
            <w:left w:val="none" w:sz="0" w:space="0" w:color="auto"/>
            <w:bottom w:val="none" w:sz="0" w:space="0" w:color="auto"/>
            <w:right w:val="none" w:sz="0" w:space="0" w:color="auto"/>
          </w:divBdr>
          <w:divsChild>
            <w:div w:id="1982809014">
              <w:marLeft w:val="0"/>
              <w:marRight w:val="0"/>
              <w:marTop w:val="0"/>
              <w:marBottom w:val="0"/>
              <w:divBdr>
                <w:top w:val="none" w:sz="0" w:space="0" w:color="auto"/>
                <w:left w:val="none" w:sz="0" w:space="0" w:color="auto"/>
                <w:bottom w:val="none" w:sz="0" w:space="0" w:color="auto"/>
                <w:right w:val="none" w:sz="0" w:space="0" w:color="auto"/>
              </w:divBdr>
              <w:divsChild>
                <w:div w:id="50739784">
                  <w:marLeft w:val="0"/>
                  <w:marRight w:val="0"/>
                  <w:marTop w:val="0"/>
                  <w:marBottom w:val="0"/>
                  <w:divBdr>
                    <w:top w:val="none" w:sz="0" w:space="0" w:color="auto"/>
                    <w:left w:val="none" w:sz="0" w:space="0" w:color="auto"/>
                    <w:bottom w:val="none" w:sz="0" w:space="0" w:color="auto"/>
                    <w:right w:val="none" w:sz="0" w:space="0" w:color="auto"/>
                  </w:divBdr>
                  <w:divsChild>
                    <w:div w:id="917716803">
                      <w:marLeft w:val="0"/>
                      <w:marRight w:val="0"/>
                      <w:marTop w:val="0"/>
                      <w:marBottom w:val="0"/>
                      <w:divBdr>
                        <w:top w:val="none" w:sz="0" w:space="0" w:color="auto"/>
                        <w:left w:val="none" w:sz="0" w:space="0" w:color="auto"/>
                        <w:bottom w:val="none" w:sz="0" w:space="0" w:color="auto"/>
                        <w:right w:val="none" w:sz="0" w:space="0" w:color="auto"/>
                      </w:divBdr>
                      <w:divsChild>
                        <w:div w:id="2052221029">
                          <w:marLeft w:val="0"/>
                          <w:marRight w:val="0"/>
                          <w:marTop w:val="0"/>
                          <w:marBottom w:val="0"/>
                          <w:divBdr>
                            <w:top w:val="none" w:sz="0" w:space="0" w:color="auto"/>
                            <w:left w:val="none" w:sz="0" w:space="0" w:color="auto"/>
                            <w:bottom w:val="none" w:sz="0" w:space="0" w:color="auto"/>
                            <w:right w:val="none" w:sz="0" w:space="0" w:color="auto"/>
                          </w:divBdr>
                          <w:divsChild>
                            <w:div w:id="452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467308236">
      <w:bodyDiv w:val="1"/>
      <w:marLeft w:val="0"/>
      <w:marRight w:val="0"/>
      <w:marTop w:val="0"/>
      <w:marBottom w:val="0"/>
      <w:divBdr>
        <w:top w:val="none" w:sz="0" w:space="0" w:color="auto"/>
        <w:left w:val="none" w:sz="0" w:space="0" w:color="auto"/>
        <w:bottom w:val="none" w:sz="0" w:space="0" w:color="auto"/>
        <w:right w:val="none" w:sz="0" w:space="0" w:color="auto"/>
      </w:divBdr>
      <w:divsChild>
        <w:div w:id="1584534355">
          <w:marLeft w:val="0"/>
          <w:marRight w:val="0"/>
          <w:marTop w:val="0"/>
          <w:marBottom w:val="0"/>
          <w:divBdr>
            <w:top w:val="none" w:sz="0" w:space="0" w:color="auto"/>
            <w:left w:val="none" w:sz="0" w:space="0" w:color="auto"/>
            <w:bottom w:val="none" w:sz="0" w:space="0" w:color="auto"/>
            <w:right w:val="none" w:sz="0" w:space="0" w:color="auto"/>
          </w:divBdr>
          <w:divsChild>
            <w:div w:id="641345828">
              <w:marLeft w:val="0"/>
              <w:marRight w:val="0"/>
              <w:marTop w:val="0"/>
              <w:marBottom w:val="0"/>
              <w:divBdr>
                <w:top w:val="none" w:sz="0" w:space="0" w:color="auto"/>
                <w:left w:val="none" w:sz="0" w:space="0" w:color="auto"/>
                <w:bottom w:val="none" w:sz="0" w:space="0" w:color="auto"/>
                <w:right w:val="none" w:sz="0" w:space="0" w:color="auto"/>
              </w:divBdr>
              <w:divsChild>
                <w:div w:id="1754542555">
                  <w:marLeft w:val="0"/>
                  <w:marRight w:val="0"/>
                  <w:marTop w:val="0"/>
                  <w:marBottom w:val="0"/>
                  <w:divBdr>
                    <w:top w:val="none" w:sz="0" w:space="0" w:color="auto"/>
                    <w:left w:val="none" w:sz="0" w:space="0" w:color="auto"/>
                    <w:bottom w:val="none" w:sz="0" w:space="0" w:color="auto"/>
                    <w:right w:val="none" w:sz="0" w:space="0" w:color="auto"/>
                  </w:divBdr>
                  <w:divsChild>
                    <w:div w:id="1165899219">
                      <w:marLeft w:val="0"/>
                      <w:marRight w:val="0"/>
                      <w:marTop w:val="0"/>
                      <w:marBottom w:val="0"/>
                      <w:divBdr>
                        <w:top w:val="none" w:sz="0" w:space="0" w:color="auto"/>
                        <w:left w:val="none" w:sz="0" w:space="0" w:color="auto"/>
                        <w:bottom w:val="none" w:sz="0" w:space="0" w:color="auto"/>
                        <w:right w:val="none" w:sz="0" w:space="0" w:color="auto"/>
                      </w:divBdr>
                      <w:divsChild>
                        <w:div w:id="1154184479">
                          <w:marLeft w:val="0"/>
                          <w:marRight w:val="0"/>
                          <w:marTop w:val="0"/>
                          <w:marBottom w:val="0"/>
                          <w:divBdr>
                            <w:top w:val="none" w:sz="0" w:space="0" w:color="auto"/>
                            <w:left w:val="none" w:sz="0" w:space="0" w:color="auto"/>
                            <w:bottom w:val="none" w:sz="0" w:space="0" w:color="auto"/>
                            <w:right w:val="none" w:sz="0" w:space="0" w:color="auto"/>
                          </w:divBdr>
                          <w:divsChild>
                            <w:div w:id="304698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70151">
      <w:bodyDiv w:val="1"/>
      <w:marLeft w:val="0"/>
      <w:marRight w:val="0"/>
      <w:marTop w:val="0"/>
      <w:marBottom w:val="0"/>
      <w:divBdr>
        <w:top w:val="none" w:sz="0" w:space="0" w:color="auto"/>
        <w:left w:val="none" w:sz="0" w:space="0" w:color="auto"/>
        <w:bottom w:val="none" w:sz="0" w:space="0" w:color="auto"/>
        <w:right w:val="none" w:sz="0" w:space="0" w:color="auto"/>
      </w:divBdr>
      <w:divsChild>
        <w:div w:id="1110856445">
          <w:marLeft w:val="0"/>
          <w:marRight w:val="0"/>
          <w:marTop w:val="0"/>
          <w:marBottom w:val="0"/>
          <w:divBdr>
            <w:top w:val="none" w:sz="0" w:space="0" w:color="auto"/>
            <w:left w:val="none" w:sz="0" w:space="0" w:color="auto"/>
            <w:bottom w:val="none" w:sz="0" w:space="0" w:color="auto"/>
            <w:right w:val="none" w:sz="0" w:space="0" w:color="auto"/>
          </w:divBdr>
          <w:divsChild>
            <w:div w:id="1904174846">
              <w:marLeft w:val="0"/>
              <w:marRight w:val="0"/>
              <w:marTop w:val="0"/>
              <w:marBottom w:val="0"/>
              <w:divBdr>
                <w:top w:val="none" w:sz="0" w:space="0" w:color="auto"/>
                <w:left w:val="none" w:sz="0" w:space="0" w:color="auto"/>
                <w:bottom w:val="none" w:sz="0" w:space="0" w:color="auto"/>
                <w:right w:val="none" w:sz="0" w:space="0" w:color="auto"/>
              </w:divBdr>
              <w:divsChild>
                <w:div w:id="258177756">
                  <w:marLeft w:val="0"/>
                  <w:marRight w:val="0"/>
                  <w:marTop w:val="0"/>
                  <w:marBottom w:val="0"/>
                  <w:divBdr>
                    <w:top w:val="none" w:sz="0" w:space="0" w:color="auto"/>
                    <w:left w:val="none" w:sz="0" w:space="0" w:color="auto"/>
                    <w:bottom w:val="none" w:sz="0" w:space="0" w:color="auto"/>
                    <w:right w:val="none" w:sz="0" w:space="0" w:color="auto"/>
                  </w:divBdr>
                  <w:divsChild>
                    <w:div w:id="1754811044">
                      <w:marLeft w:val="0"/>
                      <w:marRight w:val="0"/>
                      <w:marTop w:val="0"/>
                      <w:marBottom w:val="0"/>
                      <w:divBdr>
                        <w:top w:val="none" w:sz="0" w:space="0" w:color="auto"/>
                        <w:left w:val="none" w:sz="0" w:space="0" w:color="auto"/>
                        <w:bottom w:val="none" w:sz="0" w:space="0" w:color="auto"/>
                        <w:right w:val="none" w:sz="0" w:space="0" w:color="auto"/>
                      </w:divBdr>
                      <w:divsChild>
                        <w:div w:id="109663234">
                          <w:marLeft w:val="0"/>
                          <w:marRight w:val="0"/>
                          <w:marTop w:val="200"/>
                          <w:marBottom w:val="0"/>
                          <w:divBdr>
                            <w:top w:val="none" w:sz="0" w:space="0" w:color="auto"/>
                            <w:left w:val="none" w:sz="0" w:space="0" w:color="auto"/>
                            <w:bottom w:val="none" w:sz="0" w:space="0" w:color="auto"/>
                            <w:right w:val="none" w:sz="0" w:space="0" w:color="auto"/>
                          </w:divBdr>
                          <w:divsChild>
                            <w:div w:id="901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4509">
      <w:bodyDiv w:val="1"/>
      <w:marLeft w:val="0"/>
      <w:marRight w:val="0"/>
      <w:marTop w:val="0"/>
      <w:marBottom w:val="0"/>
      <w:divBdr>
        <w:top w:val="none" w:sz="0" w:space="0" w:color="auto"/>
        <w:left w:val="none" w:sz="0" w:space="0" w:color="auto"/>
        <w:bottom w:val="none" w:sz="0" w:space="0" w:color="auto"/>
        <w:right w:val="none" w:sz="0" w:space="0" w:color="auto"/>
      </w:divBdr>
      <w:divsChild>
        <w:div w:id="1919172628">
          <w:marLeft w:val="0"/>
          <w:marRight w:val="0"/>
          <w:marTop w:val="0"/>
          <w:marBottom w:val="0"/>
          <w:divBdr>
            <w:top w:val="none" w:sz="0" w:space="0" w:color="auto"/>
            <w:left w:val="none" w:sz="0" w:space="0" w:color="auto"/>
            <w:bottom w:val="none" w:sz="0" w:space="0" w:color="auto"/>
            <w:right w:val="none" w:sz="0" w:space="0" w:color="auto"/>
          </w:divBdr>
          <w:divsChild>
            <w:div w:id="1905484276">
              <w:marLeft w:val="0"/>
              <w:marRight w:val="0"/>
              <w:marTop w:val="0"/>
              <w:marBottom w:val="0"/>
              <w:divBdr>
                <w:top w:val="none" w:sz="0" w:space="0" w:color="auto"/>
                <w:left w:val="none" w:sz="0" w:space="0" w:color="auto"/>
                <w:bottom w:val="none" w:sz="0" w:space="0" w:color="auto"/>
                <w:right w:val="none" w:sz="0" w:space="0" w:color="auto"/>
              </w:divBdr>
              <w:divsChild>
                <w:div w:id="1047994403">
                  <w:marLeft w:val="0"/>
                  <w:marRight w:val="0"/>
                  <w:marTop w:val="0"/>
                  <w:marBottom w:val="0"/>
                  <w:divBdr>
                    <w:top w:val="none" w:sz="0" w:space="0" w:color="auto"/>
                    <w:left w:val="none" w:sz="0" w:space="0" w:color="auto"/>
                    <w:bottom w:val="none" w:sz="0" w:space="0" w:color="auto"/>
                    <w:right w:val="none" w:sz="0" w:space="0" w:color="auto"/>
                  </w:divBdr>
                  <w:divsChild>
                    <w:div w:id="907417436">
                      <w:marLeft w:val="0"/>
                      <w:marRight w:val="0"/>
                      <w:marTop w:val="0"/>
                      <w:marBottom w:val="0"/>
                      <w:divBdr>
                        <w:top w:val="none" w:sz="0" w:space="0" w:color="auto"/>
                        <w:left w:val="none" w:sz="0" w:space="0" w:color="auto"/>
                        <w:bottom w:val="none" w:sz="0" w:space="0" w:color="auto"/>
                        <w:right w:val="none" w:sz="0" w:space="0" w:color="auto"/>
                      </w:divBdr>
                      <w:divsChild>
                        <w:div w:id="918833058">
                          <w:marLeft w:val="0"/>
                          <w:marRight w:val="0"/>
                          <w:marTop w:val="200"/>
                          <w:marBottom w:val="0"/>
                          <w:divBdr>
                            <w:top w:val="none" w:sz="0" w:space="0" w:color="auto"/>
                            <w:left w:val="none" w:sz="0" w:space="0" w:color="auto"/>
                            <w:bottom w:val="none" w:sz="0" w:space="0" w:color="auto"/>
                            <w:right w:val="none" w:sz="0" w:space="0" w:color="auto"/>
                          </w:divBdr>
                          <w:divsChild>
                            <w:div w:id="78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3955481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10769264">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77431674">
      <w:bodyDiv w:val="1"/>
      <w:marLeft w:val="0"/>
      <w:marRight w:val="0"/>
      <w:marTop w:val="0"/>
      <w:marBottom w:val="0"/>
      <w:divBdr>
        <w:top w:val="none" w:sz="0" w:space="0" w:color="auto"/>
        <w:left w:val="none" w:sz="0" w:space="0" w:color="auto"/>
        <w:bottom w:val="none" w:sz="0" w:space="0" w:color="auto"/>
        <w:right w:val="none" w:sz="0" w:space="0" w:color="auto"/>
      </w:divBdr>
      <w:divsChild>
        <w:div w:id="423963844">
          <w:marLeft w:val="0"/>
          <w:marRight w:val="0"/>
          <w:marTop w:val="0"/>
          <w:marBottom w:val="0"/>
          <w:divBdr>
            <w:top w:val="none" w:sz="0" w:space="0" w:color="auto"/>
            <w:left w:val="none" w:sz="0" w:space="0" w:color="auto"/>
            <w:bottom w:val="none" w:sz="0" w:space="0" w:color="auto"/>
            <w:right w:val="none" w:sz="0" w:space="0" w:color="auto"/>
          </w:divBdr>
          <w:divsChild>
            <w:div w:id="500855973">
              <w:marLeft w:val="0"/>
              <w:marRight w:val="0"/>
              <w:marTop w:val="0"/>
              <w:marBottom w:val="0"/>
              <w:divBdr>
                <w:top w:val="none" w:sz="0" w:space="0" w:color="auto"/>
                <w:left w:val="none" w:sz="0" w:space="0" w:color="auto"/>
                <w:bottom w:val="none" w:sz="0" w:space="0" w:color="auto"/>
                <w:right w:val="none" w:sz="0" w:space="0" w:color="auto"/>
              </w:divBdr>
              <w:divsChild>
                <w:div w:id="689913908">
                  <w:marLeft w:val="0"/>
                  <w:marRight w:val="0"/>
                  <w:marTop w:val="0"/>
                  <w:marBottom w:val="0"/>
                  <w:divBdr>
                    <w:top w:val="none" w:sz="0" w:space="0" w:color="auto"/>
                    <w:left w:val="none" w:sz="0" w:space="0" w:color="auto"/>
                    <w:bottom w:val="none" w:sz="0" w:space="0" w:color="auto"/>
                    <w:right w:val="none" w:sz="0" w:space="0" w:color="auto"/>
                  </w:divBdr>
                  <w:divsChild>
                    <w:div w:id="595753363">
                      <w:marLeft w:val="0"/>
                      <w:marRight w:val="0"/>
                      <w:marTop w:val="0"/>
                      <w:marBottom w:val="0"/>
                      <w:divBdr>
                        <w:top w:val="none" w:sz="0" w:space="0" w:color="auto"/>
                        <w:left w:val="none" w:sz="0" w:space="0" w:color="auto"/>
                        <w:bottom w:val="none" w:sz="0" w:space="0" w:color="auto"/>
                        <w:right w:val="none" w:sz="0" w:space="0" w:color="auto"/>
                      </w:divBdr>
                      <w:divsChild>
                        <w:div w:id="716439870">
                          <w:marLeft w:val="0"/>
                          <w:marRight w:val="0"/>
                          <w:marTop w:val="200"/>
                          <w:marBottom w:val="0"/>
                          <w:divBdr>
                            <w:top w:val="none" w:sz="0" w:space="0" w:color="auto"/>
                            <w:left w:val="none" w:sz="0" w:space="0" w:color="auto"/>
                            <w:bottom w:val="none" w:sz="0" w:space="0" w:color="auto"/>
                            <w:right w:val="none" w:sz="0" w:space="0" w:color="auto"/>
                          </w:divBdr>
                          <w:divsChild>
                            <w:div w:id="2046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rei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23C5-9C08-4BDD-A5C1-0ACBC08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7759</Words>
  <Characters>4424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12159</CharactersWithSpaces>
  <SharedDoc>false</SharedDoc>
  <HLinks>
    <vt:vector size="6" baseType="variant">
      <vt:variant>
        <vt:i4>458804</vt:i4>
      </vt:variant>
      <vt:variant>
        <vt:i4>6</vt:i4>
      </vt:variant>
      <vt:variant>
        <vt:i4>0</vt:i4>
      </vt:variant>
      <vt:variant>
        <vt:i4>5</vt:i4>
      </vt:variant>
      <vt:variant>
        <vt:lpwstr>mailto:rudolfs.kalvans@izm.gov.lv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Laura.Treimane@izm.gov.lv</dc:creator>
  <dc:description/>
  <cp:lastModifiedBy>Jānis Paiders</cp:lastModifiedBy>
  <cp:revision>30</cp:revision>
  <cp:lastPrinted>2015-06-19T07:48:00Z</cp:lastPrinted>
  <dcterms:created xsi:type="dcterms:W3CDTF">2015-07-06T09:40:00Z</dcterms:created>
  <dcterms:modified xsi:type="dcterms:W3CDTF">2015-07-24T08:51:00Z</dcterms:modified>
</cp:coreProperties>
</file>