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bookmarkStart w:id="0" w:name="OLE_LINK3"/>
      <w:bookmarkStart w:id="1" w:name="OLE_LINK4"/>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C656AB">
        <w:rPr>
          <w:b/>
          <w:sz w:val="28"/>
          <w:szCs w:val="28"/>
        </w:rPr>
        <w:t xml:space="preserve">drības ar ierobežotu atbildību </w:t>
      </w:r>
      <w:r w:rsidR="00C656AB" w:rsidRPr="00B5667E">
        <w:rPr>
          <w:b/>
          <w:sz w:val="28"/>
          <w:szCs w:val="28"/>
        </w:rPr>
        <w:t>„</w:t>
      </w:r>
      <w:r w:rsidR="00C656AB">
        <w:rPr>
          <w:b/>
          <w:sz w:val="28"/>
          <w:szCs w:val="28"/>
        </w:rPr>
        <w:t>Latvijas Nacionālais simfoniskais orķestris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FC423D"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2F5B05" w:rsidP="00660EF1">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C656AB" w:rsidRPr="00C656AB">
              <w:rPr>
                <w:sz w:val="28"/>
                <w:szCs w:val="28"/>
              </w:rPr>
              <w:t>„Latvijas Nacionālais simfoniskais orķestris”</w:t>
            </w:r>
            <w:r w:rsidR="00C656AB" w:rsidRPr="00B5667E">
              <w:rPr>
                <w:b/>
                <w:sz w:val="28"/>
                <w:szCs w:val="28"/>
              </w:rPr>
              <w:t xml:space="preserve"> </w:t>
            </w:r>
            <w:r w:rsidRPr="00FC423D">
              <w:rPr>
                <w:sz w:val="28"/>
                <w:szCs w:val="28"/>
              </w:rPr>
              <w:t xml:space="preserve">peļņas daļu” (turpmāk – Projekts) sagatavots saskaņā ar </w:t>
            </w:r>
            <w:r w:rsidR="005C2F56" w:rsidRPr="00B54A52">
              <w:rPr>
                <w:sz w:val="28"/>
                <w:szCs w:val="28"/>
              </w:rPr>
              <w:t>Likuma par budžetu un finanšu vadību 5.panta otro daļu un</w:t>
            </w:r>
            <w:r w:rsidR="005C2F56" w:rsidRPr="00FC423D">
              <w:rPr>
                <w:sz w:val="28"/>
                <w:szCs w:val="28"/>
              </w:rPr>
              <w:t xml:space="preserve"> </w:t>
            </w:r>
            <w:r w:rsidR="00E26FA6" w:rsidRPr="00FC423D">
              <w:rPr>
                <w:sz w:val="28"/>
                <w:szCs w:val="28"/>
              </w:rPr>
              <w:t>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5C2F56" w:rsidRDefault="00E26FA6" w:rsidP="002F5B05">
            <w:pPr>
              <w:pStyle w:val="Pamatteksts"/>
              <w:spacing w:after="0"/>
              <w:ind w:firstLine="505"/>
              <w:jc w:val="both"/>
              <w:rPr>
                <w:sz w:val="28"/>
                <w:szCs w:val="28"/>
                <w:lang w:val="lv-LV"/>
              </w:rPr>
            </w:pPr>
            <w:r w:rsidRPr="005C2F56">
              <w:rPr>
                <w:sz w:val="28"/>
                <w:szCs w:val="28"/>
                <w:lang w:val="lv-LV"/>
              </w:rPr>
              <w:t xml:space="preserve">Valsts sabiedrība ar ierobežotu atbildību </w:t>
            </w:r>
            <w:r w:rsidR="00C656AB" w:rsidRPr="005C2F56">
              <w:rPr>
                <w:sz w:val="28"/>
                <w:szCs w:val="28"/>
                <w:lang w:val="lv-LV"/>
              </w:rPr>
              <w:t>„Latvijas Nacionālais simfoniskais orķestris”</w:t>
            </w:r>
            <w:r w:rsidR="00C656AB" w:rsidRPr="005C2F56">
              <w:rPr>
                <w:b/>
                <w:sz w:val="28"/>
                <w:szCs w:val="28"/>
                <w:lang w:val="lv-LV"/>
              </w:rPr>
              <w:t xml:space="preserve"> </w:t>
            </w:r>
            <w:r w:rsidRPr="005C2F56">
              <w:rPr>
                <w:sz w:val="28"/>
                <w:szCs w:val="28"/>
                <w:lang w:val="lv-LV"/>
              </w:rPr>
              <w:t>(turpmāk – kapitālsabiedrība) ir valsts kapitālsabiedrība, kurā 100% kapitāla daļu turētāja ir Kultūras ministrija.</w:t>
            </w:r>
          </w:p>
          <w:p w:rsidR="00E26FA6" w:rsidRPr="005C2F56" w:rsidRDefault="00E26FA6" w:rsidP="002F5B05">
            <w:pPr>
              <w:pStyle w:val="Pamatteksts"/>
              <w:spacing w:after="0"/>
              <w:ind w:firstLine="505"/>
              <w:jc w:val="both"/>
              <w:rPr>
                <w:sz w:val="28"/>
                <w:szCs w:val="28"/>
                <w:lang w:val="lv-LV"/>
              </w:rPr>
            </w:pPr>
            <w:r w:rsidRPr="005C2F56">
              <w:rPr>
                <w:sz w:val="28"/>
                <w:szCs w:val="28"/>
                <w:lang w:val="lv-LV"/>
              </w:rPr>
              <w:t>Saskaņā ar Noteikumu Nr.1471 4.</w:t>
            </w:r>
            <w:r w:rsidR="00C26EA2" w:rsidRPr="005C2F56">
              <w:rPr>
                <w:sz w:val="28"/>
                <w:szCs w:val="28"/>
                <w:vertAlign w:val="superscript"/>
                <w:lang w:val="lv-LV"/>
              </w:rPr>
              <w:t>2</w:t>
            </w:r>
            <w:r w:rsidRPr="005C2F56">
              <w:rPr>
                <w:sz w:val="28"/>
                <w:szCs w:val="28"/>
                <w:lang w:val="lv-LV"/>
              </w:rPr>
              <w:t>punktu minimālo dividendēs izmaksājamo peļņas daļu par 201</w:t>
            </w:r>
            <w:r w:rsidR="00C656AB" w:rsidRPr="005C2F56">
              <w:rPr>
                <w:sz w:val="28"/>
                <w:szCs w:val="28"/>
                <w:lang w:val="lv-LV"/>
              </w:rPr>
              <w:t>3</w:t>
            </w:r>
            <w:r w:rsidRPr="005C2F56">
              <w:rPr>
                <w:sz w:val="28"/>
                <w:szCs w:val="28"/>
                <w:lang w:val="lv-LV"/>
              </w:rPr>
              <w:t xml:space="preserve">.gada pārskata gadu kapitālsabiedrībām, kurās visas kapitāla daļas tieši vai pastarpināti pieder valstij, nosaka un aprēķina 90 </w:t>
            </w:r>
            <w:r w:rsidR="00660EF1" w:rsidRPr="005C2F56">
              <w:rPr>
                <w:sz w:val="28"/>
                <w:szCs w:val="28"/>
                <w:lang w:val="lv-LV"/>
              </w:rPr>
              <w:t>%</w:t>
            </w:r>
            <w:r w:rsidRPr="005C2F56">
              <w:rPr>
                <w:sz w:val="28"/>
                <w:szCs w:val="28"/>
                <w:lang w:val="lv-LV"/>
              </w:rPr>
              <w:t xml:space="preserve"> apmērā no attiecīgās kapitālsabiedrības tīrās peļņas, ja valsts budžeta likumā kārtējam gadam nav noteikts citādi.</w:t>
            </w:r>
          </w:p>
          <w:p w:rsidR="00E26FA6" w:rsidRPr="005C2F56" w:rsidRDefault="00E26FA6" w:rsidP="002F5B05">
            <w:pPr>
              <w:spacing w:after="0" w:line="240" w:lineRule="auto"/>
              <w:ind w:firstLine="505"/>
              <w:jc w:val="both"/>
              <w:rPr>
                <w:sz w:val="28"/>
                <w:szCs w:val="28"/>
              </w:rPr>
            </w:pPr>
            <w:r w:rsidRPr="005C2F56">
              <w:rPr>
                <w:sz w:val="28"/>
                <w:szCs w:val="28"/>
              </w:rPr>
              <w:t>Kapitālsabiedrība 201</w:t>
            </w:r>
            <w:r w:rsidR="00637708" w:rsidRPr="005C2F56">
              <w:rPr>
                <w:sz w:val="28"/>
                <w:szCs w:val="28"/>
              </w:rPr>
              <w:t>4</w:t>
            </w:r>
            <w:r w:rsidRPr="005C2F56">
              <w:rPr>
                <w:sz w:val="28"/>
                <w:szCs w:val="28"/>
              </w:rPr>
              <w:t xml:space="preserve">.gadu ir noslēgusi ar </w:t>
            </w:r>
            <w:r w:rsidR="00C70ADD" w:rsidRPr="005C2F56">
              <w:rPr>
                <w:sz w:val="28"/>
                <w:szCs w:val="28"/>
              </w:rPr>
              <w:t xml:space="preserve">5 089 </w:t>
            </w:r>
            <w:proofErr w:type="spellStart"/>
            <w:r w:rsidR="00BE1791" w:rsidRPr="005C2F56">
              <w:rPr>
                <w:i/>
                <w:sz w:val="28"/>
                <w:szCs w:val="28"/>
              </w:rPr>
              <w:t>euro</w:t>
            </w:r>
            <w:proofErr w:type="spellEnd"/>
            <w:r w:rsidR="00BE1791" w:rsidRPr="005C2F56">
              <w:rPr>
                <w:sz w:val="28"/>
                <w:szCs w:val="28"/>
              </w:rPr>
              <w:t xml:space="preserve"> </w:t>
            </w:r>
            <w:r w:rsidRPr="005C2F56">
              <w:rPr>
                <w:sz w:val="28"/>
                <w:szCs w:val="28"/>
              </w:rPr>
              <w:t>peļņu. No minēt</w:t>
            </w:r>
            <w:r w:rsidR="00942982" w:rsidRPr="005C2F56">
              <w:rPr>
                <w:sz w:val="28"/>
                <w:szCs w:val="28"/>
              </w:rPr>
              <w:t>ās summas atbilstoši Noteikumu</w:t>
            </w:r>
            <w:r w:rsidRPr="005C2F56">
              <w:rPr>
                <w:sz w:val="28"/>
                <w:szCs w:val="28"/>
              </w:rPr>
              <w:t xml:space="preserve"> Nr.1471 </w:t>
            </w:r>
            <w:r w:rsidR="00480BBF" w:rsidRPr="005C2F56">
              <w:rPr>
                <w:sz w:val="28"/>
                <w:szCs w:val="28"/>
              </w:rPr>
              <w:t>4.</w:t>
            </w:r>
            <w:r w:rsidR="00C26EA2" w:rsidRPr="005C2F56">
              <w:rPr>
                <w:sz w:val="28"/>
                <w:szCs w:val="28"/>
                <w:vertAlign w:val="superscript"/>
              </w:rPr>
              <w:t>2</w:t>
            </w:r>
            <w:r w:rsidR="00480BBF" w:rsidRPr="005C2F56">
              <w:rPr>
                <w:sz w:val="28"/>
                <w:szCs w:val="28"/>
              </w:rPr>
              <w:t xml:space="preserve">punktam </w:t>
            </w:r>
            <w:r w:rsidRPr="005C2F56">
              <w:rPr>
                <w:sz w:val="28"/>
                <w:szCs w:val="28"/>
              </w:rPr>
              <w:t>valstij dividendēs izmaksājamā peļņa</w:t>
            </w:r>
            <w:r w:rsidR="00940F45" w:rsidRPr="005C2F56">
              <w:rPr>
                <w:sz w:val="28"/>
                <w:szCs w:val="28"/>
              </w:rPr>
              <w:t>s daļa (90</w:t>
            </w:r>
            <w:r w:rsidR="00637708" w:rsidRPr="005C2F56">
              <w:rPr>
                <w:sz w:val="28"/>
                <w:szCs w:val="28"/>
              </w:rPr>
              <w:t xml:space="preserve"> </w:t>
            </w:r>
            <w:r w:rsidR="00940F45" w:rsidRPr="005C2F56">
              <w:rPr>
                <w:sz w:val="28"/>
                <w:szCs w:val="28"/>
              </w:rPr>
              <w:t xml:space="preserve">% no peļņas) sastāda </w:t>
            </w:r>
            <w:r w:rsidR="00C70ADD" w:rsidRPr="005C2F56">
              <w:rPr>
                <w:sz w:val="28"/>
                <w:szCs w:val="28"/>
              </w:rPr>
              <w:t>4 580,10</w:t>
            </w:r>
            <w:r w:rsidR="00BE1791" w:rsidRPr="005C2F56">
              <w:rPr>
                <w:sz w:val="28"/>
                <w:szCs w:val="28"/>
              </w:rPr>
              <w:t xml:space="preserve"> </w:t>
            </w:r>
            <w:proofErr w:type="spellStart"/>
            <w:r w:rsidR="00BE1791" w:rsidRPr="005C2F56">
              <w:rPr>
                <w:i/>
                <w:sz w:val="28"/>
                <w:szCs w:val="28"/>
              </w:rPr>
              <w:t>euro</w:t>
            </w:r>
            <w:proofErr w:type="spellEnd"/>
            <w:r w:rsidRPr="005C2F56">
              <w:rPr>
                <w:sz w:val="28"/>
                <w:szCs w:val="28"/>
              </w:rPr>
              <w:t>.</w:t>
            </w:r>
          </w:p>
          <w:p w:rsidR="00B931C1" w:rsidRPr="005C2F56" w:rsidRDefault="00E26FA6" w:rsidP="0084708D">
            <w:pPr>
              <w:suppressAutoHyphens/>
              <w:spacing w:after="0" w:line="240" w:lineRule="auto"/>
              <w:ind w:firstLine="505"/>
              <w:jc w:val="both"/>
              <w:rPr>
                <w:sz w:val="28"/>
                <w:szCs w:val="28"/>
              </w:rPr>
            </w:pPr>
            <w:r w:rsidRPr="005C2F56">
              <w:rPr>
                <w:sz w:val="28"/>
                <w:szCs w:val="28"/>
              </w:rPr>
              <w:t>Noteikumu Nr.1471 5.</w:t>
            </w:r>
            <w:r w:rsidR="00A00263" w:rsidRPr="005C2F56">
              <w:rPr>
                <w:sz w:val="28"/>
                <w:szCs w:val="28"/>
              </w:rPr>
              <w:t>1.</w:t>
            </w:r>
            <w:r w:rsidRPr="005C2F56">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84708D" w:rsidRPr="005C2F56" w:rsidRDefault="0084708D" w:rsidP="0084708D">
            <w:pPr>
              <w:suppressAutoHyphens/>
              <w:spacing w:after="0" w:line="240" w:lineRule="auto"/>
              <w:ind w:firstLine="505"/>
              <w:jc w:val="both"/>
              <w:rPr>
                <w:bCs/>
                <w:sz w:val="28"/>
                <w:szCs w:val="28"/>
              </w:rPr>
            </w:pPr>
            <w:r w:rsidRPr="005C2F56">
              <w:rPr>
                <w:sz w:val="28"/>
                <w:szCs w:val="28"/>
              </w:rPr>
              <w:t>Projekts</w:t>
            </w:r>
            <w:r w:rsidRPr="005C2F56">
              <w:rPr>
                <w:b/>
                <w:sz w:val="28"/>
                <w:szCs w:val="28"/>
              </w:rPr>
              <w:t xml:space="preserve"> </w:t>
            </w:r>
            <w:r w:rsidRPr="005C2F56">
              <w:rPr>
                <w:sz w:val="28"/>
                <w:szCs w:val="28"/>
              </w:rPr>
              <w:t>pa</w:t>
            </w:r>
            <w:r w:rsidR="00C70ADD" w:rsidRPr="005C2F56">
              <w:rPr>
                <w:sz w:val="28"/>
                <w:szCs w:val="28"/>
              </w:rPr>
              <w:t>redz, ka kapitālsabiedrībai 2015</w:t>
            </w:r>
            <w:r w:rsidRPr="005C2F56">
              <w:rPr>
                <w:sz w:val="28"/>
                <w:szCs w:val="28"/>
              </w:rPr>
              <w:t xml:space="preserve">.gadā </w:t>
            </w:r>
            <w:r w:rsidRPr="005C2F56">
              <w:rPr>
                <w:bCs/>
                <w:sz w:val="28"/>
                <w:szCs w:val="28"/>
              </w:rPr>
              <w:t>nav jāmak</w:t>
            </w:r>
            <w:r w:rsidR="00C70ADD" w:rsidRPr="005C2F56">
              <w:rPr>
                <w:bCs/>
                <w:sz w:val="28"/>
                <w:szCs w:val="28"/>
              </w:rPr>
              <w:t>sā dividendes no peļņas par 2014</w:t>
            </w:r>
            <w:r w:rsidRPr="005C2F56">
              <w:rPr>
                <w:bCs/>
                <w:sz w:val="28"/>
                <w:szCs w:val="28"/>
              </w:rPr>
              <w:t>.gadu.</w:t>
            </w:r>
          </w:p>
          <w:p w:rsidR="0084708D" w:rsidRPr="005C2F56" w:rsidRDefault="0084708D" w:rsidP="0084708D">
            <w:pPr>
              <w:spacing w:after="0" w:line="240" w:lineRule="auto"/>
              <w:ind w:firstLine="505"/>
              <w:jc w:val="both"/>
              <w:rPr>
                <w:sz w:val="28"/>
                <w:szCs w:val="28"/>
              </w:rPr>
            </w:pPr>
            <w:r w:rsidRPr="005C2F56">
              <w:rPr>
                <w:sz w:val="28"/>
                <w:szCs w:val="28"/>
              </w:rPr>
              <w:lastRenderedPageBreak/>
              <w:t>Atbilstoši Noteikumu Nr.1471 5.1.punktam Kultūras ministrija par Projektu sniedz šādu ekonomisko pamatojumu.</w:t>
            </w:r>
          </w:p>
          <w:p w:rsidR="0084708D" w:rsidRPr="005C2F56" w:rsidRDefault="0084708D" w:rsidP="0084708D">
            <w:pPr>
              <w:spacing w:after="0" w:line="240" w:lineRule="auto"/>
              <w:ind w:firstLine="505"/>
              <w:jc w:val="both"/>
              <w:rPr>
                <w:sz w:val="28"/>
                <w:szCs w:val="28"/>
              </w:rPr>
            </w:pPr>
            <w:r w:rsidRPr="005C2F56">
              <w:rPr>
                <w:sz w:val="28"/>
                <w:szCs w:val="28"/>
              </w:rPr>
              <w:t>Dalībnieku sapulce ir pieņēmusi lēmumu par kapitālsabiedrības gada pārskata apstiprināšanu –</w:t>
            </w:r>
            <w:proofErr w:type="gramStart"/>
            <w:r w:rsidRPr="005C2F56">
              <w:rPr>
                <w:sz w:val="28"/>
                <w:szCs w:val="28"/>
              </w:rPr>
              <w:t xml:space="preserve">  </w:t>
            </w:r>
            <w:proofErr w:type="gramEnd"/>
            <w:r w:rsidRPr="005C2F56">
              <w:rPr>
                <w:sz w:val="28"/>
                <w:szCs w:val="28"/>
              </w:rPr>
              <w:t>dalībnieku sapulces 201</w:t>
            </w:r>
            <w:r w:rsidR="00C70ADD" w:rsidRPr="005C2F56">
              <w:rPr>
                <w:sz w:val="28"/>
                <w:szCs w:val="28"/>
              </w:rPr>
              <w:t>5</w:t>
            </w:r>
            <w:r w:rsidRPr="005C2F56">
              <w:rPr>
                <w:sz w:val="28"/>
                <w:szCs w:val="28"/>
              </w:rPr>
              <w:t xml:space="preserve">.gada </w:t>
            </w:r>
            <w:r w:rsidR="00C70ADD" w:rsidRPr="005C2F56">
              <w:rPr>
                <w:sz w:val="28"/>
                <w:szCs w:val="28"/>
              </w:rPr>
              <w:t>24</w:t>
            </w:r>
            <w:r w:rsidRPr="005C2F56">
              <w:rPr>
                <w:sz w:val="28"/>
                <w:szCs w:val="28"/>
              </w:rPr>
              <w:t xml:space="preserve">.aprīļa protokols un </w:t>
            </w:r>
            <w:r w:rsidR="00C70ADD" w:rsidRPr="005C2F56">
              <w:rPr>
                <w:sz w:val="28"/>
                <w:szCs w:val="28"/>
              </w:rPr>
              <w:t>2015</w:t>
            </w:r>
            <w:r w:rsidR="00C656AB" w:rsidRPr="005C2F56">
              <w:rPr>
                <w:sz w:val="28"/>
                <w:szCs w:val="28"/>
              </w:rPr>
              <w:t xml:space="preserve">.gada </w:t>
            </w:r>
            <w:r w:rsidR="00C70ADD" w:rsidRPr="005C2F56">
              <w:rPr>
                <w:sz w:val="28"/>
                <w:szCs w:val="28"/>
              </w:rPr>
              <w:t>24</w:t>
            </w:r>
            <w:r w:rsidRPr="005C2F56">
              <w:rPr>
                <w:sz w:val="28"/>
                <w:szCs w:val="28"/>
              </w:rPr>
              <w:t>.aprīļa lēmums Nr.5.1-3-</w:t>
            </w:r>
            <w:r w:rsidR="00C70ADD" w:rsidRPr="005C2F56">
              <w:rPr>
                <w:sz w:val="28"/>
                <w:szCs w:val="28"/>
              </w:rPr>
              <w:t>2</w:t>
            </w:r>
            <w:r w:rsidR="00C656AB" w:rsidRPr="005C2F56">
              <w:rPr>
                <w:sz w:val="28"/>
                <w:szCs w:val="28"/>
              </w:rPr>
              <w:t>3</w:t>
            </w:r>
            <w:r w:rsidRPr="005C2F56">
              <w:rPr>
                <w:sz w:val="28"/>
                <w:szCs w:val="28"/>
              </w:rPr>
              <w:t>, ar kuru apstiprināts valsts kapitālsabiedrības 2</w:t>
            </w:r>
            <w:r w:rsidR="00C70ADD" w:rsidRPr="005C2F56">
              <w:rPr>
                <w:sz w:val="28"/>
                <w:szCs w:val="28"/>
              </w:rPr>
              <w:t>014</w:t>
            </w:r>
            <w:r w:rsidRPr="005C2F56">
              <w:rPr>
                <w:sz w:val="28"/>
                <w:szCs w:val="28"/>
              </w:rPr>
              <w:t>.gada pārskats un pieņemts lēmums priekšlikumu par atšķirīgas dividendēs izmaksājamās peļņas daļu virzīt izskatīšanai Ministru kabinetā. Līdz ar to šobrīd lē</w:t>
            </w:r>
            <w:r w:rsidR="00C70ADD" w:rsidRPr="005C2F56">
              <w:rPr>
                <w:sz w:val="28"/>
                <w:szCs w:val="28"/>
              </w:rPr>
              <w:t>mums par kapitālsabiedrības 2014</w:t>
            </w:r>
            <w:r w:rsidRPr="005C2F56">
              <w:rPr>
                <w:sz w:val="28"/>
                <w:szCs w:val="28"/>
              </w:rPr>
              <w:t>.gada peļņas sadali nav pieņ</w:t>
            </w:r>
            <w:r w:rsidR="00C70ADD" w:rsidRPr="005C2F56">
              <w:rPr>
                <w:sz w:val="28"/>
                <w:szCs w:val="28"/>
              </w:rPr>
              <w:t>emts un peļņa nav sadalīta. 2014</w:t>
            </w:r>
            <w:r w:rsidRPr="005C2F56">
              <w:rPr>
                <w:sz w:val="28"/>
                <w:szCs w:val="28"/>
              </w:rPr>
              <w:t>.gada nesadalītā peļņa atbilstoši Gada pārskatu likuma 20.pantam ir ietverta attiecīgā pārskata gada bilances postenī „P</w:t>
            </w:r>
            <w:r w:rsidR="007A4F11" w:rsidRPr="005C2F56">
              <w:rPr>
                <w:sz w:val="28"/>
                <w:szCs w:val="28"/>
              </w:rPr>
              <w:t>ārskata gada nesadalītā peļņa”.</w:t>
            </w:r>
          </w:p>
          <w:p w:rsidR="007A4F11" w:rsidRPr="005C2F56" w:rsidRDefault="007A4F11" w:rsidP="007A4F11">
            <w:pPr>
              <w:spacing w:after="0" w:line="240" w:lineRule="auto"/>
              <w:ind w:firstLine="507"/>
              <w:jc w:val="both"/>
              <w:rPr>
                <w:sz w:val="28"/>
                <w:szCs w:val="28"/>
              </w:rPr>
            </w:pPr>
            <w:r w:rsidRPr="005C2F56">
              <w:rPr>
                <w:sz w:val="28"/>
                <w:szCs w:val="28"/>
              </w:rPr>
              <w:t>Kapitālsabiedrības 2014.gada darbību raksturojošie rādītāji:</w:t>
            </w:r>
          </w:p>
          <w:p w:rsidR="007A4F11" w:rsidRPr="005C2F56" w:rsidRDefault="007A4F11" w:rsidP="0084708D">
            <w:pPr>
              <w:spacing w:after="0" w:line="240" w:lineRule="auto"/>
              <w:ind w:firstLine="505"/>
              <w:jc w:val="both"/>
              <w:rPr>
                <w:sz w:val="28"/>
                <w:szCs w:val="28"/>
              </w:rPr>
            </w:pPr>
          </w:p>
          <w:tbl>
            <w:tblPr>
              <w:tblW w:w="5777" w:type="dxa"/>
              <w:tblLook w:val="04A0"/>
            </w:tblPr>
            <w:tblGrid>
              <w:gridCol w:w="706"/>
              <w:gridCol w:w="3654"/>
              <w:gridCol w:w="1417"/>
            </w:tblGrid>
            <w:tr w:rsidR="007A4F11" w:rsidRPr="005C2F56" w:rsidTr="005C2F56">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1.</w:t>
                  </w:r>
                </w:p>
              </w:tc>
              <w:tc>
                <w:tcPr>
                  <w:tcW w:w="3654" w:type="dxa"/>
                  <w:tcBorders>
                    <w:top w:val="single" w:sz="4" w:space="0" w:color="auto"/>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Bilances radītāji (uz gada beigām)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1.1.</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Aktīvi kopā</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726 671</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1.2.</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Pašu kapitāls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53 898</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r w:rsidRPr="005C2F56">
                    <w:rPr>
                      <w:rFonts w:eastAsia="Times New Roman"/>
                      <w:i/>
                      <w:iCs/>
                      <w:color w:val="000000"/>
                      <w:sz w:val="28"/>
                      <w:szCs w:val="28"/>
                      <w:lang w:eastAsia="lv-LV"/>
                    </w:rPr>
                    <w:t> </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r w:rsidRPr="005C2F56">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1.3.</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pamatkapitāls (akciju kapitāls)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2 846</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 </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r w:rsidRPr="005C2F56">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1.4.</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valsts kapitāls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2 846</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2.</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5C2F56" w:rsidP="005C2F56">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Peļņas, zaudējumu apgrozījuma rādītāji (</w:t>
                  </w:r>
                  <w:r w:rsidR="007A4F11" w:rsidRPr="005C2F56">
                    <w:rPr>
                      <w:rFonts w:eastAsia="Times New Roman"/>
                      <w:b/>
                      <w:bCs/>
                      <w:color w:val="000000"/>
                      <w:sz w:val="28"/>
                      <w:szCs w:val="28"/>
                      <w:lang w:eastAsia="lv-LV"/>
                    </w:rPr>
                    <w:t>PZA</w:t>
                  </w:r>
                  <w:r w:rsidRPr="005C2F56">
                    <w:rPr>
                      <w:rFonts w:eastAsia="Times New Roman"/>
                      <w:b/>
                      <w:bCs/>
                      <w:color w:val="000000"/>
                      <w:sz w:val="28"/>
                      <w:szCs w:val="28"/>
                      <w:lang w:eastAsia="lv-LV"/>
                    </w:rPr>
                    <w:t>)</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2.1.</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Ieņēmumi</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2 200 654</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r w:rsidRPr="005C2F56">
                    <w:rPr>
                      <w:rFonts w:eastAsia="Times New Roman"/>
                      <w:i/>
                      <w:iCs/>
                      <w:color w:val="000000"/>
                      <w:sz w:val="28"/>
                      <w:szCs w:val="28"/>
                      <w:lang w:eastAsia="lv-LV"/>
                    </w:rPr>
                    <w:t> </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r w:rsidRPr="005C2F56">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i/>
                      <w:iCs/>
                      <w:color w:val="000000"/>
                      <w:sz w:val="28"/>
                      <w:szCs w:val="28"/>
                      <w:lang w:eastAsia="lv-LV"/>
                    </w:rPr>
                  </w:pPr>
                </w:p>
              </w:tc>
            </w:tr>
            <w:tr w:rsidR="007A4F11" w:rsidRPr="005C2F56" w:rsidTr="005C2F56">
              <w:trPr>
                <w:trHeight w:val="465"/>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2.2.</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Apgrozījums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528 325</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2.3.</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Pārējie ieņēmumi</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1 672 329</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2.4.</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Izmaksas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2 195 504</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2.5.</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Bruto peļņa (</w:t>
                  </w:r>
                  <w:r w:rsidR="007A4F11" w:rsidRPr="005C2F56">
                    <w:rPr>
                      <w:rFonts w:eastAsia="Times New Roman"/>
                      <w:color w:val="000000"/>
                      <w:sz w:val="28"/>
                      <w:szCs w:val="28"/>
                      <w:lang w:eastAsia="lv-LV"/>
                    </w:rPr>
                    <w:t>EBITDA</w:t>
                  </w:r>
                  <w:r w:rsidRPr="005C2F56">
                    <w:rPr>
                      <w:rFonts w:eastAsia="Times New Roman"/>
                      <w:color w:val="000000"/>
                      <w:sz w:val="28"/>
                      <w:szCs w:val="28"/>
                      <w:lang w:eastAsia="lv-LV"/>
                    </w:rPr>
                    <w:t>)</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5 150</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2.6.</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Neto peļņa/zaudējumi</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5 089</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3.</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r w:rsidRPr="005C2F56">
                    <w:rPr>
                      <w:rFonts w:eastAsia="Times New Roman"/>
                      <w:b/>
                      <w:bCs/>
                      <w:color w:val="000000"/>
                      <w:sz w:val="28"/>
                      <w:szCs w:val="28"/>
                      <w:lang w:eastAsia="lv-LV"/>
                    </w:rPr>
                    <w:t>Finanšu rādītāji (%)</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b/>
                      <w:bCs/>
                      <w:color w:val="000000"/>
                      <w:sz w:val="28"/>
                      <w:szCs w:val="28"/>
                      <w:lang w:eastAsia="lv-LV"/>
                    </w:rPr>
                  </w:pP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3.1.</w:t>
                  </w:r>
                </w:p>
              </w:tc>
              <w:tc>
                <w:tcPr>
                  <w:tcW w:w="3654" w:type="dxa"/>
                  <w:tcBorders>
                    <w:top w:val="nil"/>
                    <w:left w:val="nil"/>
                    <w:bottom w:val="single" w:sz="4" w:space="0" w:color="auto"/>
                    <w:right w:val="single" w:sz="4" w:space="0" w:color="auto"/>
                  </w:tcBorders>
                  <w:shd w:val="clear" w:color="000000" w:fill="FFFFFF"/>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Pašu kapitāla atdeve (ROE)</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9.4%</w:t>
                  </w:r>
                </w:p>
              </w:tc>
            </w:tr>
            <w:tr w:rsidR="007A4F11" w:rsidRPr="005C2F56" w:rsidTr="005C2F56">
              <w:trPr>
                <w:trHeight w:val="3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3.2.</w:t>
                  </w:r>
                </w:p>
              </w:tc>
              <w:tc>
                <w:tcPr>
                  <w:tcW w:w="3654" w:type="dxa"/>
                  <w:tcBorders>
                    <w:top w:val="nil"/>
                    <w:left w:val="nil"/>
                    <w:bottom w:val="single" w:sz="4" w:space="0" w:color="auto"/>
                    <w:right w:val="single" w:sz="4" w:space="0" w:color="auto"/>
                  </w:tcBorders>
                  <w:shd w:val="clear" w:color="000000" w:fill="FFFFFF"/>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Aktīvu atdeve (ROA)</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0.7%</w:t>
                  </w:r>
                </w:p>
              </w:tc>
            </w:tr>
            <w:tr w:rsidR="007A4F11" w:rsidRPr="005C2F56" w:rsidTr="005C2F56">
              <w:trPr>
                <w:trHeight w:val="6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3.3.</w:t>
                  </w:r>
                </w:p>
              </w:tc>
              <w:tc>
                <w:tcPr>
                  <w:tcW w:w="3654" w:type="dxa"/>
                  <w:tcBorders>
                    <w:top w:val="nil"/>
                    <w:left w:val="nil"/>
                    <w:bottom w:val="single" w:sz="4" w:space="0" w:color="auto"/>
                    <w:right w:val="single" w:sz="4" w:space="0" w:color="auto"/>
                  </w:tcBorders>
                  <w:shd w:val="clear" w:color="000000" w:fill="FFFFFF"/>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EBITDA rentabilitāte (EBITDA/apgrozījums)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7A4F11"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1.0%</w:t>
                  </w:r>
                </w:p>
              </w:tc>
            </w:tr>
            <w:tr w:rsidR="005C2F56" w:rsidRPr="005C2F56" w:rsidTr="005C2F56">
              <w:trPr>
                <w:trHeight w:val="60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5C2F56"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lastRenderedPageBreak/>
                    <w:t>3.4.</w:t>
                  </w:r>
                </w:p>
              </w:tc>
              <w:tc>
                <w:tcPr>
                  <w:tcW w:w="3654" w:type="dxa"/>
                  <w:tcBorders>
                    <w:top w:val="nil"/>
                    <w:left w:val="nil"/>
                    <w:bottom w:val="single" w:sz="4" w:space="0" w:color="auto"/>
                    <w:right w:val="single" w:sz="4" w:space="0" w:color="auto"/>
                  </w:tcBorders>
                  <w:shd w:val="clear" w:color="000000" w:fill="FFFFFF"/>
                  <w:vAlign w:val="bottom"/>
                  <w:hideMark/>
                </w:tcPr>
                <w:p w:rsidR="005C2F56"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Pašu kapitāls/Aktīvi</w:t>
                  </w:r>
                </w:p>
              </w:tc>
              <w:tc>
                <w:tcPr>
                  <w:tcW w:w="1417" w:type="dxa"/>
                  <w:tcBorders>
                    <w:top w:val="nil"/>
                    <w:left w:val="nil"/>
                    <w:bottom w:val="single" w:sz="4" w:space="0" w:color="auto"/>
                    <w:right w:val="single" w:sz="4" w:space="0" w:color="auto"/>
                  </w:tcBorders>
                  <w:shd w:val="clear" w:color="auto" w:fill="auto"/>
                  <w:vAlign w:val="bottom"/>
                  <w:hideMark/>
                </w:tcPr>
                <w:p w:rsidR="005C2F56"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7.4%</w:t>
                  </w:r>
                </w:p>
              </w:tc>
            </w:tr>
            <w:tr w:rsidR="007A4F11" w:rsidRPr="005C2F56" w:rsidTr="005C2F56">
              <w:trPr>
                <w:trHeight w:val="33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7A4F11"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3.5.</w:t>
                  </w:r>
                </w:p>
              </w:tc>
              <w:tc>
                <w:tcPr>
                  <w:tcW w:w="3654" w:type="dxa"/>
                  <w:tcBorders>
                    <w:top w:val="nil"/>
                    <w:left w:val="nil"/>
                    <w:bottom w:val="single" w:sz="4" w:space="0" w:color="auto"/>
                    <w:right w:val="single" w:sz="4" w:space="0" w:color="auto"/>
                  </w:tcBorders>
                  <w:shd w:val="clear" w:color="auto" w:fill="auto"/>
                  <w:vAlign w:val="bottom"/>
                  <w:hideMark/>
                </w:tcPr>
                <w:p w:rsidR="007A4F11"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Kopējās likviditātes rādītājs</w:t>
                  </w:r>
                </w:p>
              </w:tc>
              <w:tc>
                <w:tcPr>
                  <w:tcW w:w="1417" w:type="dxa"/>
                  <w:tcBorders>
                    <w:top w:val="nil"/>
                    <w:left w:val="nil"/>
                    <w:bottom w:val="single" w:sz="4" w:space="0" w:color="auto"/>
                    <w:right w:val="single" w:sz="4" w:space="0" w:color="auto"/>
                  </w:tcBorders>
                  <w:shd w:val="clear" w:color="auto" w:fill="auto"/>
                  <w:vAlign w:val="bottom"/>
                  <w:hideMark/>
                </w:tcPr>
                <w:p w:rsidR="007A4F11" w:rsidRPr="005C2F56" w:rsidRDefault="005C2F56" w:rsidP="007A4F11">
                  <w:pPr>
                    <w:spacing w:after="0" w:line="240" w:lineRule="auto"/>
                    <w:rPr>
                      <w:rFonts w:eastAsia="Times New Roman"/>
                      <w:color w:val="000000"/>
                      <w:sz w:val="28"/>
                      <w:szCs w:val="28"/>
                      <w:lang w:eastAsia="lv-LV"/>
                    </w:rPr>
                  </w:pPr>
                  <w:r w:rsidRPr="005C2F56">
                    <w:rPr>
                      <w:rFonts w:eastAsia="Times New Roman"/>
                      <w:color w:val="000000"/>
                      <w:sz w:val="28"/>
                      <w:szCs w:val="28"/>
                      <w:lang w:eastAsia="lv-LV"/>
                    </w:rPr>
                    <w:t>0.78%</w:t>
                  </w:r>
                </w:p>
              </w:tc>
            </w:tr>
          </w:tbl>
          <w:p w:rsidR="007A4F11" w:rsidRPr="005C2F56" w:rsidRDefault="007A4F11" w:rsidP="0084708D">
            <w:pPr>
              <w:spacing w:after="0" w:line="240" w:lineRule="auto"/>
              <w:ind w:firstLine="505"/>
              <w:jc w:val="both"/>
              <w:rPr>
                <w:sz w:val="28"/>
                <w:szCs w:val="28"/>
              </w:rPr>
            </w:pPr>
          </w:p>
          <w:p w:rsidR="0084708D" w:rsidRPr="005C2F56" w:rsidRDefault="0084708D" w:rsidP="0084708D">
            <w:pPr>
              <w:spacing w:after="0" w:line="240" w:lineRule="auto"/>
              <w:ind w:firstLine="507"/>
              <w:jc w:val="both"/>
              <w:rPr>
                <w:sz w:val="28"/>
                <w:szCs w:val="28"/>
              </w:rPr>
            </w:pPr>
            <w:r w:rsidRPr="005C2F56">
              <w:rPr>
                <w:sz w:val="28"/>
                <w:szCs w:val="28"/>
              </w:rPr>
              <w:t>Ņemot vērā kapitālsabiedrības izteikt</w:t>
            </w:r>
            <w:r w:rsidR="00C70ADD" w:rsidRPr="005C2F56">
              <w:rPr>
                <w:sz w:val="28"/>
                <w:szCs w:val="28"/>
              </w:rPr>
              <w:t>o lūgumu kapitālsabiedrības 2014</w:t>
            </w:r>
            <w:r w:rsidRPr="005C2F56">
              <w:rPr>
                <w:sz w:val="28"/>
                <w:szCs w:val="28"/>
              </w:rPr>
              <w:t>.pārskata gada peļņu atstāt nesadalītu, tika izvērtēta kapitālsabiedrības darbība, attīstības iespējas un konkurētspēja, kā arī izvērtēta ie</w:t>
            </w:r>
            <w:r w:rsidR="00C70ADD" w:rsidRPr="005C2F56">
              <w:rPr>
                <w:sz w:val="28"/>
                <w:szCs w:val="28"/>
              </w:rPr>
              <w:t>tekme, ja kapitālsabiedrība 2015</w:t>
            </w:r>
            <w:r w:rsidRPr="005C2F56">
              <w:rPr>
                <w:sz w:val="28"/>
                <w:szCs w:val="28"/>
              </w:rPr>
              <w:t>.gadā veic valsts budžetā valstij piekritīgas peļ</w:t>
            </w:r>
            <w:r w:rsidR="00C70ADD" w:rsidRPr="005C2F56">
              <w:rPr>
                <w:sz w:val="28"/>
                <w:szCs w:val="28"/>
              </w:rPr>
              <w:t>ņas daļas pārskaitīšanu par 2014</w:t>
            </w:r>
            <w:r w:rsidRPr="005C2F56">
              <w:rPr>
                <w:sz w:val="28"/>
                <w:szCs w:val="28"/>
              </w:rPr>
              <w:t>.pārskata gadu – kopā </w:t>
            </w:r>
            <w:r w:rsidR="00C70ADD" w:rsidRPr="005C2F56">
              <w:rPr>
                <w:sz w:val="28"/>
                <w:szCs w:val="28"/>
              </w:rPr>
              <w:t xml:space="preserve">4 580,10 </w:t>
            </w:r>
            <w:proofErr w:type="spellStart"/>
            <w:r w:rsidRPr="005C2F56">
              <w:rPr>
                <w:i/>
                <w:sz w:val="28"/>
                <w:szCs w:val="28"/>
              </w:rPr>
              <w:t>euro</w:t>
            </w:r>
            <w:proofErr w:type="spellEnd"/>
            <w:r w:rsidRPr="005C2F56">
              <w:rPr>
                <w:sz w:val="28"/>
                <w:szCs w:val="28"/>
              </w:rPr>
              <w:t xml:space="preserve"> apmērā. </w:t>
            </w:r>
          </w:p>
          <w:p w:rsidR="00482A88" w:rsidRPr="005C2F56" w:rsidRDefault="00C70ADD" w:rsidP="00482A88">
            <w:pPr>
              <w:spacing w:after="0" w:line="240" w:lineRule="auto"/>
              <w:ind w:firstLine="507"/>
              <w:jc w:val="both"/>
              <w:rPr>
                <w:sz w:val="28"/>
                <w:szCs w:val="28"/>
              </w:rPr>
            </w:pPr>
            <w:r w:rsidRPr="005C2F56">
              <w:rPr>
                <w:sz w:val="28"/>
                <w:szCs w:val="28"/>
              </w:rPr>
              <w:t>Kapitālsabiedrības 2014</w:t>
            </w:r>
            <w:r w:rsidR="00482A88" w:rsidRPr="005C2F56">
              <w:rPr>
                <w:sz w:val="28"/>
                <w:szCs w:val="28"/>
              </w:rPr>
              <w:t>.gada budžetā nebija p</w:t>
            </w:r>
            <w:r w:rsidRPr="005C2F56">
              <w:rPr>
                <w:sz w:val="28"/>
                <w:szCs w:val="28"/>
              </w:rPr>
              <w:t>ietiekami</w:t>
            </w:r>
            <w:r w:rsidR="00482A88" w:rsidRPr="005C2F56">
              <w:rPr>
                <w:sz w:val="28"/>
                <w:szCs w:val="28"/>
              </w:rPr>
              <w:t xml:space="preserve"> līdzekļi materiāli tehniskās bāzes uzlabošanai, jo valsts budžeta </w:t>
            </w:r>
            <w:r w:rsidRPr="005C2F56">
              <w:rPr>
                <w:sz w:val="28"/>
                <w:szCs w:val="28"/>
              </w:rPr>
              <w:t>dotācija kapitālsabiedrībai 2014</w:t>
            </w:r>
            <w:r w:rsidR="00482A88" w:rsidRPr="005C2F56">
              <w:rPr>
                <w:sz w:val="28"/>
                <w:szCs w:val="28"/>
              </w:rPr>
              <w:t>.gadā nodrošināja tikai štata darbinieku algu izmaksu un</w:t>
            </w:r>
            <w:r w:rsidRPr="005C2F56">
              <w:rPr>
                <w:sz w:val="28"/>
                <w:szCs w:val="28"/>
              </w:rPr>
              <w:t xml:space="preserve"> nodokļu samaksu valsts budžetā, kā arī daļēju materiāli tehniskās bāzes uzturēšanas un uzlabošanas izdevumu segšanu. Kapitālsabiedrība 2014.gadā nodokļos valsts budžetā ir samaksājusi </w:t>
            </w:r>
            <w:r w:rsidR="004F2032" w:rsidRPr="005C2F56">
              <w:rPr>
                <w:sz w:val="28"/>
                <w:szCs w:val="28"/>
              </w:rPr>
              <w:t xml:space="preserve">726 985 </w:t>
            </w:r>
            <w:proofErr w:type="spellStart"/>
            <w:r w:rsidR="004F2032" w:rsidRPr="005C2F56">
              <w:rPr>
                <w:i/>
                <w:sz w:val="28"/>
                <w:szCs w:val="28"/>
              </w:rPr>
              <w:t>euro</w:t>
            </w:r>
            <w:proofErr w:type="spellEnd"/>
            <w:r w:rsidR="004F2032" w:rsidRPr="005C2F56">
              <w:rPr>
                <w:sz w:val="28"/>
                <w:szCs w:val="28"/>
              </w:rPr>
              <w:t xml:space="preserve">, kas ir 44 % </w:t>
            </w:r>
            <w:r w:rsidRPr="005C2F56">
              <w:rPr>
                <w:sz w:val="28"/>
                <w:szCs w:val="28"/>
              </w:rPr>
              <w:t>no valsts budžeta dotācijas.</w:t>
            </w:r>
            <w:r w:rsidR="00482A88" w:rsidRPr="005C2F56">
              <w:rPr>
                <w:sz w:val="28"/>
                <w:szCs w:val="28"/>
              </w:rPr>
              <w:t xml:space="preserve"> Līdz ar to materiāli tehniskās bāzes uzlabošanu </w:t>
            </w:r>
            <w:r w:rsidR="00960F57" w:rsidRPr="005C2F56">
              <w:rPr>
                <w:sz w:val="28"/>
                <w:szCs w:val="28"/>
              </w:rPr>
              <w:t xml:space="preserve">kapitālsabiedrībai </w:t>
            </w:r>
            <w:r w:rsidR="00482A88" w:rsidRPr="005C2F56">
              <w:rPr>
                <w:sz w:val="28"/>
                <w:szCs w:val="28"/>
              </w:rPr>
              <w:t xml:space="preserve">jāveic </w:t>
            </w:r>
            <w:r w:rsidRPr="005C2F56">
              <w:rPr>
                <w:sz w:val="28"/>
                <w:szCs w:val="28"/>
              </w:rPr>
              <w:t xml:space="preserve">galvenokārt </w:t>
            </w:r>
            <w:r w:rsidR="00482A88" w:rsidRPr="005C2F56">
              <w:rPr>
                <w:sz w:val="28"/>
                <w:szCs w:val="28"/>
              </w:rPr>
              <w:t xml:space="preserve">no pašu ieņēmumiem. </w:t>
            </w:r>
            <w:r w:rsidR="0019276D" w:rsidRPr="005C2F56">
              <w:rPr>
                <w:sz w:val="28"/>
                <w:szCs w:val="28"/>
              </w:rPr>
              <w:t xml:space="preserve">Kultūras ministrija ir veikusi kapitālsabiedrību neatliekamo izdevumu apkopojumu 2015.-2018.gadam. 2015.gadā kapitālsabiedrības materiāli tehniskās bāzes sakārtošanai un pilnveidei nepieciešami 177 800 </w:t>
            </w:r>
            <w:proofErr w:type="spellStart"/>
            <w:r w:rsidR="0019276D" w:rsidRPr="005C2F56">
              <w:rPr>
                <w:i/>
                <w:sz w:val="28"/>
                <w:szCs w:val="28"/>
              </w:rPr>
              <w:t>euro</w:t>
            </w:r>
            <w:proofErr w:type="spellEnd"/>
            <w:r w:rsidR="0019276D" w:rsidRPr="005C2F56">
              <w:rPr>
                <w:sz w:val="28"/>
                <w:szCs w:val="28"/>
              </w:rPr>
              <w:t xml:space="preserve">. </w:t>
            </w:r>
            <w:r w:rsidR="00482A88" w:rsidRPr="005C2F56">
              <w:rPr>
                <w:sz w:val="28"/>
                <w:szCs w:val="28"/>
              </w:rPr>
              <w:t>Ņemot vērā iepriekš mi</w:t>
            </w:r>
            <w:r w:rsidRPr="005C2F56">
              <w:rPr>
                <w:sz w:val="28"/>
                <w:szCs w:val="28"/>
              </w:rPr>
              <w:t>nēto, dividenžu izmaksa par 2014.pārskata gadu ietekmēs 2015</w:t>
            </w:r>
            <w:r w:rsidR="00482A88" w:rsidRPr="005C2F56">
              <w:rPr>
                <w:sz w:val="28"/>
                <w:szCs w:val="28"/>
              </w:rPr>
              <w:t>.gadā kapitālsabiedrības pamatdarbības nodrošināšanai nepieciešamo finansējumu.</w:t>
            </w:r>
          </w:p>
          <w:p w:rsidR="00F32ECD" w:rsidRPr="005C2F56" w:rsidRDefault="00F32ECD" w:rsidP="00F32ECD">
            <w:pPr>
              <w:spacing w:after="0" w:line="240" w:lineRule="auto"/>
              <w:ind w:firstLine="505"/>
              <w:jc w:val="both"/>
              <w:rPr>
                <w:sz w:val="28"/>
                <w:szCs w:val="28"/>
              </w:rPr>
            </w:pPr>
            <w:r w:rsidRPr="005C2F56">
              <w:rPr>
                <w:sz w:val="28"/>
                <w:szCs w:val="28"/>
              </w:rPr>
              <w:t xml:space="preserve">Kapitālsabiedrība līdz šim nav varējusi pilnvērtīgi nodrošināt mūziķus ar nepieciešamajiem mūzikas instrumentiem. Vairākās orķestra instrumentu grupās (klarnešu, fagotu, trombonu u.c.) darbam tiek izmantoti mūzikas instrumenti, kas nepieder kapitālsabiedrībai. Līdz ar to primāri nākas rēķināties ar citu orķestru interesēm, kuriem pieder šie mūzikas instrumenti. Tas savukārt būtiski pasliktina kapitālsabiedrības konkurētspēju tirgus apstākļos. Šobrīd īpaši aktuāla ir trombona iegāde, jo trombonu grupas mūziķis, kurš ir pārtraucis darba tiesiskās attiecības ar VSIA „Liepājas Simfoniskais orķestris”, vairs nevarēs izmantot šim orķestrim piederošo </w:t>
            </w:r>
            <w:r w:rsidRPr="005C2F56">
              <w:rPr>
                <w:sz w:val="28"/>
                <w:szCs w:val="28"/>
              </w:rPr>
              <w:lastRenderedPageBreak/>
              <w:t>instrumentu.</w:t>
            </w:r>
            <w:r w:rsidR="008A0233" w:rsidRPr="005C2F56">
              <w:t xml:space="preserve"> </w:t>
            </w:r>
            <w:r w:rsidR="008A0233" w:rsidRPr="005C2F56">
              <w:rPr>
                <w:sz w:val="28"/>
                <w:szCs w:val="28"/>
              </w:rPr>
              <w:t xml:space="preserve">Trombona vidējā cena ir 5700 </w:t>
            </w:r>
            <w:proofErr w:type="spellStart"/>
            <w:r w:rsidR="008A0233" w:rsidRPr="005C2F56">
              <w:rPr>
                <w:i/>
                <w:sz w:val="28"/>
                <w:szCs w:val="28"/>
              </w:rPr>
              <w:t>euro</w:t>
            </w:r>
            <w:proofErr w:type="spellEnd"/>
            <w:r w:rsidR="008A0233" w:rsidRPr="005C2F56">
              <w:rPr>
                <w:sz w:val="28"/>
                <w:szCs w:val="28"/>
              </w:rPr>
              <w:t>.</w:t>
            </w:r>
          </w:p>
          <w:p w:rsidR="00482A88" w:rsidRPr="005C2F56" w:rsidRDefault="00482A88" w:rsidP="00C70ADD">
            <w:pPr>
              <w:spacing w:after="0" w:line="240" w:lineRule="auto"/>
              <w:ind w:firstLine="507"/>
              <w:jc w:val="both"/>
              <w:rPr>
                <w:sz w:val="28"/>
                <w:szCs w:val="28"/>
              </w:rPr>
            </w:pPr>
            <w:r w:rsidRPr="005C2F56">
              <w:rPr>
                <w:sz w:val="28"/>
                <w:szCs w:val="28"/>
              </w:rPr>
              <w:t xml:space="preserve">Līdz ar to iespēja </w:t>
            </w:r>
            <w:r w:rsidR="00C70ADD" w:rsidRPr="005C2F56">
              <w:rPr>
                <w:sz w:val="28"/>
                <w:szCs w:val="28"/>
              </w:rPr>
              <w:t>novirzīt kapitālsabiedrības 2014</w:t>
            </w:r>
            <w:r w:rsidRPr="005C2F56">
              <w:rPr>
                <w:sz w:val="28"/>
                <w:szCs w:val="28"/>
              </w:rPr>
              <w:t xml:space="preserve">.pārskata gadā gūto peļņu materiāli tehniskās bāzes uzlabošanai – </w:t>
            </w:r>
            <w:r w:rsidR="00F32ECD" w:rsidRPr="005C2F56">
              <w:rPr>
                <w:sz w:val="28"/>
                <w:szCs w:val="28"/>
              </w:rPr>
              <w:t>mūzikas instrumenta iegādei</w:t>
            </w:r>
            <w:r w:rsidRPr="005C2F56">
              <w:rPr>
                <w:color w:val="000000"/>
                <w:sz w:val="28"/>
                <w:szCs w:val="28"/>
              </w:rPr>
              <w:t>,</w:t>
            </w:r>
            <w:r w:rsidRPr="005C2F56">
              <w:rPr>
                <w:sz w:val="28"/>
                <w:szCs w:val="28"/>
              </w:rPr>
              <w:t xml:space="preserve"> lai nodrošinātu kvalitatīvu </w:t>
            </w:r>
            <w:r w:rsidR="00960F57" w:rsidRPr="005C2F56">
              <w:rPr>
                <w:sz w:val="28"/>
                <w:szCs w:val="28"/>
              </w:rPr>
              <w:t>kapitālsabiedrības</w:t>
            </w:r>
            <w:r w:rsidRPr="005C2F56">
              <w:rPr>
                <w:sz w:val="28"/>
                <w:szCs w:val="28"/>
              </w:rPr>
              <w:t xml:space="preserve"> pamatfunkciju īstenošanu, ir pamatota un nepieciešama.</w:t>
            </w:r>
          </w:p>
          <w:p w:rsidR="0084708D" w:rsidRPr="005C2F56" w:rsidRDefault="0084708D" w:rsidP="0084708D">
            <w:pPr>
              <w:spacing w:after="0" w:line="240" w:lineRule="auto"/>
              <w:ind w:firstLine="507"/>
              <w:jc w:val="both"/>
              <w:rPr>
                <w:sz w:val="28"/>
                <w:szCs w:val="28"/>
              </w:rPr>
            </w:pPr>
            <w:r w:rsidRPr="005C2F56">
              <w:rPr>
                <w:sz w:val="28"/>
                <w:szCs w:val="28"/>
              </w:rPr>
              <w:t xml:space="preserve">Atbilstoši Noteikumu Nr.1471 5.1.punktam Kultūras ministrija norāda, ka ar kapitālsabiedrību, pamatojoties uz Kultūras institūciju likuma 23.panta otro daļu, </w:t>
            </w:r>
            <w:r w:rsidRPr="005C2F56">
              <w:rPr>
                <w:rFonts w:eastAsia="Arial Unicode MS"/>
                <w:sz w:val="28"/>
                <w:szCs w:val="28"/>
              </w:rPr>
              <w:t>201</w:t>
            </w:r>
            <w:r w:rsidR="00B824F4" w:rsidRPr="005C2F56">
              <w:rPr>
                <w:rFonts w:eastAsia="Arial Unicode MS"/>
                <w:sz w:val="28"/>
                <w:szCs w:val="28"/>
              </w:rPr>
              <w:t>5</w:t>
            </w:r>
            <w:r w:rsidRPr="005C2F56">
              <w:rPr>
                <w:rFonts w:eastAsia="Arial Unicode MS"/>
                <w:sz w:val="28"/>
                <w:szCs w:val="28"/>
              </w:rPr>
              <w:t xml:space="preserve">.gada </w:t>
            </w:r>
            <w:r w:rsidR="00B824F4" w:rsidRPr="005C2F56">
              <w:rPr>
                <w:rFonts w:eastAsia="Arial Unicode MS"/>
                <w:sz w:val="28"/>
                <w:szCs w:val="28"/>
              </w:rPr>
              <w:t>14.janvārī</w:t>
            </w:r>
            <w:r w:rsidR="00C656AB" w:rsidRPr="005C2F56">
              <w:rPr>
                <w:rFonts w:eastAsia="Arial Unicode MS"/>
                <w:sz w:val="28"/>
                <w:szCs w:val="28"/>
              </w:rPr>
              <w:t xml:space="preserve"> ir noslēgts </w:t>
            </w:r>
            <w:r w:rsidR="00B824F4" w:rsidRPr="005C2F56">
              <w:rPr>
                <w:rFonts w:eastAsia="Arial Unicode MS"/>
                <w:sz w:val="28"/>
                <w:szCs w:val="28"/>
              </w:rPr>
              <w:t xml:space="preserve">līdzdarbības </w:t>
            </w:r>
            <w:r w:rsidR="00C656AB" w:rsidRPr="005C2F56">
              <w:rPr>
                <w:rFonts w:eastAsia="Arial Unicode MS"/>
                <w:sz w:val="28"/>
                <w:szCs w:val="28"/>
              </w:rPr>
              <w:t>līgums Nr.</w:t>
            </w:r>
            <w:r w:rsidR="00B824F4" w:rsidRPr="005C2F56">
              <w:rPr>
                <w:rFonts w:eastAsia="Arial Unicode MS"/>
                <w:sz w:val="28"/>
                <w:szCs w:val="28"/>
              </w:rPr>
              <w:t>5.1-8-12</w:t>
            </w:r>
            <w:r w:rsidR="00B824F4" w:rsidRPr="005C2F56">
              <w:rPr>
                <w:sz w:val="28"/>
                <w:szCs w:val="28"/>
              </w:rPr>
              <w:t xml:space="preserve"> „Par atsevišķu valsts pārvaldes uzdevumu deleģēšanu kultūras jomā”</w:t>
            </w:r>
            <w:r w:rsidRPr="005C2F56">
              <w:rPr>
                <w:sz w:val="28"/>
                <w:szCs w:val="28"/>
              </w:rPr>
              <w:t xml:space="preserve">,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w:t>
            </w:r>
            <w:r w:rsidR="00482A88" w:rsidRPr="005C2F56">
              <w:rPr>
                <w:sz w:val="28"/>
                <w:szCs w:val="28"/>
              </w:rPr>
              <w:t>koncertus</w:t>
            </w:r>
            <w:r w:rsidRPr="005C2F56">
              <w:rPr>
                <w:sz w:val="28"/>
                <w:szCs w:val="28"/>
              </w:rPr>
              <w:t xml:space="preserve">.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5C2F56" w:rsidRDefault="0084708D" w:rsidP="0084708D">
            <w:pPr>
              <w:spacing w:after="0" w:line="240" w:lineRule="auto"/>
              <w:ind w:firstLine="507"/>
              <w:jc w:val="both"/>
              <w:rPr>
                <w:sz w:val="28"/>
                <w:szCs w:val="28"/>
              </w:rPr>
            </w:pPr>
            <w:r w:rsidRPr="005C2F56">
              <w:rPr>
                <w:sz w:val="28"/>
                <w:szCs w:val="28"/>
              </w:rPr>
              <w:t>Lai novērstu draudus kapitālsabiedrības komercdarbības ilgtspējīgai attīstībai un lai kapitālsabiedrība spētu nodrošināt valsts deleģēto valsts pārvaldes uzdevumu veikšanu un sasn</w:t>
            </w:r>
            <w:r w:rsidR="00B824F4" w:rsidRPr="005C2F56">
              <w:rPr>
                <w:sz w:val="28"/>
                <w:szCs w:val="28"/>
              </w:rPr>
              <w:t>iegt rezultatīvos rādītājus 2015</w:t>
            </w:r>
            <w:r w:rsidRPr="005C2F56">
              <w:rPr>
                <w:sz w:val="28"/>
                <w:szCs w:val="28"/>
              </w:rPr>
              <w:t xml:space="preserve">.gadā, efektīvi būtu maksimālu kapitālsabiedrības peļņas daļu ieguldīt </w:t>
            </w:r>
            <w:r w:rsidR="00482A88" w:rsidRPr="005C2F56">
              <w:rPr>
                <w:sz w:val="28"/>
                <w:szCs w:val="28"/>
              </w:rPr>
              <w:t>k</w:t>
            </w:r>
            <w:r w:rsidR="00960F57" w:rsidRPr="005C2F56">
              <w:rPr>
                <w:sz w:val="28"/>
                <w:szCs w:val="28"/>
              </w:rPr>
              <w:t>apitālsabiedrības</w:t>
            </w:r>
            <w:r w:rsidRPr="005C2F56">
              <w:rPr>
                <w:sz w:val="28"/>
                <w:szCs w:val="28"/>
              </w:rPr>
              <w:t xml:space="preserve"> materiāli tehniskās bāzes uzlabošanai, tādējādi veicinot kvalitatīvu kapitālsabiedrības pamatfunkciju nodrošināšanu. </w:t>
            </w:r>
            <w:r w:rsidR="00B824F4" w:rsidRPr="005C2F56">
              <w:rPr>
                <w:sz w:val="28"/>
                <w:szCs w:val="28"/>
              </w:rPr>
              <w:t>Tādējādi</w:t>
            </w:r>
            <w:r w:rsidRPr="005C2F56">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5C2F56" w:rsidRDefault="0084708D" w:rsidP="0084708D">
            <w:pPr>
              <w:spacing w:after="0" w:line="240" w:lineRule="auto"/>
              <w:ind w:firstLine="505"/>
              <w:jc w:val="both"/>
              <w:rPr>
                <w:sz w:val="28"/>
                <w:szCs w:val="28"/>
              </w:rPr>
            </w:pPr>
            <w:r w:rsidRPr="005C2F56">
              <w:rPr>
                <w:sz w:val="28"/>
                <w:szCs w:val="28"/>
              </w:rPr>
              <w:t>Līdz ar to Ministru kabinetam ir nepieciešams pieņemt lēmumu, ka kapitālsabiedrības 201</w:t>
            </w:r>
            <w:r w:rsidR="00B824F4" w:rsidRPr="005C2F56">
              <w:rPr>
                <w:sz w:val="28"/>
                <w:szCs w:val="28"/>
              </w:rPr>
              <w:t>4</w:t>
            </w:r>
            <w:r w:rsidRPr="005C2F56">
              <w:rPr>
                <w:sz w:val="28"/>
                <w:szCs w:val="28"/>
              </w:rPr>
              <w:t xml:space="preserve">.pārskata gada peļņa netiek izmaksāta dividendēs, t.i., tiek noteikta atšķirīga dividendēs izmaksājamā peļņas daļa </w:t>
            </w:r>
            <w:r w:rsidRPr="005C2F56">
              <w:rPr>
                <w:sz w:val="28"/>
                <w:szCs w:val="28"/>
              </w:rPr>
              <w:lastRenderedPageBreak/>
              <w:t>0% apmērā.</w:t>
            </w:r>
          </w:p>
        </w:tc>
      </w:tr>
      <w:tr w:rsidR="00E26FA6" w:rsidRPr="00FC423D"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960F57">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F63A0B">
              <w:rPr>
                <w:rFonts w:eastAsia="Times New Roman"/>
                <w:sz w:val="28"/>
                <w:szCs w:val="28"/>
                <w:lang w:eastAsia="lv-LV"/>
              </w:rPr>
              <w:t>Latvijas Nacionālais simfoniskais orķestris</w:t>
            </w:r>
            <w:r w:rsidR="00B931C1">
              <w:rPr>
                <w:rFonts w:eastAsia="Times New Roman"/>
                <w:sz w:val="28"/>
                <w:szCs w:val="28"/>
                <w:lang w:eastAsia="lv-LV"/>
              </w:rPr>
              <w:t>”.</w:t>
            </w:r>
          </w:p>
        </w:tc>
      </w:tr>
      <w:tr w:rsidR="00E26FA6" w:rsidRPr="00FC423D"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B824F4">
      <w:pPr>
        <w:spacing w:after="0" w:line="240" w:lineRule="auto"/>
        <w:ind w:firstLine="374"/>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B824F4">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9"/>
        <w:gridCol w:w="1500"/>
        <w:gridCol w:w="1247"/>
        <w:gridCol w:w="1283"/>
        <w:gridCol w:w="1283"/>
        <w:gridCol w:w="1283"/>
      </w:tblGrid>
      <w:tr w:rsidR="00E26FA6" w:rsidRPr="00FC423D"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68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B824F4">
              <w:rPr>
                <w:rFonts w:eastAsia="Times New Roman"/>
                <w:b/>
                <w:sz w:val="28"/>
                <w:szCs w:val="28"/>
                <w:lang w:eastAsia="lv-LV"/>
              </w:rPr>
              <w:t>5</w:t>
            </w:r>
            <w:r w:rsidRPr="00FC423D">
              <w:rPr>
                <w:rFonts w:eastAsia="Times New Roman"/>
                <w:b/>
                <w:sz w:val="28"/>
                <w:szCs w:val="28"/>
                <w:lang w:eastAsia="lv-LV"/>
              </w:rPr>
              <w:t>.</w:t>
            </w:r>
            <w:r w:rsidRPr="00FC423D">
              <w:rPr>
                <w:rFonts w:eastAsia="Times New Roman"/>
                <w:b/>
                <w:bCs/>
                <w:sz w:val="28"/>
                <w:szCs w:val="28"/>
                <w:lang w:eastAsia="lv-LV"/>
              </w:rPr>
              <w:t>gads</w:t>
            </w:r>
          </w:p>
        </w:tc>
        <w:tc>
          <w:tcPr>
            <w:tcW w:w="3867"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2684" w:type="dxa"/>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B824F4">
              <w:rPr>
                <w:rFonts w:eastAsia="Times New Roman"/>
                <w:b/>
                <w:bCs/>
                <w:sz w:val="28"/>
                <w:szCs w:val="28"/>
                <w:lang w:eastAsia="lv-LV"/>
              </w:rPr>
              <w:t>6</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B824F4">
              <w:rPr>
                <w:rFonts w:eastAsia="Times New Roman"/>
                <w:b/>
                <w:bCs/>
                <w:sz w:val="28"/>
                <w:szCs w:val="28"/>
                <w:lang w:eastAsia="lv-LV"/>
              </w:rPr>
              <w:t>7</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B824F4">
              <w:rPr>
                <w:rFonts w:eastAsia="Times New Roman"/>
                <w:b/>
                <w:bCs/>
                <w:sz w:val="28"/>
                <w:szCs w:val="28"/>
                <w:lang w:eastAsia="lv-LV"/>
              </w:rPr>
              <w:t>8</w:t>
            </w:r>
          </w:p>
        </w:tc>
      </w:tr>
      <w:tr w:rsidR="00E26FA6"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w:t>
            </w:r>
            <w:r w:rsidR="00B824F4">
              <w:rPr>
                <w:rFonts w:eastAsia="Times New Roman"/>
                <w:sz w:val="28"/>
                <w:szCs w:val="28"/>
                <w:lang w:eastAsia="lv-LV"/>
              </w:rPr>
              <w:t>t ar kārtējo (2015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B824F4">
              <w:rPr>
                <w:rFonts w:eastAsia="Times New Roman"/>
                <w:sz w:val="28"/>
                <w:szCs w:val="28"/>
                <w:lang w:eastAsia="lv-LV"/>
              </w:rPr>
              <w:t>ņas, salīdzinot ar kārtējo (2015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B824F4">
              <w:rPr>
                <w:rFonts w:eastAsia="Times New Roman"/>
                <w:sz w:val="28"/>
                <w:szCs w:val="28"/>
                <w:lang w:eastAsia="lv-LV"/>
              </w:rPr>
              <w:t>ņas, salīdzinot ar kārtējo (2015</w:t>
            </w:r>
            <w:r w:rsidRPr="00FC423D">
              <w:rPr>
                <w:rFonts w:eastAsia="Times New Roman"/>
                <w:sz w:val="28"/>
                <w:szCs w:val="28"/>
                <w:lang w:eastAsia="lv-LV"/>
              </w:rPr>
              <w:t>) gadu</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430" w:type="dxa"/>
            <w:tcBorders>
              <w:top w:val="outset" w:sz="6" w:space="0" w:color="auto"/>
              <w:left w:val="outset" w:sz="6" w:space="0" w:color="auto"/>
              <w:bottom w:val="outset" w:sz="6" w:space="0" w:color="auto"/>
              <w:right w:val="outset" w:sz="6" w:space="0" w:color="auto"/>
            </w:tcBorders>
          </w:tcPr>
          <w:p w:rsidR="00E26FA6" w:rsidRPr="00BE1791" w:rsidRDefault="00B824F4" w:rsidP="00B931C1">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E26FA6" w:rsidRPr="00BE1791" w:rsidRDefault="00B931C1" w:rsidP="00B824F4">
            <w:pPr>
              <w:spacing w:before="75" w:after="75" w:line="240" w:lineRule="auto"/>
              <w:ind w:firstLine="375"/>
              <w:jc w:val="both"/>
              <w:rPr>
                <w:rFonts w:eastAsia="Times New Roman"/>
                <w:sz w:val="28"/>
                <w:szCs w:val="28"/>
                <w:highlight w:val="yellow"/>
                <w:lang w:eastAsia="lv-LV"/>
              </w:rPr>
            </w:pPr>
            <w:r>
              <w:rPr>
                <w:sz w:val="28"/>
                <w:szCs w:val="28"/>
              </w:rPr>
              <w:t>-</w:t>
            </w:r>
            <w:r w:rsidR="00B824F4">
              <w:rPr>
                <w:sz w:val="28"/>
                <w:szCs w:val="28"/>
              </w:rPr>
              <w:t>4580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430" w:type="dxa"/>
            <w:tcBorders>
              <w:top w:val="outset" w:sz="6" w:space="0" w:color="auto"/>
              <w:left w:val="outset" w:sz="6" w:space="0" w:color="auto"/>
              <w:bottom w:val="outset" w:sz="6" w:space="0" w:color="auto"/>
              <w:right w:val="outset" w:sz="6" w:space="0" w:color="auto"/>
            </w:tcBorders>
          </w:tcPr>
          <w:p w:rsidR="00735A9D" w:rsidRPr="00BE1791" w:rsidRDefault="00B824F4"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B824F4">
              <w:rPr>
                <w:sz w:val="28"/>
                <w:szCs w:val="28"/>
              </w:rPr>
              <w:t>4580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xml:space="preserve"> 2.1. valsts </w:t>
            </w:r>
            <w:r w:rsidRPr="00FC423D">
              <w:rPr>
                <w:rFonts w:eastAsia="Times New Roman"/>
                <w:sz w:val="28"/>
                <w:szCs w:val="28"/>
                <w:lang w:eastAsia="lv-LV"/>
              </w:rPr>
              <w:lastRenderedPageBreak/>
              <w:t>pamatbudžets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lastRenderedPageBreak/>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2.2.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430" w:type="dxa"/>
            <w:tcBorders>
              <w:top w:val="outset" w:sz="6" w:space="0" w:color="auto"/>
              <w:left w:val="outset" w:sz="6" w:space="0" w:color="auto"/>
              <w:bottom w:val="outset" w:sz="6" w:space="0" w:color="auto"/>
              <w:right w:val="outset" w:sz="6" w:space="0" w:color="auto"/>
            </w:tcBorders>
            <w:vAlign w:val="center"/>
          </w:tcPr>
          <w:p w:rsidR="00735A9D" w:rsidRPr="00B931C1" w:rsidRDefault="00B824F4" w:rsidP="00940F45">
            <w:pPr>
              <w:spacing w:before="75" w:after="75" w:line="240" w:lineRule="auto"/>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B824F4">
              <w:rPr>
                <w:sz w:val="28"/>
                <w:szCs w:val="28"/>
              </w:rPr>
              <w:t>4580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B931C1" w:rsidRDefault="00B824F4" w:rsidP="00940F45">
            <w:pPr>
              <w:spacing w:before="75" w:after="75" w:line="240" w:lineRule="auto"/>
              <w:ind w:firstLine="61"/>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35329A" w:rsidP="0035329A">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B824F4">
              <w:rPr>
                <w:sz w:val="28"/>
                <w:szCs w:val="28"/>
              </w:rPr>
              <w:t>4580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482A88" w:rsidRDefault="00E94D0C" w:rsidP="00482A88">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B824F4">
              <w:rPr>
                <w:rFonts w:eastAsia="Times New Roman"/>
                <w:sz w:val="28"/>
                <w:szCs w:val="28"/>
                <w:lang w:eastAsia="lv-LV"/>
              </w:rPr>
              <w:t>ību) kapitāla izmantošanas] 2015</w:t>
            </w:r>
            <w:r w:rsidRPr="00FC423D">
              <w:rPr>
                <w:rFonts w:eastAsia="Times New Roman"/>
                <w:sz w:val="28"/>
                <w:szCs w:val="28"/>
                <w:lang w:eastAsia="lv-LV"/>
              </w:rPr>
              <w:t xml:space="preserve">.gadā ir plānoti </w:t>
            </w:r>
            <w:r w:rsidR="00B824F4" w:rsidRPr="00FD1DF3">
              <w:rPr>
                <w:rFonts w:eastAsia="Times New Roman"/>
                <w:sz w:val="28"/>
                <w:szCs w:val="28"/>
                <w:lang w:eastAsia="lv-LV"/>
              </w:rPr>
              <w:t>125</w:t>
            </w:r>
            <w:r w:rsidR="00B824F4">
              <w:rPr>
                <w:rFonts w:eastAsia="Times New Roman"/>
                <w:sz w:val="28"/>
                <w:szCs w:val="28"/>
                <w:lang w:eastAsia="lv-LV"/>
              </w:rPr>
              <w:t> </w:t>
            </w:r>
            <w:r w:rsidR="00B824F4" w:rsidRPr="00FD1DF3">
              <w:rPr>
                <w:rFonts w:eastAsia="Times New Roman"/>
                <w:sz w:val="28"/>
                <w:szCs w:val="28"/>
                <w:lang w:eastAsia="lv-LV"/>
              </w:rPr>
              <w:t>098</w:t>
            </w:r>
            <w:r w:rsidR="00B824F4">
              <w:rPr>
                <w:rFonts w:eastAsia="Times New Roman"/>
                <w:sz w:val="28"/>
                <w:szCs w:val="28"/>
                <w:lang w:eastAsia="lv-LV"/>
              </w:rPr>
              <w:t> </w:t>
            </w:r>
            <w:r w:rsidR="00B824F4" w:rsidRPr="00FD1DF3">
              <w:rPr>
                <w:rFonts w:eastAsia="Times New Roman"/>
                <w:sz w:val="28"/>
                <w:szCs w:val="28"/>
                <w:lang w:eastAsia="lv-LV"/>
              </w:rPr>
              <w:t>489</w:t>
            </w:r>
            <w:r w:rsidR="00B824F4">
              <w:rPr>
                <w:rFonts w:eastAsia="Times New Roman"/>
                <w:sz w:val="28"/>
                <w:szCs w:val="28"/>
                <w:lang w:eastAsia="lv-LV"/>
              </w:rPr>
              <w:t> </w:t>
            </w:r>
            <w:proofErr w:type="spellStart"/>
            <w:r w:rsidR="00B931C1" w:rsidRPr="00B931C1">
              <w:rPr>
                <w:rFonts w:eastAsia="Times New Roman"/>
                <w:i/>
                <w:sz w:val="28"/>
                <w:szCs w:val="28"/>
                <w:lang w:eastAsia="lv-LV"/>
              </w:rPr>
              <w:t>euro</w:t>
            </w:r>
            <w:proofErr w:type="spellEnd"/>
            <w:r w:rsidR="00B931C1" w:rsidRPr="00B931C1">
              <w:rPr>
                <w:rFonts w:eastAsia="Times New Roman"/>
                <w:i/>
                <w:sz w:val="28"/>
                <w:szCs w:val="28"/>
                <w:lang w:eastAsia="lv-LV"/>
              </w:rPr>
              <w:t xml:space="preserve"> </w:t>
            </w:r>
            <w:r w:rsidR="00B824F4">
              <w:rPr>
                <w:rFonts w:eastAsia="Times New Roman"/>
                <w:sz w:val="28"/>
                <w:szCs w:val="28"/>
                <w:lang w:eastAsia="lv-LV"/>
              </w:rPr>
              <w:t>apmērā. 2015</w:t>
            </w:r>
            <w:r w:rsidRPr="00FC423D">
              <w:rPr>
                <w:rFonts w:eastAsia="Times New Roman"/>
                <w:sz w:val="28"/>
                <w:szCs w:val="28"/>
                <w:lang w:eastAsia="lv-LV"/>
              </w:rPr>
              <w:t>.gadā valstij piekritīgās dividendes no valsts kapitālsabiedrību peļņas atsevišķi Kultūras ministrijas budžetā netiek plānotas, līdz ar to nav iespējams precī</w:t>
            </w:r>
            <w:r w:rsidR="00B824F4">
              <w:rPr>
                <w:rFonts w:eastAsia="Times New Roman"/>
                <w:sz w:val="28"/>
                <w:szCs w:val="28"/>
                <w:lang w:eastAsia="lv-LV"/>
              </w:rPr>
              <w:t>zi nodalīt un aizpildīt kolonnu</w:t>
            </w:r>
            <w:r w:rsidRPr="00FC423D">
              <w:rPr>
                <w:rFonts w:eastAsia="Times New Roman"/>
                <w:sz w:val="28"/>
                <w:szCs w:val="28"/>
                <w:lang w:eastAsia="lv-LV"/>
              </w:rPr>
              <w:t xml:space="preserve"> „Saskaņā ar valsts budžetu kārtējam gadam”, tādēļ lai nodrošin</w:t>
            </w:r>
            <w:r w:rsidR="00B824F4">
              <w:rPr>
                <w:rFonts w:eastAsia="Times New Roman"/>
                <w:sz w:val="28"/>
                <w:szCs w:val="28"/>
                <w:lang w:eastAsia="lv-LV"/>
              </w:rPr>
              <w:t xml:space="preserve">ātu informācijas pārskatāmību, </w:t>
            </w:r>
            <w:r w:rsidRPr="00FC423D">
              <w:rPr>
                <w:rFonts w:eastAsia="Times New Roman"/>
                <w:sz w:val="28"/>
                <w:szCs w:val="28"/>
                <w:lang w:eastAsia="lv-LV"/>
              </w:rPr>
              <w:t>minētajā kolonnā norādīta summa, kas atbilst konkrētās kapitālsabiedrības atbilstoši normatīvajos aktos not</w:t>
            </w:r>
            <w:r w:rsidR="00B824F4">
              <w:rPr>
                <w:rFonts w:eastAsia="Times New Roman"/>
                <w:sz w:val="28"/>
                <w:szCs w:val="28"/>
                <w:lang w:eastAsia="lv-LV"/>
              </w:rPr>
              <w:t xml:space="preserve">eiktajai valstij piekritīgajai </w:t>
            </w:r>
            <w:r w:rsidRPr="00FC423D">
              <w:rPr>
                <w:rFonts w:eastAsia="Times New Roman"/>
                <w:sz w:val="28"/>
                <w:szCs w:val="28"/>
                <w:lang w:eastAsia="lv-LV"/>
              </w:rPr>
              <w:t>peļņas daļai (90</w:t>
            </w:r>
            <w:r w:rsidR="00B824F4">
              <w:rPr>
                <w:rFonts w:eastAsia="Times New Roman"/>
                <w:sz w:val="28"/>
                <w:szCs w:val="28"/>
                <w:lang w:eastAsia="lv-LV"/>
              </w:rPr>
              <w:t xml:space="preserve"> </w:t>
            </w:r>
            <w:r w:rsidRPr="00FC423D">
              <w:rPr>
                <w:rFonts w:eastAsia="Times New Roman"/>
                <w:sz w:val="28"/>
                <w:szCs w:val="28"/>
                <w:lang w:eastAsia="lv-LV"/>
              </w:rPr>
              <w:t>% no apstiprinātās peļņas par 201</w:t>
            </w:r>
            <w:r w:rsidR="00B824F4">
              <w:rPr>
                <w:rFonts w:eastAsia="Times New Roman"/>
                <w:sz w:val="28"/>
                <w:szCs w:val="28"/>
                <w:lang w:eastAsia="lv-LV"/>
              </w:rPr>
              <w:t>4</w:t>
            </w:r>
            <w:r w:rsidRPr="00FC423D">
              <w:rPr>
                <w:rFonts w:eastAsia="Times New Roman"/>
                <w:sz w:val="28"/>
                <w:szCs w:val="28"/>
                <w:lang w:eastAsia="lv-LV"/>
              </w:rPr>
              <w:t xml:space="preserve">.gadu). </w:t>
            </w:r>
          </w:p>
          <w:p w:rsidR="00B824F4" w:rsidRPr="00FC74E1" w:rsidRDefault="00B824F4" w:rsidP="00B824F4">
            <w:pPr>
              <w:spacing w:after="0" w:line="240" w:lineRule="auto"/>
              <w:ind w:firstLine="476"/>
              <w:jc w:val="both"/>
              <w:rPr>
                <w:sz w:val="28"/>
                <w:szCs w:val="28"/>
              </w:rPr>
            </w:pPr>
            <w:r w:rsidRPr="00B67418">
              <w:rPr>
                <w:sz w:val="28"/>
                <w:szCs w:val="28"/>
              </w:rPr>
              <w:t>Lai gan likuma „Par valsts budžetu 2015.gadam” sagatavošanas gaitā Kultūras ministrijas budžetā jaunajām politikas iniciatīvām tika piešķirts papildu finansējums 5</w:t>
            </w:r>
            <w:r>
              <w:rPr>
                <w:sz w:val="28"/>
                <w:szCs w:val="28"/>
              </w:rPr>
              <w:t> </w:t>
            </w:r>
            <w:r w:rsidRPr="00B67418">
              <w:rPr>
                <w:sz w:val="28"/>
                <w:szCs w:val="28"/>
              </w:rPr>
              <w:t xml:space="preserve">712 535 </w:t>
            </w:r>
            <w:proofErr w:type="spellStart"/>
            <w:r w:rsidRPr="00B67418">
              <w:rPr>
                <w:i/>
                <w:sz w:val="28"/>
                <w:szCs w:val="28"/>
              </w:rPr>
              <w:t>euro</w:t>
            </w:r>
            <w:proofErr w:type="spellEnd"/>
            <w:r w:rsidRPr="00B67418">
              <w:rPr>
                <w:sz w:val="28"/>
                <w:szCs w:val="28"/>
              </w:rPr>
              <w:t xml:space="preserve"> apmērā, tajā skaitā 1 253 855 </w:t>
            </w:r>
            <w:proofErr w:type="spellStart"/>
            <w:r w:rsidRPr="00B67418">
              <w:rPr>
                <w:i/>
                <w:sz w:val="28"/>
                <w:szCs w:val="28"/>
              </w:rPr>
              <w:t>euro</w:t>
            </w:r>
            <w:proofErr w:type="spellEnd"/>
            <w:r w:rsidRPr="00B67418">
              <w:rPr>
                <w:i/>
                <w:sz w:val="28"/>
                <w:szCs w:val="28"/>
              </w:rPr>
              <w:t xml:space="preserve"> </w:t>
            </w:r>
            <w:r w:rsidRPr="00B67418">
              <w:rPr>
                <w:sz w:val="28"/>
                <w:szCs w:val="28"/>
              </w:rPr>
              <w:t>Kultūras ministrijas kapitālsabiedrību uzturēšanas izdevumiem, lai nodrošinātu valsts deleģēto uzdevumu veikšanu, kas ļautu īstenot radošus un uz izcilību vērstus kultūras pasākumus un projektus, t</w:t>
            </w:r>
            <w:r w:rsidRPr="00AF43C0">
              <w:rPr>
                <w:sz w:val="28"/>
                <w:szCs w:val="28"/>
              </w:rPr>
              <w:t>omēr jau kopš 2009.gada kapitālsabiedrības rīcībā ir bijuši nepietiekami līdzekļi materiāli tehniskās bāzes sakārtošanai, kas vēl joprojām rada apdraudējumu pilnvērtīgai darbībai.</w:t>
            </w:r>
            <w:r>
              <w:rPr>
                <w:sz w:val="28"/>
                <w:szCs w:val="28"/>
              </w:rPr>
              <w:t xml:space="preserve"> </w:t>
            </w:r>
            <w:r w:rsidRPr="00FC423D">
              <w:rPr>
                <w:rFonts w:eastAsia="Times New Roman"/>
                <w:sz w:val="28"/>
                <w:szCs w:val="28"/>
                <w:lang w:eastAsia="lv-LV"/>
              </w:rPr>
              <w:t xml:space="preserve">Ņemot vērā to, ka finansējums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lang w:eastAsia="lv-LV"/>
              </w:rPr>
              <w:t xml:space="preserve">veikšanai kultūras jomā </w:t>
            </w:r>
            <w:r w:rsidRPr="00FC423D">
              <w:rPr>
                <w:rFonts w:eastAsia="Times New Roman"/>
                <w:sz w:val="28"/>
                <w:szCs w:val="28"/>
                <w:lang w:eastAsia="lv-LV"/>
              </w:rPr>
              <w:t>kapitālsabiedrībai</w:t>
            </w:r>
            <w:r>
              <w:rPr>
                <w:rFonts w:eastAsia="Times New Roman"/>
                <w:sz w:val="28"/>
                <w:szCs w:val="28"/>
                <w:lang w:eastAsia="lv-LV"/>
              </w:rPr>
              <w:t xml:space="preserve"> ir nepietiekams, kapitālsabiedrībai 2015</w:t>
            </w:r>
            <w:r w:rsidRPr="00FC423D">
              <w:rPr>
                <w:rFonts w:eastAsia="Times New Roman"/>
                <w:sz w:val="28"/>
                <w:szCs w:val="28"/>
                <w:lang w:eastAsia="lv-LV"/>
              </w:rPr>
              <w:t>.gadā ir nepieciešams veikt tos pasākumus, kas bija atlikti ierobežotā finansējuma dēļ</w:t>
            </w:r>
            <w:r>
              <w:rPr>
                <w:rFonts w:eastAsia="Times New Roman"/>
                <w:sz w:val="28"/>
                <w:szCs w:val="28"/>
                <w:lang w:eastAsia="lv-LV"/>
              </w:rPr>
              <w:t>.</w:t>
            </w:r>
          </w:p>
          <w:p w:rsidR="00E26FA6" w:rsidRPr="00FC423D" w:rsidRDefault="00CC2ABA" w:rsidP="00960F57">
            <w:pPr>
              <w:spacing w:after="0" w:line="240" w:lineRule="auto"/>
              <w:ind w:firstLine="476"/>
              <w:jc w:val="both"/>
              <w:rPr>
                <w:rFonts w:eastAsia="Times New Roman"/>
                <w:sz w:val="28"/>
                <w:szCs w:val="28"/>
                <w:lang w:eastAsia="lv-LV"/>
              </w:rPr>
            </w:pPr>
            <w:r w:rsidRPr="00FC423D">
              <w:rPr>
                <w:rFonts w:eastAsia="Times New Roman"/>
                <w:sz w:val="28"/>
                <w:szCs w:val="28"/>
                <w:lang w:eastAsia="lv-LV"/>
              </w:rPr>
              <w:t>Pieņemot lēmumu par atšķirīgu dividendēs izmaksājamo summu (nosakot 0</w:t>
            </w:r>
            <w:r w:rsidR="00B824F4">
              <w:rPr>
                <w:rFonts w:eastAsia="Times New Roman"/>
                <w:sz w:val="28"/>
                <w:szCs w:val="28"/>
                <w:lang w:eastAsia="lv-LV"/>
              </w:rPr>
              <w:t xml:space="preserve"> </w:t>
            </w:r>
            <w:r w:rsidRPr="00FC423D">
              <w:rPr>
                <w:rFonts w:eastAsia="Times New Roman"/>
                <w:sz w:val="28"/>
                <w:szCs w:val="28"/>
                <w:lang w:eastAsia="lv-LV"/>
              </w:rPr>
              <w:t xml:space="preserve">% likmi), valsts budžetā netiktu pārskaitīta summa </w:t>
            </w:r>
            <w:r w:rsidR="00B824F4">
              <w:rPr>
                <w:sz w:val="28"/>
                <w:szCs w:val="28"/>
              </w:rPr>
              <w:t xml:space="preserve">4 580,10 </w:t>
            </w:r>
            <w:proofErr w:type="spellStart"/>
            <w:r w:rsidR="00BE1791" w:rsidRPr="00BE1791">
              <w:rPr>
                <w:i/>
                <w:sz w:val="28"/>
                <w:szCs w:val="28"/>
              </w:rPr>
              <w:t>euro</w:t>
            </w:r>
            <w:proofErr w:type="spellEnd"/>
            <w:r w:rsidR="00BE1791" w:rsidRPr="00FC423D">
              <w:rPr>
                <w:sz w:val="28"/>
                <w:szCs w:val="28"/>
              </w:rPr>
              <w:t xml:space="preserve"> </w:t>
            </w:r>
            <w:r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E26FA6" w:rsidRPr="00FC423D">
              <w:rPr>
                <w:rFonts w:eastAsia="Times New Roman"/>
                <w:sz w:val="28"/>
                <w:szCs w:val="28"/>
                <w:lang w:eastAsia="lv-LV"/>
              </w:rPr>
              <w:t xml:space="preserve"> nodro</w:t>
            </w:r>
            <w:r w:rsidR="000E0D4D" w:rsidRPr="00FC423D">
              <w:rPr>
                <w:rFonts w:eastAsia="Times New Roman"/>
                <w:sz w:val="28"/>
                <w:szCs w:val="28"/>
                <w:lang w:eastAsia="lv-LV"/>
              </w:rPr>
              <w:t>šināšanas izdevumu segšanai 201</w:t>
            </w:r>
            <w:r w:rsidR="00B824F4">
              <w:rPr>
                <w:rFonts w:eastAsia="Times New Roman"/>
                <w:sz w:val="28"/>
                <w:szCs w:val="28"/>
                <w:lang w:eastAsia="lv-LV"/>
              </w:rPr>
              <w:t>5</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bookmarkStart w:id="2" w:name="_GoBack"/>
            <w:bookmarkEnd w:id="2"/>
            <w:r w:rsidR="00B824F4">
              <w:rPr>
                <w:rFonts w:eastAsia="Times New Roman"/>
                <w:sz w:val="28"/>
                <w:szCs w:val="28"/>
                <w:lang w:eastAsia="lv-LV"/>
              </w:rPr>
              <w:t>5</w:t>
            </w:r>
            <w:r w:rsidR="00915E01" w:rsidRPr="00FC423D">
              <w:rPr>
                <w:rFonts w:eastAsia="Times New Roman"/>
                <w:sz w:val="28"/>
                <w:szCs w:val="28"/>
                <w:lang w:eastAsia="lv-LV"/>
              </w:rPr>
              <w:t xml:space="preserve">.gadā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960F57"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B824F4">
      <w:pPr>
        <w:spacing w:after="0"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lastRenderedPageBreak/>
        <w:t xml:space="preserve">Anotācijas IV sadaļa – </w:t>
      </w:r>
      <w:r w:rsidR="00195232" w:rsidRPr="00FC423D">
        <w:rPr>
          <w:i/>
          <w:sz w:val="28"/>
          <w:szCs w:val="28"/>
        </w:rPr>
        <w:t>Projekts šo jomu neskar.</w:t>
      </w:r>
    </w:p>
    <w:p w:rsidR="00273380" w:rsidRPr="00FC423D" w:rsidRDefault="00273380" w:rsidP="00B824F4">
      <w:pPr>
        <w:spacing w:after="0"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6514A0">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6514A0">
        <w:tc>
          <w:tcPr>
            <w:tcW w:w="297"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960F57">
            <w:pPr>
              <w:spacing w:after="0" w:line="240" w:lineRule="auto"/>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0E245F" w:rsidRDefault="000E245F" w:rsidP="002D027D">
      <w:pPr>
        <w:spacing w:after="90" w:line="240" w:lineRule="auto"/>
        <w:rPr>
          <w:rFonts w:eastAsia="Times New Roman"/>
          <w:sz w:val="28"/>
          <w:szCs w:val="28"/>
          <w:lang w:eastAsia="lv-LV"/>
        </w:rPr>
      </w:pPr>
    </w:p>
    <w:p w:rsidR="006514A0" w:rsidRPr="00FC423D" w:rsidRDefault="006514A0"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B824F4">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 xml:space="preserve">Projekta izpildes ietekme uz pārvaldes funkcijām un </w:t>
            </w:r>
            <w:r w:rsidR="00B931C1" w:rsidRPr="00C56255">
              <w:rPr>
                <w:rFonts w:eastAsia="Times New Roman"/>
                <w:sz w:val="28"/>
                <w:szCs w:val="28"/>
                <w:lang w:eastAsia="lv-LV"/>
              </w:rPr>
              <w:lastRenderedPageBreak/>
              <w:t>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lastRenderedPageBreak/>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B824F4"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nistre</w:t>
      </w:r>
      <w:r w:rsidR="006514A0">
        <w:rPr>
          <w:sz w:val="28"/>
          <w:szCs w:val="28"/>
        </w:rPr>
        <w:tab/>
      </w:r>
      <w:r w:rsidR="006514A0">
        <w:rPr>
          <w:sz w:val="28"/>
          <w:szCs w:val="28"/>
        </w:rPr>
        <w:tab/>
      </w:r>
      <w:r w:rsidR="006514A0">
        <w:rPr>
          <w:sz w:val="28"/>
          <w:szCs w:val="28"/>
        </w:rPr>
        <w:tab/>
      </w:r>
      <w:r w:rsidR="006514A0">
        <w:rPr>
          <w:sz w:val="28"/>
          <w:szCs w:val="28"/>
        </w:rPr>
        <w:tab/>
      </w:r>
      <w:r w:rsidR="006514A0">
        <w:rPr>
          <w:sz w:val="28"/>
          <w:szCs w:val="28"/>
        </w:rPr>
        <w:tab/>
      </w:r>
      <w:r w:rsidR="006514A0">
        <w:rPr>
          <w:sz w:val="28"/>
          <w:szCs w:val="28"/>
        </w:rPr>
        <w:tab/>
      </w:r>
      <w:r w:rsidR="006514A0">
        <w:rPr>
          <w:sz w:val="28"/>
          <w:szCs w:val="28"/>
        </w:rPr>
        <w:tab/>
      </w:r>
      <w:r>
        <w:rPr>
          <w:sz w:val="28"/>
          <w:szCs w:val="28"/>
        </w:rPr>
        <w:t xml:space="preserve">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 xml:space="preserve">Vīza: </w:t>
      </w:r>
      <w:r w:rsidR="009A39A7">
        <w:rPr>
          <w:sz w:val="28"/>
          <w:szCs w:val="28"/>
        </w:rPr>
        <w:t>Valsts sekretārs</w:t>
      </w:r>
      <w:r w:rsidR="009A39A7">
        <w:rPr>
          <w:sz w:val="28"/>
          <w:szCs w:val="28"/>
        </w:rPr>
        <w:tab/>
      </w:r>
      <w:r w:rsidR="006514A0">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sidR="009A39A7">
        <w:rPr>
          <w:sz w:val="28"/>
          <w:szCs w:val="28"/>
        </w:rPr>
        <w:t>S.Voldiņš</w:t>
      </w:r>
    </w:p>
    <w:p w:rsidR="00FA759B" w:rsidRPr="00FC423D" w:rsidRDefault="00FA759B" w:rsidP="00FA759B">
      <w:pPr>
        <w:spacing w:after="0" w:line="240" w:lineRule="auto"/>
        <w:rPr>
          <w:szCs w:val="24"/>
        </w:rPr>
      </w:pPr>
    </w:p>
    <w:p w:rsidR="002F5B05" w:rsidRPr="00FC423D" w:rsidRDefault="002F5B05" w:rsidP="00FA759B">
      <w:pPr>
        <w:spacing w:after="0" w:line="240" w:lineRule="auto"/>
        <w:rPr>
          <w:szCs w:val="24"/>
        </w:rPr>
      </w:pPr>
    </w:p>
    <w:p w:rsidR="00FA759B" w:rsidRDefault="00FA759B" w:rsidP="00FA759B">
      <w:pPr>
        <w:spacing w:after="0" w:line="240" w:lineRule="auto"/>
        <w:rPr>
          <w:sz w:val="20"/>
          <w:szCs w:val="20"/>
        </w:rPr>
      </w:pPr>
    </w:p>
    <w:p w:rsidR="006514A0" w:rsidRDefault="006514A0" w:rsidP="00FA759B">
      <w:pPr>
        <w:spacing w:after="0" w:line="240" w:lineRule="auto"/>
        <w:rPr>
          <w:sz w:val="20"/>
          <w:szCs w:val="20"/>
        </w:rPr>
      </w:pPr>
    </w:p>
    <w:p w:rsidR="006514A0" w:rsidRDefault="006514A0" w:rsidP="00FA759B">
      <w:pPr>
        <w:spacing w:after="0" w:line="240" w:lineRule="auto"/>
        <w:rPr>
          <w:sz w:val="20"/>
          <w:szCs w:val="20"/>
        </w:rPr>
      </w:pPr>
    </w:p>
    <w:p w:rsidR="006514A0" w:rsidRDefault="006514A0" w:rsidP="00FA759B">
      <w:pPr>
        <w:spacing w:after="0" w:line="240" w:lineRule="auto"/>
        <w:rPr>
          <w:sz w:val="20"/>
          <w:szCs w:val="20"/>
        </w:rPr>
      </w:pPr>
    </w:p>
    <w:p w:rsidR="006514A0" w:rsidRDefault="006514A0" w:rsidP="00FA759B">
      <w:pPr>
        <w:spacing w:after="0" w:line="240" w:lineRule="auto"/>
        <w:rPr>
          <w:sz w:val="20"/>
          <w:szCs w:val="20"/>
        </w:rPr>
      </w:pPr>
    </w:p>
    <w:p w:rsidR="006514A0" w:rsidRPr="00FC423D" w:rsidRDefault="006514A0" w:rsidP="00FA759B">
      <w:pPr>
        <w:spacing w:after="0" w:line="240" w:lineRule="auto"/>
        <w:rPr>
          <w:sz w:val="20"/>
          <w:szCs w:val="20"/>
        </w:rPr>
      </w:pPr>
    </w:p>
    <w:p w:rsidR="002F5B05" w:rsidRPr="00FC423D" w:rsidRDefault="009A39A7" w:rsidP="002F5B05">
      <w:pPr>
        <w:tabs>
          <w:tab w:val="left" w:pos="6804"/>
        </w:tabs>
        <w:spacing w:after="0" w:line="240" w:lineRule="auto"/>
        <w:rPr>
          <w:color w:val="000000"/>
          <w:sz w:val="22"/>
          <w:lang w:eastAsia="lv-LV"/>
        </w:rPr>
      </w:pPr>
      <w:bookmarkStart w:id="3" w:name="OLE_LINK1"/>
      <w:bookmarkStart w:id="4" w:name="OLE_LINK2"/>
      <w:r>
        <w:rPr>
          <w:color w:val="000000"/>
          <w:sz w:val="22"/>
          <w:lang w:eastAsia="lv-LV"/>
        </w:rPr>
        <w:t>17</w:t>
      </w:r>
      <w:r w:rsidR="00F92AE3">
        <w:rPr>
          <w:color w:val="000000"/>
          <w:sz w:val="22"/>
          <w:lang w:eastAsia="lv-LV"/>
        </w:rPr>
        <w:t>.07</w:t>
      </w:r>
      <w:r w:rsidR="00B824F4">
        <w:rPr>
          <w:color w:val="000000"/>
          <w:sz w:val="22"/>
          <w:lang w:eastAsia="lv-LV"/>
        </w:rPr>
        <w:t>.2015.</w:t>
      </w:r>
    </w:p>
    <w:p w:rsidR="002F5B05" w:rsidRPr="00FC423D" w:rsidRDefault="00665A1E" w:rsidP="002F5B05">
      <w:pPr>
        <w:tabs>
          <w:tab w:val="left" w:pos="6804"/>
        </w:tabs>
        <w:spacing w:after="0" w:line="240" w:lineRule="auto"/>
        <w:rPr>
          <w:color w:val="000000"/>
          <w:sz w:val="22"/>
          <w:lang w:eastAsia="lv-LV"/>
        </w:rPr>
      </w:pPr>
      <w:r w:rsidRPr="00FC423D">
        <w:rPr>
          <w:color w:val="000000"/>
          <w:sz w:val="22"/>
          <w:lang w:eastAsia="lv-LV"/>
        </w:rPr>
        <w:t>1</w:t>
      </w:r>
      <w:r w:rsidR="009A39A7">
        <w:rPr>
          <w:color w:val="000000"/>
          <w:sz w:val="22"/>
          <w:lang w:eastAsia="lv-LV"/>
        </w:rPr>
        <w:t>641</w:t>
      </w:r>
    </w:p>
    <w:p w:rsidR="002F5B05" w:rsidRPr="00FC423D" w:rsidRDefault="009A39A7" w:rsidP="002F5B05">
      <w:pPr>
        <w:tabs>
          <w:tab w:val="left" w:pos="6804"/>
        </w:tabs>
        <w:spacing w:after="0" w:line="240" w:lineRule="auto"/>
        <w:rPr>
          <w:color w:val="000000"/>
          <w:sz w:val="22"/>
          <w:lang w:eastAsia="lv-LV"/>
        </w:rPr>
      </w:pPr>
      <w:bookmarkStart w:id="5" w:name="OLE_LINK7"/>
      <w:bookmarkStart w:id="6" w:name="OLE_LINK8"/>
      <w:r>
        <w:rPr>
          <w:color w:val="000000"/>
          <w:sz w:val="22"/>
          <w:lang w:eastAsia="lv-LV"/>
        </w:rPr>
        <w:t>L.Buševica</w:t>
      </w:r>
    </w:p>
    <w:p w:rsidR="002F5B05" w:rsidRPr="00FC423D" w:rsidRDefault="009A39A7" w:rsidP="002F5B05">
      <w:pPr>
        <w:spacing w:after="0" w:line="240" w:lineRule="auto"/>
        <w:rPr>
          <w:sz w:val="22"/>
        </w:rPr>
      </w:pPr>
      <w:bookmarkStart w:id="7" w:name="OLE_LINK5"/>
      <w:bookmarkStart w:id="8" w:name="OLE_LINK6"/>
      <w:bookmarkEnd w:id="5"/>
      <w:bookmarkEnd w:id="6"/>
      <w:r>
        <w:rPr>
          <w:sz w:val="22"/>
        </w:rPr>
        <w:t>Tālr.67330263</w:t>
      </w:r>
      <w:r w:rsidR="002F5B05" w:rsidRPr="00FC423D">
        <w:rPr>
          <w:sz w:val="22"/>
        </w:rPr>
        <w:t>; fakss 67330293</w:t>
      </w:r>
    </w:p>
    <w:bookmarkEnd w:id="3"/>
    <w:bookmarkEnd w:id="4"/>
    <w:p w:rsidR="006514A0" w:rsidRPr="006514A0" w:rsidRDefault="004F1B3B" w:rsidP="006514A0">
      <w:pPr>
        <w:tabs>
          <w:tab w:val="left" w:pos="6804"/>
        </w:tabs>
        <w:spacing w:after="0" w:line="240" w:lineRule="auto"/>
        <w:rPr>
          <w:rFonts w:eastAsia="Times New Roman"/>
          <w:sz w:val="22"/>
          <w:lang w:eastAsia="lv-LV"/>
        </w:rPr>
      </w:pPr>
      <w:r w:rsidRPr="006514A0">
        <w:rPr>
          <w:rFonts w:eastAsia="Times New Roman"/>
          <w:sz w:val="22"/>
          <w:lang w:eastAsia="lv-LV"/>
        </w:rPr>
        <w:fldChar w:fldCharType="begin"/>
      </w:r>
      <w:r w:rsidR="006514A0" w:rsidRPr="006514A0">
        <w:rPr>
          <w:rFonts w:eastAsia="Times New Roman"/>
          <w:sz w:val="22"/>
          <w:lang w:eastAsia="lv-LV"/>
        </w:rPr>
        <w:instrText xml:space="preserve"> HYPERLINK "mailto:Liga.Busevica@km.gov.lv" </w:instrText>
      </w:r>
      <w:r w:rsidRPr="006514A0">
        <w:rPr>
          <w:rFonts w:eastAsia="Times New Roman"/>
          <w:sz w:val="22"/>
          <w:lang w:eastAsia="lv-LV"/>
        </w:rPr>
        <w:fldChar w:fldCharType="separate"/>
      </w:r>
      <w:r w:rsidR="006514A0" w:rsidRPr="006514A0">
        <w:rPr>
          <w:rFonts w:eastAsia="Times New Roman"/>
          <w:color w:val="0000FF"/>
          <w:sz w:val="22"/>
          <w:u w:val="single"/>
          <w:lang w:eastAsia="lv-LV"/>
        </w:rPr>
        <w:t>Liga.Busevica@km.gov.lv</w:t>
      </w:r>
      <w:r w:rsidRPr="006514A0">
        <w:rPr>
          <w:rFonts w:eastAsia="Times New Roman"/>
          <w:sz w:val="22"/>
          <w:lang w:eastAsia="lv-LV"/>
        </w:rPr>
        <w:fldChar w:fldCharType="end"/>
      </w:r>
    </w:p>
    <w:bookmarkEnd w:id="7"/>
    <w:bookmarkEnd w:id="8"/>
    <w:p w:rsidR="009F2003" w:rsidRPr="00EB618C" w:rsidRDefault="009F2003" w:rsidP="006514A0">
      <w:pPr>
        <w:spacing w:after="0" w:line="240" w:lineRule="auto"/>
        <w:rPr>
          <w:sz w:val="22"/>
        </w:rPr>
      </w:pPr>
    </w:p>
    <w:sectPr w:rsidR="009F2003" w:rsidRPr="00EB618C" w:rsidSect="004B33E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CD" w:rsidRDefault="00F32ECD" w:rsidP="00E26FA6">
      <w:pPr>
        <w:spacing w:after="0" w:line="240" w:lineRule="auto"/>
      </w:pPr>
      <w:r>
        <w:separator/>
      </w:r>
    </w:p>
  </w:endnote>
  <w:endnote w:type="continuationSeparator" w:id="0">
    <w:p w:rsidR="00F32ECD" w:rsidRDefault="00F32ECD"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Default="004F1B3B" w:rsidP="00940F45">
    <w:pPr>
      <w:pStyle w:val="Kjene"/>
      <w:framePr w:wrap="around" w:vAnchor="text" w:hAnchor="margin" w:xAlign="right" w:y="1"/>
      <w:rPr>
        <w:rStyle w:val="Lappusesnumurs"/>
      </w:rPr>
    </w:pPr>
    <w:r>
      <w:rPr>
        <w:rStyle w:val="Lappusesnumurs"/>
      </w:rPr>
      <w:fldChar w:fldCharType="begin"/>
    </w:r>
    <w:r w:rsidR="00F32ECD">
      <w:rPr>
        <w:rStyle w:val="Lappusesnumurs"/>
      </w:rPr>
      <w:instrText xml:space="preserve">PAGE  </w:instrText>
    </w:r>
    <w:r>
      <w:rPr>
        <w:rStyle w:val="Lappusesnumurs"/>
      </w:rPr>
      <w:fldChar w:fldCharType="end"/>
    </w:r>
  </w:p>
  <w:p w:rsidR="00F32ECD" w:rsidRDefault="00F32ECD"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Pr="004B33E7" w:rsidRDefault="004F1B3B" w:rsidP="002F5B05">
    <w:pPr>
      <w:spacing w:after="0" w:line="240" w:lineRule="auto"/>
      <w:ind w:right="-1"/>
      <w:jc w:val="both"/>
      <w:rPr>
        <w:sz w:val="22"/>
      </w:rPr>
    </w:pPr>
    <w:r w:rsidRPr="004B33E7">
      <w:rPr>
        <w:sz w:val="22"/>
      </w:rPr>
      <w:fldChar w:fldCharType="begin"/>
    </w:r>
    <w:r w:rsidR="00F32ECD" w:rsidRPr="004B33E7">
      <w:rPr>
        <w:sz w:val="22"/>
      </w:rPr>
      <w:instrText xml:space="preserve"> FILENAME </w:instrText>
    </w:r>
    <w:r w:rsidRPr="004B33E7">
      <w:rPr>
        <w:sz w:val="22"/>
      </w:rPr>
      <w:fldChar w:fldCharType="separate"/>
    </w:r>
    <w:r w:rsidR="00F32ECD">
      <w:rPr>
        <w:noProof/>
        <w:sz w:val="22"/>
      </w:rPr>
      <w:t>KMAnot_</w:t>
    </w:r>
    <w:r w:rsidR="009A39A7">
      <w:rPr>
        <w:noProof/>
        <w:sz w:val="22"/>
      </w:rPr>
      <w:t>17</w:t>
    </w:r>
    <w:r w:rsidR="00F92AE3">
      <w:rPr>
        <w:noProof/>
        <w:sz w:val="22"/>
      </w:rPr>
      <w:t>07</w:t>
    </w:r>
    <w:r w:rsidR="00F32ECD">
      <w:rPr>
        <w:noProof/>
        <w:sz w:val="22"/>
      </w:rPr>
      <w:t>15_LNSO_dividendes</w:t>
    </w:r>
    <w:r w:rsidRPr="004B33E7">
      <w:rPr>
        <w:sz w:val="22"/>
      </w:rPr>
      <w:fldChar w:fldCharType="end"/>
    </w:r>
    <w:r w:rsidR="00F32ECD" w:rsidRPr="004B33E7">
      <w:rPr>
        <w:sz w:val="22"/>
      </w:rPr>
      <w:t>; Ministru kabineta rīkojuma projekta „Par valstij dividendēs izmaksājamo valsts sabiedrības ar ierobežotu atbildību "</w:t>
    </w:r>
    <w:r w:rsidR="00F32ECD">
      <w:rPr>
        <w:sz w:val="22"/>
      </w:rPr>
      <w:t>Latvijas Nacionālais simfoniskais orķestris</w:t>
    </w:r>
    <w:r w:rsidR="00F32ECD"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Pr="004B33E7" w:rsidRDefault="004F1B3B" w:rsidP="004B33E7">
    <w:pPr>
      <w:spacing w:after="0" w:line="240" w:lineRule="auto"/>
      <w:ind w:right="-1"/>
      <w:jc w:val="both"/>
      <w:rPr>
        <w:sz w:val="22"/>
      </w:rPr>
    </w:pPr>
    <w:r w:rsidRPr="004B33E7">
      <w:rPr>
        <w:sz w:val="22"/>
      </w:rPr>
      <w:fldChar w:fldCharType="begin"/>
    </w:r>
    <w:r w:rsidR="00F32ECD" w:rsidRPr="004B33E7">
      <w:rPr>
        <w:sz w:val="22"/>
      </w:rPr>
      <w:instrText xml:space="preserve"> FILENAME </w:instrText>
    </w:r>
    <w:r w:rsidRPr="004B33E7">
      <w:rPr>
        <w:sz w:val="22"/>
      </w:rPr>
      <w:fldChar w:fldCharType="separate"/>
    </w:r>
    <w:r w:rsidR="00F32ECD">
      <w:rPr>
        <w:noProof/>
        <w:sz w:val="22"/>
      </w:rPr>
      <w:t>KMAnot_</w:t>
    </w:r>
    <w:r w:rsidR="0046233A">
      <w:rPr>
        <w:noProof/>
        <w:sz w:val="22"/>
      </w:rPr>
      <w:t>17</w:t>
    </w:r>
    <w:r w:rsidR="00F92AE3">
      <w:rPr>
        <w:noProof/>
        <w:sz w:val="22"/>
      </w:rPr>
      <w:t>07</w:t>
    </w:r>
    <w:r w:rsidR="00F32ECD">
      <w:rPr>
        <w:noProof/>
        <w:sz w:val="22"/>
      </w:rPr>
      <w:t>15_LNSO_dividendes</w:t>
    </w:r>
    <w:r w:rsidRPr="004B33E7">
      <w:rPr>
        <w:sz w:val="22"/>
      </w:rPr>
      <w:fldChar w:fldCharType="end"/>
    </w:r>
    <w:r w:rsidR="00F32ECD" w:rsidRPr="004B33E7">
      <w:rPr>
        <w:sz w:val="22"/>
      </w:rPr>
      <w:t>; Ministru kabineta rīkojuma projekta „Par valstij dividendēs izmaksājamo valsts sabiedrības ar ierobežotu atbildību "</w:t>
    </w:r>
    <w:r w:rsidR="00F32ECD">
      <w:rPr>
        <w:sz w:val="22"/>
      </w:rPr>
      <w:t>Latvijas Nacionālais simfoniskais orķestris</w:t>
    </w:r>
    <w:r w:rsidR="00F32ECD"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CD" w:rsidRDefault="00F32ECD" w:rsidP="00E26FA6">
      <w:pPr>
        <w:spacing w:after="0" w:line="240" w:lineRule="auto"/>
      </w:pPr>
      <w:r>
        <w:separator/>
      </w:r>
    </w:p>
  </w:footnote>
  <w:footnote w:type="continuationSeparator" w:id="0">
    <w:p w:rsidR="00F32ECD" w:rsidRDefault="00F32ECD"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7" w:rsidRDefault="009A39A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F32ECD" w:rsidRPr="004B33E7" w:rsidRDefault="004F1B3B">
        <w:pPr>
          <w:pStyle w:val="Galvene"/>
          <w:jc w:val="center"/>
          <w:rPr>
            <w:sz w:val="22"/>
          </w:rPr>
        </w:pPr>
        <w:r w:rsidRPr="004B33E7">
          <w:rPr>
            <w:sz w:val="22"/>
          </w:rPr>
          <w:fldChar w:fldCharType="begin"/>
        </w:r>
        <w:r w:rsidR="00F32ECD" w:rsidRPr="004B33E7">
          <w:rPr>
            <w:sz w:val="22"/>
          </w:rPr>
          <w:instrText xml:space="preserve"> PAGE   \* MERGEFORMAT </w:instrText>
        </w:r>
        <w:r w:rsidRPr="004B33E7">
          <w:rPr>
            <w:sz w:val="22"/>
          </w:rPr>
          <w:fldChar w:fldCharType="separate"/>
        </w:r>
        <w:r w:rsidR="00FC3128">
          <w:rPr>
            <w:noProof/>
            <w:sz w:val="22"/>
          </w:rPr>
          <w:t>8</w:t>
        </w:r>
        <w:r w:rsidRPr="004B33E7">
          <w:rPr>
            <w:sz w:val="22"/>
          </w:rPr>
          <w:fldChar w:fldCharType="end"/>
        </w:r>
      </w:p>
    </w:sdtContent>
  </w:sdt>
  <w:p w:rsidR="00F32ECD" w:rsidRDefault="00F32EC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7" w:rsidRDefault="009A39A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39D3"/>
    <w:rsid w:val="000A6246"/>
    <w:rsid w:val="000B180C"/>
    <w:rsid w:val="000B62CF"/>
    <w:rsid w:val="000C592D"/>
    <w:rsid w:val="000C7BEF"/>
    <w:rsid w:val="000D2D1F"/>
    <w:rsid w:val="000E0765"/>
    <w:rsid w:val="000E0D4D"/>
    <w:rsid w:val="000E245F"/>
    <w:rsid w:val="000E3D59"/>
    <w:rsid w:val="000E7C24"/>
    <w:rsid w:val="001014A6"/>
    <w:rsid w:val="00120A34"/>
    <w:rsid w:val="00150619"/>
    <w:rsid w:val="00157CB0"/>
    <w:rsid w:val="00182AA0"/>
    <w:rsid w:val="0018337C"/>
    <w:rsid w:val="00183738"/>
    <w:rsid w:val="0018726D"/>
    <w:rsid w:val="0019276D"/>
    <w:rsid w:val="001941A3"/>
    <w:rsid w:val="00195232"/>
    <w:rsid w:val="001A7ADD"/>
    <w:rsid w:val="001B121B"/>
    <w:rsid w:val="001B487A"/>
    <w:rsid w:val="001B563E"/>
    <w:rsid w:val="001E10FF"/>
    <w:rsid w:val="0021642F"/>
    <w:rsid w:val="00243D73"/>
    <w:rsid w:val="002461AC"/>
    <w:rsid w:val="002648A4"/>
    <w:rsid w:val="002653C3"/>
    <w:rsid w:val="00273380"/>
    <w:rsid w:val="002746E9"/>
    <w:rsid w:val="002A7B1B"/>
    <w:rsid w:val="002B0ED9"/>
    <w:rsid w:val="002D027D"/>
    <w:rsid w:val="002D1584"/>
    <w:rsid w:val="002F5B05"/>
    <w:rsid w:val="00303EFA"/>
    <w:rsid w:val="0033077E"/>
    <w:rsid w:val="0034567B"/>
    <w:rsid w:val="00352E6F"/>
    <w:rsid w:val="0035329A"/>
    <w:rsid w:val="00376059"/>
    <w:rsid w:val="0039416B"/>
    <w:rsid w:val="003B2CAA"/>
    <w:rsid w:val="003C3F82"/>
    <w:rsid w:val="003E2E3B"/>
    <w:rsid w:val="003E32A5"/>
    <w:rsid w:val="003E7709"/>
    <w:rsid w:val="003F55E7"/>
    <w:rsid w:val="00400D1D"/>
    <w:rsid w:val="00420EB9"/>
    <w:rsid w:val="0044746B"/>
    <w:rsid w:val="0046233A"/>
    <w:rsid w:val="00480BBF"/>
    <w:rsid w:val="00482A88"/>
    <w:rsid w:val="004911EF"/>
    <w:rsid w:val="004A03F2"/>
    <w:rsid w:val="004A493B"/>
    <w:rsid w:val="004B0B7E"/>
    <w:rsid w:val="004B33E7"/>
    <w:rsid w:val="004B5FCE"/>
    <w:rsid w:val="004C4571"/>
    <w:rsid w:val="004F1B3B"/>
    <w:rsid w:val="004F2032"/>
    <w:rsid w:val="004F4551"/>
    <w:rsid w:val="004F6D43"/>
    <w:rsid w:val="0051505F"/>
    <w:rsid w:val="005733D4"/>
    <w:rsid w:val="00580E49"/>
    <w:rsid w:val="00586878"/>
    <w:rsid w:val="00594639"/>
    <w:rsid w:val="005B1966"/>
    <w:rsid w:val="005B23A4"/>
    <w:rsid w:val="005C2F56"/>
    <w:rsid w:val="005C376B"/>
    <w:rsid w:val="005E3ACC"/>
    <w:rsid w:val="005E672B"/>
    <w:rsid w:val="005F1E03"/>
    <w:rsid w:val="00607B3C"/>
    <w:rsid w:val="006223D7"/>
    <w:rsid w:val="00637708"/>
    <w:rsid w:val="006514A0"/>
    <w:rsid w:val="00657DE8"/>
    <w:rsid w:val="00660EF1"/>
    <w:rsid w:val="0066574F"/>
    <w:rsid w:val="00665A1E"/>
    <w:rsid w:val="00675353"/>
    <w:rsid w:val="006903D3"/>
    <w:rsid w:val="006A68EE"/>
    <w:rsid w:val="006B339E"/>
    <w:rsid w:val="006C227E"/>
    <w:rsid w:val="006C2934"/>
    <w:rsid w:val="006D686E"/>
    <w:rsid w:val="006E059E"/>
    <w:rsid w:val="006E13A2"/>
    <w:rsid w:val="007131D8"/>
    <w:rsid w:val="007133E9"/>
    <w:rsid w:val="00735A9D"/>
    <w:rsid w:val="00746CA3"/>
    <w:rsid w:val="00765701"/>
    <w:rsid w:val="00784AFA"/>
    <w:rsid w:val="00797AB2"/>
    <w:rsid w:val="007A387F"/>
    <w:rsid w:val="007A3C27"/>
    <w:rsid w:val="007A4F11"/>
    <w:rsid w:val="007B0DE9"/>
    <w:rsid w:val="007E330B"/>
    <w:rsid w:val="007E487A"/>
    <w:rsid w:val="007E6101"/>
    <w:rsid w:val="007E6F5E"/>
    <w:rsid w:val="00841D85"/>
    <w:rsid w:val="00842965"/>
    <w:rsid w:val="00842CEF"/>
    <w:rsid w:val="008435A5"/>
    <w:rsid w:val="0084708D"/>
    <w:rsid w:val="00852743"/>
    <w:rsid w:val="00852F1B"/>
    <w:rsid w:val="00860B20"/>
    <w:rsid w:val="00860EEF"/>
    <w:rsid w:val="00862A5E"/>
    <w:rsid w:val="0086726C"/>
    <w:rsid w:val="00880FCA"/>
    <w:rsid w:val="00884D1C"/>
    <w:rsid w:val="008918CF"/>
    <w:rsid w:val="00895E07"/>
    <w:rsid w:val="008A0233"/>
    <w:rsid w:val="008B6F1C"/>
    <w:rsid w:val="008C2F6F"/>
    <w:rsid w:val="00915E01"/>
    <w:rsid w:val="0092456A"/>
    <w:rsid w:val="00940F45"/>
    <w:rsid w:val="00942982"/>
    <w:rsid w:val="00944E64"/>
    <w:rsid w:val="00960F57"/>
    <w:rsid w:val="009A39A7"/>
    <w:rsid w:val="009A4B47"/>
    <w:rsid w:val="009C41A6"/>
    <w:rsid w:val="009D7DDE"/>
    <w:rsid w:val="009F2003"/>
    <w:rsid w:val="009F5BD0"/>
    <w:rsid w:val="009F72EC"/>
    <w:rsid w:val="00A00263"/>
    <w:rsid w:val="00A01A11"/>
    <w:rsid w:val="00A05F5A"/>
    <w:rsid w:val="00A216B6"/>
    <w:rsid w:val="00A472D9"/>
    <w:rsid w:val="00A6270C"/>
    <w:rsid w:val="00A6392B"/>
    <w:rsid w:val="00A647DB"/>
    <w:rsid w:val="00AA51DA"/>
    <w:rsid w:val="00AE3DC9"/>
    <w:rsid w:val="00AF232F"/>
    <w:rsid w:val="00AF396E"/>
    <w:rsid w:val="00AF3EEA"/>
    <w:rsid w:val="00B166F1"/>
    <w:rsid w:val="00B248C4"/>
    <w:rsid w:val="00B3254E"/>
    <w:rsid w:val="00B36394"/>
    <w:rsid w:val="00B54FC6"/>
    <w:rsid w:val="00B61C75"/>
    <w:rsid w:val="00B62E73"/>
    <w:rsid w:val="00B717C3"/>
    <w:rsid w:val="00B73D23"/>
    <w:rsid w:val="00B82072"/>
    <w:rsid w:val="00B824F4"/>
    <w:rsid w:val="00B83965"/>
    <w:rsid w:val="00B921F7"/>
    <w:rsid w:val="00B931C1"/>
    <w:rsid w:val="00BB2D20"/>
    <w:rsid w:val="00BB5D43"/>
    <w:rsid w:val="00BC62BA"/>
    <w:rsid w:val="00BE1791"/>
    <w:rsid w:val="00BF13B3"/>
    <w:rsid w:val="00C12711"/>
    <w:rsid w:val="00C224F7"/>
    <w:rsid w:val="00C26EA2"/>
    <w:rsid w:val="00C3226C"/>
    <w:rsid w:val="00C56489"/>
    <w:rsid w:val="00C57F09"/>
    <w:rsid w:val="00C656AB"/>
    <w:rsid w:val="00C703C8"/>
    <w:rsid w:val="00C70ADD"/>
    <w:rsid w:val="00C80902"/>
    <w:rsid w:val="00C86913"/>
    <w:rsid w:val="00C95A23"/>
    <w:rsid w:val="00CA4F27"/>
    <w:rsid w:val="00CB409B"/>
    <w:rsid w:val="00CC00CE"/>
    <w:rsid w:val="00CC2ABA"/>
    <w:rsid w:val="00CD3A9D"/>
    <w:rsid w:val="00CD6A90"/>
    <w:rsid w:val="00CE247C"/>
    <w:rsid w:val="00CF16B4"/>
    <w:rsid w:val="00CF33E0"/>
    <w:rsid w:val="00D05CA8"/>
    <w:rsid w:val="00D22E0A"/>
    <w:rsid w:val="00D269BE"/>
    <w:rsid w:val="00D36BBC"/>
    <w:rsid w:val="00D43D43"/>
    <w:rsid w:val="00D50E23"/>
    <w:rsid w:val="00DA07DD"/>
    <w:rsid w:val="00DA7C8C"/>
    <w:rsid w:val="00DC4E8B"/>
    <w:rsid w:val="00E149FB"/>
    <w:rsid w:val="00E248D0"/>
    <w:rsid w:val="00E25B01"/>
    <w:rsid w:val="00E26FA6"/>
    <w:rsid w:val="00E67241"/>
    <w:rsid w:val="00E94D0C"/>
    <w:rsid w:val="00E960E5"/>
    <w:rsid w:val="00EA3889"/>
    <w:rsid w:val="00EB618C"/>
    <w:rsid w:val="00ED01E9"/>
    <w:rsid w:val="00ED1023"/>
    <w:rsid w:val="00EE6948"/>
    <w:rsid w:val="00EF6C61"/>
    <w:rsid w:val="00EF75C5"/>
    <w:rsid w:val="00F15A89"/>
    <w:rsid w:val="00F30693"/>
    <w:rsid w:val="00F32ECD"/>
    <w:rsid w:val="00F3568F"/>
    <w:rsid w:val="00F42501"/>
    <w:rsid w:val="00F442CA"/>
    <w:rsid w:val="00F45248"/>
    <w:rsid w:val="00F63A0B"/>
    <w:rsid w:val="00F6492F"/>
    <w:rsid w:val="00F749CD"/>
    <w:rsid w:val="00F75C2B"/>
    <w:rsid w:val="00F92AE3"/>
    <w:rsid w:val="00FA46A5"/>
    <w:rsid w:val="00FA759B"/>
    <w:rsid w:val="00FB507C"/>
    <w:rsid w:val="00FC3128"/>
    <w:rsid w:val="00FC423D"/>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1215313004">
      <w:bodyDiv w:val="1"/>
      <w:marLeft w:val="0"/>
      <w:marRight w:val="0"/>
      <w:marTop w:val="0"/>
      <w:marBottom w:val="0"/>
      <w:divBdr>
        <w:top w:val="none" w:sz="0" w:space="0" w:color="auto"/>
        <w:left w:val="none" w:sz="0" w:space="0" w:color="auto"/>
        <w:bottom w:val="none" w:sz="0" w:space="0" w:color="auto"/>
        <w:right w:val="none" w:sz="0" w:space="0" w:color="auto"/>
      </w:divBdr>
    </w:div>
    <w:div w:id="15779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A73D-9C83-4F1C-9EA6-7E42B240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8375</Words>
  <Characters>4774</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Nacionālais simfoniskais orķestris” peļņas daļu” sākotnējās ietekmes novērtējuma ziņojums (anotācija)</dc:title>
  <dc:subject>anotācija</dc:subject>
  <dc:creator>L.Buševica</dc:creator>
  <dc:description>Tālr.67330263; fakss 67330293
Liga.Busevica@km.gov.lv</dc:description>
  <cp:lastModifiedBy>Dzintra Rozīte</cp:lastModifiedBy>
  <cp:revision>4</cp:revision>
  <cp:lastPrinted>2013-09-25T12:23:00Z</cp:lastPrinted>
  <dcterms:created xsi:type="dcterms:W3CDTF">2015-07-16T13:35:00Z</dcterms:created>
  <dcterms:modified xsi:type="dcterms:W3CDTF">2015-07-20T06:15:00Z</dcterms:modified>
</cp:coreProperties>
</file>