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64EB9" w14:textId="77777777" w:rsidR="00C13F97" w:rsidRPr="00C13F97" w:rsidRDefault="00C13F97" w:rsidP="00C926FD">
      <w:pPr>
        <w:ind w:left="1080" w:hanging="1080"/>
        <w:jc w:val="center"/>
        <w:rPr>
          <w:b/>
          <w:sz w:val="28"/>
          <w:szCs w:val="28"/>
        </w:rPr>
      </w:pPr>
      <w:bookmarkStart w:id="0" w:name="_Toc335049378"/>
    </w:p>
    <w:p w14:paraId="404A262F" w14:textId="77777777" w:rsidR="00C926FD" w:rsidRPr="00C13F97" w:rsidRDefault="00CD0867" w:rsidP="00C926FD">
      <w:pPr>
        <w:ind w:left="1080" w:hanging="1080"/>
        <w:jc w:val="center"/>
        <w:rPr>
          <w:b/>
          <w:sz w:val="28"/>
          <w:szCs w:val="28"/>
        </w:rPr>
      </w:pPr>
      <w:r w:rsidRPr="00C13F97">
        <w:rPr>
          <w:b/>
          <w:sz w:val="28"/>
          <w:szCs w:val="28"/>
        </w:rPr>
        <w:t>Informatīvais ziņojums</w:t>
      </w:r>
    </w:p>
    <w:p w14:paraId="77A7AE7D" w14:textId="0B57BA2D" w:rsidR="00CD0867" w:rsidRPr="00C13F97" w:rsidRDefault="00CD0867" w:rsidP="00C926FD">
      <w:pPr>
        <w:ind w:left="1080" w:hanging="1080"/>
        <w:jc w:val="center"/>
        <w:rPr>
          <w:sz w:val="28"/>
          <w:szCs w:val="28"/>
        </w:rPr>
      </w:pPr>
      <w:r w:rsidRPr="00C13F97">
        <w:rPr>
          <w:b/>
          <w:sz w:val="28"/>
          <w:szCs w:val="28"/>
        </w:rPr>
        <w:t xml:space="preserve"> </w:t>
      </w:r>
      <w:r w:rsidR="00A66792" w:rsidRPr="00C13F97">
        <w:rPr>
          <w:b/>
          <w:sz w:val="28"/>
          <w:szCs w:val="28"/>
        </w:rPr>
        <w:t xml:space="preserve">„Par </w:t>
      </w:r>
      <w:r w:rsidRPr="00C13F97">
        <w:rPr>
          <w:b/>
          <w:sz w:val="28"/>
          <w:szCs w:val="28"/>
        </w:rPr>
        <w:t>iemaksu likmes valsts fondēto pensiju</w:t>
      </w:r>
      <w:r w:rsidR="00857549" w:rsidRPr="00C13F97">
        <w:rPr>
          <w:b/>
          <w:sz w:val="28"/>
          <w:szCs w:val="28"/>
        </w:rPr>
        <w:t xml:space="preserve"> s</w:t>
      </w:r>
      <w:r w:rsidRPr="00C13F97">
        <w:rPr>
          <w:b/>
          <w:sz w:val="28"/>
          <w:szCs w:val="28"/>
        </w:rPr>
        <w:t xml:space="preserve">hēmā samazinājumu </w:t>
      </w:r>
      <w:r w:rsidR="00D6686C" w:rsidRPr="00C13F97">
        <w:rPr>
          <w:b/>
          <w:sz w:val="28"/>
          <w:szCs w:val="28"/>
        </w:rPr>
        <w:t>no 2009.gada</w:t>
      </w:r>
      <w:r w:rsidRPr="00C13F97">
        <w:rPr>
          <w:b/>
          <w:sz w:val="28"/>
          <w:szCs w:val="28"/>
        </w:rPr>
        <w:t xml:space="preserve"> un tā ietekmi uz valsts fondēto pensiju shēmas dalībnieka vecuma pensijas kapitālu</w:t>
      </w:r>
      <w:r w:rsidR="00A66792" w:rsidRPr="00C13F97">
        <w:rPr>
          <w:b/>
          <w:sz w:val="28"/>
          <w:szCs w:val="28"/>
        </w:rPr>
        <w:t>”</w:t>
      </w:r>
    </w:p>
    <w:p w14:paraId="76DDF44F" w14:textId="77777777" w:rsidR="00CD0867" w:rsidRPr="00C13F97" w:rsidRDefault="00CD0867" w:rsidP="00C926FD">
      <w:pPr>
        <w:pStyle w:val="Heading1"/>
        <w:spacing w:before="0" w:after="0"/>
        <w:jc w:val="center"/>
        <w:rPr>
          <w:rFonts w:ascii="Times New Roman" w:hAnsi="Times New Roman" w:cs="Times New Roman"/>
          <w:sz w:val="28"/>
          <w:szCs w:val="28"/>
        </w:rPr>
      </w:pPr>
    </w:p>
    <w:p w14:paraId="3BF26120" w14:textId="260913A2" w:rsidR="00EB30BA" w:rsidRPr="00C13F97" w:rsidRDefault="00EB30BA" w:rsidP="00EB30BA">
      <w:pPr>
        <w:tabs>
          <w:tab w:val="left" w:pos="720"/>
          <w:tab w:val="left" w:pos="1120"/>
        </w:tabs>
        <w:jc w:val="both"/>
        <w:rPr>
          <w:rStyle w:val="spelle"/>
          <w:sz w:val="28"/>
          <w:szCs w:val="28"/>
        </w:rPr>
      </w:pPr>
      <w:r w:rsidRPr="00C13F97">
        <w:rPr>
          <w:rStyle w:val="spelle"/>
          <w:sz w:val="28"/>
          <w:szCs w:val="28"/>
        </w:rPr>
        <w:tab/>
        <w:t>Informatīvais ziņojums izstrādāts</w:t>
      </w:r>
      <w:r w:rsidR="00642D23" w:rsidRPr="00C13F97">
        <w:rPr>
          <w:rStyle w:val="spelle"/>
          <w:sz w:val="28"/>
          <w:szCs w:val="28"/>
        </w:rPr>
        <w:t xml:space="preserve"> atbilstoši Ministru prezidenta 201</w:t>
      </w:r>
      <w:r w:rsidR="007864A1" w:rsidRPr="00C13F97">
        <w:rPr>
          <w:rStyle w:val="spelle"/>
          <w:sz w:val="28"/>
          <w:szCs w:val="28"/>
        </w:rPr>
        <w:t>3</w:t>
      </w:r>
      <w:r w:rsidR="00642D23" w:rsidRPr="00C13F97">
        <w:rPr>
          <w:rStyle w:val="spelle"/>
          <w:sz w:val="28"/>
          <w:szCs w:val="28"/>
        </w:rPr>
        <w:t>.gada 2.</w:t>
      </w:r>
      <w:r w:rsidR="007864A1" w:rsidRPr="00C13F97">
        <w:rPr>
          <w:rStyle w:val="spelle"/>
          <w:sz w:val="28"/>
          <w:szCs w:val="28"/>
        </w:rPr>
        <w:t xml:space="preserve">janvāra </w:t>
      </w:r>
      <w:r w:rsidR="00642D23" w:rsidRPr="00C13F97">
        <w:rPr>
          <w:rStyle w:val="spelle"/>
          <w:sz w:val="28"/>
          <w:szCs w:val="28"/>
        </w:rPr>
        <w:t>rezolūcijai Nr.12/</w:t>
      </w:r>
      <w:r w:rsidR="007864A1" w:rsidRPr="00C13F97">
        <w:rPr>
          <w:rStyle w:val="spelle"/>
          <w:sz w:val="28"/>
          <w:szCs w:val="28"/>
        </w:rPr>
        <w:t>2012-Jur-199</w:t>
      </w:r>
      <w:r w:rsidRPr="00C13F97">
        <w:rPr>
          <w:rStyle w:val="spelle"/>
          <w:sz w:val="28"/>
          <w:szCs w:val="28"/>
        </w:rPr>
        <w:t xml:space="preserve">, </w:t>
      </w:r>
      <w:r w:rsidR="00642D23" w:rsidRPr="00C13F97">
        <w:rPr>
          <w:rStyle w:val="spelle"/>
          <w:sz w:val="28"/>
          <w:szCs w:val="28"/>
        </w:rPr>
        <w:t xml:space="preserve">attiecīgi nodrošinot </w:t>
      </w:r>
      <w:r w:rsidR="00480A0E" w:rsidRPr="00C13F97">
        <w:rPr>
          <w:rStyle w:val="spelle"/>
          <w:sz w:val="28"/>
          <w:szCs w:val="28"/>
        </w:rPr>
        <w:t>Ministru k</w:t>
      </w:r>
      <w:r w:rsidR="00C13F97" w:rsidRPr="00C13F97">
        <w:rPr>
          <w:rStyle w:val="spelle"/>
          <w:sz w:val="28"/>
          <w:szCs w:val="28"/>
        </w:rPr>
        <w:t xml:space="preserve">abinetam dotā uzdevuma izpildi </w:t>
      </w:r>
      <w:r w:rsidR="001D5F43" w:rsidRPr="00C13F97">
        <w:rPr>
          <w:rStyle w:val="spelle"/>
          <w:sz w:val="28"/>
          <w:szCs w:val="28"/>
        </w:rPr>
        <w:t xml:space="preserve">attiecībā uz </w:t>
      </w:r>
      <w:r w:rsidRPr="00C13F97">
        <w:rPr>
          <w:rStyle w:val="spelle"/>
          <w:sz w:val="28"/>
          <w:szCs w:val="28"/>
        </w:rPr>
        <w:t xml:space="preserve">Valsts fondēto pensiju likuma Pārejas noteikumu 15.punktā noteikto uzdevumu: </w:t>
      </w:r>
      <w:r w:rsidR="004951D3" w:rsidRPr="00C13F97">
        <w:rPr>
          <w:rStyle w:val="spelle"/>
          <w:sz w:val="28"/>
          <w:szCs w:val="28"/>
        </w:rPr>
        <w:t>„</w:t>
      </w:r>
      <w:r w:rsidRPr="00C13F97">
        <w:rPr>
          <w:rStyle w:val="spelle"/>
          <w:sz w:val="28"/>
          <w:szCs w:val="28"/>
        </w:rPr>
        <w:t>Ministru kabinets sešu mēnešu laikā no dienas, kad, noslēdzoties saimnieciskajam gadam, sociālās apdrošināšanas speciālā budžeta gada ieņēmumi pārsniedz izdevumus, izvērtē sociālās apdrošināšanas iemaksu likmes samazinājumu valsts fondēto pensiju shēmā 201</w:t>
      </w:r>
      <w:r w:rsidR="00101BB6" w:rsidRPr="00C13F97">
        <w:rPr>
          <w:rStyle w:val="spelle"/>
          <w:sz w:val="28"/>
          <w:szCs w:val="28"/>
        </w:rPr>
        <w:t>1.-</w:t>
      </w:r>
      <w:r w:rsidRPr="00C13F97">
        <w:rPr>
          <w:rStyle w:val="spelle"/>
          <w:sz w:val="28"/>
          <w:szCs w:val="28"/>
        </w:rPr>
        <w:t>2015.gadā un tā ietekmi uz valsts fondēto pensiju shēmas dalībnieka vecuma pensijas kapitālu un iesniedz Saeimai attiecīgu ziņojumu. Ziņojumā ietver arī izvērtējumu par iespēju kompensēt sociālās apdrošināšanas iemaksu likmes samazinājum</w:t>
      </w:r>
      <w:r w:rsidR="001D5F43" w:rsidRPr="00C13F97">
        <w:rPr>
          <w:rStyle w:val="spelle"/>
          <w:sz w:val="28"/>
          <w:szCs w:val="28"/>
        </w:rPr>
        <w:t>u valsts fondēto pensiju shēmā.</w:t>
      </w:r>
      <w:r w:rsidR="004951D3" w:rsidRPr="00C13F97">
        <w:rPr>
          <w:rStyle w:val="spelle"/>
          <w:sz w:val="28"/>
          <w:szCs w:val="28"/>
        </w:rPr>
        <w:t>”</w:t>
      </w:r>
    </w:p>
    <w:p w14:paraId="5C84EE27" w14:textId="270768FA" w:rsidR="00EB30BA" w:rsidRPr="00C13F97" w:rsidRDefault="00EB30BA" w:rsidP="00EB30BA">
      <w:pPr>
        <w:ind w:firstLine="720"/>
        <w:jc w:val="both"/>
        <w:rPr>
          <w:sz w:val="28"/>
          <w:szCs w:val="28"/>
        </w:rPr>
      </w:pPr>
      <w:r w:rsidRPr="00C13F97">
        <w:rPr>
          <w:sz w:val="28"/>
          <w:szCs w:val="28"/>
        </w:rPr>
        <w:t xml:space="preserve">Informatīvā ziņojuma mērķis ir </w:t>
      </w:r>
      <w:r w:rsidR="009007CB" w:rsidRPr="00C13F97">
        <w:rPr>
          <w:sz w:val="28"/>
          <w:szCs w:val="28"/>
        </w:rPr>
        <w:t>izvērtēt sociālās apdrošināšanas iemaksu (turpmāk – iemaksu) likmes samazinājumu valsts fondēto pensiju shēmā un</w:t>
      </w:r>
      <w:r w:rsidR="00000137" w:rsidRPr="00C13F97">
        <w:rPr>
          <w:sz w:val="28"/>
          <w:szCs w:val="28"/>
        </w:rPr>
        <w:t xml:space="preserve"> tā ietekmi uz shēmas dalībnieka vecuma pensijas kapitālu.</w:t>
      </w:r>
      <w:r w:rsidRPr="00C13F97">
        <w:rPr>
          <w:rStyle w:val="spelle"/>
          <w:sz w:val="28"/>
          <w:szCs w:val="28"/>
        </w:rPr>
        <w:t xml:space="preserve">. </w:t>
      </w:r>
    </w:p>
    <w:p w14:paraId="72B12CBA" w14:textId="77777777" w:rsidR="00CD0867" w:rsidRPr="00C13F97" w:rsidRDefault="00CD0867" w:rsidP="00CD0867">
      <w:pPr>
        <w:pStyle w:val="Heading1"/>
        <w:spacing w:before="0" w:after="0"/>
        <w:jc w:val="center"/>
        <w:rPr>
          <w:rFonts w:ascii="Times New Roman" w:hAnsi="Times New Roman" w:cs="Times New Roman"/>
          <w:sz w:val="28"/>
          <w:szCs w:val="28"/>
        </w:rPr>
      </w:pPr>
    </w:p>
    <w:p w14:paraId="120DBE41" w14:textId="77777777" w:rsidR="00CD0867" w:rsidRPr="00C13F97" w:rsidRDefault="00CD0867" w:rsidP="00CD0867">
      <w:pPr>
        <w:pStyle w:val="Heading1"/>
        <w:spacing w:before="0" w:after="0"/>
        <w:jc w:val="center"/>
        <w:rPr>
          <w:rFonts w:ascii="Times New Roman" w:hAnsi="Times New Roman" w:cs="Times New Roman"/>
          <w:sz w:val="28"/>
          <w:szCs w:val="28"/>
        </w:rPr>
      </w:pPr>
      <w:r w:rsidRPr="00C13F97">
        <w:rPr>
          <w:rFonts w:ascii="Times New Roman" w:hAnsi="Times New Roman" w:cs="Times New Roman"/>
          <w:sz w:val="28"/>
          <w:szCs w:val="28"/>
        </w:rPr>
        <w:t>Ievads</w:t>
      </w:r>
      <w:bookmarkEnd w:id="0"/>
    </w:p>
    <w:p w14:paraId="34487FA2" w14:textId="77777777" w:rsidR="00CD0867" w:rsidRPr="00C13F97" w:rsidRDefault="00CD0867" w:rsidP="00CD0867">
      <w:pPr>
        <w:rPr>
          <w:b/>
          <w:sz w:val="28"/>
          <w:szCs w:val="28"/>
        </w:rPr>
      </w:pPr>
    </w:p>
    <w:p w14:paraId="5C553048" w14:textId="77777777" w:rsidR="00210556" w:rsidRPr="00C13F97" w:rsidRDefault="00487054" w:rsidP="00101BB6">
      <w:pPr>
        <w:tabs>
          <w:tab w:val="left" w:pos="720"/>
          <w:tab w:val="left" w:pos="1120"/>
        </w:tabs>
        <w:ind w:firstLine="720"/>
        <w:jc w:val="both"/>
        <w:rPr>
          <w:sz w:val="28"/>
          <w:szCs w:val="28"/>
        </w:rPr>
      </w:pPr>
      <w:r w:rsidRPr="00C13F97">
        <w:rPr>
          <w:sz w:val="28"/>
          <w:szCs w:val="28"/>
        </w:rPr>
        <w:t>Latvijā pastāv trīs līmeņu pensiju sistēma</w:t>
      </w:r>
      <w:r w:rsidR="00CD0867" w:rsidRPr="00C13F97">
        <w:rPr>
          <w:sz w:val="28"/>
          <w:szCs w:val="28"/>
        </w:rPr>
        <w:t xml:space="preserve">: 1.līmenis – valsts obligātā nefondēto pensiju shēma (kopš 1996.gada 1.janvāra); 2.līmenis – valsts obligātā fondēto pensiju shēma (kopš 2001.gada 1.jūlija); 3.līmenis – privātā brīvprātīgā pensiju shēma (kopš 1998.gada 1.jūlija). </w:t>
      </w:r>
    </w:p>
    <w:p w14:paraId="4B2A3078" w14:textId="77777777" w:rsidR="00CD0867" w:rsidRPr="00C13F97" w:rsidRDefault="00210556" w:rsidP="00CD0867">
      <w:pPr>
        <w:tabs>
          <w:tab w:val="left" w:pos="720"/>
          <w:tab w:val="left" w:pos="1120"/>
        </w:tabs>
        <w:jc w:val="both"/>
        <w:rPr>
          <w:sz w:val="28"/>
          <w:szCs w:val="28"/>
        </w:rPr>
      </w:pPr>
      <w:r w:rsidRPr="00C13F97">
        <w:rPr>
          <w:sz w:val="28"/>
          <w:szCs w:val="28"/>
        </w:rPr>
        <w:tab/>
      </w:r>
      <w:r w:rsidR="00CD0867" w:rsidRPr="00C13F97">
        <w:rPr>
          <w:sz w:val="28"/>
          <w:szCs w:val="28"/>
        </w:rPr>
        <w:t>Visos trīs līmeņos pensijas</w:t>
      </w:r>
      <w:r w:rsidRPr="00C13F97">
        <w:rPr>
          <w:sz w:val="28"/>
          <w:szCs w:val="28"/>
        </w:rPr>
        <w:t xml:space="preserve"> apmērs ir atkarīgs no iemaksām, un </w:t>
      </w:r>
      <w:r w:rsidR="00CD0867" w:rsidRPr="00C13F97">
        <w:rPr>
          <w:sz w:val="28"/>
          <w:szCs w:val="28"/>
        </w:rPr>
        <w:t xml:space="preserve">visos trīs līmeņos šīs iemaksas tiek uzkrātas (nosacīti vai tieši), pelnot procentus un krājot pensijas kapitālu. </w:t>
      </w:r>
    </w:p>
    <w:p w14:paraId="2C923E2B" w14:textId="77777777" w:rsidR="00CD0867" w:rsidRPr="00C13F97" w:rsidRDefault="00CD0867" w:rsidP="00CD0867">
      <w:pPr>
        <w:autoSpaceDE w:val="0"/>
        <w:autoSpaceDN w:val="0"/>
        <w:adjustRightInd w:val="0"/>
        <w:ind w:firstLine="720"/>
        <w:jc w:val="both"/>
        <w:rPr>
          <w:sz w:val="28"/>
          <w:szCs w:val="28"/>
        </w:rPr>
      </w:pPr>
      <w:r w:rsidRPr="00C13F97">
        <w:rPr>
          <w:sz w:val="28"/>
          <w:szCs w:val="28"/>
        </w:rPr>
        <w:t xml:space="preserve">Pensiju sistēmas 1.līmenis ir uz iemaksām balstīta pensiju shēma, kas darbojas pēc paaudžu solidaritātes principa. Tas nozīmē, ka iemaksas, kuras veic sociāli apdrošinātas personas, tiek novirzītas pašreizējo pensiju izmaksām. Pensijas apmēru veido personas darba mūžā uzkrātais „virtuālais” pensijas kapitāls, t.i., informācija par iemaksām pensiju apdrošināšanai. </w:t>
      </w:r>
    </w:p>
    <w:p w14:paraId="0167B18B" w14:textId="77777777" w:rsidR="00CD0867" w:rsidRPr="00C13F97" w:rsidRDefault="00CD0867" w:rsidP="00CD0867">
      <w:pPr>
        <w:autoSpaceDE w:val="0"/>
        <w:autoSpaceDN w:val="0"/>
        <w:adjustRightInd w:val="0"/>
        <w:ind w:firstLine="720"/>
        <w:jc w:val="both"/>
        <w:rPr>
          <w:sz w:val="28"/>
          <w:szCs w:val="28"/>
        </w:rPr>
      </w:pPr>
      <w:r w:rsidRPr="00C13F97">
        <w:rPr>
          <w:sz w:val="28"/>
          <w:szCs w:val="28"/>
        </w:rPr>
        <w:t xml:space="preserve">Pensiju sistēmas 2.līmenis jeb valsts fondēto pensiju shēma </w:t>
      </w:r>
      <w:r w:rsidR="00EB30BA" w:rsidRPr="00C13F97">
        <w:rPr>
          <w:sz w:val="28"/>
          <w:szCs w:val="28"/>
        </w:rPr>
        <w:t xml:space="preserve">(turpmāk – 2.līmenis) </w:t>
      </w:r>
      <w:r w:rsidRPr="00C13F97">
        <w:rPr>
          <w:sz w:val="28"/>
          <w:szCs w:val="28"/>
        </w:rPr>
        <w:t>ir balstīta uz individuālo iemaksu ieguldījuma principu, paredzot, ka daļa no personas iemaksām vecuma pensijām</w:t>
      </w:r>
      <w:r w:rsidR="00210556" w:rsidRPr="00C13F97">
        <w:rPr>
          <w:sz w:val="28"/>
          <w:szCs w:val="28"/>
        </w:rPr>
        <w:t>, nepalielinot kopējo iemaksu likmi vecuma pensijām (t.i. 20% no iemaksu objekta</w:t>
      </w:r>
      <w:r w:rsidR="0002485B" w:rsidRPr="00C13F97">
        <w:rPr>
          <w:rStyle w:val="FootnoteReference"/>
          <w:sz w:val="28"/>
          <w:szCs w:val="28"/>
        </w:rPr>
        <w:footnoteReference w:id="1"/>
      </w:r>
      <w:r w:rsidR="00210556" w:rsidRPr="00C13F97">
        <w:rPr>
          <w:sz w:val="28"/>
          <w:szCs w:val="28"/>
        </w:rPr>
        <w:t>),</w:t>
      </w:r>
      <w:r w:rsidRPr="00C13F97">
        <w:rPr>
          <w:sz w:val="28"/>
          <w:szCs w:val="28"/>
        </w:rPr>
        <w:t xml:space="preserve"> tiks investēta finanšu kapitāla tirgū, kur šie naudas līdzekļi tiktu investēti ienākumus nesošos aktīvos („reālais” kapitāls). Iesaistīšanās pensiju sistēmas 2.līmenī ļauj shēmas dalībniekam pašam </w:t>
      </w:r>
      <w:r w:rsidRPr="00C13F97">
        <w:rPr>
          <w:sz w:val="28"/>
          <w:szCs w:val="28"/>
        </w:rPr>
        <w:lastRenderedPageBreak/>
        <w:t xml:space="preserve">līdzdarboties sava pensijas kapitāla uzkrāšanā, sekojot finanšu kapitāla tirgus rādītājiem un, it īpaši, izvēlētā ieguldījumu plāna darbības rezultātiem. </w:t>
      </w:r>
    </w:p>
    <w:p w14:paraId="4BE8986F" w14:textId="77777777" w:rsidR="001D5F43" w:rsidRPr="00C13F97" w:rsidRDefault="001D5F43" w:rsidP="00A22E5B">
      <w:pPr>
        <w:autoSpaceDE w:val="0"/>
        <w:autoSpaceDN w:val="0"/>
        <w:adjustRightInd w:val="0"/>
        <w:jc w:val="both"/>
        <w:rPr>
          <w:sz w:val="28"/>
          <w:szCs w:val="28"/>
        </w:rPr>
      </w:pPr>
    </w:p>
    <w:p w14:paraId="281D1807" w14:textId="008A1626" w:rsidR="00DF4AC9" w:rsidRPr="00C13F97" w:rsidRDefault="00101BB6" w:rsidP="00C13F97">
      <w:pPr>
        <w:pStyle w:val="Heading1"/>
        <w:spacing w:before="0" w:after="0"/>
        <w:jc w:val="center"/>
        <w:rPr>
          <w:rFonts w:ascii="Times New Roman" w:hAnsi="Times New Roman"/>
          <w:sz w:val="28"/>
          <w:szCs w:val="28"/>
        </w:rPr>
      </w:pPr>
      <w:bookmarkStart w:id="1" w:name="_Toc335049379"/>
      <w:r w:rsidRPr="00C13F97">
        <w:rPr>
          <w:rFonts w:ascii="Times New Roman" w:hAnsi="Times New Roman"/>
          <w:sz w:val="28"/>
          <w:szCs w:val="28"/>
        </w:rPr>
        <w:t>1. Situācijas raksturojums</w:t>
      </w:r>
      <w:bookmarkEnd w:id="1"/>
    </w:p>
    <w:p w14:paraId="7F2F8BFC" w14:textId="77777777" w:rsidR="00DF4AC9" w:rsidRPr="00C13F97" w:rsidRDefault="00101BB6" w:rsidP="00101BB6">
      <w:pPr>
        <w:pStyle w:val="Heading2"/>
        <w:numPr>
          <w:ilvl w:val="1"/>
          <w:numId w:val="7"/>
        </w:numPr>
        <w:spacing w:before="0" w:after="0"/>
        <w:rPr>
          <w:rFonts w:ascii="Times New Roman" w:hAnsi="Times New Roman"/>
        </w:rPr>
      </w:pPr>
      <w:bookmarkStart w:id="2" w:name="_Toc335049381"/>
      <w:r w:rsidRPr="00C13F97">
        <w:rPr>
          <w:rFonts w:ascii="Times New Roman" w:hAnsi="Times New Roman"/>
        </w:rPr>
        <w:t xml:space="preserve"> </w:t>
      </w:r>
      <w:r w:rsidR="00DF4AC9" w:rsidRPr="00C13F97">
        <w:rPr>
          <w:rFonts w:ascii="Times New Roman" w:hAnsi="Times New Roman"/>
        </w:rPr>
        <w:t>Iemaksu likme</w:t>
      </w:r>
      <w:bookmarkEnd w:id="2"/>
    </w:p>
    <w:p w14:paraId="5E1A3705" w14:textId="356849B5" w:rsidR="00DF4AC9" w:rsidRPr="00C13F97" w:rsidRDefault="00776CED" w:rsidP="00DF4AC9">
      <w:pPr>
        <w:autoSpaceDE w:val="0"/>
        <w:autoSpaceDN w:val="0"/>
        <w:adjustRightInd w:val="0"/>
        <w:ind w:firstLine="720"/>
        <w:jc w:val="both"/>
        <w:rPr>
          <w:color w:val="000000"/>
          <w:sz w:val="28"/>
          <w:szCs w:val="28"/>
        </w:rPr>
      </w:pPr>
      <w:r w:rsidRPr="00C13F97">
        <w:rPr>
          <w:color w:val="000000"/>
          <w:sz w:val="28"/>
          <w:szCs w:val="28"/>
        </w:rPr>
        <w:t xml:space="preserve">Ieviešot pensiju </w:t>
      </w:r>
      <w:r w:rsidR="00DF4AC9" w:rsidRPr="00C13F97">
        <w:rPr>
          <w:color w:val="000000"/>
          <w:sz w:val="28"/>
          <w:szCs w:val="28"/>
        </w:rPr>
        <w:t>2.līmeni, likumdevējs lēma, ka ar 2010.gadu sociālās iemaksas vienlīdzīgās daļās sadalīsies starp 1.līmeni (10%</w:t>
      </w:r>
      <w:r w:rsidR="00487054" w:rsidRPr="00C13F97">
        <w:rPr>
          <w:color w:val="000000"/>
          <w:sz w:val="28"/>
          <w:szCs w:val="28"/>
        </w:rPr>
        <w:t xml:space="preserve"> no iemaksu objekta</w:t>
      </w:r>
      <w:r w:rsidR="00DF4AC9" w:rsidRPr="00C13F97">
        <w:rPr>
          <w:color w:val="000000"/>
          <w:sz w:val="28"/>
          <w:szCs w:val="28"/>
        </w:rPr>
        <w:t>) un 2.līmeni (10%</w:t>
      </w:r>
      <w:r w:rsidR="00487054" w:rsidRPr="00C13F97">
        <w:rPr>
          <w:color w:val="000000"/>
          <w:sz w:val="28"/>
          <w:szCs w:val="28"/>
        </w:rPr>
        <w:t xml:space="preserve"> no iemaksu objekta</w:t>
      </w:r>
      <w:r w:rsidR="00DF4AC9" w:rsidRPr="00C13F97">
        <w:rPr>
          <w:color w:val="000000"/>
          <w:sz w:val="28"/>
          <w:szCs w:val="28"/>
        </w:rPr>
        <w:t>), līdz tam nosakot pakāpenisku pāreju. Latvijai salīdzinoši ilgu laiku bija labvēlīga demogrāfiskā situācija (salīdzinoši augsts darbspējīgo iedzīvotāju skaits un zems veco ļaužu skaits), kā arī pēc 90.gadu krīzes Latvijā pakāpeniski uzlabojās tādi ekonomiskie rādītāji kā nodarbinātības līmenis un iekšzemes kopprodukts, kuru izaugsmi veicināja arī iestāšanās Eiropas Savienībā un investīciju ieplūdums valstī. Visi šie faktori nodrošināja līdzekļu pieaugumu valsts budžetā un</w:t>
      </w:r>
      <w:r w:rsidR="00455ABC" w:rsidRPr="00C13F97">
        <w:rPr>
          <w:color w:val="000000"/>
          <w:sz w:val="28"/>
          <w:szCs w:val="28"/>
        </w:rPr>
        <w:t>,</w:t>
      </w:r>
      <w:r w:rsidR="00DF4AC9" w:rsidRPr="00C13F97">
        <w:rPr>
          <w:color w:val="000000"/>
          <w:sz w:val="28"/>
          <w:szCs w:val="28"/>
        </w:rPr>
        <w:t xml:space="preserve"> tai skaitā</w:t>
      </w:r>
      <w:r w:rsidR="00455ABC" w:rsidRPr="00C13F97">
        <w:rPr>
          <w:color w:val="000000"/>
          <w:sz w:val="28"/>
          <w:szCs w:val="28"/>
        </w:rPr>
        <w:t>,</w:t>
      </w:r>
      <w:r w:rsidR="00DF4AC9" w:rsidRPr="00C13F97">
        <w:rPr>
          <w:color w:val="000000"/>
          <w:sz w:val="28"/>
          <w:szCs w:val="28"/>
        </w:rPr>
        <w:t xml:space="preserve"> </w:t>
      </w:r>
      <w:r w:rsidR="00487054" w:rsidRPr="00C13F97">
        <w:rPr>
          <w:color w:val="000000"/>
          <w:sz w:val="28"/>
          <w:szCs w:val="28"/>
        </w:rPr>
        <w:t xml:space="preserve">sociālās apdrošināšanas </w:t>
      </w:r>
      <w:r w:rsidR="00DF4AC9" w:rsidRPr="00C13F97">
        <w:rPr>
          <w:color w:val="000000"/>
          <w:sz w:val="28"/>
          <w:szCs w:val="28"/>
        </w:rPr>
        <w:t>speciālajā budžetā</w:t>
      </w:r>
      <w:r w:rsidR="00487054" w:rsidRPr="00C13F97">
        <w:rPr>
          <w:color w:val="000000"/>
          <w:sz w:val="28"/>
          <w:szCs w:val="28"/>
        </w:rPr>
        <w:t xml:space="preserve"> (turpmāk - speciālais budžets)</w:t>
      </w:r>
      <w:r w:rsidR="00DF4AC9" w:rsidRPr="00C13F97">
        <w:rPr>
          <w:color w:val="000000"/>
          <w:sz w:val="28"/>
          <w:szCs w:val="28"/>
        </w:rPr>
        <w:t>, un ilgtermiņa prognozes liecināja, ka no 2010.gada Latvija varēs atļauties 2.līmenim nov</w:t>
      </w:r>
      <w:r w:rsidR="00487054" w:rsidRPr="00C13F97">
        <w:rPr>
          <w:color w:val="000000"/>
          <w:sz w:val="28"/>
          <w:szCs w:val="28"/>
        </w:rPr>
        <w:t>irzīt 10% (no iemaksu objekta)</w:t>
      </w:r>
      <w:r w:rsidR="00DF4AC9" w:rsidRPr="00C13F97">
        <w:rPr>
          <w:color w:val="000000"/>
          <w:sz w:val="28"/>
          <w:szCs w:val="28"/>
        </w:rPr>
        <w:t>.</w:t>
      </w:r>
    </w:p>
    <w:p w14:paraId="3EF3498B" w14:textId="52A58EF9" w:rsidR="0002533C" w:rsidRPr="00C13F97" w:rsidRDefault="00DF4AC9" w:rsidP="00C13F97">
      <w:pPr>
        <w:ind w:right="57" w:firstLine="720"/>
        <w:jc w:val="both"/>
        <w:rPr>
          <w:color w:val="000000"/>
          <w:sz w:val="28"/>
          <w:szCs w:val="28"/>
        </w:rPr>
      </w:pPr>
      <w:r w:rsidRPr="00C13F97">
        <w:rPr>
          <w:sz w:val="28"/>
          <w:szCs w:val="28"/>
        </w:rPr>
        <w:t xml:space="preserve">Lai gan līdz 2009.gadam </w:t>
      </w:r>
      <w:r w:rsidR="00487054" w:rsidRPr="00C13F97">
        <w:rPr>
          <w:sz w:val="28"/>
          <w:szCs w:val="28"/>
        </w:rPr>
        <w:t xml:space="preserve">iemaksu </w:t>
      </w:r>
      <w:r w:rsidRPr="00C13F97">
        <w:rPr>
          <w:sz w:val="28"/>
          <w:szCs w:val="28"/>
        </w:rPr>
        <w:t xml:space="preserve">likmes pārdale starp pensiju 1.līmeni un 2.līmeni finansiāli noritēja veiksmīgi, tomēr jau situācija 2009.gada </w:t>
      </w:r>
      <w:r w:rsidR="00487054" w:rsidRPr="00C13F97">
        <w:rPr>
          <w:sz w:val="28"/>
          <w:szCs w:val="28"/>
        </w:rPr>
        <w:t xml:space="preserve">sociālajā </w:t>
      </w:r>
      <w:r w:rsidRPr="00C13F97">
        <w:rPr>
          <w:sz w:val="28"/>
          <w:szCs w:val="28"/>
        </w:rPr>
        <w:t>budžetā pierādīja</w:t>
      </w:r>
      <w:r w:rsidR="007C3A6A" w:rsidRPr="00C13F97">
        <w:rPr>
          <w:sz w:val="28"/>
          <w:szCs w:val="28"/>
        </w:rPr>
        <w:t xml:space="preserve"> (skat. 1.zīm.)</w:t>
      </w:r>
      <w:r w:rsidRPr="00C13F97">
        <w:rPr>
          <w:sz w:val="28"/>
          <w:szCs w:val="28"/>
        </w:rPr>
        <w:t xml:space="preserve">, ka noteiktā iemaksu likme ir par augstu (2008.gadā – 8%), tādejādi apgrūtinot saistību izpildi solidaritātes līmenī. Līdz ar to tika veiktas </w:t>
      </w:r>
      <w:r w:rsidR="00487054" w:rsidRPr="00C13F97">
        <w:rPr>
          <w:sz w:val="28"/>
          <w:szCs w:val="28"/>
        </w:rPr>
        <w:t>vairākas izmaiņas V</w:t>
      </w:r>
      <w:r w:rsidRPr="00C13F97">
        <w:rPr>
          <w:sz w:val="28"/>
          <w:szCs w:val="28"/>
        </w:rPr>
        <w:t>alsts fondēto pensiju likumā, nosakot iemaksu li</w:t>
      </w:r>
      <w:r w:rsidR="00455ABC" w:rsidRPr="00C13F97">
        <w:rPr>
          <w:sz w:val="28"/>
          <w:szCs w:val="28"/>
        </w:rPr>
        <w:t>kmi no 2009.gada 2% apmērā, bet</w:t>
      </w:r>
      <w:r w:rsidRPr="00C13F97">
        <w:rPr>
          <w:sz w:val="28"/>
          <w:szCs w:val="28"/>
        </w:rPr>
        <w:t xml:space="preserve"> </w:t>
      </w:r>
      <w:r w:rsidR="0002485B" w:rsidRPr="00C13F97">
        <w:rPr>
          <w:sz w:val="28"/>
          <w:szCs w:val="28"/>
        </w:rPr>
        <w:t>sākot no 2016</w:t>
      </w:r>
      <w:r w:rsidR="00455ABC" w:rsidRPr="00C13F97">
        <w:rPr>
          <w:sz w:val="28"/>
          <w:szCs w:val="28"/>
        </w:rPr>
        <w:t>.gada</w:t>
      </w:r>
      <w:r w:rsidR="00990449" w:rsidRPr="00C13F97">
        <w:rPr>
          <w:sz w:val="28"/>
          <w:szCs w:val="28"/>
        </w:rPr>
        <w:t xml:space="preserve"> - 6% apmērā (</w:t>
      </w:r>
      <w:r w:rsidR="0002533C" w:rsidRPr="00C13F97">
        <w:rPr>
          <w:color w:val="000000"/>
          <w:sz w:val="28"/>
          <w:szCs w:val="28"/>
        </w:rPr>
        <w:t xml:space="preserve">skat. </w:t>
      </w:r>
      <w:r w:rsidR="00990449" w:rsidRPr="00C13F97">
        <w:rPr>
          <w:color w:val="000000"/>
          <w:sz w:val="28"/>
          <w:szCs w:val="28"/>
        </w:rPr>
        <w:t>1.</w:t>
      </w:r>
      <w:r w:rsidR="005A1DCC" w:rsidRPr="00C13F97">
        <w:rPr>
          <w:color w:val="000000"/>
          <w:sz w:val="28"/>
          <w:szCs w:val="28"/>
        </w:rPr>
        <w:t>t</w:t>
      </w:r>
      <w:r w:rsidR="0002533C" w:rsidRPr="00C13F97">
        <w:rPr>
          <w:color w:val="000000"/>
          <w:sz w:val="28"/>
          <w:szCs w:val="28"/>
        </w:rPr>
        <w:t>ab.)</w:t>
      </w:r>
      <w:r w:rsidRPr="00C13F97">
        <w:rPr>
          <w:color w:val="000000"/>
          <w:sz w:val="28"/>
          <w:szCs w:val="28"/>
        </w:rPr>
        <w:t>.</w:t>
      </w:r>
    </w:p>
    <w:p w14:paraId="743EDC80" w14:textId="4E43DDAE" w:rsidR="00487054" w:rsidRPr="00C13F97" w:rsidRDefault="0002533C" w:rsidP="00F57793">
      <w:pPr>
        <w:ind w:firstLine="720"/>
        <w:jc w:val="center"/>
        <w:rPr>
          <w:b/>
          <w:color w:val="000000"/>
        </w:rPr>
      </w:pPr>
      <w:r w:rsidRPr="00C13F97">
        <w:rPr>
          <w:b/>
          <w:color w:val="000000"/>
        </w:rPr>
        <w:t xml:space="preserve">1.tabula. </w:t>
      </w:r>
      <w:r w:rsidR="00487054" w:rsidRPr="00C13F97">
        <w:rPr>
          <w:b/>
          <w:color w:val="000000"/>
        </w:rPr>
        <w:t>Iemaksu likmes</w:t>
      </w:r>
      <w:r w:rsidRPr="00C13F97">
        <w:rPr>
          <w:b/>
          <w:color w:val="000000"/>
        </w:rPr>
        <w:t xml:space="preserve"> izmaiņas</w:t>
      </w:r>
    </w:p>
    <w:p w14:paraId="27A6050D" w14:textId="77777777" w:rsidR="00C13F97" w:rsidRPr="0002533C" w:rsidRDefault="00C13F97" w:rsidP="00F57793">
      <w:pPr>
        <w:ind w:firstLine="720"/>
        <w:jc w:val="center"/>
        <w:rPr>
          <w:b/>
          <w:color w:val="000000"/>
          <w:szCs w:val="28"/>
        </w:rPr>
      </w:pPr>
    </w:p>
    <w:tbl>
      <w:tblPr>
        <w:tblStyle w:val="TableGrid"/>
        <w:tblW w:w="0" w:type="auto"/>
        <w:jc w:val="center"/>
        <w:tblLook w:val="04A0" w:firstRow="1" w:lastRow="0" w:firstColumn="1" w:lastColumn="0" w:noHBand="0" w:noVBand="1"/>
      </w:tblPr>
      <w:tblGrid>
        <w:gridCol w:w="1453"/>
        <w:gridCol w:w="1709"/>
        <w:gridCol w:w="1787"/>
        <w:gridCol w:w="1786"/>
        <w:gridCol w:w="1787"/>
      </w:tblGrid>
      <w:tr w:rsidR="00073F6D" w14:paraId="4A4B8C5B" w14:textId="77777777" w:rsidTr="00073F6D">
        <w:trPr>
          <w:jc w:val="center"/>
        </w:trPr>
        <w:tc>
          <w:tcPr>
            <w:tcW w:w="1453" w:type="dxa"/>
          </w:tcPr>
          <w:p w14:paraId="2A9E1CF4" w14:textId="77777777" w:rsidR="00073F6D" w:rsidRPr="00BC7846" w:rsidRDefault="00073F6D" w:rsidP="0002533C">
            <w:pPr>
              <w:jc w:val="center"/>
              <w:rPr>
                <w:sz w:val="20"/>
                <w:szCs w:val="20"/>
              </w:rPr>
            </w:pPr>
            <w:r w:rsidRPr="00BC7846">
              <w:rPr>
                <w:sz w:val="20"/>
                <w:szCs w:val="20"/>
              </w:rPr>
              <w:t>Gads</w:t>
            </w:r>
          </w:p>
        </w:tc>
        <w:tc>
          <w:tcPr>
            <w:tcW w:w="1709" w:type="dxa"/>
          </w:tcPr>
          <w:p w14:paraId="0EC97943" w14:textId="77777777" w:rsidR="00073F6D" w:rsidRPr="00BC7846" w:rsidRDefault="00073F6D" w:rsidP="0002533C">
            <w:pPr>
              <w:jc w:val="center"/>
              <w:rPr>
                <w:sz w:val="20"/>
                <w:szCs w:val="20"/>
              </w:rPr>
            </w:pPr>
            <w:r>
              <w:rPr>
                <w:sz w:val="20"/>
                <w:szCs w:val="20"/>
              </w:rPr>
              <w:t>17.02.2000. Valsts fondēto pensiju likums</w:t>
            </w:r>
          </w:p>
        </w:tc>
        <w:tc>
          <w:tcPr>
            <w:tcW w:w="1787" w:type="dxa"/>
          </w:tcPr>
          <w:p w14:paraId="623DB0CA" w14:textId="77777777" w:rsidR="00073F6D" w:rsidRPr="00BC7846" w:rsidRDefault="00073F6D" w:rsidP="0002533C">
            <w:pPr>
              <w:jc w:val="center"/>
              <w:rPr>
                <w:sz w:val="20"/>
                <w:szCs w:val="20"/>
              </w:rPr>
            </w:pPr>
            <w:r w:rsidRPr="00BC7846">
              <w:rPr>
                <w:sz w:val="20"/>
                <w:szCs w:val="20"/>
              </w:rPr>
              <w:t>23.04.2009. likums „Grozījumi Valsts fondēto pensiju likumā”</w:t>
            </w:r>
          </w:p>
        </w:tc>
        <w:tc>
          <w:tcPr>
            <w:tcW w:w="1786" w:type="dxa"/>
            <w:vAlign w:val="center"/>
          </w:tcPr>
          <w:p w14:paraId="73B43116" w14:textId="77777777" w:rsidR="00073F6D" w:rsidRPr="00BC7846" w:rsidRDefault="00073F6D" w:rsidP="0002533C">
            <w:pPr>
              <w:jc w:val="center"/>
              <w:rPr>
                <w:sz w:val="20"/>
                <w:szCs w:val="20"/>
              </w:rPr>
            </w:pPr>
            <w:r w:rsidRPr="00BC7846">
              <w:rPr>
                <w:sz w:val="20"/>
                <w:szCs w:val="20"/>
              </w:rPr>
              <w:t>20.12.2010. likums „Grozījumi Valsts fondēto pensiju likumā”</w:t>
            </w:r>
          </w:p>
        </w:tc>
        <w:tc>
          <w:tcPr>
            <w:tcW w:w="1787" w:type="dxa"/>
          </w:tcPr>
          <w:p w14:paraId="62CC14EC" w14:textId="77777777" w:rsidR="00073F6D" w:rsidRPr="00BC7846" w:rsidRDefault="00073F6D" w:rsidP="0002533C">
            <w:pPr>
              <w:jc w:val="center"/>
              <w:rPr>
                <w:sz w:val="20"/>
                <w:szCs w:val="20"/>
              </w:rPr>
            </w:pPr>
            <w:r w:rsidRPr="00BC7846">
              <w:rPr>
                <w:sz w:val="20"/>
                <w:szCs w:val="20"/>
              </w:rPr>
              <w:t>15.11.2012. likums „Grozījumi Valsts fondēto pensiju likumā”</w:t>
            </w:r>
          </w:p>
        </w:tc>
      </w:tr>
      <w:tr w:rsidR="00073F6D" w14:paraId="4B20AC59" w14:textId="77777777" w:rsidTr="00073F6D">
        <w:trPr>
          <w:jc w:val="center"/>
        </w:trPr>
        <w:tc>
          <w:tcPr>
            <w:tcW w:w="1453" w:type="dxa"/>
          </w:tcPr>
          <w:p w14:paraId="4F546B1B" w14:textId="77777777" w:rsidR="00073F6D" w:rsidRPr="00BC7846" w:rsidRDefault="00073F6D" w:rsidP="0002533C">
            <w:pPr>
              <w:jc w:val="center"/>
              <w:rPr>
                <w:sz w:val="20"/>
                <w:szCs w:val="20"/>
              </w:rPr>
            </w:pPr>
            <w:r w:rsidRPr="00BC7846">
              <w:rPr>
                <w:sz w:val="20"/>
                <w:szCs w:val="20"/>
              </w:rPr>
              <w:t>2009</w:t>
            </w:r>
          </w:p>
        </w:tc>
        <w:tc>
          <w:tcPr>
            <w:tcW w:w="1709" w:type="dxa"/>
          </w:tcPr>
          <w:p w14:paraId="749DC1CC" w14:textId="77777777" w:rsidR="00073F6D" w:rsidRPr="00BC7846" w:rsidRDefault="00073F6D" w:rsidP="0002533C">
            <w:pPr>
              <w:jc w:val="center"/>
              <w:rPr>
                <w:sz w:val="20"/>
                <w:szCs w:val="20"/>
              </w:rPr>
            </w:pPr>
            <w:r>
              <w:rPr>
                <w:sz w:val="20"/>
                <w:szCs w:val="20"/>
              </w:rPr>
              <w:t>9%</w:t>
            </w:r>
          </w:p>
        </w:tc>
        <w:tc>
          <w:tcPr>
            <w:tcW w:w="1787" w:type="dxa"/>
          </w:tcPr>
          <w:p w14:paraId="6320AAE4" w14:textId="77777777" w:rsidR="00073F6D" w:rsidRPr="00BC7846" w:rsidRDefault="00073F6D" w:rsidP="0002533C">
            <w:pPr>
              <w:jc w:val="center"/>
              <w:rPr>
                <w:sz w:val="20"/>
                <w:szCs w:val="20"/>
              </w:rPr>
            </w:pPr>
            <w:r w:rsidRPr="00BC7846">
              <w:rPr>
                <w:sz w:val="20"/>
                <w:szCs w:val="20"/>
              </w:rPr>
              <w:t>2%</w:t>
            </w:r>
          </w:p>
        </w:tc>
        <w:tc>
          <w:tcPr>
            <w:tcW w:w="1786" w:type="dxa"/>
          </w:tcPr>
          <w:p w14:paraId="7748C95D" w14:textId="77777777" w:rsidR="00073F6D" w:rsidRPr="00BC7846" w:rsidRDefault="00073F6D" w:rsidP="0002533C">
            <w:pPr>
              <w:jc w:val="center"/>
              <w:rPr>
                <w:sz w:val="20"/>
                <w:szCs w:val="20"/>
              </w:rPr>
            </w:pPr>
            <w:r w:rsidRPr="00BC7846">
              <w:rPr>
                <w:sz w:val="20"/>
                <w:szCs w:val="20"/>
              </w:rPr>
              <w:t>2%</w:t>
            </w:r>
          </w:p>
        </w:tc>
        <w:tc>
          <w:tcPr>
            <w:tcW w:w="1787" w:type="dxa"/>
          </w:tcPr>
          <w:p w14:paraId="3E61DB23" w14:textId="77777777" w:rsidR="00073F6D" w:rsidRPr="00BC7846" w:rsidRDefault="00073F6D" w:rsidP="0002533C">
            <w:pPr>
              <w:jc w:val="center"/>
              <w:rPr>
                <w:sz w:val="20"/>
                <w:szCs w:val="20"/>
              </w:rPr>
            </w:pPr>
            <w:r w:rsidRPr="00BC7846">
              <w:rPr>
                <w:sz w:val="20"/>
                <w:szCs w:val="20"/>
              </w:rPr>
              <w:t>2%</w:t>
            </w:r>
          </w:p>
        </w:tc>
      </w:tr>
      <w:tr w:rsidR="00073F6D" w14:paraId="041CCF01" w14:textId="77777777" w:rsidTr="00073F6D">
        <w:trPr>
          <w:jc w:val="center"/>
        </w:trPr>
        <w:tc>
          <w:tcPr>
            <w:tcW w:w="1453" w:type="dxa"/>
          </w:tcPr>
          <w:p w14:paraId="3F80BBFB" w14:textId="77777777" w:rsidR="00073F6D" w:rsidRPr="00BC7846" w:rsidRDefault="00073F6D" w:rsidP="0002533C">
            <w:pPr>
              <w:jc w:val="center"/>
              <w:rPr>
                <w:sz w:val="20"/>
                <w:szCs w:val="20"/>
              </w:rPr>
            </w:pPr>
            <w:r w:rsidRPr="00BC7846">
              <w:rPr>
                <w:sz w:val="20"/>
                <w:szCs w:val="20"/>
              </w:rPr>
              <w:t>2010</w:t>
            </w:r>
          </w:p>
        </w:tc>
        <w:tc>
          <w:tcPr>
            <w:tcW w:w="1709" w:type="dxa"/>
          </w:tcPr>
          <w:p w14:paraId="48B86A5E" w14:textId="77777777" w:rsidR="00073F6D" w:rsidRPr="00BC7846" w:rsidRDefault="00073F6D" w:rsidP="0002533C">
            <w:pPr>
              <w:jc w:val="center"/>
              <w:rPr>
                <w:sz w:val="20"/>
                <w:szCs w:val="20"/>
              </w:rPr>
            </w:pPr>
            <w:r>
              <w:rPr>
                <w:sz w:val="20"/>
                <w:szCs w:val="20"/>
              </w:rPr>
              <w:t>10%</w:t>
            </w:r>
          </w:p>
        </w:tc>
        <w:tc>
          <w:tcPr>
            <w:tcW w:w="1787" w:type="dxa"/>
          </w:tcPr>
          <w:p w14:paraId="65D57E59" w14:textId="77777777" w:rsidR="00073F6D" w:rsidRPr="00BC7846" w:rsidRDefault="00073F6D" w:rsidP="0002533C">
            <w:pPr>
              <w:jc w:val="center"/>
              <w:rPr>
                <w:sz w:val="20"/>
                <w:szCs w:val="20"/>
              </w:rPr>
            </w:pPr>
            <w:r w:rsidRPr="00BC7846">
              <w:rPr>
                <w:sz w:val="20"/>
                <w:szCs w:val="20"/>
              </w:rPr>
              <w:t>2%</w:t>
            </w:r>
          </w:p>
        </w:tc>
        <w:tc>
          <w:tcPr>
            <w:tcW w:w="1786" w:type="dxa"/>
          </w:tcPr>
          <w:p w14:paraId="4A5D133E" w14:textId="77777777" w:rsidR="00073F6D" w:rsidRPr="00BC7846" w:rsidRDefault="00073F6D" w:rsidP="0002533C">
            <w:pPr>
              <w:jc w:val="center"/>
              <w:rPr>
                <w:sz w:val="20"/>
                <w:szCs w:val="20"/>
              </w:rPr>
            </w:pPr>
            <w:r w:rsidRPr="00BC7846">
              <w:rPr>
                <w:sz w:val="20"/>
                <w:szCs w:val="20"/>
              </w:rPr>
              <w:t>2%</w:t>
            </w:r>
          </w:p>
        </w:tc>
        <w:tc>
          <w:tcPr>
            <w:tcW w:w="1787" w:type="dxa"/>
          </w:tcPr>
          <w:p w14:paraId="6FB8157A" w14:textId="77777777" w:rsidR="00073F6D" w:rsidRPr="00BC7846" w:rsidRDefault="00073F6D" w:rsidP="0002533C">
            <w:pPr>
              <w:jc w:val="center"/>
              <w:rPr>
                <w:sz w:val="20"/>
                <w:szCs w:val="20"/>
              </w:rPr>
            </w:pPr>
            <w:r w:rsidRPr="00BC7846">
              <w:rPr>
                <w:sz w:val="20"/>
                <w:szCs w:val="20"/>
              </w:rPr>
              <w:t>2%</w:t>
            </w:r>
          </w:p>
        </w:tc>
      </w:tr>
      <w:tr w:rsidR="00073F6D" w14:paraId="40B542A3" w14:textId="77777777" w:rsidTr="00073F6D">
        <w:trPr>
          <w:jc w:val="center"/>
        </w:trPr>
        <w:tc>
          <w:tcPr>
            <w:tcW w:w="1453" w:type="dxa"/>
          </w:tcPr>
          <w:p w14:paraId="603DF935" w14:textId="77777777" w:rsidR="00073F6D" w:rsidRPr="00BC7846" w:rsidRDefault="00073F6D" w:rsidP="0002533C">
            <w:pPr>
              <w:jc w:val="center"/>
              <w:rPr>
                <w:sz w:val="20"/>
                <w:szCs w:val="20"/>
              </w:rPr>
            </w:pPr>
            <w:r w:rsidRPr="00BC7846">
              <w:rPr>
                <w:sz w:val="20"/>
                <w:szCs w:val="20"/>
              </w:rPr>
              <w:t>2011</w:t>
            </w:r>
          </w:p>
        </w:tc>
        <w:tc>
          <w:tcPr>
            <w:tcW w:w="1709" w:type="dxa"/>
          </w:tcPr>
          <w:p w14:paraId="448E47A9" w14:textId="77777777" w:rsidR="00073F6D" w:rsidRPr="00BC7846" w:rsidRDefault="00073F6D" w:rsidP="0002533C">
            <w:pPr>
              <w:jc w:val="center"/>
              <w:rPr>
                <w:sz w:val="20"/>
                <w:szCs w:val="20"/>
              </w:rPr>
            </w:pPr>
            <w:r>
              <w:rPr>
                <w:sz w:val="20"/>
                <w:szCs w:val="20"/>
              </w:rPr>
              <w:t>10%</w:t>
            </w:r>
          </w:p>
        </w:tc>
        <w:tc>
          <w:tcPr>
            <w:tcW w:w="1787" w:type="dxa"/>
          </w:tcPr>
          <w:p w14:paraId="215FFD55" w14:textId="77777777" w:rsidR="00073F6D" w:rsidRPr="00BC7846" w:rsidRDefault="00073F6D" w:rsidP="0002533C">
            <w:pPr>
              <w:jc w:val="center"/>
              <w:rPr>
                <w:sz w:val="20"/>
                <w:szCs w:val="20"/>
              </w:rPr>
            </w:pPr>
            <w:r w:rsidRPr="00BC7846">
              <w:rPr>
                <w:sz w:val="20"/>
                <w:szCs w:val="20"/>
              </w:rPr>
              <w:t>4%</w:t>
            </w:r>
          </w:p>
        </w:tc>
        <w:tc>
          <w:tcPr>
            <w:tcW w:w="1786" w:type="dxa"/>
          </w:tcPr>
          <w:p w14:paraId="7A865EAC" w14:textId="77777777" w:rsidR="00073F6D" w:rsidRPr="00BC7846" w:rsidRDefault="00073F6D" w:rsidP="0002533C">
            <w:pPr>
              <w:jc w:val="center"/>
              <w:rPr>
                <w:sz w:val="20"/>
                <w:szCs w:val="20"/>
              </w:rPr>
            </w:pPr>
            <w:r w:rsidRPr="00BC7846">
              <w:rPr>
                <w:sz w:val="20"/>
                <w:szCs w:val="20"/>
              </w:rPr>
              <w:t>4%</w:t>
            </w:r>
          </w:p>
        </w:tc>
        <w:tc>
          <w:tcPr>
            <w:tcW w:w="1787" w:type="dxa"/>
          </w:tcPr>
          <w:p w14:paraId="0FEAE08D" w14:textId="77777777" w:rsidR="00073F6D" w:rsidRPr="00BC7846" w:rsidRDefault="00073F6D" w:rsidP="0002533C">
            <w:pPr>
              <w:jc w:val="center"/>
              <w:rPr>
                <w:sz w:val="20"/>
                <w:szCs w:val="20"/>
              </w:rPr>
            </w:pPr>
            <w:r w:rsidRPr="00BC7846">
              <w:rPr>
                <w:sz w:val="20"/>
                <w:szCs w:val="20"/>
              </w:rPr>
              <w:t>4%</w:t>
            </w:r>
          </w:p>
        </w:tc>
      </w:tr>
      <w:tr w:rsidR="00073F6D" w14:paraId="2A693A75" w14:textId="77777777" w:rsidTr="00073F6D">
        <w:trPr>
          <w:jc w:val="center"/>
        </w:trPr>
        <w:tc>
          <w:tcPr>
            <w:tcW w:w="1453" w:type="dxa"/>
          </w:tcPr>
          <w:p w14:paraId="04CA30A6" w14:textId="77777777" w:rsidR="00073F6D" w:rsidRPr="00BC7846" w:rsidRDefault="00073F6D" w:rsidP="0002533C">
            <w:pPr>
              <w:jc w:val="center"/>
              <w:rPr>
                <w:sz w:val="20"/>
                <w:szCs w:val="20"/>
              </w:rPr>
            </w:pPr>
            <w:r w:rsidRPr="00BC7846">
              <w:rPr>
                <w:sz w:val="20"/>
                <w:szCs w:val="20"/>
              </w:rPr>
              <w:t>2012</w:t>
            </w:r>
          </w:p>
        </w:tc>
        <w:tc>
          <w:tcPr>
            <w:tcW w:w="1709" w:type="dxa"/>
          </w:tcPr>
          <w:p w14:paraId="5BB90414" w14:textId="77777777" w:rsidR="00073F6D" w:rsidRPr="00BC7846" w:rsidRDefault="00073F6D" w:rsidP="0002533C">
            <w:pPr>
              <w:jc w:val="center"/>
              <w:rPr>
                <w:sz w:val="20"/>
                <w:szCs w:val="20"/>
              </w:rPr>
            </w:pPr>
            <w:r>
              <w:rPr>
                <w:sz w:val="20"/>
                <w:szCs w:val="20"/>
              </w:rPr>
              <w:t>10%</w:t>
            </w:r>
          </w:p>
        </w:tc>
        <w:tc>
          <w:tcPr>
            <w:tcW w:w="1787" w:type="dxa"/>
          </w:tcPr>
          <w:p w14:paraId="63DE60CF" w14:textId="77777777" w:rsidR="00073F6D" w:rsidRPr="00BC7846" w:rsidRDefault="00073F6D" w:rsidP="0002533C">
            <w:pPr>
              <w:jc w:val="center"/>
              <w:rPr>
                <w:sz w:val="20"/>
                <w:szCs w:val="20"/>
              </w:rPr>
            </w:pPr>
            <w:r w:rsidRPr="00BC7846">
              <w:rPr>
                <w:sz w:val="20"/>
                <w:szCs w:val="20"/>
              </w:rPr>
              <w:t>6%</w:t>
            </w:r>
          </w:p>
        </w:tc>
        <w:tc>
          <w:tcPr>
            <w:tcW w:w="1786" w:type="dxa"/>
          </w:tcPr>
          <w:p w14:paraId="6534D477" w14:textId="77777777" w:rsidR="00073F6D" w:rsidRPr="00BC7846" w:rsidRDefault="00073F6D" w:rsidP="0002533C">
            <w:pPr>
              <w:jc w:val="center"/>
              <w:rPr>
                <w:color w:val="000000" w:themeColor="text1"/>
                <w:sz w:val="20"/>
                <w:szCs w:val="20"/>
                <w:highlight w:val="lightGray"/>
              </w:rPr>
            </w:pPr>
            <w:r w:rsidRPr="0002533C">
              <w:rPr>
                <w:color w:val="000000" w:themeColor="text1"/>
                <w:sz w:val="20"/>
                <w:szCs w:val="20"/>
              </w:rPr>
              <w:t>4%</w:t>
            </w:r>
          </w:p>
        </w:tc>
        <w:tc>
          <w:tcPr>
            <w:tcW w:w="1787" w:type="dxa"/>
          </w:tcPr>
          <w:p w14:paraId="36C7CF51" w14:textId="77777777" w:rsidR="00073F6D" w:rsidRPr="00BC7846" w:rsidRDefault="00073F6D" w:rsidP="0002533C">
            <w:pPr>
              <w:jc w:val="center"/>
              <w:rPr>
                <w:sz w:val="20"/>
                <w:szCs w:val="20"/>
              </w:rPr>
            </w:pPr>
            <w:r w:rsidRPr="00BC7846">
              <w:rPr>
                <w:sz w:val="20"/>
                <w:szCs w:val="20"/>
              </w:rPr>
              <w:t>4%</w:t>
            </w:r>
          </w:p>
        </w:tc>
      </w:tr>
      <w:tr w:rsidR="00073F6D" w14:paraId="6DAA13E4" w14:textId="77777777" w:rsidTr="00073F6D">
        <w:trPr>
          <w:jc w:val="center"/>
        </w:trPr>
        <w:tc>
          <w:tcPr>
            <w:tcW w:w="1453" w:type="dxa"/>
          </w:tcPr>
          <w:p w14:paraId="21F460CA" w14:textId="77777777" w:rsidR="00073F6D" w:rsidRPr="00BC7846" w:rsidRDefault="00073F6D" w:rsidP="0002533C">
            <w:pPr>
              <w:jc w:val="center"/>
              <w:rPr>
                <w:sz w:val="20"/>
                <w:szCs w:val="20"/>
              </w:rPr>
            </w:pPr>
            <w:r w:rsidRPr="00BC7846">
              <w:rPr>
                <w:sz w:val="20"/>
                <w:szCs w:val="20"/>
              </w:rPr>
              <w:t>2013</w:t>
            </w:r>
          </w:p>
        </w:tc>
        <w:tc>
          <w:tcPr>
            <w:tcW w:w="1709" w:type="dxa"/>
          </w:tcPr>
          <w:p w14:paraId="3731E765" w14:textId="77777777" w:rsidR="00073F6D" w:rsidRPr="00BC7846" w:rsidRDefault="00073F6D" w:rsidP="0002533C">
            <w:pPr>
              <w:jc w:val="center"/>
              <w:rPr>
                <w:sz w:val="20"/>
                <w:szCs w:val="20"/>
              </w:rPr>
            </w:pPr>
            <w:r>
              <w:rPr>
                <w:sz w:val="20"/>
                <w:szCs w:val="20"/>
              </w:rPr>
              <w:t>10%</w:t>
            </w:r>
          </w:p>
        </w:tc>
        <w:tc>
          <w:tcPr>
            <w:tcW w:w="1787" w:type="dxa"/>
          </w:tcPr>
          <w:p w14:paraId="1086E882" w14:textId="77777777" w:rsidR="00073F6D" w:rsidRPr="00BC7846" w:rsidRDefault="00073F6D" w:rsidP="0002533C">
            <w:pPr>
              <w:jc w:val="center"/>
              <w:rPr>
                <w:sz w:val="20"/>
                <w:szCs w:val="20"/>
              </w:rPr>
            </w:pPr>
            <w:r w:rsidRPr="00BC7846">
              <w:rPr>
                <w:sz w:val="20"/>
                <w:szCs w:val="20"/>
              </w:rPr>
              <w:t>6%</w:t>
            </w:r>
          </w:p>
        </w:tc>
        <w:tc>
          <w:tcPr>
            <w:tcW w:w="1786" w:type="dxa"/>
          </w:tcPr>
          <w:p w14:paraId="22927C66" w14:textId="77777777" w:rsidR="00073F6D" w:rsidRPr="00BC7846" w:rsidRDefault="00073F6D" w:rsidP="0002533C">
            <w:pPr>
              <w:jc w:val="center"/>
              <w:rPr>
                <w:sz w:val="20"/>
                <w:szCs w:val="20"/>
              </w:rPr>
            </w:pPr>
            <w:r w:rsidRPr="00BC7846">
              <w:rPr>
                <w:sz w:val="20"/>
                <w:szCs w:val="20"/>
              </w:rPr>
              <w:t>6%</w:t>
            </w:r>
          </w:p>
        </w:tc>
        <w:tc>
          <w:tcPr>
            <w:tcW w:w="1787" w:type="dxa"/>
          </w:tcPr>
          <w:p w14:paraId="68BB1F3B" w14:textId="77777777" w:rsidR="00073F6D" w:rsidRPr="00BC7846" w:rsidRDefault="00073F6D" w:rsidP="0002533C">
            <w:pPr>
              <w:jc w:val="center"/>
              <w:rPr>
                <w:sz w:val="20"/>
                <w:szCs w:val="20"/>
              </w:rPr>
            </w:pPr>
            <w:r w:rsidRPr="00BC7846">
              <w:rPr>
                <w:sz w:val="20"/>
                <w:szCs w:val="20"/>
              </w:rPr>
              <w:t>4%</w:t>
            </w:r>
          </w:p>
        </w:tc>
      </w:tr>
      <w:tr w:rsidR="00073F6D" w14:paraId="0C778444" w14:textId="77777777" w:rsidTr="00073F6D">
        <w:trPr>
          <w:jc w:val="center"/>
        </w:trPr>
        <w:tc>
          <w:tcPr>
            <w:tcW w:w="1453" w:type="dxa"/>
          </w:tcPr>
          <w:p w14:paraId="30C9FC87" w14:textId="77777777" w:rsidR="00073F6D" w:rsidRPr="00BC7846" w:rsidRDefault="00073F6D" w:rsidP="0002533C">
            <w:pPr>
              <w:jc w:val="center"/>
              <w:rPr>
                <w:sz w:val="20"/>
                <w:szCs w:val="20"/>
              </w:rPr>
            </w:pPr>
            <w:r w:rsidRPr="00BC7846">
              <w:rPr>
                <w:sz w:val="20"/>
                <w:szCs w:val="20"/>
              </w:rPr>
              <w:t>2014</w:t>
            </w:r>
          </w:p>
        </w:tc>
        <w:tc>
          <w:tcPr>
            <w:tcW w:w="1709" w:type="dxa"/>
          </w:tcPr>
          <w:p w14:paraId="4FE993B2" w14:textId="77777777" w:rsidR="00073F6D" w:rsidRPr="00BC7846" w:rsidRDefault="00073F6D" w:rsidP="0002533C">
            <w:pPr>
              <w:jc w:val="center"/>
              <w:rPr>
                <w:sz w:val="20"/>
                <w:szCs w:val="20"/>
              </w:rPr>
            </w:pPr>
            <w:r>
              <w:rPr>
                <w:sz w:val="20"/>
                <w:szCs w:val="20"/>
              </w:rPr>
              <w:t>10%</w:t>
            </w:r>
          </w:p>
        </w:tc>
        <w:tc>
          <w:tcPr>
            <w:tcW w:w="1787" w:type="dxa"/>
          </w:tcPr>
          <w:p w14:paraId="4ED3E689" w14:textId="77777777" w:rsidR="00073F6D" w:rsidRPr="00BC7846" w:rsidRDefault="00073F6D" w:rsidP="0002533C">
            <w:pPr>
              <w:jc w:val="center"/>
              <w:rPr>
                <w:sz w:val="20"/>
                <w:szCs w:val="20"/>
              </w:rPr>
            </w:pPr>
            <w:r w:rsidRPr="00BC7846">
              <w:rPr>
                <w:sz w:val="20"/>
                <w:szCs w:val="20"/>
              </w:rPr>
              <w:t>6%</w:t>
            </w:r>
          </w:p>
        </w:tc>
        <w:tc>
          <w:tcPr>
            <w:tcW w:w="1786" w:type="dxa"/>
          </w:tcPr>
          <w:p w14:paraId="323FEB90" w14:textId="77777777" w:rsidR="00073F6D" w:rsidRPr="00BC7846" w:rsidRDefault="00073F6D" w:rsidP="0002533C">
            <w:pPr>
              <w:jc w:val="center"/>
              <w:rPr>
                <w:sz w:val="20"/>
                <w:szCs w:val="20"/>
              </w:rPr>
            </w:pPr>
            <w:r w:rsidRPr="00BC7846">
              <w:rPr>
                <w:sz w:val="20"/>
                <w:szCs w:val="20"/>
              </w:rPr>
              <w:t>6%</w:t>
            </w:r>
          </w:p>
        </w:tc>
        <w:tc>
          <w:tcPr>
            <w:tcW w:w="1787" w:type="dxa"/>
          </w:tcPr>
          <w:p w14:paraId="593CCC53" w14:textId="77777777" w:rsidR="00073F6D" w:rsidRPr="00BC7846" w:rsidRDefault="00073F6D" w:rsidP="0002533C">
            <w:pPr>
              <w:jc w:val="center"/>
              <w:rPr>
                <w:sz w:val="20"/>
                <w:szCs w:val="20"/>
              </w:rPr>
            </w:pPr>
            <w:r w:rsidRPr="00BC7846">
              <w:rPr>
                <w:sz w:val="20"/>
                <w:szCs w:val="20"/>
              </w:rPr>
              <w:t>4%</w:t>
            </w:r>
          </w:p>
        </w:tc>
      </w:tr>
      <w:tr w:rsidR="00073F6D" w14:paraId="080F9C74" w14:textId="77777777" w:rsidTr="00073F6D">
        <w:trPr>
          <w:jc w:val="center"/>
        </w:trPr>
        <w:tc>
          <w:tcPr>
            <w:tcW w:w="1453" w:type="dxa"/>
          </w:tcPr>
          <w:p w14:paraId="6019DEB2" w14:textId="77777777" w:rsidR="00073F6D" w:rsidRPr="00BC7846" w:rsidRDefault="00073F6D" w:rsidP="0002533C">
            <w:pPr>
              <w:jc w:val="center"/>
              <w:rPr>
                <w:sz w:val="20"/>
                <w:szCs w:val="20"/>
              </w:rPr>
            </w:pPr>
            <w:r w:rsidRPr="00BC7846">
              <w:rPr>
                <w:sz w:val="20"/>
                <w:szCs w:val="20"/>
              </w:rPr>
              <w:t>2015</w:t>
            </w:r>
          </w:p>
        </w:tc>
        <w:tc>
          <w:tcPr>
            <w:tcW w:w="1709" w:type="dxa"/>
          </w:tcPr>
          <w:p w14:paraId="5B814321" w14:textId="77777777" w:rsidR="00073F6D" w:rsidRPr="00BC7846" w:rsidRDefault="00073F6D" w:rsidP="0002533C">
            <w:pPr>
              <w:jc w:val="center"/>
              <w:rPr>
                <w:sz w:val="20"/>
                <w:szCs w:val="20"/>
              </w:rPr>
            </w:pPr>
            <w:r>
              <w:rPr>
                <w:sz w:val="20"/>
                <w:szCs w:val="20"/>
              </w:rPr>
              <w:t>10%</w:t>
            </w:r>
          </w:p>
        </w:tc>
        <w:tc>
          <w:tcPr>
            <w:tcW w:w="1787" w:type="dxa"/>
          </w:tcPr>
          <w:p w14:paraId="08F93B7B" w14:textId="77777777" w:rsidR="00073F6D" w:rsidRPr="00BC7846" w:rsidRDefault="00073F6D" w:rsidP="0002533C">
            <w:pPr>
              <w:jc w:val="center"/>
              <w:rPr>
                <w:sz w:val="20"/>
                <w:szCs w:val="20"/>
              </w:rPr>
            </w:pPr>
            <w:r w:rsidRPr="00BC7846">
              <w:rPr>
                <w:sz w:val="20"/>
                <w:szCs w:val="20"/>
              </w:rPr>
              <w:t>6%</w:t>
            </w:r>
          </w:p>
        </w:tc>
        <w:tc>
          <w:tcPr>
            <w:tcW w:w="1786" w:type="dxa"/>
          </w:tcPr>
          <w:p w14:paraId="5C6BA623" w14:textId="77777777" w:rsidR="00073F6D" w:rsidRPr="00BC7846" w:rsidRDefault="00073F6D" w:rsidP="0002533C">
            <w:pPr>
              <w:jc w:val="center"/>
              <w:rPr>
                <w:sz w:val="20"/>
                <w:szCs w:val="20"/>
              </w:rPr>
            </w:pPr>
            <w:r w:rsidRPr="00BC7846">
              <w:rPr>
                <w:sz w:val="20"/>
                <w:szCs w:val="20"/>
              </w:rPr>
              <w:t>6%</w:t>
            </w:r>
          </w:p>
        </w:tc>
        <w:tc>
          <w:tcPr>
            <w:tcW w:w="1787" w:type="dxa"/>
          </w:tcPr>
          <w:p w14:paraId="28D17F5B" w14:textId="77777777" w:rsidR="00073F6D" w:rsidRPr="00BC7846" w:rsidRDefault="00073F6D" w:rsidP="0002533C">
            <w:pPr>
              <w:jc w:val="center"/>
              <w:rPr>
                <w:sz w:val="20"/>
                <w:szCs w:val="20"/>
              </w:rPr>
            </w:pPr>
            <w:r w:rsidRPr="00BC7846">
              <w:rPr>
                <w:sz w:val="20"/>
                <w:szCs w:val="20"/>
              </w:rPr>
              <w:t>5%</w:t>
            </w:r>
          </w:p>
        </w:tc>
      </w:tr>
      <w:tr w:rsidR="00073F6D" w14:paraId="6407FE99" w14:textId="77777777" w:rsidTr="00073F6D">
        <w:trPr>
          <w:jc w:val="center"/>
        </w:trPr>
        <w:tc>
          <w:tcPr>
            <w:tcW w:w="1453" w:type="dxa"/>
          </w:tcPr>
          <w:p w14:paraId="59F1D22D" w14:textId="77777777" w:rsidR="00073F6D" w:rsidRPr="00BC7846" w:rsidRDefault="00073F6D" w:rsidP="0002533C">
            <w:pPr>
              <w:jc w:val="center"/>
              <w:rPr>
                <w:sz w:val="20"/>
                <w:szCs w:val="20"/>
              </w:rPr>
            </w:pPr>
            <w:r w:rsidRPr="00BC7846">
              <w:rPr>
                <w:sz w:val="20"/>
                <w:szCs w:val="20"/>
              </w:rPr>
              <w:t>2016</w:t>
            </w:r>
          </w:p>
        </w:tc>
        <w:tc>
          <w:tcPr>
            <w:tcW w:w="1709" w:type="dxa"/>
          </w:tcPr>
          <w:p w14:paraId="2D18DF7E" w14:textId="77777777" w:rsidR="00073F6D" w:rsidRPr="00BC7846" w:rsidRDefault="00073F6D" w:rsidP="0002533C">
            <w:pPr>
              <w:jc w:val="center"/>
              <w:rPr>
                <w:sz w:val="20"/>
                <w:szCs w:val="20"/>
              </w:rPr>
            </w:pPr>
            <w:r>
              <w:rPr>
                <w:sz w:val="20"/>
                <w:szCs w:val="20"/>
              </w:rPr>
              <w:t>10%</w:t>
            </w:r>
          </w:p>
        </w:tc>
        <w:tc>
          <w:tcPr>
            <w:tcW w:w="1787" w:type="dxa"/>
          </w:tcPr>
          <w:p w14:paraId="2E42A1C4" w14:textId="77777777" w:rsidR="00073F6D" w:rsidRPr="00BC7846" w:rsidRDefault="00073F6D" w:rsidP="0002533C">
            <w:pPr>
              <w:jc w:val="center"/>
              <w:rPr>
                <w:sz w:val="20"/>
                <w:szCs w:val="20"/>
              </w:rPr>
            </w:pPr>
            <w:r w:rsidRPr="00BC7846">
              <w:rPr>
                <w:sz w:val="20"/>
                <w:szCs w:val="20"/>
              </w:rPr>
              <w:t>6%</w:t>
            </w:r>
          </w:p>
        </w:tc>
        <w:tc>
          <w:tcPr>
            <w:tcW w:w="1786" w:type="dxa"/>
          </w:tcPr>
          <w:p w14:paraId="4D44B07F" w14:textId="77777777" w:rsidR="00073F6D" w:rsidRPr="00BC7846" w:rsidRDefault="00073F6D" w:rsidP="0002533C">
            <w:pPr>
              <w:jc w:val="center"/>
              <w:rPr>
                <w:sz w:val="20"/>
                <w:szCs w:val="20"/>
              </w:rPr>
            </w:pPr>
            <w:r w:rsidRPr="00BC7846">
              <w:rPr>
                <w:sz w:val="20"/>
                <w:szCs w:val="20"/>
              </w:rPr>
              <w:t>6%</w:t>
            </w:r>
          </w:p>
        </w:tc>
        <w:tc>
          <w:tcPr>
            <w:tcW w:w="1787" w:type="dxa"/>
          </w:tcPr>
          <w:p w14:paraId="5F33DF3D" w14:textId="77777777" w:rsidR="00073F6D" w:rsidRPr="00BC7846" w:rsidRDefault="00073F6D" w:rsidP="0002533C">
            <w:pPr>
              <w:jc w:val="center"/>
              <w:rPr>
                <w:sz w:val="20"/>
                <w:szCs w:val="20"/>
              </w:rPr>
            </w:pPr>
            <w:r w:rsidRPr="00BC7846">
              <w:rPr>
                <w:sz w:val="20"/>
                <w:szCs w:val="20"/>
              </w:rPr>
              <w:t>6%</w:t>
            </w:r>
          </w:p>
        </w:tc>
      </w:tr>
    </w:tbl>
    <w:p w14:paraId="21BF32D0" w14:textId="77777777" w:rsidR="0002533C" w:rsidRDefault="0002533C" w:rsidP="0002533C"/>
    <w:p w14:paraId="3F0D195F" w14:textId="0AA69F2E" w:rsidR="00DF4AC9" w:rsidRPr="00C13F97" w:rsidRDefault="00DF4AC9" w:rsidP="00C13F97">
      <w:pPr>
        <w:ind w:right="57" w:firstLine="720"/>
        <w:jc w:val="both"/>
        <w:rPr>
          <w:sz w:val="28"/>
          <w:szCs w:val="28"/>
        </w:rPr>
      </w:pPr>
      <w:r w:rsidRPr="00C13F97">
        <w:rPr>
          <w:sz w:val="28"/>
          <w:szCs w:val="28"/>
        </w:rPr>
        <w:t xml:space="preserve">Jāatzīmē, ka iemaksu summa, kas atbilst pensiju 2.līmeņa iemaksu likmes samazinājumam, attiecīgi palielina iemaksu summu pensiju 1.līmenī, tādējādi palielinot nākotnes pensijas apmēru 1.līmenī. Par minētās iemaksu likmes samazinājuma atbilstību Satversmei lēma Satversmes tiesa t.i. </w:t>
      </w:r>
      <w:r w:rsidR="004951D3" w:rsidRPr="00C13F97">
        <w:rPr>
          <w:sz w:val="28"/>
          <w:szCs w:val="28"/>
        </w:rPr>
        <w:t>„</w:t>
      </w:r>
      <w:r w:rsidRPr="00C13F97">
        <w:rPr>
          <w:sz w:val="28"/>
          <w:szCs w:val="28"/>
        </w:rPr>
        <w:t xml:space="preserve">apstrīdētajām normām ir leģitīms mērķis - sociālās apdrošināšanas budžeta ilgtspējas nodrošināšana, līdzsvarojot tā ieņēmumus un izdevumus, un līdz ar to - </w:t>
      </w:r>
      <w:r w:rsidRPr="00C13F97">
        <w:rPr>
          <w:sz w:val="28"/>
          <w:szCs w:val="28"/>
        </w:rPr>
        <w:lastRenderedPageBreak/>
        <w:t>sabiedrības labklājības aizsargāšana</w:t>
      </w:r>
      <w:r w:rsidR="004951D3" w:rsidRPr="00C13F97">
        <w:rPr>
          <w:sz w:val="28"/>
          <w:szCs w:val="28"/>
        </w:rPr>
        <w:t>”</w:t>
      </w:r>
      <w:r w:rsidR="006572B8" w:rsidRPr="00C13F97">
        <w:rPr>
          <w:sz w:val="28"/>
          <w:szCs w:val="28"/>
        </w:rPr>
        <w:t xml:space="preserve"> </w:t>
      </w:r>
      <w:proofErr w:type="gramStart"/>
      <w:r w:rsidRPr="00C13F97">
        <w:rPr>
          <w:sz w:val="28"/>
          <w:szCs w:val="28"/>
        </w:rPr>
        <w:t>(</w:t>
      </w:r>
      <w:proofErr w:type="gramEnd"/>
      <w:r w:rsidRPr="00C13F97">
        <w:rPr>
          <w:sz w:val="28"/>
          <w:szCs w:val="28"/>
        </w:rPr>
        <w:t>sk. Satversmes tiesas 2010.gada 1.decembra spriedumu lietā Nr.2010-21-01).</w:t>
      </w:r>
    </w:p>
    <w:p w14:paraId="74933A1C" w14:textId="77777777" w:rsidR="00DF4AC9" w:rsidRPr="00C13F97" w:rsidRDefault="00DF4AC9" w:rsidP="00C13F97">
      <w:pPr>
        <w:tabs>
          <w:tab w:val="left" w:pos="720"/>
          <w:tab w:val="left" w:pos="1120"/>
        </w:tabs>
        <w:adjustRightInd w:val="0"/>
        <w:ind w:right="57"/>
        <w:jc w:val="both"/>
        <w:rPr>
          <w:color w:val="000000"/>
          <w:sz w:val="28"/>
          <w:szCs w:val="28"/>
        </w:rPr>
      </w:pPr>
    </w:p>
    <w:p w14:paraId="4F2933E4" w14:textId="77777777" w:rsidR="00DF4AC9" w:rsidRPr="00C13F97" w:rsidRDefault="00857549" w:rsidP="00C13F97">
      <w:pPr>
        <w:pStyle w:val="Heading2"/>
        <w:spacing w:before="0" w:after="0"/>
      </w:pPr>
      <w:r w:rsidRPr="00C13F97">
        <w:rPr>
          <w:rFonts w:ascii="Times New Roman" w:hAnsi="Times New Roman"/>
        </w:rPr>
        <w:t>1.2.</w:t>
      </w:r>
      <w:r w:rsidR="00F117D7" w:rsidRPr="00C13F97">
        <w:rPr>
          <w:rFonts w:ascii="Times New Roman" w:hAnsi="Times New Roman"/>
        </w:rPr>
        <w:t xml:space="preserve"> </w:t>
      </w:r>
      <w:r w:rsidR="00DF4AC9" w:rsidRPr="00C13F97">
        <w:rPr>
          <w:rFonts w:ascii="Times New Roman" w:hAnsi="Times New Roman"/>
        </w:rPr>
        <w:t>Situācija speciālajā budžetā</w:t>
      </w:r>
    </w:p>
    <w:p w14:paraId="7AB88512" w14:textId="77777777" w:rsidR="006572B8" w:rsidRPr="00C13F97" w:rsidRDefault="00D71E55" w:rsidP="00C13F97">
      <w:pPr>
        <w:ind w:firstLine="720"/>
        <w:jc w:val="both"/>
        <w:rPr>
          <w:bCs/>
          <w:color w:val="000000"/>
          <w:sz w:val="28"/>
          <w:szCs w:val="28"/>
        </w:rPr>
      </w:pPr>
      <w:r w:rsidRPr="00C13F97">
        <w:rPr>
          <w:sz w:val="28"/>
          <w:szCs w:val="28"/>
        </w:rPr>
        <w:t xml:space="preserve">Līdz ar ekonomikas izaugsmi, pārvarot globālo finanšu un ekonomisko krīzi, </w:t>
      </w:r>
      <w:r w:rsidR="007C3A6A" w:rsidRPr="00C13F97">
        <w:rPr>
          <w:sz w:val="28"/>
          <w:szCs w:val="28"/>
        </w:rPr>
        <w:t>pastāvīgi uzlabojā</w:t>
      </w:r>
      <w:r w:rsidRPr="00C13F97">
        <w:rPr>
          <w:sz w:val="28"/>
          <w:szCs w:val="28"/>
        </w:rPr>
        <w:t>s arī situācija darba tirgū, palielin</w:t>
      </w:r>
      <w:r w:rsidR="007C3A6A" w:rsidRPr="00C13F97">
        <w:rPr>
          <w:sz w:val="28"/>
          <w:szCs w:val="28"/>
        </w:rPr>
        <w:t>oties</w:t>
      </w:r>
      <w:r w:rsidRPr="00C13F97">
        <w:rPr>
          <w:sz w:val="28"/>
          <w:szCs w:val="28"/>
        </w:rPr>
        <w:t xml:space="preserve"> tautsaimniecībā nodarbināto iedzīvotāju skait</w:t>
      </w:r>
      <w:r w:rsidR="007C3A6A" w:rsidRPr="00C13F97">
        <w:rPr>
          <w:sz w:val="28"/>
          <w:szCs w:val="28"/>
        </w:rPr>
        <w:t>am un pakāpeniski samazinoties</w:t>
      </w:r>
      <w:r w:rsidRPr="00C13F97">
        <w:rPr>
          <w:sz w:val="28"/>
          <w:szCs w:val="28"/>
        </w:rPr>
        <w:t xml:space="preserve"> bezdarba līmeni</w:t>
      </w:r>
      <w:r w:rsidR="007C3A6A" w:rsidRPr="00C13F97">
        <w:rPr>
          <w:sz w:val="28"/>
          <w:szCs w:val="28"/>
        </w:rPr>
        <w:t>m</w:t>
      </w:r>
      <w:r w:rsidRPr="00C13F97">
        <w:rPr>
          <w:sz w:val="28"/>
          <w:szCs w:val="28"/>
        </w:rPr>
        <w:t xml:space="preserve">. Tā </w:t>
      </w:r>
      <w:r w:rsidR="00A6161B" w:rsidRPr="00C13F97">
        <w:rPr>
          <w:bCs/>
          <w:color w:val="000000"/>
          <w:sz w:val="28"/>
          <w:szCs w:val="28"/>
        </w:rPr>
        <w:t xml:space="preserve">rezultātā pieauga arī speciālā budžeta </w:t>
      </w:r>
      <w:r w:rsidR="006B4BA0" w:rsidRPr="00C13F97">
        <w:rPr>
          <w:bCs/>
          <w:color w:val="000000"/>
          <w:sz w:val="28"/>
          <w:szCs w:val="28"/>
        </w:rPr>
        <w:t xml:space="preserve">ieņēmumus </w:t>
      </w:r>
      <w:r w:rsidR="00A6161B" w:rsidRPr="00C13F97">
        <w:rPr>
          <w:bCs/>
          <w:color w:val="000000"/>
          <w:sz w:val="28"/>
          <w:szCs w:val="28"/>
        </w:rPr>
        <w:t xml:space="preserve">ietekmējošie rādītāji </w:t>
      </w:r>
      <w:r w:rsidRPr="00C13F97">
        <w:rPr>
          <w:bCs/>
          <w:color w:val="000000"/>
          <w:sz w:val="28"/>
          <w:szCs w:val="28"/>
        </w:rPr>
        <w:t>-</w:t>
      </w:r>
      <w:r w:rsidR="00562B72" w:rsidRPr="00C13F97">
        <w:rPr>
          <w:bCs/>
          <w:color w:val="000000"/>
          <w:sz w:val="28"/>
          <w:szCs w:val="28"/>
        </w:rPr>
        <w:t xml:space="preserve"> </w:t>
      </w:r>
      <w:r w:rsidR="00A6161B" w:rsidRPr="00C13F97">
        <w:rPr>
          <w:bCs/>
          <w:color w:val="000000"/>
          <w:sz w:val="28"/>
          <w:szCs w:val="28"/>
        </w:rPr>
        <w:t>iemaksu veicēji un vidējā apdrošināšanas iemaksu alga</w:t>
      </w:r>
      <w:r w:rsidR="006572B8" w:rsidRPr="00C13F97">
        <w:rPr>
          <w:bCs/>
          <w:color w:val="000000"/>
          <w:sz w:val="28"/>
          <w:szCs w:val="28"/>
        </w:rPr>
        <w:t xml:space="preserve"> (skat.1. un 2. </w:t>
      </w:r>
      <w:r w:rsidR="00043CD7" w:rsidRPr="00C13F97">
        <w:rPr>
          <w:bCs/>
          <w:color w:val="000000"/>
          <w:sz w:val="28"/>
          <w:szCs w:val="28"/>
        </w:rPr>
        <w:t>z</w:t>
      </w:r>
      <w:r w:rsidR="006572B8" w:rsidRPr="00C13F97">
        <w:rPr>
          <w:bCs/>
          <w:color w:val="000000"/>
          <w:sz w:val="28"/>
          <w:szCs w:val="28"/>
        </w:rPr>
        <w:t>īm</w:t>
      </w:r>
      <w:r w:rsidR="00043CD7" w:rsidRPr="00C13F97">
        <w:rPr>
          <w:bCs/>
          <w:color w:val="000000"/>
          <w:sz w:val="28"/>
          <w:szCs w:val="28"/>
        </w:rPr>
        <w:t>.</w:t>
      </w:r>
      <w:r w:rsidR="006572B8" w:rsidRPr="00C13F97">
        <w:rPr>
          <w:bCs/>
          <w:color w:val="000000"/>
          <w:sz w:val="28"/>
          <w:szCs w:val="28"/>
        </w:rPr>
        <w:t>)</w:t>
      </w:r>
      <w:r w:rsidRPr="00C13F97">
        <w:rPr>
          <w:bCs/>
          <w:color w:val="000000"/>
          <w:sz w:val="28"/>
          <w:szCs w:val="28"/>
        </w:rPr>
        <w:t>.</w:t>
      </w:r>
      <w:r w:rsidR="00857549" w:rsidRPr="00C13F97">
        <w:rPr>
          <w:bCs/>
          <w:color w:val="000000"/>
          <w:sz w:val="28"/>
          <w:szCs w:val="28"/>
        </w:rPr>
        <w:t xml:space="preserve"> </w:t>
      </w:r>
    </w:p>
    <w:p w14:paraId="1A616E6F" w14:textId="77777777" w:rsidR="00C13F97" w:rsidRDefault="00C13F97" w:rsidP="00C13F97">
      <w:pPr>
        <w:jc w:val="both"/>
        <w:rPr>
          <w:bCs/>
          <w:color w:val="000000"/>
        </w:rPr>
      </w:pPr>
    </w:p>
    <w:p w14:paraId="2BA344F1" w14:textId="154E54A6" w:rsidR="006572B8" w:rsidRPr="00C13F97" w:rsidRDefault="006572B8" w:rsidP="006572B8">
      <w:pPr>
        <w:ind w:firstLine="720"/>
        <w:jc w:val="center"/>
        <w:rPr>
          <w:b/>
          <w:color w:val="000000"/>
        </w:rPr>
      </w:pPr>
      <w:r w:rsidRPr="00C13F97">
        <w:rPr>
          <w:b/>
          <w:color w:val="000000"/>
        </w:rPr>
        <w:t>1.zīmējums. Obligāti sociāli apdrošinātās personas</w:t>
      </w:r>
      <w:r w:rsidR="00B70A55" w:rsidRPr="00C13F97">
        <w:rPr>
          <w:b/>
          <w:color w:val="000000"/>
        </w:rPr>
        <w:t>*</w:t>
      </w:r>
      <w:r w:rsidRPr="00C13F97">
        <w:rPr>
          <w:b/>
          <w:color w:val="000000"/>
        </w:rPr>
        <w:t>, tūkst.</w:t>
      </w:r>
      <w:r w:rsidR="00B70A55" w:rsidRPr="00C13F97">
        <w:rPr>
          <w:b/>
          <w:color w:val="000000"/>
        </w:rPr>
        <w:t xml:space="preserve"> </w:t>
      </w:r>
    </w:p>
    <w:p w14:paraId="75FAFADA" w14:textId="1A33673A" w:rsidR="009B1B8F" w:rsidRDefault="006572B8" w:rsidP="00043CD7">
      <w:pPr>
        <w:ind w:firstLine="720"/>
        <w:jc w:val="center"/>
        <w:rPr>
          <w:i/>
          <w:color w:val="000000"/>
          <w:sz w:val="20"/>
          <w:szCs w:val="20"/>
        </w:rPr>
      </w:pPr>
      <w:r w:rsidRPr="00EB6643">
        <w:rPr>
          <w:i/>
          <w:color w:val="000000"/>
          <w:sz w:val="20"/>
          <w:szCs w:val="20"/>
        </w:rPr>
        <w:t>informācija aktualizēta 2015.g. maijā</w:t>
      </w:r>
    </w:p>
    <w:p w14:paraId="3876675F" w14:textId="51D7BCB4" w:rsidR="009B1B8F" w:rsidRDefault="009B1B8F" w:rsidP="009B1B8F">
      <w:pPr>
        <w:jc w:val="center"/>
        <w:rPr>
          <w:bCs/>
          <w:color w:val="000000"/>
        </w:rPr>
      </w:pPr>
      <w:r>
        <w:rPr>
          <w:noProof/>
        </w:rPr>
        <w:drawing>
          <wp:inline distT="0" distB="0" distL="0" distR="0" wp14:anchorId="5C6F1989" wp14:editId="2D3375F0">
            <wp:extent cx="4457700" cy="2719388"/>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D566F2" w14:textId="2BA316EF" w:rsidR="00B70A55" w:rsidRPr="00C13F97" w:rsidRDefault="00B70A55" w:rsidP="00C13F97">
      <w:pPr>
        <w:rPr>
          <w:kern w:val="32"/>
          <w:sz w:val="20"/>
          <w:szCs w:val="20"/>
        </w:rPr>
      </w:pPr>
      <w:r w:rsidRPr="00B70A55">
        <w:rPr>
          <w:kern w:val="32"/>
          <w:sz w:val="20"/>
          <w:szCs w:val="20"/>
        </w:rPr>
        <w:t xml:space="preserve">* </w:t>
      </w:r>
      <w:r>
        <w:rPr>
          <w:kern w:val="32"/>
          <w:sz w:val="20"/>
          <w:szCs w:val="20"/>
        </w:rPr>
        <w:t>Valsts sociālās apdrošināšanas aģentūras</w:t>
      </w:r>
      <w:r w:rsidRPr="00B70A55">
        <w:rPr>
          <w:kern w:val="32"/>
          <w:sz w:val="20"/>
          <w:szCs w:val="20"/>
        </w:rPr>
        <w:t xml:space="preserve"> dati</w:t>
      </w:r>
    </w:p>
    <w:p w14:paraId="0696E41B" w14:textId="77777777" w:rsidR="00C13F97" w:rsidRDefault="00C13F97" w:rsidP="00EB6643">
      <w:pPr>
        <w:ind w:firstLine="720"/>
        <w:jc w:val="center"/>
        <w:rPr>
          <w:b/>
          <w:color w:val="000000"/>
          <w:szCs w:val="28"/>
        </w:rPr>
      </w:pPr>
    </w:p>
    <w:p w14:paraId="20F337B0" w14:textId="13F10D70" w:rsidR="00C04B05" w:rsidRPr="00C13F97" w:rsidRDefault="006572B8" w:rsidP="00EB6643">
      <w:pPr>
        <w:ind w:firstLine="720"/>
        <w:jc w:val="center"/>
        <w:rPr>
          <w:b/>
          <w:color w:val="000000"/>
        </w:rPr>
      </w:pPr>
      <w:r w:rsidRPr="00C13F97">
        <w:rPr>
          <w:b/>
          <w:color w:val="000000"/>
        </w:rPr>
        <w:t>2.zīmējums. Vidējā apdrošināšanas iemaksu alga obligāti sociāli apdrošināt</w:t>
      </w:r>
      <w:r w:rsidR="00440E1A" w:rsidRPr="00C13F97">
        <w:rPr>
          <w:b/>
          <w:color w:val="000000"/>
        </w:rPr>
        <w:t>aj</w:t>
      </w:r>
      <w:r w:rsidRPr="00C13F97">
        <w:rPr>
          <w:b/>
          <w:color w:val="000000"/>
        </w:rPr>
        <w:t>ā</w:t>
      </w:r>
      <w:r w:rsidR="00440E1A" w:rsidRPr="00C13F97">
        <w:rPr>
          <w:b/>
          <w:color w:val="000000"/>
        </w:rPr>
        <w:t>m</w:t>
      </w:r>
      <w:r w:rsidRPr="00C13F97">
        <w:rPr>
          <w:b/>
          <w:color w:val="000000"/>
        </w:rPr>
        <w:t xml:space="preserve"> personām</w:t>
      </w:r>
      <w:r w:rsidR="00B70A55" w:rsidRPr="00C13F97">
        <w:rPr>
          <w:b/>
          <w:color w:val="000000"/>
        </w:rPr>
        <w:t>*</w:t>
      </w:r>
      <w:r w:rsidRPr="00C13F97">
        <w:rPr>
          <w:b/>
          <w:color w:val="000000"/>
        </w:rPr>
        <w:t xml:space="preserve">, EUR </w:t>
      </w:r>
    </w:p>
    <w:p w14:paraId="7BB82057" w14:textId="7D4E3DB8" w:rsidR="009B1B8F" w:rsidRDefault="006572B8" w:rsidP="00EB6643">
      <w:pPr>
        <w:ind w:firstLine="720"/>
        <w:jc w:val="center"/>
        <w:rPr>
          <w:i/>
          <w:color w:val="000000"/>
          <w:sz w:val="20"/>
          <w:szCs w:val="20"/>
        </w:rPr>
      </w:pPr>
      <w:r w:rsidRPr="00EB6643">
        <w:rPr>
          <w:i/>
          <w:color w:val="000000"/>
          <w:sz w:val="20"/>
          <w:szCs w:val="20"/>
        </w:rPr>
        <w:t>informācija aktualizēta 2015.g. maijā</w:t>
      </w:r>
    </w:p>
    <w:p w14:paraId="61BD9AD2" w14:textId="37C4DACB" w:rsidR="009B1B8F" w:rsidRDefault="009B1B8F" w:rsidP="009B1B8F">
      <w:pPr>
        <w:jc w:val="center"/>
        <w:rPr>
          <w:i/>
          <w:color w:val="000000"/>
          <w:sz w:val="20"/>
          <w:szCs w:val="20"/>
        </w:rPr>
      </w:pPr>
      <w:r>
        <w:rPr>
          <w:noProof/>
        </w:rPr>
        <w:drawing>
          <wp:inline distT="0" distB="0" distL="0" distR="0" wp14:anchorId="160A6D19" wp14:editId="49155689">
            <wp:extent cx="4120737" cy="2286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B60073" w14:textId="77777777" w:rsidR="00B70A55" w:rsidRPr="00B70A55" w:rsidRDefault="00B70A55" w:rsidP="00B70A55">
      <w:pPr>
        <w:rPr>
          <w:kern w:val="32"/>
          <w:sz w:val="20"/>
          <w:szCs w:val="20"/>
        </w:rPr>
      </w:pPr>
      <w:r w:rsidRPr="00B70A55">
        <w:rPr>
          <w:kern w:val="32"/>
          <w:sz w:val="20"/>
          <w:szCs w:val="20"/>
        </w:rPr>
        <w:t xml:space="preserve">* </w:t>
      </w:r>
      <w:r>
        <w:rPr>
          <w:kern w:val="32"/>
          <w:sz w:val="20"/>
          <w:szCs w:val="20"/>
        </w:rPr>
        <w:t>Valsts sociālās apdrošināšanas aģentūras</w:t>
      </w:r>
      <w:r w:rsidRPr="00B70A55">
        <w:rPr>
          <w:kern w:val="32"/>
          <w:sz w:val="20"/>
          <w:szCs w:val="20"/>
        </w:rPr>
        <w:t xml:space="preserve"> dati</w:t>
      </w:r>
    </w:p>
    <w:p w14:paraId="16D13E46" w14:textId="77777777" w:rsidR="006572B8" w:rsidRDefault="006572B8" w:rsidP="007C3A6A">
      <w:pPr>
        <w:ind w:firstLine="720"/>
        <w:jc w:val="both"/>
        <w:rPr>
          <w:bCs/>
          <w:color w:val="000000"/>
        </w:rPr>
      </w:pPr>
    </w:p>
    <w:p w14:paraId="42BBFC32" w14:textId="346AD20E" w:rsidR="00F57793" w:rsidRPr="00C13F97" w:rsidRDefault="000B0A1F" w:rsidP="00C13F97">
      <w:pPr>
        <w:ind w:firstLine="720"/>
        <w:jc w:val="both"/>
        <w:rPr>
          <w:bCs/>
          <w:sz w:val="28"/>
          <w:szCs w:val="28"/>
        </w:rPr>
      </w:pPr>
      <w:r w:rsidRPr="00C13F97">
        <w:rPr>
          <w:bCs/>
          <w:color w:val="000000"/>
          <w:sz w:val="28"/>
          <w:szCs w:val="28"/>
        </w:rPr>
        <w:lastRenderedPageBreak/>
        <w:t xml:space="preserve">Vienlaikus </w:t>
      </w:r>
      <w:r w:rsidR="006B4BA0" w:rsidRPr="00C13F97">
        <w:rPr>
          <w:bCs/>
          <w:color w:val="000000"/>
          <w:sz w:val="28"/>
          <w:szCs w:val="28"/>
        </w:rPr>
        <w:t xml:space="preserve">ņemot vērā </w:t>
      </w:r>
      <w:r w:rsidRPr="00C13F97">
        <w:rPr>
          <w:bCs/>
          <w:color w:val="000000"/>
          <w:sz w:val="28"/>
          <w:szCs w:val="28"/>
        </w:rPr>
        <w:t xml:space="preserve">arī </w:t>
      </w:r>
      <w:r w:rsidR="006B4BA0" w:rsidRPr="00C13F97">
        <w:rPr>
          <w:bCs/>
          <w:color w:val="000000"/>
          <w:sz w:val="28"/>
          <w:szCs w:val="28"/>
        </w:rPr>
        <w:t>grozījumus likumā „Par valsts pensijām”</w:t>
      </w:r>
      <w:r w:rsidR="00616A81" w:rsidRPr="00C13F97">
        <w:rPr>
          <w:bCs/>
          <w:color w:val="000000"/>
          <w:sz w:val="28"/>
          <w:szCs w:val="28"/>
        </w:rPr>
        <w:t xml:space="preserve"> (</w:t>
      </w:r>
      <w:r w:rsidRPr="00C13F97">
        <w:rPr>
          <w:bCs/>
          <w:color w:val="000000"/>
          <w:sz w:val="28"/>
          <w:szCs w:val="28"/>
        </w:rPr>
        <w:t>P</w:t>
      </w:r>
      <w:r w:rsidR="00616A81" w:rsidRPr="00C13F97">
        <w:rPr>
          <w:bCs/>
          <w:color w:val="000000"/>
          <w:sz w:val="28"/>
          <w:szCs w:val="28"/>
        </w:rPr>
        <w:t>ārejas noteikumu 41.punkts)</w:t>
      </w:r>
      <w:r w:rsidR="006B4BA0" w:rsidRPr="00C13F97">
        <w:rPr>
          <w:bCs/>
          <w:color w:val="000000"/>
          <w:sz w:val="28"/>
          <w:szCs w:val="28"/>
        </w:rPr>
        <w:t xml:space="preserve">, mainot </w:t>
      </w:r>
      <w:r w:rsidR="006B4BA0" w:rsidRPr="00C13F97">
        <w:rPr>
          <w:color w:val="000000"/>
          <w:sz w:val="28"/>
          <w:szCs w:val="28"/>
        </w:rPr>
        <w:t xml:space="preserve">piemaksu pie vecuma un invaliditātes pensijām finansēšanas avotu no speciālā budžeta uz valsts pamatbudžetu, </w:t>
      </w:r>
      <w:r w:rsidR="00A6161B" w:rsidRPr="00C13F97">
        <w:rPr>
          <w:bCs/>
          <w:color w:val="000000"/>
          <w:sz w:val="28"/>
          <w:szCs w:val="28"/>
        </w:rPr>
        <w:t>2014.gad</w:t>
      </w:r>
      <w:r w:rsidR="006572B8" w:rsidRPr="00C13F97">
        <w:rPr>
          <w:bCs/>
          <w:color w:val="000000"/>
          <w:sz w:val="28"/>
          <w:szCs w:val="28"/>
        </w:rPr>
        <w:t>s</w:t>
      </w:r>
      <w:r w:rsidR="00C2605A" w:rsidRPr="00C13F97">
        <w:rPr>
          <w:bCs/>
          <w:color w:val="000000"/>
          <w:sz w:val="28"/>
          <w:szCs w:val="28"/>
        </w:rPr>
        <w:t xml:space="preserve"> </w:t>
      </w:r>
      <w:r w:rsidR="003417B0" w:rsidRPr="00C13F97">
        <w:rPr>
          <w:bCs/>
          <w:color w:val="000000"/>
          <w:sz w:val="28"/>
          <w:szCs w:val="28"/>
        </w:rPr>
        <w:t xml:space="preserve">(pirmo reizi kopš 2008.gada) </w:t>
      </w:r>
      <w:r w:rsidR="00C2605A" w:rsidRPr="00C13F97">
        <w:rPr>
          <w:bCs/>
          <w:color w:val="000000"/>
          <w:sz w:val="28"/>
          <w:szCs w:val="28"/>
        </w:rPr>
        <w:t>noslēdz</w:t>
      </w:r>
      <w:r w:rsidR="007C3A6A" w:rsidRPr="00C13F97">
        <w:rPr>
          <w:bCs/>
          <w:color w:val="000000"/>
          <w:sz w:val="28"/>
          <w:szCs w:val="28"/>
        </w:rPr>
        <w:t>ā</w:t>
      </w:r>
      <w:r w:rsidR="00C2605A" w:rsidRPr="00C13F97">
        <w:rPr>
          <w:bCs/>
          <w:color w:val="000000"/>
          <w:sz w:val="28"/>
          <w:szCs w:val="28"/>
        </w:rPr>
        <w:t>s ar speciālā budžeta ieņēmumu pārsniegumu pār izdevumiem</w:t>
      </w:r>
      <w:r w:rsidR="00C2605A" w:rsidRPr="00C13F97">
        <w:rPr>
          <w:color w:val="000000"/>
          <w:sz w:val="28"/>
          <w:szCs w:val="28"/>
        </w:rPr>
        <w:t xml:space="preserve">. </w:t>
      </w:r>
      <w:r w:rsidR="007C3A6A" w:rsidRPr="00C13F97">
        <w:rPr>
          <w:bCs/>
          <w:sz w:val="28"/>
          <w:szCs w:val="28"/>
        </w:rPr>
        <w:t xml:space="preserve">Kopējie </w:t>
      </w:r>
      <w:r w:rsidR="006572B8" w:rsidRPr="00C13F97">
        <w:rPr>
          <w:bCs/>
          <w:sz w:val="28"/>
          <w:szCs w:val="28"/>
        </w:rPr>
        <w:t xml:space="preserve">speciālā </w:t>
      </w:r>
      <w:r w:rsidR="007C3A6A" w:rsidRPr="00C13F97">
        <w:rPr>
          <w:bCs/>
          <w:sz w:val="28"/>
          <w:szCs w:val="28"/>
        </w:rPr>
        <w:t xml:space="preserve">budžeta ieņēmumi 2014.gadā bija 2 222,1 milj. </w:t>
      </w:r>
      <w:r w:rsidR="006572B8" w:rsidRPr="00C13F97">
        <w:rPr>
          <w:bCs/>
          <w:sz w:val="28"/>
          <w:szCs w:val="28"/>
        </w:rPr>
        <w:t>EUR</w:t>
      </w:r>
      <w:r w:rsidR="007C3A6A" w:rsidRPr="00C13F97">
        <w:rPr>
          <w:bCs/>
          <w:sz w:val="28"/>
          <w:szCs w:val="28"/>
        </w:rPr>
        <w:t xml:space="preserve">, izdevumi – 2 121,8 milj. </w:t>
      </w:r>
      <w:r w:rsidR="006572B8" w:rsidRPr="00C13F97">
        <w:rPr>
          <w:bCs/>
          <w:sz w:val="28"/>
          <w:szCs w:val="28"/>
        </w:rPr>
        <w:t>EUR</w:t>
      </w:r>
      <w:r w:rsidR="007C3A6A" w:rsidRPr="00C13F97">
        <w:rPr>
          <w:bCs/>
          <w:sz w:val="28"/>
          <w:szCs w:val="28"/>
        </w:rPr>
        <w:t>, veidojot</w:t>
      </w:r>
      <w:r w:rsidR="006572B8" w:rsidRPr="00C13F97">
        <w:rPr>
          <w:bCs/>
          <w:sz w:val="28"/>
          <w:szCs w:val="28"/>
        </w:rPr>
        <w:t xml:space="preserve"> pozitīvu finansiālo bilanci - </w:t>
      </w:r>
      <w:r w:rsidR="007C3A6A" w:rsidRPr="00C13F97">
        <w:rPr>
          <w:bCs/>
          <w:sz w:val="28"/>
          <w:szCs w:val="28"/>
        </w:rPr>
        <w:t xml:space="preserve">100,3 milj. </w:t>
      </w:r>
      <w:r w:rsidR="006572B8" w:rsidRPr="00C13F97">
        <w:rPr>
          <w:bCs/>
          <w:sz w:val="28"/>
          <w:szCs w:val="28"/>
        </w:rPr>
        <w:t>EUR</w:t>
      </w:r>
      <w:r w:rsidR="007C3A6A" w:rsidRPr="00C13F97">
        <w:rPr>
          <w:bCs/>
          <w:sz w:val="28"/>
          <w:szCs w:val="28"/>
        </w:rPr>
        <w:t xml:space="preserve"> apmērā </w:t>
      </w:r>
      <w:r w:rsidR="007C3A6A" w:rsidRPr="00C13F97">
        <w:rPr>
          <w:bCs/>
          <w:color w:val="000000"/>
          <w:sz w:val="28"/>
          <w:szCs w:val="28"/>
        </w:rPr>
        <w:t xml:space="preserve">(skat. </w:t>
      </w:r>
      <w:r w:rsidR="00043CD7" w:rsidRPr="00C13F97">
        <w:rPr>
          <w:bCs/>
          <w:color w:val="000000"/>
          <w:sz w:val="28"/>
          <w:szCs w:val="28"/>
        </w:rPr>
        <w:t>3</w:t>
      </w:r>
      <w:r w:rsidR="007C3A6A" w:rsidRPr="00C13F97">
        <w:rPr>
          <w:bCs/>
          <w:color w:val="000000"/>
          <w:sz w:val="28"/>
          <w:szCs w:val="28"/>
        </w:rPr>
        <w:t>.zīm.)</w:t>
      </w:r>
      <w:r w:rsidR="007C3A6A" w:rsidRPr="00C13F97">
        <w:rPr>
          <w:bCs/>
          <w:sz w:val="28"/>
          <w:szCs w:val="28"/>
        </w:rPr>
        <w:t xml:space="preserve">. </w:t>
      </w:r>
    </w:p>
    <w:p w14:paraId="65B98B91" w14:textId="77777777" w:rsidR="00C13F97" w:rsidRDefault="00C13F97" w:rsidP="00043CD7">
      <w:pPr>
        <w:ind w:firstLine="720"/>
        <w:jc w:val="both"/>
        <w:rPr>
          <w:bCs/>
        </w:rPr>
      </w:pPr>
    </w:p>
    <w:p w14:paraId="3E3A495B" w14:textId="40C6DF48" w:rsidR="009B1B8F" w:rsidRPr="00C13F97" w:rsidRDefault="00043CD7" w:rsidP="00D17FF7">
      <w:pPr>
        <w:ind w:firstLine="720"/>
        <w:jc w:val="center"/>
        <w:rPr>
          <w:b/>
          <w:color w:val="000000"/>
        </w:rPr>
      </w:pPr>
      <w:r w:rsidRPr="00C13F97">
        <w:rPr>
          <w:b/>
          <w:color w:val="000000"/>
        </w:rPr>
        <w:t>3.zīmējums. Speciālā budžeta</w:t>
      </w:r>
      <w:r w:rsidR="005A31B2" w:rsidRPr="00C13F97">
        <w:rPr>
          <w:b/>
          <w:color w:val="000000"/>
        </w:rPr>
        <w:t xml:space="preserve"> faktiskie</w:t>
      </w:r>
      <w:r w:rsidRPr="00C13F97">
        <w:rPr>
          <w:b/>
          <w:color w:val="000000"/>
        </w:rPr>
        <w:t xml:space="preserve"> ieņēmumi un izdevumi</w:t>
      </w:r>
      <w:r w:rsidR="005A31B2" w:rsidRPr="00C13F97">
        <w:rPr>
          <w:b/>
          <w:color w:val="000000"/>
        </w:rPr>
        <w:t xml:space="preserve"> 2008.-2014.gads</w:t>
      </w:r>
      <w:r w:rsidR="00B70A55" w:rsidRPr="00C13F97">
        <w:rPr>
          <w:b/>
          <w:color w:val="000000"/>
        </w:rPr>
        <w:t>*</w:t>
      </w:r>
      <w:r w:rsidRPr="00C13F97">
        <w:rPr>
          <w:b/>
          <w:color w:val="000000"/>
        </w:rPr>
        <w:t xml:space="preserve">, milj. EUR </w:t>
      </w:r>
    </w:p>
    <w:p w14:paraId="5D1D07BE" w14:textId="18ADFF47" w:rsidR="009B1B8F" w:rsidRDefault="009B1B8F" w:rsidP="009B1B8F">
      <w:pPr>
        <w:rPr>
          <w:bCs/>
        </w:rPr>
      </w:pPr>
      <w:r>
        <w:rPr>
          <w:noProof/>
        </w:rPr>
        <w:drawing>
          <wp:inline distT="0" distB="0" distL="0" distR="0" wp14:anchorId="66270A4D" wp14:editId="3810B929">
            <wp:extent cx="5274310" cy="2643260"/>
            <wp:effectExtent l="0" t="0" r="254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6F379" w14:textId="77777777" w:rsidR="00B70A55" w:rsidRPr="00B70A55" w:rsidRDefault="00B70A55" w:rsidP="00B70A55">
      <w:pPr>
        <w:rPr>
          <w:kern w:val="32"/>
          <w:sz w:val="20"/>
          <w:szCs w:val="20"/>
        </w:rPr>
      </w:pPr>
      <w:r w:rsidRPr="00B70A55">
        <w:rPr>
          <w:kern w:val="32"/>
          <w:sz w:val="20"/>
          <w:szCs w:val="20"/>
        </w:rPr>
        <w:t xml:space="preserve">* </w:t>
      </w:r>
      <w:r>
        <w:rPr>
          <w:kern w:val="32"/>
          <w:sz w:val="20"/>
          <w:szCs w:val="20"/>
        </w:rPr>
        <w:t>Valsts sociālās apdrošināšanas aģentūras</w:t>
      </w:r>
      <w:r w:rsidRPr="00B70A55">
        <w:rPr>
          <w:kern w:val="32"/>
          <w:sz w:val="20"/>
          <w:szCs w:val="20"/>
        </w:rPr>
        <w:t xml:space="preserve"> dati</w:t>
      </w:r>
    </w:p>
    <w:p w14:paraId="41F63363" w14:textId="77777777" w:rsidR="008F5B74" w:rsidRDefault="008F5B74" w:rsidP="00D6686C">
      <w:pPr>
        <w:pStyle w:val="BodyText2"/>
        <w:spacing w:after="0" w:line="240" w:lineRule="auto"/>
        <w:ind w:firstLine="720"/>
        <w:jc w:val="both"/>
        <w:rPr>
          <w:rFonts w:ascii="Times New Roman" w:hAnsi="Times New Roman"/>
          <w:bCs/>
          <w:color w:val="000000"/>
        </w:rPr>
      </w:pPr>
    </w:p>
    <w:p w14:paraId="2971824C" w14:textId="6538EF73" w:rsidR="005A31B2" w:rsidRPr="00C13F97" w:rsidRDefault="00C2605A" w:rsidP="00D6686C">
      <w:pPr>
        <w:pStyle w:val="BodyText2"/>
        <w:spacing w:after="0" w:line="240" w:lineRule="auto"/>
        <w:ind w:firstLine="720"/>
        <w:jc w:val="both"/>
        <w:rPr>
          <w:rFonts w:ascii="Times New Roman" w:hAnsi="Times New Roman"/>
          <w:bCs/>
          <w:color w:val="000000"/>
          <w:sz w:val="28"/>
          <w:szCs w:val="28"/>
        </w:rPr>
      </w:pPr>
      <w:r w:rsidRPr="00C13F97">
        <w:rPr>
          <w:rFonts w:ascii="Times New Roman" w:hAnsi="Times New Roman"/>
          <w:bCs/>
          <w:color w:val="000000"/>
          <w:sz w:val="28"/>
          <w:szCs w:val="28"/>
        </w:rPr>
        <w:t xml:space="preserve">Atbilstoši likumam </w:t>
      </w:r>
      <w:r w:rsidR="004951D3" w:rsidRPr="00C13F97">
        <w:rPr>
          <w:rFonts w:ascii="Times New Roman" w:hAnsi="Times New Roman"/>
          <w:bCs/>
          <w:color w:val="000000"/>
          <w:sz w:val="28"/>
          <w:szCs w:val="28"/>
        </w:rPr>
        <w:t>„</w:t>
      </w:r>
      <w:r w:rsidRPr="00C13F97">
        <w:rPr>
          <w:rFonts w:ascii="Times New Roman" w:hAnsi="Times New Roman"/>
          <w:bCs/>
          <w:color w:val="000000"/>
          <w:sz w:val="28"/>
          <w:szCs w:val="28"/>
        </w:rPr>
        <w:t>Par valsts budžetu 2015.gadam</w:t>
      </w:r>
      <w:r w:rsidR="004951D3" w:rsidRPr="00C13F97">
        <w:rPr>
          <w:rFonts w:ascii="Times New Roman" w:hAnsi="Times New Roman"/>
          <w:bCs/>
          <w:color w:val="000000"/>
          <w:sz w:val="28"/>
          <w:szCs w:val="28"/>
        </w:rPr>
        <w:t>”</w:t>
      </w:r>
      <w:r w:rsidRPr="00C13F97">
        <w:rPr>
          <w:rFonts w:ascii="Times New Roman" w:hAnsi="Times New Roman"/>
          <w:bCs/>
          <w:color w:val="000000"/>
          <w:sz w:val="28"/>
          <w:szCs w:val="28"/>
        </w:rPr>
        <w:t xml:space="preserve"> un </w:t>
      </w:r>
      <w:r w:rsidR="00455ABC" w:rsidRPr="00C13F97">
        <w:rPr>
          <w:rFonts w:ascii="Times New Roman" w:hAnsi="Times New Roman"/>
          <w:bCs/>
          <w:color w:val="000000"/>
          <w:sz w:val="28"/>
          <w:szCs w:val="28"/>
        </w:rPr>
        <w:t>Ministru kabineta</w:t>
      </w:r>
      <w:r w:rsidRPr="00C13F97">
        <w:rPr>
          <w:rFonts w:ascii="Times New Roman" w:hAnsi="Times New Roman"/>
          <w:bCs/>
          <w:color w:val="000000"/>
          <w:sz w:val="28"/>
          <w:szCs w:val="28"/>
        </w:rPr>
        <w:t xml:space="preserve"> 17.03.2015. sēdē apstiprinātajiem 2016.-2018.gada bāzes izdevumiem, arī turpmākajos gados finansiālā bilance speciālajā budžetā </w:t>
      </w:r>
      <w:r w:rsidR="00F117D7" w:rsidRPr="00C13F97">
        <w:rPr>
          <w:rFonts w:ascii="Times New Roman" w:hAnsi="Times New Roman"/>
          <w:bCs/>
          <w:color w:val="000000"/>
          <w:sz w:val="28"/>
          <w:szCs w:val="28"/>
        </w:rPr>
        <w:t>tiek prognozēta</w:t>
      </w:r>
      <w:r w:rsidRPr="00C13F97">
        <w:rPr>
          <w:rFonts w:ascii="Times New Roman" w:hAnsi="Times New Roman"/>
          <w:bCs/>
          <w:color w:val="000000"/>
          <w:sz w:val="28"/>
          <w:szCs w:val="28"/>
        </w:rPr>
        <w:t xml:space="preserve"> pozitīva</w:t>
      </w:r>
      <w:r w:rsidR="00440E1A" w:rsidRPr="00C13F97">
        <w:rPr>
          <w:rFonts w:ascii="Times New Roman" w:hAnsi="Times New Roman"/>
          <w:bCs/>
          <w:color w:val="000000"/>
          <w:sz w:val="28"/>
          <w:szCs w:val="28"/>
        </w:rPr>
        <w:t xml:space="preserve"> (skat. 4.zīm.)</w:t>
      </w:r>
      <w:r w:rsidRPr="00C13F97">
        <w:rPr>
          <w:rFonts w:ascii="Times New Roman" w:hAnsi="Times New Roman"/>
          <w:bCs/>
          <w:color w:val="000000"/>
          <w:sz w:val="28"/>
          <w:szCs w:val="28"/>
        </w:rPr>
        <w:t>.</w:t>
      </w:r>
      <w:r w:rsidR="00D17FF7" w:rsidRPr="00C13F97">
        <w:rPr>
          <w:rFonts w:ascii="Times New Roman" w:hAnsi="Times New Roman"/>
          <w:bCs/>
          <w:color w:val="000000"/>
          <w:sz w:val="28"/>
          <w:szCs w:val="28"/>
        </w:rPr>
        <w:t xml:space="preserve"> </w:t>
      </w:r>
    </w:p>
    <w:p w14:paraId="02A06159" w14:textId="77777777" w:rsidR="005A31B2" w:rsidRPr="00C13F97" w:rsidRDefault="005A31B2" w:rsidP="00D6686C">
      <w:pPr>
        <w:pStyle w:val="BodyText2"/>
        <w:spacing w:after="0" w:line="240" w:lineRule="auto"/>
        <w:ind w:firstLine="720"/>
        <w:jc w:val="both"/>
        <w:rPr>
          <w:rFonts w:ascii="Times New Roman" w:hAnsi="Times New Roman"/>
          <w:b/>
          <w:bCs/>
          <w:color w:val="FF0000"/>
          <w:sz w:val="28"/>
          <w:szCs w:val="28"/>
        </w:rPr>
      </w:pPr>
    </w:p>
    <w:p w14:paraId="3D3FC0E9" w14:textId="0BE550CA" w:rsidR="009B1B8F" w:rsidRPr="00C13F97" w:rsidRDefault="005A31B2" w:rsidP="005A31B2">
      <w:pPr>
        <w:ind w:firstLine="720"/>
        <w:jc w:val="center"/>
        <w:rPr>
          <w:b/>
          <w:color w:val="000000"/>
        </w:rPr>
      </w:pPr>
      <w:r w:rsidRPr="00C13F97">
        <w:rPr>
          <w:b/>
          <w:color w:val="000000"/>
        </w:rPr>
        <w:t>4.zīmējums. Speciālā budžeta plānotie ieņēmumi un izdevumi*, milj. EUR</w:t>
      </w:r>
    </w:p>
    <w:p w14:paraId="51D88A41" w14:textId="1B9BC198" w:rsidR="009B1B8F" w:rsidRDefault="009B1B8F" w:rsidP="009B1B8F">
      <w:pPr>
        <w:rPr>
          <w:b/>
          <w:color w:val="000000"/>
          <w:szCs w:val="28"/>
        </w:rPr>
      </w:pPr>
      <w:r>
        <w:rPr>
          <w:noProof/>
        </w:rPr>
        <w:drawing>
          <wp:inline distT="0" distB="0" distL="0" distR="0" wp14:anchorId="415EA602" wp14:editId="0849A326">
            <wp:extent cx="4880758" cy="2143496"/>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7A1408" w14:textId="76C99807" w:rsidR="005A31B2" w:rsidRPr="005A31B2" w:rsidRDefault="00B70A55" w:rsidP="00176542">
      <w:pPr>
        <w:rPr>
          <w:b/>
          <w:iCs/>
          <w:kern w:val="32"/>
          <w:sz w:val="20"/>
          <w:szCs w:val="20"/>
        </w:rPr>
      </w:pPr>
      <w:r>
        <w:rPr>
          <w:kern w:val="32"/>
          <w:sz w:val="20"/>
          <w:szCs w:val="20"/>
        </w:rPr>
        <w:t>*</w:t>
      </w:r>
      <w:r w:rsidR="005A31B2" w:rsidRPr="005A31B2">
        <w:rPr>
          <w:kern w:val="32"/>
          <w:sz w:val="20"/>
          <w:szCs w:val="20"/>
        </w:rPr>
        <w:t xml:space="preserve">atbilstoši likumam „Par valsts budžetu 2015.gadā” un </w:t>
      </w:r>
      <w:r w:rsidR="00455ABC">
        <w:rPr>
          <w:kern w:val="32"/>
          <w:sz w:val="20"/>
          <w:szCs w:val="20"/>
        </w:rPr>
        <w:t>Ministru kabineta</w:t>
      </w:r>
      <w:r w:rsidR="005A31B2" w:rsidRPr="005A31B2">
        <w:rPr>
          <w:kern w:val="32"/>
          <w:sz w:val="20"/>
          <w:szCs w:val="20"/>
        </w:rPr>
        <w:t xml:space="preserve"> 17.03.2015. sēdē apstiprinātajai bāzei</w:t>
      </w:r>
    </w:p>
    <w:p w14:paraId="18CE3651" w14:textId="77777777" w:rsidR="00C13F97" w:rsidRDefault="00C13F97" w:rsidP="00C13F97">
      <w:pPr>
        <w:jc w:val="both"/>
      </w:pPr>
    </w:p>
    <w:p w14:paraId="5766E180" w14:textId="35A99A15" w:rsidR="00DE646A" w:rsidRPr="00C13F97" w:rsidRDefault="00DE646A" w:rsidP="00C926FD">
      <w:pPr>
        <w:ind w:firstLine="360"/>
        <w:jc w:val="both"/>
        <w:rPr>
          <w:bCs/>
          <w:color w:val="000000"/>
          <w:sz w:val="28"/>
          <w:szCs w:val="28"/>
        </w:rPr>
      </w:pPr>
      <w:r w:rsidRPr="00C13F97">
        <w:rPr>
          <w:sz w:val="28"/>
          <w:szCs w:val="28"/>
        </w:rPr>
        <w:lastRenderedPageBreak/>
        <w:t>Vienlaikus palielinās arī speciālā budžeta uzkrājums</w:t>
      </w:r>
      <w:r w:rsidR="00176542" w:rsidRPr="00C13F97">
        <w:rPr>
          <w:sz w:val="28"/>
          <w:szCs w:val="28"/>
        </w:rPr>
        <w:t xml:space="preserve"> </w:t>
      </w:r>
      <w:r w:rsidR="0067472D" w:rsidRPr="00C13F97">
        <w:rPr>
          <w:bCs/>
          <w:color w:val="000000"/>
          <w:sz w:val="28"/>
          <w:szCs w:val="28"/>
        </w:rPr>
        <w:t>(skat. 5.zīm.)</w:t>
      </w:r>
      <w:r w:rsidR="00716688" w:rsidRPr="00C13F97">
        <w:rPr>
          <w:bCs/>
          <w:color w:val="000000"/>
          <w:sz w:val="28"/>
          <w:szCs w:val="28"/>
        </w:rPr>
        <w:t>.</w:t>
      </w:r>
    </w:p>
    <w:p w14:paraId="22D97263" w14:textId="06BD3F8D" w:rsidR="00B34F57" w:rsidRPr="005A770C" w:rsidRDefault="00716688" w:rsidP="00716688">
      <w:pPr>
        <w:ind w:firstLine="720"/>
        <w:jc w:val="center"/>
        <w:rPr>
          <w:b/>
          <w:color w:val="000000"/>
        </w:rPr>
      </w:pPr>
      <w:r w:rsidRPr="005A770C">
        <w:rPr>
          <w:b/>
          <w:color w:val="000000"/>
        </w:rPr>
        <w:t>5.zīmējums. Speciālā budžeta uzkrājums</w:t>
      </w:r>
      <w:r w:rsidR="00B70A55" w:rsidRPr="005A770C">
        <w:rPr>
          <w:b/>
          <w:color w:val="000000"/>
        </w:rPr>
        <w:t>*</w:t>
      </w:r>
      <w:r w:rsidRPr="005A770C">
        <w:rPr>
          <w:b/>
          <w:color w:val="000000"/>
        </w:rPr>
        <w:t>, milj. EUR</w:t>
      </w:r>
    </w:p>
    <w:p w14:paraId="0B05F744" w14:textId="297B2280" w:rsidR="00B34F57" w:rsidRDefault="00B34F57" w:rsidP="00B34F57">
      <w:pPr>
        <w:rPr>
          <w:b/>
          <w:color w:val="000000"/>
          <w:szCs w:val="28"/>
        </w:rPr>
      </w:pPr>
      <w:r>
        <w:rPr>
          <w:noProof/>
        </w:rPr>
        <w:drawing>
          <wp:inline distT="0" distB="0" distL="0" distR="0" wp14:anchorId="73E748DC" wp14:editId="0AE32140">
            <wp:extent cx="5191125" cy="3219451"/>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929981" w14:textId="505F03E0" w:rsidR="00176542" w:rsidRDefault="00176542" w:rsidP="00716688">
      <w:pPr>
        <w:ind w:firstLine="720"/>
        <w:jc w:val="center"/>
      </w:pPr>
    </w:p>
    <w:p w14:paraId="01A3803A" w14:textId="77777777" w:rsidR="00C13F97" w:rsidRDefault="00C13F97" w:rsidP="00B70A55">
      <w:pPr>
        <w:rPr>
          <w:kern w:val="32"/>
          <w:sz w:val="20"/>
          <w:szCs w:val="20"/>
        </w:rPr>
      </w:pPr>
    </w:p>
    <w:p w14:paraId="3D808D82" w14:textId="639A2F73" w:rsidR="00B70A55" w:rsidRPr="00B70A55" w:rsidRDefault="00B70A55" w:rsidP="00B70A55">
      <w:pPr>
        <w:rPr>
          <w:kern w:val="32"/>
          <w:sz w:val="20"/>
          <w:szCs w:val="20"/>
        </w:rPr>
      </w:pPr>
      <w:r w:rsidRPr="00B70A55">
        <w:rPr>
          <w:kern w:val="32"/>
          <w:sz w:val="20"/>
          <w:szCs w:val="20"/>
        </w:rPr>
        <w:t xml:space="preserve">* </w:t>
      </w:r>
      <w:r>
        <w:rPr>
          <w:kern w:val="32"/>
          <w:sz w:val="20"/>
          <w:szCs w:val="20"/>
        </w:rPr>
        <w:t>Valsts sociālās apdrošināšanas aģentūras</w:t>
      </w:r>
      <w:r w:rsidRPr="00B70A55">
        <w:rPr>
          <w:kern w:val="32"/>
          <w:sz w:val="20"/>
          <w:szCs w:val="20"/>
        </w:rPr>
        <w:t xml:space="preserve"> dati</w:t>
      </w:r>
      <w:r>
        <w:rPr>
          <w:kern w:val="32"/>
          <w:sz w:val="20"/>
          <w:szCs w:val="20"/>
        </w:rPr>
        <w:t xml:space="preserve"> un </w:t>
      </w:r>
      <w:r w:rsidR="00455ABC">
        <w:rPr>
          <w:kern w:val="32"/>
          <w:sz w:val="20"/>
          <w:szCs w:val="20"/>
        </w:rPr>
        <w:t>Labklājības ministrijas</w:t>
      </w:r>
      <w:r>
        <w:rPr>
          <w:kern w:val="32"/>
          <w:sz w:val="20"/>
          <w:szCs w:val="20"/>
        </w:rPr>
        <w:t xml:space="preserve"> aprēķina rādītāji</w:t>
      </w:r>
    </w:p>
    <w:p w14:paraId="0EE9D2B1" w14:textId="77777777" w:rsidR="00F57793" w:rsidRDefault="00F57793" w:rsidP="00B011E8">
      <w:pPr>
        <w:ind w:firstLine="720"/>
        <w:jc w:val="both"/>
      </w:pPr>
    </w:p>
    <w:p w14:paraId="14FD1BAD" w14:textId="3AC9D302" w:rsidR="00B011E8" w:rsidRPr="00C13F97" w:rsidRDefault="00176542" w:rsidP="00B011E8">
      <w:pPr>
        <w:ind w:firstLine="720"/>
        <w:jc w:val="both"/>
        <w:rPr>
          <w:sz w:val="28"/>
          <w:szCs w:val="28"/>
        </w:rPr>
      </w:pPr>
      <w:r w:rsidRPr="00C13F97">
        <w:rPr>
          <w:sz w:val="28"/>
          <w:szCs w:val="28"/>
        </w:rPr>
        <w:t>S</w:t>
      </w:r>
      <w:r w:rsidR="0028231F" w:rsidRPr="00C13F97">
        <w:rPr>
          <w:sz w:val="28"/>
          <w:szCs w:val="28"/>
        </w:rPr>
        <w:t>peciālā budžeta uzkrājums ne tikai spēj novērst īstermiņa (ikgadējos) riskus, kas saistīti ar speciālā budžeta pakalpojumu nodrošināšanu, piem</w:t>
      </w:r>
      <w:r w:rsidR="00455ABC" w:rsidRPr="00C13F97">
        <w:rPr>
          <w:sz w:val="28"/>
          <w:szCs w:val="28"/>
        </w:rPr>
        <w:t>ēram</w:t>
      </w:r>
      <w:r w:rsidR="0028231F" w:rsidRPr="00C13F97">
        <w:rPr>
          <w:sz w:val="28"/>
          <w:szCs w:val="28"/>
        </w:rPr>
        <w:t xml:space="preserve">, palielinoties vidējai </w:t>
      </w:r>
      <w:r w:rsidR="0067472D" w:rsidRPr="00C13F97">
        <w:rPr>
          <w:sz w:val="28"/>
          <w:szCs w:val="28"/>
        </w:rPr>
        <w:t xml:space="preserve">sociālās apdrošināšanas </w:t>
      </w:r>
      <w:r w:rsidR="0028231F" w:rsidRPr="00C13F97">
        <w:rPr>
          <w:sz w:val="28"/>
          <w:szCs w:val="28"/>
        </w:rPr>
        <w:t xml:space="preserve">iemaksu algai un </w:t>
      </w:r>
      <w:r w:rsidR="00EA6175" w:rsidRPr="00C13F97">
        <w:rPr>
          <w:sz w:val="28"/>
          <w:szCs w:val="28"/>
        </w:rPr>
        <w:t>iestājoties tādiem makroekonomiskajiem riskiem, kā bezdarba līmeņa pieaugums (piem</w:t>
      </w:r>
      <w:r w:rsidR="00455ABC" w:rsidRPr="00C13F97">
        <w:rPr>
          <w:sz w:val="28"/>
          <w:szCs w:val="28"/>
        </w:rPr>
        <w:t>ēram</w:t>
      </w:r>
      <w:r w:rsidR="00EA6175" w:rsidRPr="00C13F97">
        <w:rPr>
          <w:sz w:val="28"/>
          <w:szCs w:val="28"/>
        </w:rPr>
        <w:t xml:space="preserve">, saistībā ar Krievijas embargo atsevišķām lauksaimniecības un pārtikas precēm, kā rezultātā paaugstinās bezdarba līmenis un ir nepieciešama nekavējoša rīcība bezdarbnieku pabalstu izmaksu palielināšanai), bet arī ir iespējams </w:t>
      </w:r>
      <w:r w:rsidR="00C926FD" w:rsidRPr="00C13F97">
        <w:rPr>
          <w:sz w:val="28"/>
          <w:szCs w:val="28"/>
        </w:rPr>
        <w:t>ilgtermiņā veikt materiālā atbalsta pilnveidošanu pensionāriem, kā to paredz šobrīd Labklājības ministrijas sagatavotie priekšlikumi</w:t>
      </w:r>
      <w:r w:rsidR="00B011E8" w:rsidRPr="00C13F97">
        <w:rPr>
          <w:sz w:val="28"/>
          <w:szCs w:val="28"/>
        </w:rPr>
        <w:t xml:space="preserve"> likumā „Par valsts pensijām”. </w:t>
      </w:r>
    </w:p>
    <w:p w14:paraId="303B7CE3" w14:textId="78580A84" w:rsidR="00B011E8" w:rsidRPr="00C13F97" w:rsidRDefault="00B011E8" w:rsidP="00B011E8">
      <w:pPr>
        <w:autoSpaceDE w:val="0"/>
        <w:autoSpaceDN w:val="0"/>
        <w:adjustRightInd w:val="0"/>
        <w:ind w:firstLine="720"/>
        <w:jc w:val="both"/>
        <w:rPr>
          <w:rFonts w:eastAsiaTheme="minorHAnsi"/>
          <w:color w:val="000000"/>
          <w:sz w:val="28"/>
          <w:szCs w:val="28"/>
          <w:lang w:eastAsia="en-US"/>
        </w:rPr>
      </w:pPr>
      <w:r w:rsidRPr="00C13F97">
        <w:rPr>
          <w:rFonts w:eastAsiaTheme="minorHAnsi"/>
          <w:color w:val="000000"/>
          <w:sz w:val="28"/>
          <w:szCs w:val="28"/>
          <w:lang w:eastAsia="en-US"/>
        </w:rPr>
        <w:t>Lai novērstu negatīvo kapitāla indeksu ietekmi uz tiem pensionāriem, kuriem, aprēķinot pensiju, pensijas kapitāla noteikšanā jau ir ņemti vērā negatīvie kapitāla indeksi (t.i., indeksi, kas mazāki par skaitli „1”), Labklājības ministrija izstrādāja grozījumus likumā „Par valsts pensijām”, kas paredz</w:t>
      </w:r>
      <w:r w:rsidR="00455ABC" w:rsidRPr="00C13F97">
        <w:rPr>
          <w:rFonts w:eastAsiaTheme="minorHAnsi"/>
          <w:color w:val="000000"/>
          <w:sz w:val="28"/>
          <w:szCs w:val="28"/>
          <w:lang w:eastAsia="en-US"/>
        </w:rPr>
        <w:t>,</w:t>
      </w:r>
      <w:r w:rsidRPr="00C13F97">
        <w:rPr>
          <w:rFonts w:eastAsiaTheme="minorHAnsi"/>
          <w:color w:val="000000"/>
          <w:sz w:val="28"/>
          <w:szCs w:val="28"/>
          <w:lang w:eastAsia="en-US"/>
        </w:rPr>
        <w:t xml:space="preserve"> sākot ar 2016.gadu</w:t>
      </w:r>
      <w:r w:rsidR="00455ABC" w:rsidRPr="00C13F97">
        <w:rPr>
          <w:rFonts w:eastAsiaTheme="minorHAnsi"/>
          <w:color w:val="000000"/>
          <w:sz w:val="28"/>
          <w:szCs w:val="28"/>
          <w:lang w:eastAsia="en-US"/>
        </w:rPr>
        <w:t>,</w:t>
      </w:r>
      <w:r w:rsidRPr="00C13F97">
        <w:rPr>
          <w:rFonts w:eastAsiaTheme="minorHAnsi"/>
          <w:color w:val="000000"/>
          <w:sz w:val="28"/>
          <w:szCs w:val="28"/>
          <w:lang w:eastAsia="en-US"/>
        </w:rPr>
        <w:t xml:space="preserve"> pārskatīt pensijas apmēru tām personām, kurām pensija piešķirta vai pārrēķināta laikā no 2010.gada 1.janvāra līdz 2015.gada 31.decembrim. Minētie grozījumi arī paredz pensiju indeksācijā ņemt vērā 50 procentus (līdzšinējo 25 procentu vietā) no apdrošināšanas iemaksu algas reālā pieauguma procentiem, t.i., pensijas tiktu indeksētas ar lielāku indeksu. Š.g. 19.maija Ministru kabineta sēdē tika nolemts, ka minētais jautājums tiks izskatīts Ministru kabinetā likumprojekta "Par valsts budžetu 2016.gadam" un likumprojekta "Par vidēja termiņa budžeta ietvaru 2016., 2017. un 2018.gadam" </w:t>
      </w:r>
      <w:r w:rsidRPr="00C13F97">
        <w:rPr>
          <w:rFonts w:eastAsiaTheme="minorHAnsi"/>
          <w:color w:val="000000"/>
          <w:sz w:val="28"/>
          <w:szCs w:val="28"/>
          <w:lang w:eastAsia="en-US"/>
        </w:rPr>
        <w:lastRenderedPageBreak/>
        <w:t xml:space="preserve">sagatavošanas un izskatīšanas procesā atbilstoši valsts budžeta finansiālajām iespējām. </w:t>
      </w:r>
    </w:p>
    <w:p w14:paraId="193E2F26" w14:textId="77777777" w:rsidR="00C13F97" w:rsidRDefault="00C13F97" w:rsidP="00C13F97">
      <w:pPr>
        <w:autoSpaceDE w:val="0"/>
        <w:autoSpaceDN w:val="0"/>
        <w:adjustRightInd w:val="0"/>
        <w:jc w:val="both"/>
        <w:rPr>
          <w:rFonts w:eastAsiaTheme="minorHAnsi"/>
          <w:color w:val="000000"/>
          <w:lang w:eastAsia="en-US"/>
        </w:rPr>
      </w:pPr>
    </w:p>
    <w:p w14:paraId="503D76A8" w14:textId="093D0882" w:rsidR="00D6686C" w:rsidRPr="00D664EC" w:rsidRDefault="00562B72" w:rsidP="00D664EC">
      <w:pPr>
        <w:pStyle w:val="Heading2"/>
        <w:numPr>
          <w:ilvl w:val="0"/>
          <w:numId w:val="7"/>
        </w:numPr>
        <w:spacing w:before="0" w:after="0"/>
        <w:jc w:val="center"/>
        <w:rPr>
          <w:rFonts w:ascii="Times New Roman" w:hAnsi="Times New Roman"/>
          <w:i w:val="0"/>
          <w:iCs w:val="0"/>
          <w:kern w:val="32"/>
        </w:rPr>
      </w:pPr>
      <w:r w:rsidRPr="00C13F97">
        <w:rPr>
          <w:rFonts w:ascii="Times New Roman" w:hAnsi="Times New Roman"/>
          <w:i w:val="0"/>
          <w:iCs w:val="0"/>
          <w:kern w:val="32"/>
        </w:rPr>
        <w:t xml:space="preserve">Izvērtējums par iemaksu likmes samazinājuma </w:t>
      </w:r>
      <w:r w:rsidR="00252B08" w:rsidRPr="00C13F97">
        <w:rPr>
          <w:rFonts w:ascii="Times New Roman" w:hAnsi="Times New Roman"/>
          <w:i w:val="0"/>
          <w:iCs w:val="0"/>
          <w:kern w:val="32"/>
        </w:rPr>
        <w:t xml:space="preserve">pensiju 2.līmenī </w:t>
      </w:r>
      <w:r w:rsidR="00AE1332" w:rsidRPr="00C13F97">
        <w:rPr>
          <w:rFonts w:ascii="Times New Roman" w:hAnsi="Times New Roman"/>
          <w:i w:val="0"/>
          <w:iCs w:val="0"/>
          <w:kern w:val="32"/>
        </w:rPr>
        <w:t>i</w:t>
      </w:r>
      <w:r w:rsidRPr="00C13F97">
        <w:rPr>
          <w:rFonts w:ascii="Times New Roman" w:hAnsi="Times New Roman"/>
          <w:i w:val="0"/>
          <w:iCs w:val="0"/>
          <w:kern w:val="32"/>
        </w:rPr>
        <w:t>etekmi</w:t>
      </w:r>
      <w:r w:rsidR="00D6686C" w:rsidRPr="00C13F97">
        <w:rPr>
          <w:rFonts w:ascii="Times New Roman" w:hAnsi="Times New Roman"/>
          <w:i w:val="0"/>
          <w:iCs w:val="0"/>
          <w:kern w:val="32"/>
        </w:rPr>
        <w:t xml:space="preserve"> uz </w:t>
      </w:r>
      <w:r w:rsidR="00D6686C" w:rsidRPr="00D664EC">
        <w:rPr>
          <w:rFonts w:ascii="Times New Roman" w:hAnsi="Times New Roman"/>
          <w:i w:val="0"/>
          <w:iCs w:val="0"/>
          <w:kern w:val="32"/>
        </w:rPr>
        <w:t>vecuma pensijas kapitālu</w:t>
      </w:r>
    </w:p>
    <w:p w14:paraId="60FDE3F8" w14:textId="77777777" w:rsidR="00857549" w:rsidRPr="00C13F97" w:rsidRDefault="00857549" w:rsidP="00857549">
      <w:pPr>
        <w:rPr>
          <w:sz w:val="28"/>
          <w:szCs w:val="28"/>
        </w:rPr>
      </w:pPr>
    </w:p>
    <w:p w14:paraId="6139EC46" w14:textId="711E72CB" w:rsidR="00857549" w:rsidRPr="00D664EC" w:rsidRDefault="00857549" w:rsidP="00D664EC">
      <w:pPr>
        <w:pStyle w:val="Heading1"/>
        <w:numPr>
          <w:ilvl w:val="1"/>
          <w:numId w:val="7"/>
        </w:numPr>
        <w:spacing w:before="0" w:after="0"/>
        <w:rPr>
          <w:rFonts w:ascii="Times New Roman" w:hAnsi="Times New Roman"/>
          <w:i/>
          <w:sz w:val="28"/>
          <w:szCs w:val="28"/>
        </w:rPr>
      </w:pPr>
      <w:bookmarkStart w:id="3" w:name="_Toc335049383"/>
      <w:r w:rsidRPr="00D664EC">
        <w:rPr>
          <w:rFonts w:ascii="Times New Roman" w:hAnsi="Times New Roman"/>
          <w:i/>
          <w:sz w:val="28"/>
          <w:szCs w:val="28"/>
        </w:rPr>
        <w:t xml:space="preserve"> Pensiju 1. </w:t>
      </w:r>
      <w:r w:rsidR="00043CD7" w:rsidRPr="00D664EC">
        <w:rPr>
          <w:rFonts w:ascii="Times New Roman" w:hAnsi="Times New Roman"/>
          <w:i/>
          <w:sz w:val="28"/>
          <w:szCs w:val="28"/>
        </w:rPr>
        <w:t xml:space="preserve">līmeņa kapitāla indeksa </w:t>
      </w:r>
      <w:r w:rsidRPr="00D664EC">
        <w:rPr>
          <w:rFonts w:ascii="Times New Roman" w:hAnsi="Times New Roman"/>
          <w:i/>
          <w:sz w:val="28"/>
          <w:szCs w:val="28"/>
        </w:rPr>
        <w:t xml:space="preserve">un 2. līmeņa </w:t>
      </w:r>
      <w:r w:rsidR="000139D5" w:rsidRPr="00D664EC">
        <w:rPr>
          <w:rFonts w:ascii="Times New Roman" w:hAnsi="Times New Roman"/>
          <w:i/>
          <w:sz w:val="28"/>
          <w:szCs w:val="28"/>
        </w:rPr>
        <w:t>ienesīguma</w:t>
      </w:r>
      <w:r w:rsidRPr="00D664EC">
        <w:rPr>
          <w:rFonts w:ascii="Times New Roman" w:hAnsi="Times New Roman"/>
          <w:i/>
          <w:sz w:val="28"/>
          <w:szCs w:val="28"/>
        </w:rPr>
        <w:t xml:space="preserve"> izvērtējums </w:t>
      </w:r>
      <w:bookmarkEnd w:id="3"/>
    </w:p>
    <w:p w14:paraId="062A2987" w14:textId="7B73E5FC" w:rsidR="00857549" w:rsidRPr="00C13F97" w:rsidRDefault="00857549" w:rsidP="00857549">
      <w:pPr>
        <w:pStyle w:val="naisf"/>
        <w:spacing w:before="0" w:after="0"/>
        <w:ind w:firstLine="720"/>
        <w:rPr>
          <w:bCs/>
          <w:color w:val="000000"/>
          <w:sz w:val="28"/>
          <w:szCs w:val="28"/>
          <w:lang w:eastAsia="en-US"/>
        </w:rPr>
      </w:pPr>
      <w:r w:rsidRPr="00C13F97">
        <w:rPr>
          <w:bCs/>
          <w:color w:val="000000"/>
          <w:sz w:val="28"/>
          <w:szCs w:val="28"/>
          <w:lang w:eastAsia="en-US"/>
        </w:rPr>
        <w:t xml:space="preserve">Pensiju 1.līmenis jeb paaudžu solidaritātes shēma, kur pašreizējās pensiju izmaksas tiek segtas no strādājošo iemaksām, aptver pensionārus, kuriem pensija piešķirta līdz 1996.gadam, un pensionārus, kuriem pensija aprēķināta saskaņā ar jauno likumu „Par valsts pensijām” pēc 1996.gada, t.i., balstoties uz personificētājā uzskaitē reģistrētajām sociālās apdrošināšanas iemaksām, kuras veiktas, sākot ar 1996.gada janvāri. </w:t>
      </w:r>
    </w:p>
    <w:p w14:paraId="1A87C955" w14:textId="1024386B" w:rsidR="00857549" w:rsidRPr="00C13F97" w:rsidRDefault="00857549" w:rsidP="003B1786">
      <w:pPr>
        <w:ind w:firstLine="720"/>
        <w:jc w:val="both"/>
        <w:rPr>
          <w:sz w:val="28"/>
          <w:szCs w:val="28"/>
        </w:rPr>
      </w:pPr>
      <w:r w:rsidRPr="00C13F97">
        <w:rPr>
          <w:sz w:val="28"/>
          <w:szCs w:val="28"/>
        </w:rPr>
        <w:t xml:space="preserve">Neskatoties uz to, 1.līmenī ieskaitītie līdzekļi tiek regulāri uzskaitīti un ņemti par pamatu pensijas aprēķinā, 1.līmeņa </w:t>
      </w:r>
      <w:r w:rsidR="003B1786" w:rsidRPr="00C13F97">
        <w:rPr>
          <w:sz w:val="28"/>
          <w:szCs w:val="28"/>
        </w:rPr>
        <w:t xml:space="preserve">pensijas </w:t>
      </w:r>
      <w:r w:rsidRPr="00C13F97">
        <w:rPr>
          <w:sz w:val="28"/>
          <w:szCs w:val="28"/>
        </w:rPr>
        <w:t xml:space="preserve">kapitāls tiek </w:t>
      </w:r>
      <w:r w:rsidR="003B1786" w:rsidRPr="00C13F97">
        <w:rPr>
          <w:sz w:val="28"/>
          <w:szCs w:val="28"/>
        </w:rPr>
        <w:t>uzskaitīts virtuāli, uzskaitot</w:t>
      </w:r>
      <w:r w:rsidRPr="00C13F97">
        <w:rPr>
          <w:sz w:val="28"/>
          <w:szCs w:val="28"/>
        </w:rPr>
        <w:t xml:space="preserve"> valsts ilgtermiņa saistības, kas būs jāizmaksā nākotnes pensionāriem. </w:t>
      </w:r>
      <w:r w:rsidR="00776CED" w:rsidRPr="00C13F97">
        <w:rPr>
          <w:sz w:val="28"/>
          <w:szCs w:val="28"/>
        </w:rPr>
        <w:t>Savukārt</w:t>
      </w:r>
      <w:r w:rsidR="003B1786" w:rsidRPr="00C13F97">
        <w:rPr>
          <w:sz w:val="28"/>
          <w:szCs w:val="28"/>
        </w:rPr>
        <w:t xml:space="preserve"> pensiju 2.līmenī tiek uzskaitīts</w:t>
      </w:r>
      <w:r w:rsidRPr="00C13F97">
        <w:rPr>
          <w:sz w:val="28"/>
          <w:szCs w:val="28"/>
        </w:rPr>
        <w:t xml:space="preserve"> reāls kapitāls, kas tiek ieguldīts finanšu tirgos. </w:t>
      </w:r>
    </w:p>
    <w:p w14:paraId="66437893" w14:textId="77777777" w:rsidR="00857549" w:rsidRPr="00C13F97" w:rsidRDefault="00857549" w:rsidP="00857549">
      <w:pPr>
        <w:autoSpaceDE w:val="0"/>
        <w:autoSpaceDN w:val="0"/>
        <w:adjustRightInd w:val="0"/>
        <w:ind w:firstLine="720"/>
        <w:jc w:val="both"/>
        <w:rPr>
          <w:color w:val="000000"/>
          <w:sz w:val="28"/>
          <w:szCs w:val="28"/>
        </w:rPr>
      </w:pPr>
      <w:r w:rsidRPr="00C13F97">
        <w:rPr>
          <w:sz w:val="28"/>
          <w:szCs w:val="28"/>
        </w:rPr>
        <w:t xml:space="preserve">Lai pensiju 1.līmenī uzkrātais kapitāls ilgā laika periodā nezaudētu savu pirktspēju un pat nodrošinātu reālu pieaugumu, vienlaikus sekmējot pensiju sistēmas ilgtspēju, katru gadu tas tiek aktualizēts atbilstoši ikgadējiem iemaksu algas indeksiem. </w:t>
      </w:r>
      <w:r w:rsidR="003B1786" w:rsidRPr="00C13F97">
        <w:rPr>
          <w:sz w:val="28"/>
          <w:szCs w:val="28"/>
        </w:rPr>
        <w:t>I</w:t>
      </w:r>
      <w:r w:rsidRPr="00C13F97">
        <w:rPr>
          <w:color w:val="000000"/>
          <w:sz w:val="28"/>
          <w:szCs w:val="28"/>
        </w:rPr>
        <w:t>emaksu algas indeksu nosaka, izmantojot informāciju par iemaksu algu summu izmaiņām valstī divos secīgajos periodos (no attiecīgā gada 1.augusta līdz nākamā gada 31.jūlijam), piemēram, iemaksu algas indekss 20</w:t>
      </w:r>
      <w:r w:rsidR="00D17FF7" w:rsidRPr="00C13F97">
        <w:rPr>
          <w:color w:val="000000"/>
          <w:sz w:val="28"/>
          <w:szCs w:val="28"/>
        </w:rPr>
        <w:t>14</w:t>
      </w:r>
      <w:r w:rsidRPr="00C13F97">
        <w:rPr>
          <w:color w:val="000000"/>
          <w:sz w:val="28"/>
          <w:szCs w:val="28"/>
        </w:rPr>
        <w:t>.gadam tiek aprēķināts kā iemaksu algu summas par periodu no 20</w:t>
      </w:r>
      <w:r w:rsidR="00D17FF7" w:rsidRPr="00C13F97">
        <w:rPr>
          <w:color w:val="000000"/>
          <w:sz w:val="28"/>
          <w:szCs w:val="28"/>
        </w:rPr>
        <w:t>13</w:t>
      </w:r>
      <w:r w:rsidRPr="00C13F97">
        <w:rPr>
          <w:color w:val="000000"/>
          <w:sz w:val="28"/>
          <w:szCs w:val="28"/>
        </w:rPr>
        <w:t>.gada 1.augusta līdz 20</w:t>
      </w:r>
      <w:r w:rsidR="00D17FF7" w:rsidRPr="00C13F97">
        <w:rPr>
          <w:color w:val="000000"/>
          <w:sz w:val="28"/>
          <w:szCs w:val="28"/>
        </w:rPr>
        <w:t>14</w:t>
      </w:r>
      <w:r w:rsidRPr="00C13F97">
        <w:rPr>
          <w:color w:val="000000"/>
          <w:sz w:val="28"/>
          <w:szCs w:val="28"/>
        </w:rPr>
        <w:t>.gada 31.jūlijam attiecība pret iemaksu algu summu laika periodā no 20</w:t>
      </w:r>
      <w:r w:rsidR="00D17FF7" w:rsidRPr="00C13F97">
        <w:rPr>
          <w:color w:val="000000"/>
          <w:sz w:val="28"/>
          <w:szCs w:val="28"/>
        </w:rPr>
        <w:t>12</w:t>
      </w:r>
      <w:r w:rsidRPr="00C13F97">
        <w:rPr>
          <w:color w:val="000000"/>
          <w:sz w:val="28"/>
          <w:szCs w:val="28"/>
        </w:rPr>
        <w:t>.gada 1.augusta līdz 20</w:t>
      </w:r>
      <w:r w:rsidR="00D17FF7" w:rsidRPr="00C13F97">
        <w:rPr>
          <w:color w:val="000000"/>
          <w:sz w:val="28"/>
          <w:szCs w:val="28"/>
        </w:rPr>
        <w:t>13</w:t>
      </w:r>
      <w:r w:rsidRPr="00C13F97">
        <w:rPr>
          <w:color w:val="000000"/>
          <w:sz w:val="28"/>
          <w:szCs w:val="28"/>
        </w:rPr>
        <w:t>.gada 31.jūlijam.</w:t>
      </w:r>
    </w:p>
    <w:p w14:paraId="4575902B" w14:textId="65AAD87D" w:rsidR="00857549" w:rsidRPr="00C13F97" w:rsidRDefault="00857549" w:rsidP="00857549">
      <w:pPr>
        <w:ind w:firstLine="720"/>
        <w:jc w:val="both"/>
        <w:rPr>
          <w:sz w:val="28"/>
          <w:szCs w:val="28"/>
        </w:rPr>
      </w:pPr>
      <w:r w:rsidRPr="00C13F97">
        <w:rPr>
          <w:sz w:val="28"/>
          <w:szCs w:val="28"/>
        </w:rPr>
        <w:t>Šie skaitļi arī parāda, ka pensiju 1.līmeņa un 2.līmeņa izmaiņas ir atkarīgas no dažādiem faktoriem</w:t>
      </w:r>
      <w:r w:rsidR="007873F8" w:rsidRPr="00C13F97">
        <w:rPr>
          <w:sz w:val="28"/>
          <w:szCs w:val="28"/>
        </w:rPr>
        <w:t>,</w:t>
      </w:r>
      <w:r w:rsidRPr="00C13F97">
        <w:rPr>
          <w:sz w:val="28"/>
          <w:szCs w:val="28"/>
        </w:rPr>
        <w:t xml:space="preserve"> un to darbība ir jāvērtē kopējā kontekstā, nevis atsevišķi vai pretnostatot vienu pret otru. Darbojoties kopā, pensiju 1. un 2.līmenis samazina </w:t>
      </w:r>
      <w:r w:rsidR="009007CB" w:rsidRPr="00C13F97">
        <w:rPr>
          <w:sz w:val="28"/>
          <w:szCs w:val="28"/>
        </w:rPr>
        <w:t xml:space="preserve">pensiju </w:t>
      </w:r>
      <w:r w:rsidRPr="00C13F97">
        <w:rPr>
          <w:sz w:val="28"/>
          <w:szCs w:val="28"/>
        </w:rPr>
        <w:t xml:space="preserve">sistēmas risku un nodrošina tās augstāku stabilitāti un ilgtspēju. </w:t>
      </w:r>
    </w:p>
    <w:p w14:paraId="5889794A" w14:textId="77777777" w:rsidR="00B011E8" w:rsidRDefault="00B011E8" w:rsidP="00857549"/>
    <w:p w14:paraId="74F86349" w14:textId="3826C9BC" w:rsidR="00B70A55" w:rsidRPr="00C13F97" w:rsidRDefault="00B70A55" w:rsidP="005A1DCC">
      <w:pPr>
        <w:rPr>
          <w:b/>
          <w:i/>
          <w:sz w:val="28"/>
          <w:szCs w:val="28"/>
        </w:rPr>
      </w:pPr>
      <w:r w:rsidRPr="00C13F97">
        <w:rPr>
          <w:b/>
          <w:i/>
          <w:sz w:val="28"/>
          <w:szCs w:val="28"/>
        </w:rPr>
        <w:t xml:space="preserve">2.2.Teorētisks aprēķins par iemaksu likmes </w:t>
      </w:r>
      <w:r w:rsidR="00252B08" w:rsidRPr="00C13F97">
        <w:rPr>
          <w:b/>
          <w:i/>
          <w:sz w:val="28"/>
          <w:szCs w:val="28"/>
        </w:rPr>
        <w:t xml:space="preserve">samazinājuma </w:t>
      </w:r>
      <w:r w:rsidR="004A5D50" w:rsidRPr="00C13F97">
        <w:rPr>
          <w:b/>
          <w:i/>
          <w:sz w:val="28"/>
          <w:szCs w:val="28"/>
        </w:rPr>
        <w:t xml:space="preserve">pensiju </w:t>
      </w:r>
      <w:r w:rsidR="00252B08" w:rsidRPr="00C13F97">
        <w:rPr>
          <w:b/>
          <w:i/>
          <w:sz w:val="28"/>
          <w:szCs w:val="28"/>
        </w:rPr>
        <w:t xml:space="preserve">2. līmenī </w:t>
      </w:r>
      <w:r w:rsidRPr="00C13F97">
        <w:rPr>
          <w:b/>
          <w:i/>
          <w:sz w:val="28"/>
          <w:szCs w:val="28"/>
        </w:rPr>
        <w:t>ietekmi</w:t>
      </w:r>
    </w:p>
    <w:p w14:paraId="3F82E7DC" w14:textId="7DD7E6CB" w:rsidR="00263E13" w:rsidRPr="00C13F97" w:rsidRDefault="00B53B5E" w:rsidP="00E42CF4">
      <w:pPr>
        <w:autoSpaceDE w:val="0"/>
        <w:autoSpaceDN w:val="0"/>
        <w:adjustRightInd w:val="0"/>
        <w:ind w:firstLine="720"/>
        <w:jc w:val="both"/>
        <w:rPr>
          <w:sz w:val="28"/>
          <w:szCs w:val="28"/>
        </w:rPr>
      </w:pPr>
      <w:r w:rsidRPr="00C13F97">
        <w:rPr>
          <w:sz w:val="28"/>
          <w:szCs w:val="28"/>
        </w:rPr>
        <w:t xml:space="preserve">Vērtējot </w:t>
      </w:r>
      <w:r w:rsidR="00D17FF7" w:rsidRPr="00C13F97">
        <w:rPr>
          <w:sz w:val="28"/>
          <w:szCs w:val="28"/>
        </w:rPr>
        <w:t xml:space="preserve">valsts </w:t>
      </w:r>
      <w:r w:rsidR="005A1DCC" w:rsidRPr="00C13F97">
        <w:rPr>
          <w:sz w:val="28"/>
          <w:szCs w:val="28"/>
        </w:rPr>
        <w:t>sociālās apdrošināšanas iemaksu</w:t>
      </w:r>
      <w:r w:rsidR="005A1DCC" w:rsidRPr="00C13F97">
        <w:rPr>
          <w:b/>
          <w:i/>
          <w:sz w:val="28"/>
          <w:szCs w:val="28"/>
        </w:rPr>
        <w:t xml:space="preserve"> </w:t>
      </w:r>
      <w:r w:rsidRPr="00C13F97">
        <w:rPr>
          <w:sz w:val="28"/>
          <w:szCs w:val="28"/>
        </w:rPr>
        <w:t>likme</w:t>
      </w:r>
      <w:r w:rsidR="005A1DCC" w:rsidRPr="00C13F97">
        <w:rPr>
          <w:sz w:val="28"/>
          <w:szCs w:val="28"/>
        </w:rPr>
        <w:t>s</w:t>
      </w:r>
      <w:r w:rsidRPr="00C13F97">
        <w:rPr>
          <w:sz w:val="28"/>
          <w:szCs w:val="28"/>
        </w:rPr>
        <w:t xml:space="preserve"> </w:t>
      </w:r>
      <w:r w:rsidR="00252B08" w:rsidRPr="00C13F97">
        <w:rPr>
          <w:sz w:val="28"/>
          <w:szCs w:val="28"/>
        </w:rPr>
        <w:t xml:space="preserve">samazinājuma </w:t>
      </w:r>
      <w:r w:rsidR="004A5D50" w:rsidRPr="00C13F97">
        <w:rPr>
          <w:sz w:val="28"/>
          <w:szCs w:val="28"/>
        </w:rPr>
        <w:t xml:space="preserve">pensiju </w:t>
      </w:r>
      <w:r w:rsidR="00252B08" w:rsidRPr="00C13F97">
        <w:rPr>
          <w:sz w:val="28"/>
          <w:szCs w:val="28"/>
        </w:rPr>
        <w:t>2.līmenī</w:t>
      </w:r>
      <w:r w:rsidR="006B5804" w:rsidRPr="00C13F97">
        <w:rPr>
          <w:sz w:val="28"/>
          <w:szCs w:val="28"/>
        </w:rPr>
        <w:t xml:space="preserve"> teorētisko ietekmi</w:t>
      </w:r>
      <w:r w:rsidR="00252B08" w:rsidRPr="00C13F97">
        <w:rPr>
          <w:sz w:val="28"/>
          <w:szCs w:val="28"/>
        </w:rPr>
        <w:t xml:space="preserve"> uz pensijas kapitālu</w:t>
      </w:r>
      <w:r w:rsidR="00FA20EB" w:rsidRPr="00C13F97">
        <w:rPr>
          <w:sz w:val="28"/>
          <w:szCs w:val="28"/>
        </w:rPr>
        <w:t xml:space="preserve">, ir izmantoti </w:t>
      </w:r>
      <w:r w:rsidR="00D17FF7" w:rsidRPr="00C13F97">
        <w:rPr>
          <w:sz w:val="28"/>
          <w:szCs w:val="28"/>
        </w:rPr>
        <w:t xml:space="preserve">Valsts sociālās apdrošināšanas aģentūras </w:t>
      </w:r>
      <w:r w:rsidRPr="00C13F97">
        <w:rPr>
          <w:sz w:val="28"/>
          <w:szCs w:val="28"/>
        </w:rPr>
        <w:t xml:space="preserve">dati par </w:t>
      </w:r>
      <w:r w:rsidR="006B5804" w:rsidRPr="00C13F97">
        <w:rPr>
          <w:sz w:val="28"/>
          <w:szCs w:val="28"/>
        </w:rPr>
        <w:t xml:space="preserve">ikgadējām iemaksām </w:t>
      </w:r>
      <w:r w:rsidR="00D17FF7" w:rsidRPr="00C13F97">
        <w:rPr>
          <w:sz w:val="28"/>
          <w:szCs w:val="28"/>
        </w:rPr>
        <w:t xml:space="preserve">pensiju </w:t>
      </w:r>
      <w:r w:rsidR="00FA20EB" w:rsidRPr="00C13F97">
        <w:rPr>
          <w:sz w:val="28"/>
          <w:szCs w:val="28"/>
        </w:rPr>
        <w:t xml:space="preserve">2.līmenī, </w:t>
      </w:r>
      <w:r w:rsidR="00E42CF4" w:rsidRPr="00C13F97">
        <w:rPr>
          <w:sz w:val="28"/>
          <w:szCs w:val="28"/>
        </w:rPr>
        <w:t xml:space="preserve">vidējais </w:t>
      </w:r>
      <w:r w:rsidR="00252B08" w:rsidRPr="00C13F97">
        <w:rPr>
          <w:sz w:val="28"/>
          <w:szCs w:val="28"/>
        </w:rPr>
        <w:t xml:space="preserve">pensiju </w:t>
      </w:r>
      <w:r w:rsidR="00E42CF4" w:rsidRPr="00C13F97">
        <w:rPr>
          <w:sz w:val="28"/>
          <w:szCs w:val="28"/>
        </w:rPr>
        <w:t xml:space="preserve">2.līmeņa teorētiskais ienesīgums gadā, balstīts </w:t>
      </w:r>
      <w:r w:rsidR="00987B52" w:rsidRPr="00C13F97">
        <w:rPr>
          <w:sz w:val="28"/>
          <w:szCs w:val="28"/>
        </w:rPr>
        <w:t xml:space="preserve">uz </w:t>
      </w:r>
      <w:r w:rsidR="00E42CF4" w:rsidRPr="00C13F97">
        <w:rPr>
          <w:sz w:val="28"/>
          <w:szCs w:val="28"/>
        </w:rPr>
        <w:t>iemaksu/izmaksu naudas plūsmām</w:t>
      </w:r>
      <w:r w:rsidR="006B5804" w:rsidRPr="00C13F97">
        <w:rPr>
          <w:sz w:val="28"/>
          <w:szCs w:val="28"/>
        </w:rPr>
        <w:t xml:space="preserve">, kā arī </w:t>
      </w:r>
      <w:r w:rsidR="00FA20EB" w:rsidRPr="00C13F97">
        <w:rPr>
          <w:sz w:val="28"/>
          <w:szCs w:val="28"/>
        </w:rPr>
        <w:t>faktiskie indeksi</w:t>
      </w:r>
      <w:r w:rsidR="006B5804" w:rsidRPr="00C13F97">
        <w:rPr>
          <w:sz w:val="28"/>
          <w:szCs w:val="28"/>
        </w:rPr>
        <w:t xml:space="preserve"> </w:t>
      </w:r>
      <w:r w:rsidR="00704C52" w:rsidRPr="00C13F97">
        <w:rPr>
          <w:sz w:val="28"/>
          <w:szCs w:val="28"/>
        </w:rPr>
        <w:t>1.</w:t>
      </w:r>
      <w:r w:rsidR="006B5804" w:rsidRPr="00C13F97">
        <w:rPr>
          <w:sz w:val="28"/>
          <w:szCs w:val="28"/>
        </w:rPr>
        <w:t>līmeņa</w:t>
      </w:r>
      <w:r w:rsidR="00704C52" w:rsidRPr="00C13F97">
        <w:rPr>
          <w:sz w:val="28"/>
          <w:szCs w:val="28"/>
        </w:rPr>
        <w:t xml:space="preserve"> pensijas</w:t>
      </w:r>
      <w:r w:rsidR="006B5804" w:rsidRPr="00C13F97">
        <w:rPr>
          <w:sz w:val="28"/>
          <w:szCs w:val="28"/>
        </w:rPr>
        <w:t xml:space="preserve"> kapitāla </w:t>
      </w:r>
      <w:r w:rsidR="00FA20EB" w:rsidRPr="00C13F97">
        <w:rPr>
          <w:sz w:val="28"/>
          <w:szCs w:val="28"/>
        </w:rPr>
        <w:t>aktualizācijai</w:t>
      </w:r>
      <w:r w:rsidR="00704C52" w:rsidRPr="00C13F97">
        <w:rPr>
          <w:sz w:val="28"/>
          <w:szCs w:val="28"/>
        </w:rPr>
        <w:t xml:space="preserve"> (skat. </w:t>
      </w:r>
      <w:r w:rsidR="001F274E" w:rsidRPr="00C13F97">
        <w:rPr>
          <w:sz w:val="28"/>
          <w:szCs w:val="28"/>
        </w:rPr>
        <w:t>2.</w:t>
      </w:r>
      <w:r w:rsidR="00704C52" w:rsidRPr="00C13F97">
        <w:rPr>
          <w:sz w:val="28"/>
          <w:szCs w:val="28"/>
        </w:rPr>
        <w:t>tab.)</w:t>
      </w:r>
      <w:r w:rsidR="006B5804" w:rsidRPr="00C13F97">
        <w:rPr>
          <w:sz w:val="28"/>
          <w:szCs w:val="28"/>
        </w:rPr>
        <w:t>.</w:t>
      </w:r>
      <w:r w:rsidR="00704C52" w:rsidRPr="00C13F97">
        <w:rPr>
          <w:sz w:val="28"/>
          <w:szCs w:val="28"/>
        </w:rPr>
        <w:t xml:space="preserve"> </w:t>
      </w:r>
    </w:p>
    <w:p w14:paraId="1C05AB3B" w14:textId="77777777" w:rsidR="00704C52" w:rsidRPr="00C13F97" w:rsidRDefault="00704C52" w:rsidP="00FA20EB">
      <w:pPr>
        <w:ind w:firstLine="720"/>
        <w:jc w:val="both"/>
        <w:rPr>
          <w:sz w:val="28"/>
          <w:szCs w:val="28"/>
        </w:rPr>
      </w:pPr>
    </w:p>
    <w:p w14:paraId="6AD1EE90" w14:textId="3B448234" w:rsidR="001F274E" w:rsidRPr="00D664EC" w:rsidRDefault="001F274E" w:rsidP="001F274E">
      <w:pPr>
        <w:jc w:val="center"/>
        <w:rPr>
          <w:b/>
        </w:rPr>
      </w:pPr>
      <w:r w:rsidRPr="00D664EC">
        <w:rPr>
          <w:b/>
        </w:rPr>
        <w:lastRenderedPageBreak/>
        <w:t>2</w:t>
      </w:r>
      <w:r w:rsidR="00704C52" w:rsidRPr="00D664EC">
        <w:rPr>
          <w:b/>
        </w:rPr>
        <w:t>.</w:t>
      </w:r>
      <w:r w:rsidR="00E95816" w:rsidRPr="00D664EC">
        <w:rPr>
          <w:b/>
        </w:rPr>
        <w:t xml:space="preserve">tabula. </w:t>
      </w:r>
      <w:r w:rsidR="00987B52" w:rsidRPr="00D664EC">
        <w:rPr>
          <w:b/>
        </w:rPr>
        <w:t>P</w:t>
      </w:r>
      <w:r w:rsidR="00D17FF7" w:rsidRPr="00D664EC">
        <w:rPr>
          <w:b/>
        </w:rPr>
        <w:t xml:space="preserve">ensiju </w:t>
      </w:r>
      <w:r w:rsidRPr="00D664EC">
        <w:rPr>
          <w:b/>
        </w:rPr>
        <w:t>1.</w:t>
      </w:r>
      <w:r w:rsidR="00D17FF7" w:rsidRPr="00D664EC">
        <w:rPr>
          <w:b/>
        </w:rPr>
        <w:t xml:space="preserve">līmeņa kapitāla indeksi </w:t>
      </w:r>
      <w:r w:rsidRPr="00D664EC">
        <w:rPr>
          <w:b/>
        </w:rPr>
        <w:t>un 2.līmeņa ienesīgum</w:t>
      </w:r>
      <w:r w:rsidR="00987B52" w:rsidRPr="00D664EC">
        <w:rPr>
          <w:b/>
        </w:rPr>
        <w:t>a</w:t>
      </w:r>
      <w:r w:rsidRPr="00D664EC">
        <w:rPr>
          <w:b/>
        </w:rPr>
        <w:t xml:space="preserve"> indeksi</w:t>
      </w:r>
    </w:p>
    <w:p w14:paraId="787AE61E" w14:textId="77777777" w:rsidR="00C13F97" w:rsidRPr="00704C52" w:rsidRDefault="00C13F97" w:rsidP="001F274E">
      <w:pPr>
        <w:jc w:val="center"/>
        <w:rPr>
          <w:b/>
        </w:rPr>
      </w:pPr>
    </w:p>
    <w:tbl>
      <w:tblPr>
        <w:tblStyle w:val="TableGrid"/>
        <w:tblW w:w="0" w:type="auto"/>
        <w:tblLook w:val="04A0" w:firstRow="1" w:lastRow="0" w:firstColumn="1" w:lastColumn="0" w:noHBand="0" w:noVBand="1"/>
      </w:tblPr>
      <w:tblGrid>
        <w:gridCol w:w="2518"/>
        <w:gridCol w:w="992"/>
        <w:gridCol w:w="993"/>
        <w:gridCol w:w="992"/>
        <w:gridCol w:w="992"/>
        <w:gridCol w:w="992"/>
        <w:gridCol w:w="1043"/>
      </w:tblGrid>
      <w:tr w:rsidR="00704C52" w:rsidRPr="00FA20EB" w14:paraId="5BB6E2C1" w14:textId="77777777" w:rsidTr="00DA0346">
        <w:tc>
          <w:tcPr>
            <w:tcW w:w="2518" w:type="dxa"/>
          </w:tcPr>
          <w:p w14:paraId="12B9F3F7" w14:textId="77777777" w:rsidR="00704C52" w:rsidRPr="00FA20EB" w:rsidRDefault="00704C52" w:rsidP="004373B1">
            <w:pPr>
              <w:jc w:val="both"/>
              <w:rPr>
                <w:sz w:val="20"/>
                <w:szCs w:val="20"/>
              </w:rPr>
            </w:pPr>
          </w:p>
        </w:tc>
        <w:tc>
          <w:tcPr>
            <w:tcW w:w="992" w:type="dxa"/>
          </w:tcPr>
          <w:p w14:paraId="02D102B5" w14:textId="77777777" w:rsidR="00704C52" w:rsidRPr="001F274E" w:rsidRDefault="00704C52" w:rsidP="001F274E">
            <w:pPr>
              <w:jc w:val="center"/>
              <w:rPr>
                <w:b/>
                <w:sz w:val="20"/>
                <w:szCs w:val="20"/>
              </w:rPr>
            </w:pPr>
            <w:r w:rsidRPr="001F274E">
              <w:rPr>
                <w:b/>
                <w:sz w:val="20"/>
                <w:szCs w:val="20"/>
              </w:rPr>
              <w:t>2009</w:t>
            </w:r>
          </w:p>
        </w:tc>
        <w:tc>
          <w:tcPr>
            <w:tcW w:w="993" w:type="dxa"/>
          </w:tcPr>
          <w:p w14:paraId="2761812B" w14:textId="77777777" w:rsidR="00704C52" w:rsidRPr="001F274E" w:rsidRDefault="00704C52" w:rsidP="001F274E">
            <w:pPr>
              <w:jc w:val="center"/>
              <w:rPr>
                <w:b/>
                <w:sz w:val="20"/>
                <w:szCs w:val="20"/>
              </w:rPr>
            </w:pPr>
            <w:r w:rsidRPr="001F274E">
              <w:rPr>
                <w:b/>
                <w:sz w:val="20"/>
                <w:szCs w:val="20"/>
              </w:rPr>
              <w:t>2010</w:t>
            </w:r>
          </w:p>
        </w:tc>
        <w:tc>
          <w:tcPr>
            <w:tcW w:w="992" w:type="dxa"/>
          </w:tcPr>
          <w:p w14:paraId="62A516ED" w14:textId="77777777" w:rsidR="00704C52" w:rsidRPr="001F274E" w:rsidRDefault="00704C52" w:rsidP="001F274E">
            <w:pPr>
              <w:jc w:val="center"/>
              <w:rPr>
                <w:b/>
                <w:sz w:val="20"/>
                <w:szCs w:val="20"/>
              </w:rPr>
            </w:pPr>
            <w:r w:rsidRPr="001F274E">
              <w:rPr>
                <w:b/>
                <w:sz w:val="20"/>
                <w:szCs w:val="20"/>
              </w:rPr>
              <w:t>2011</w:t>
            </w:r>
          </w:p>
        </w:tc>
        <w:tc>
          <w:tcPr>
            <w:tcW w:w="992" w:type="dxa"/>
          </w:tcPr>
          <w:p w14:paraId="726D7DCD" w14:textId="77777777" w:rsidR="00704C52" w:rsidRPr="001F274E" w:rsidRDefault="00704C52" w:rsidP="001F274E">
            <w:pPr>
              <w:jc w:val="center"/>
              <w:rPr>
                <w:b/>
                <w:sz w:val="20"/>
                <w:szCs w:val="20"/>
              </w:rPr>
            </w:pPr>
            <w:r w:rsidRPr="001F274E">
              <w:rPr>
                <w:b/>
                <w:sz w:val="20"/>
                <w:szCs w:val="20"/>
              </w:rPr>
              <w:t>2012</w:t>
            </w:r>
          </w:p>
        </w:tc>
        <w:tc>
          <w:tcPr>
            <w:tcW w:w="992" w:type="dxa"/>
          </w:tcPr>
          <w:p w14:paraId="6D801D67" w14:textId="77777777" w:rsidR="00704C52" w:rsidRPr="001F274E" w:rsidRDefault="00704C52" w:rsidP="001F274E">
            <w:pPr>
              <w:jc w:val="center"/>
              <w:rPr>
                <w:b/>
                <w:sz w:val="20"/>
                <w:szCs w:val="20"/>
              </w:rPr>
            </w:pPr>
            <w:r w:rsidRPr="001F274E">
              <w:rPr>
                <w:b/>
                <w:sz w:val="20"/>
                <w:szCs w:val="20"/>
              </w:rPr>
              <w:t>2013</w:t>
            </w:r>
          </w:p>
        </w:tc>
        <w:tc>
          <w:tcPr>
            <w:tcW w:w="1043" w:type="dxa"/>
          </w:tcPr>
          <w:p w14:paraId="66F4E30A" w14:textId="77777777" w:rsidR="00704C52" w:rsidRPr="001F274E" w:rsidRDefault="00704C52" w:rsidP="001F274E">
            <w:pPr>
              <w:jc w:val="center"/>
              <w:rPr>
                <w:b/>
                <w:sz w:val="20"/>
                <w:szCs w:val="20"/>
              </w:rPr>
            </w:pPr>
            <w:r w:rsidRPr="001F274E">
              <w:rPr>
                <w:b/>
                <w:sz w:val="20"/>
                <w:szCs w:val="20"/>
              </w:rPr>
              <w:t>2014</w:t>
            </w:r>
          </w:p>
        </w:tc>
      </w:tr>
      <w:tr w:rsidR="00B011E8" w:rsidRPr="00FA20EB" w14:paraId="7FFABB88" w14:textId="77777777" w:rsidTr="00DA0346">
        <w:tc>
          <w:tcPr>
            <w:tcW w:w="2518" w:type="dxa"/>
          </w:tcPr>
          <w:p w14:paraId="28FDC499" w14:textId="648B2375" w:rsidR="00B011E8" w:rsidRDefault="00B011E8" w:rsidP="00B011E8">
            <w:pPr>
              <w:jc w:val="both"/>
              <w:rPr>
                <w:sz w:val="20"/>
                <w:szCs w:val="20"/>
              </w:rPr>
            </w:pPr>
            <w:r>
              <w:rPr>
                <w:sz w:val="20"/>
                <w:szCs w:val="20"/>
              </w:rPr>
              <w:t>P</w:t>
            </w:r>
            <w:r w:rsidRPr="00704C52">
              <w:rPr>
                <w:sz w:val="20"/>
                <w:szCs w:val="20"/>
              </w:rPr>
              <w:t>ensiju kapitāla indeksi 1.līmenī</w:t>
            </w:r>
            <w:r>
              <w:rPr>
                <w:sz w:val="20"/>
                <w:szCs w:val="20"/>
              </w:rPr>
              <w:t>*</w:t>
            </w:r>
          </w:p>
        </w:tc>
        <w:tc>
          <w:tcPr>
            <w:tcW w:w="992" w:type="dxa"/>
          </w:tcPr>
          <w:p w14:paraId="2A6BEEAF" w14:textId="066D2CE8" w:rsidR="00B011E8" w:rsidRPr="00FA20EB" w:rsidRDefault="00B011E8" w:rsidP="001F274E">
            <w:pPr>
              <w:jc w:val="center"/>
              <w:rPr>
                <w:sz w:val="20"/>
                <w:szCs w:val="20"/>
              </w:rPr>
            </w:pPr>
            <w:r>
              <w:rPr>
                <w:sz w:val="20"/>
                <w:szCs w:val="20"/>
              </w:rPr>
              <w:t>-</w:t>
            </w:r>
          </w:p>
        </w:tc>
        <w:tc>
          <w:tcPr>
            <w:tcW w:w="993" w:type="dxa"/>
          </w:tcPr>
          <w:p w14:paraId="09B085E5" w14:textId="2560836B" w:rsidR="00B011E8" w:rsidRPr="00FA20EB" w:rsidRDefault="00B011E8" w:rsidP="001F274E">
            <w:pPr>
              <w:jc w:val="center"/>
              <w:rPr>
                <w:sz w:val="20"/>
                <w:szCs w:val="20"/>
              </w:rPr>
            </w:pPr>
            <w:r w:rsidRPr="00FA20EB">
              <w:rPr>
                <w:sz w:val="20"/>
                <w:szCs w:val="20"/>
              </w:rPr>
              <w:t>0.7978</w:t>
            </w:r>
          </w:p>
        </w:tc>
        <w:tc>
          <w:tcPr>
            <w:tcW w:w="992" w:type="dxa"/>
          </w:tcPr>
          <w:p w14:paraId="540D5F42" w14:textId="029E7020" w:rsidR="00B011E8" w:rsidRPr="00FA20EB" w:rsidRDefault="00B011E8" w:rsidP="001F274E">
            <w:pPr>
              <w:jc w:val="center"/>
              <w:rPr>
                <w:sz w:val="20"/>
                <w:szCs w:val="20"/>
              </w:rPr>
            </w:pPr>
            <w:r w:rsidRPr="00FA20EB">
              <w:rPr>
                <w:sz w:val="20"/>
                <w:szCs w:val="20"/>
              </w:rPr>
              <w:t>0.9945</w:t>
            </w:r>
          </w:p>
        </w:tc>
        <w:tc>
          <w:tcPr>
            <w:tcW w:w="992" w:type="dxa"/>
          </w:tcPr>
          <w:p w14:paraId="200C423E" w14:textId="13401D59" w:rsidR="00B011E8" w:rsidRPr="00FA20EB" w:rsidRDefault="00B011E8" w:rsidP="001F274E">
            <w:pPr>
              <w:jc w:val="center"/>
              <w:rPr>
                <w:sz w:val="20"/>
                <w:szCs w:val="20"/>
              </w:rPr>
            </w:pPr>
            <w:r w:rsidRPr="00FA20EB">
              <w:rPr>
                <w:sz w:val="20"/>
                <w:szCs w:val="20"/>
              </w:rPr>
              <w:t>1.0618</w:t>
            </w:r>
          </w:p>
        </w:tc>
        <w:tc>
          <w:tcPr>
            <w:tcW w:w="992" w:type="dxa"/>
          </w:tcPr>
          <w:p w14:paraId="11560125" w14:textId="1DB288C6" w:rsidR="00B011E8" w:rsidRPr="00FA20EB" w:rsidRDefault="00B011E8" w:rsidP="001F274E">
            <w:pPr>
              <w:jc w:val="center"/>
              <w:rPr>
                <w:sz w:val="20"/>
                <w:szCs w:val="20"/>
              </w:rPr>
            </w:pPr>
            <w:r w:rsidRPr="00FA20EB">
              <w:rPr>
                <w:sz w:val="20"/>
                <w:szCs w:val="20"/>
              </w:rPr>
              <w:t>1.0758</w:t>
            </w:r>
          </w:p>
        </w:tc>
        <w:tc>
          <w:tcPr>
            <w:tcW w:w="1043" w:type="dxa"/>
          </w:tcPr>
          <w:p w14:paraId="2B7699E5" w14:textId="6535C934" w:rsidR="00B011E8" w:rsidRPr="00FA20EB" w:rsidRDefault="00B011E8" w:rsidP="001F274E">
            <w:pPr>
              <w:jc w:val="center"/>
              <w:rPr>
                <w:sz w:val="20"/>
                <w:szCs w:val="20"/>
              </w:rPr>
            </w:pPr>
            <w:r w:rsidRPr="00FA20EB">
              <w:rPr>
                <w:sz w:val="20"/>
                <w:szCs w:val="20"/>
              </w:rPr>
              <w:t>1.0766</w:t>
            </w:r>
          </w:p>
        </w:tc>
      </w:tr>
      <w:tr w:rsidR="00B011E8" w:rsidRPr="00FA20EB" w14:paraId="3588DF10" w14:textId="77777777" w:rsidTr="00DA0346">
        <w:tc>
          <w:tcPr>
            <w:tcW w:w="2518" w:type="dxa"/>
          </w:tcPr>
          <w:p w14:paraId="1225E414" w14:textId="48DC360A" w:rsidR="00B011E8" w:rsidRPr="00704C52" w:rsidRDefault="00B011E8" w:rsidP="004373B1">
            <w:pPr>
              <w:jc w:val="both"/>
              <w:rPr>
                <w:sz w:val="20"/>
                <w:szCs w:val="20"/>
              </w:rPr>
            </w:pPr>
            <w:r>
              <w:rPr>
                <w:sz w:val="20"/>
                <w:szCs w:val="20"/>
              </w:rPr>
              <w:t>2.līmeņa vidējie gada ienesīguma</w:t>
            </w:r>
            <w:r w:rsidRPr="00704C52">
              <w:rPr>
                <w:sz w:val="20"/>
                <w:szCs w:val="20"/>
              </w:rPr>
              <w:t xml:space="preserve"> indeksi</w:t>
            </w:r>
            <w:r>
              <w:rPr>
                <w:sz w:val="20"/>
                <w:szCs w:val="20"/>
              </w:rPr>
              <w:t>**</w:t>
            </w:r>
          </w:p>
        </w:tc>
        <w:tc>
          <w:tcPr>
            <w:tcW w:w="992" w:type="dxa"/>
          </w:tcPr>
          <w:p w14:paraId="52AB7E33" w14:textId="77777777" w:rsidR="00B011E8" w:rsidRPr="00FA20EB" w:rsidRDefault="00B011E8" w:rsidP="001F274E">
            <w:pPr>
              <w:jc w:val="center"/>
              <w:rPr>
                <w:sz w:val="20"/>
                <w:szCs w:val="20"/>
              </w:rPr>
            </w:pPr>
            <w:r w:rsidRPr="00FA20EB">
              <w:rPr>
                <w:sz w:val="20"/>
                <w:szCs w:val="20"/>
              </w:rPr>
              <w:t>1.1474</w:t>
            </w:r>
          </w:p>
        </w:tc>
        <w:tc>
          <w:tcPr>
            <w:tcW w:w="993" w:type="dxa"/>
          </w:tcPr>
          <w:p w14:paraId="18154771" w14:textId="77777777" w:rsidR="00B011E8" w:rsidRPr="00FA20EB" w:rsidRDefault="00B011E8" w:rsidP="001F274E">
            <w:pPr>
              <w:jc w:val="center"/>
              <w:rPr>
                <w:sz w:val="20"/>
                <w:szCs w:val="20"/>
              </w:rPr>
            </w:pPr>
            <w:r w:rsidRPr="00FA20EB">
              <w:rPr>
                <w:sz w:val="20"/>
                <w:szCs w:val="20"/>
              </w:rPr>
              <w:t>1.0900</w:t>
            </w:r>
          </w:p>
        </w:tc>
        <w:tc>
          <w:tcPr>
            <w:tcW w:w="992" w:type="dxa"/>
          </w:tcPr>
          <w:p w14:paraId="03627686" w14:textId="77777777" w:rsidR="00B011E8" w:rsidRPr="00FA20EB" w:rsidRDefault="00B011E8" w:rsidP="001F274E">
            <w:pPr>
              <w:jc w:val="center"/>
              <w:rPr>
                <w:sz w:val="20"/>
                <w:szCs w:val="20"/>
              </w:rPr>
            </w:pPr>
            <w:r w:rsidRPr="00FA20EB">
              <w:rPr>
                <w:sz w:val="20"/>
                <w:szCs w:val="20"/>
              </w:rPr>
              <w:t>0.9778</w:t>
            </w:r>
          </w:p>
        </w:tc>
        <w:tc>
          <w:tcPr>
            <w:tcW w:w="992" w:type="dxa"/>
          </w:tcPr>
          <w:p w14:paraId="73699631" w14:textId="77777777" w:rsidR="00B011E8" w:rsidRPr="00FA20EB" w:rsidRDefault="00B011E8" w:rsidP="001F274E">
            <w:pPr>
              <w:jc w:val="center"/>
              <w:rPr>
                <w:sz w:val="20"/>
                <w:szCs w:val="20"/>
              </w:rPr>
            </w:pPr>
            <w:r w:rsidRPr="00FA20EB">
              <w:rPr>
                <w:sz w:val="20"/>
                <w:szCs w:val="20"/>
              </w:rPr>
              <w:t>1.0952</w:t>
            </w:r>
          </w:p>
        </w:tc>
        <w:tc>
          <w:tcPr>
            <w:tcW w:w="992" w:type="dxa"/>
          </w:tcPr>
          <w:p w14:paraId="34B3D9C0" w14:textId="77777777" w:rsidR="00B011E8" w:rsidRPr="00FA20EB" w:rsidRDefault="00B011E8" w:rsidP="001F274E">
            <w:pPr>
              <w:jc w:val="center"/>
              <w:rPr>
                <w:sz w:val="20"/>
                <w:szCs w:val="20"/>
              </w:rPr>
            </w:pPr>
            <w:r w:rsidRPr="00FA20EB">
              <w:rPr>
                <w:sz w:val="20"/>
                <w:szCs w:val="20"/>
              </w:rPr>
              <w:t>1.0204</w:t>
            </w:r>
          </w:p>
        </w:tc>
        <w:tc>
          <w:tcPr>
            <w:tcW w:w="1043" w:type="dxa"/>
          </w:tcPr>
          <w:p w14:paraId="72B56FA4" w14:textId="77777777" w:rsidR="00B011E8" w:rsidRPr="00FA20EB" w:rsidRDefault="00B011E8" w:rsidP="001F274E">
            <w:pPr>
              <w:jc w:val="center"/>
              <w:rPr>
                <w:sz w:val="20"/>
                <w:szCs w:val="20"/>
              </w:rPr>
            </w:pPr>
            <w:r w:rsidRPr="00FA20EB">
              <w:rPr>
                <w:sz w:val="20"/>
                <w:szCs w:val="20"/>
              </w:rPr>
              <w:t>1.0542</w:t>
            </w:r>
          </w:p>
        </w:tc>
      </w:tr>
    </w:tbl>
    <w:p w14:paraId="255AD718" w14:textId="0FDF8403" w:rsidR="00B011E8" w:rsidRDefault="00B011E8" w:rsidP="00295C6C">
      <w:pPr>
        <w:jc w:val="both"/>
        <w:rPr>
          <w:i/>
          <w:color w:val="000000" w:themeColor="text1"/>
          <w:sz w:val="20"/>
          <w:szCs w:val="20"/>
        </w:rPr>
      </w:pPr>
      <w:r>
        <w:rPr>
          <w:i/>
          <w:color w:val="000000" w:themeColor="text1"/>
          <w:sz w:val="20"/>
          <w:szCs w:val="20"/>
        </w:rPr>
        <w:t>*</w:t>
      </w:r>
      <w:r w:rsidR="004A5D50">
        <w:rPr>
          <w:i/>
          <w:color w:val="000000" w:themeColor="text1"/>
          <w:sz w:val="20"/>
          <w:szCs w:val="20"/>
        </w:rPr>
        <w:t>Valsts sociālās apdrošināšanas aģentūras</w:t>
      </w:r>
      <w:r w:rsidR="00704C52">
        <w:rPr>
          <w:i/>
          <w:color w:val="000000" w:themeColor="text1"/>
          <w:sz w:val="20"/>
          <w:szCs w:val="20"/>
        </w:rPr>
        <w:t xml:space="preserve"> </w:t>
      </w:r>
      <w:r w:rsidR="00DA0346">
        <w:rPr>
          <w:i/>
          <w:color w:val="000000" w:themeColor="text1"/>
          <w:sz w:val="20"/>
          <w:szCs w:val="20"/>
        </w:rPr>
        <w:t>sniegtais faktiskais</w:t>
      </w:r>
      <w:r w:rsidR="00704C52">
        <w:rPr>
          <w:i/>
          <w:color w:val="000000" w:themeColor="text1"/>
          <w:sz w:val="20"/>
          <w:szCs w:val="20"/>
        </w:rPr>
        <w:t xml:space="preserve"> rādītājs. </w:t>
      </w:r>
      <w:r w:rsidR="00704C52" w:rsidRPr="00704C52">
        <w:rPr>
          <w:i/>
          <w:color w:val="000000" w:themeColor="text1"/>
          <w:sz w:val="20"/>
          <w:szCs w:val="20"/>
        </w:rPr>
        <w:t>Nav uzrādīts 2009.gada indekss, jo tas tiek piemērots tikai iemaksām par per</w:t>
      </w:r>
      <w:r w:rsidR="001F274E">
        <w:rPr>
          <w:i/>
          <w:color w:val="000000" w:themeColor="text1"/>
          <w:sz w:val="20"/>
          <w:szCs w:val="20"/>
        </w:rPr>
        <w:t>iodu līdz 2008.gada 31.decembri</w:t>
      </w:r>
    </w:p>
    <w:p w14:paraId="04899BA5" w14:textId="754815F6" w:rsidR="00704C52" w:rsidRPr="00704C52" w:rsidRDefault="00B011E8" w:rsidP="00295C6C">
      <w:pPr>
        <w:jc w:val="both"/>
        <w:rPr>
          <w:i/>
          <w:color w:val="000000" w:themeColor="text1"/>
          <w:sz w:val="20"/>
          <w:szCs w:val="20"/>
        </w:rPr>
      </w:pPr>
      <w:r w:rsidRPr="00E42CF4">
        <w:rPr>
          <w:i/>
          <w:color w:val="000000" w:themeColor="text1"/>
          <w:sz w:val="20"/>
          <w:szCs w:val="20"/>
        </w:rPr>
        <w:t>*</w:t>
      </w:r>
      <w:r>
        <w:rPr>
          <w:i/>
          <w:color w:val="000000" w:themeColor="text1"/>
          <w:sz w:val="20"/>
          <w:szCs w:val="20"/>
        </w:rPr>
        <w:t>*</w:t>
      </w:r>
      <w:r w:rsidRPr="00E42CF4">
        <w:rPr>
          <w:i/>
          <w:color w:val="000000" w:themeColor="text1"/>
          <w:sz w:val="20"/>
          <w:szCs w:val="20"/>
        </w:rPr>
        <w:t xml:space="preserve"> vidējais 2. līmeņa teorētiskais ienesīgums gadā, balstīts un iemaksu/izmaksu naudas plūsmām</w:t>
      </w:r>
      <w:r>
        <w:rPr>
          <w:i/>
          <w:color w:val="000000" w:themeColor="text1"/>
          <w:sz w:val="20"/>
          <w:szCs w:val="20"/>
        </w:rPr>
        <w:t xml:space="preserve"> </w:t>
      </w:r>
    </w:p>
    <w:p w14:paraId="2E24BD51" w14:textId="77777777" w:rsidR="00295C6C" w:rsidRDefault="00295C6C" w:rsidP="004373B1">
      <w:pPr>
        <w:jc w:val="both"/>
      </w:pPr>
    </w:p>
    <w:p w14:paraId="527FA4FD" w14:textId="4D0F8D7E" w:rsidR="00BB3716" w:rsidRPr="00BB3716" w:rsidRDefault="00CC19A7" w:rsidP="00BB3716">
      <w:pPr>
        <w:pStyle w:val="BodyText2"/>
        <w:spacing w:line="240" w:lineRule="auto"/>
        <w:ind w:firstLine="720"/>
        <w:jc w:val="both"/>
      </w:pPr>
      <w:r w:rsidRPr="00D664EC">
        <w:rPr>
          <w:sz w:val="28"/>
          <w:szCs w:val="28"/>
        </w:rPr>
        <w:t>6</w:t>
      </w:r>
      <w:r w:rsidR="00D65E73" w:rsidRPr="00D664EC">
        <w:rPr>
          <w:sz w:val="28"/>
          <w:szCs w:val="28"/>
        </w:rPr>
        <w:t>.zīmējums atspoguļo pensiju 2.līmenī veiktās iemaksas par laika periodu no 2009.gada līdz 2013.gadam uz 2014.gada 1.janvāri pie diviem teorētiskiem variantiem. Vienā variantā pensiju 2.līmenī veiktās iemaksas tiek indeksētas ar 2.līmeņa vidējiem gada ienesīgumiem, savukārt otrā variantā – ar pensiju 1.līmeņa kapitāla indeksiem. Veicot</w:t>
      </w:r>
      <w:r w:rsidR="00D65E73">
        <w:t xml:space="preserve"> </w:t>
      </w:r>
      <w:r w:rsidR="00D65E73" w:rsidRPr="00C13F97">
        <w:rPr>
          <w:sz w:val="28"/>
          <w:szCs w:val="28"/>
        </w:rPr>
        <w:t>aprēķinus</w:t>
      </w:r>
      <w:r w:rsidR="004A5D50" w:rsidRPr="00C13F97">
        <w:rPr>
          <w:sz w:val="28"/>
          <w:szCs w:val="28"/>
        </w:rPr>
        <w:t>,</w:t>
      </w:r>
      <w:r w:rsidR="00D65E73" w:rsidRPr="00C13F97">
        <w:rPr>
          <w:sz w:val="28"/>
          <w:szCs w:val="28"/>
        </w:rPr>
        <w:t xml:space="preserve"> </w:t>
      </w:r>
      <w:r w:rsidR="00EC1856" w:rsidRPr="00C13F97">
        <w:rPr>
          <w:sz w:val="28"/>
          <w:szCs w:val="28"/>
        </w:rPr>
        <w:t xml:space="preserve">ir </w:t>
      </w:r>
      <w:r w:rsidR="00D65E73" w:rsidRPr="00C13F97">
        <w:rPr>
          <w:sz w:val="28"/>
          <w:szCs w:val="28"/>
        </w:rPr>
        <w:t xml:space="preserve">ņemts vērā, ka </w:t>
      </w:r>
      <w:r w:rsidR="00EC1856" w:rsidRPr="00C13F97">
        <w:rPr>
          <w:sz w:val="28"/>
          <w:szCs w:val="28"/>
        </w:rPr>
        <w:t xml:space="preserve">pensiju 2.līmeņa </w:t>
      </w:r>
      <w:r w:rsidR="00D65E73" w:rsidRPr="00C13F97">
        <w:rPr>
          <w:sz w:val="28"/>
          <w:szCs w:val="28"/>
        </w:rPr>
        <w:t>iemaksas par attiecīgo mēnesi tiek</w:t>
      </w:r>
      <w:r w:rsidR="004A5D50" w:rsidRPr="00C13F97">
        <w:rPr>
          <w:sz w:val="28"/>
          <w:szCs w:val="28"/>
        </w:rPr>
        <w:t xml:space="preserve"> veiktas ar četru mēnešu nobīdi, piemēram, </w:t>
      </w:r>
      <w:r w:rsidR="00D65E73" w:rsidRPr="00C13F97">
        <w:rPr>
          <w:sz w:val="28"/>
          <w:szCs w:val="28"/>
        </w:rPr>
        <w:t>iemaksas par novembri</w:t>
      </w:r>
      <w:r w:rsidR="00D65E73" w:rsidRPr="00C13F97">
        <w:rPr>
          <w:i/>
          <w:color w:val="4F81BD" w:themeColor="accent1"/>
          <w:sz w:val="28"/>
          <w:szCs w:val="28"/>
        </w:rPr>
        <w:t xml:space="preserve"> </w:t>
      </w:r>
      <w:r w:rsidR="00D65E73" w:rsidRPr="00C13F97">
        <w:rPr>
          <w:sz w:val="28"/>
          <w:szCs w:val="28"/>
        </w:rPr>
        <w:t xml:space="preserve">tiek pārskaitītas nākamā gada martā. </w:t>
      </w:r>
      <w:r w:rsidR="00BB3716" w:rsidRPr="00C13F97">
        <w:rPr>
          <w:sz w:val="28"/>
          <w:szCs w:val="28"/>
        </w:rPr>
        <w:t xml:space="preserve">Lai gala rezultāts pie abiem variantiem būtu salīdzināms, par 2013.gadu aprēķinātās, bet ieskaitītās 2014.gadā </w:t>
      </w:r>
      <w:r w:rsidR="004A5D50" w:rsidRPr="00C13F97">
        <w:rPr>
          <w:sz w:val="28"/>
          <w:szCs w:val="28"/>
        </w:rPr>
        <w:t>pensiju 2.līmeņa</w:t>
      </w:r>
      <w:r w:rsidR="00BB3716" w:rsidRPr="00C13F97">
        <w:rPr>
          <w:sz w:val="28"/>
          <w:szCs w:val="28"/>
        </w:rPr>
        <w:t xml:space="preserve"> iemaksas netiek aprēķinā ņemtas vērā.</w:t>
      </w:r>
    </w:p>
    <w:p w14:paraId="05E97294" w14:textId="77777777" w:rsidR="00894E87" w:rsidRDefault="00894E87" w:rsidP="00B53B5E"/>
    <w:p w14:paraId="67DD441F" w14:textId="4AA8BF76" w:rsidR="00DA0346" w:rsidRPr="00D664EC" w:rsidRDefault="00CC19A7" w:rsidP="00DA0346">
      <w:pPr>
        <w:ind w:firstLine="720"/>
        <w:jc w:val="center"/>
        <w:rPr>
          <w:b/>
          <w:color w:val="000000"/>
        </w:rPr>
      </w:pPr>
      <w:r w:rsidRPr="00D664EC">
        <w:rPr>
          <w:b/>
          <w:color w:val="000000"/>
        </w:rPr>
        <w:t>6</w:t>
      </w:r>
      <w:r w:rsidR="00DA0346" w:rsidRPr="00D664EC">
        <w:rPr>
          <w:b/>
          <w:color w:val="000000"/>
        </w:rPr>
        <w:t xml:space="preserve">.zīmējums. Par katru gadu faktiski veiktās iemaksas pensiju 2.līmenī, tās teorētiski indeksējot ar 2.līmeņa vidējiem gada ienesīgumiem </w:t>
      </w:r>
      <w:r w:rsidR="00987B52" w:rsidRPr="00D664EC">
        <w:rPr>
          <w:b/>
          <w:color w:val="000000"/>
        </w:rPr>
        <w:t xml:space="preserve">un </w:t>
      </w:r>
      <w:r w:rsidR="00DA0346" w:rsidRPr="00D664EC">
        <w:rPr>
          <w:b/>
          <w:color w:val="000000"/>
        </w:rPr>
        <w:t>1.līmeņa kapitāla indeksiem, uz 2014.gada 1.janvāri, milj. EUR</w:t>
      </w:r>
      <w:r w:rsidR="001F72DD" w:rsidRPr="00D664EC">
        <w:rPr>
          <w:rStyle w:val="FootnoteReference"/>
          <w:b/>
          <w:color w:val="000000"/>
        </w:rPr>
        <w:footnoteReference w:id="2"/>
      </w:r>
    </w:p>
    <w:p w14:paraId="5F58DEF9" w14:textId="77777777" w:rsidR="00B34F57" w:rsidRDefault="00B34F57" w:rsidP="00DA0346">
      <w:pPr>
        <w:ind w:firstLine="720"/>
        <w:jc w:val="center"/>
        <w:rPr>
          <w:b/>
          <w:color w:val="000000"/>
          <w:szCs w:val="28"/>
        </w:rPr>
      </w:pPr>
    </w:p>
    <w:p w14:paraId="6CADC018" w14:textId="2D08A1E2" w:rsidR="00B34F57" w:rsidRDefault="00B34F57" w:rsidP="00B34F57">
      <w:pPr>
        <w:rPr>
          <w:b/>
          <w:color w:val="000000"/>
          <w:szCs w:val="28"/>
        </w:rPr>
      </w:pPr>
      <w:r>
        <w:rPr>
          <w:noProof/>
        </w:rPr>
        <w:drawing>
          <wp:inline distT="0" distB="0" distL="0" distR="0" wp14:anchorId="3F372402" wp14:editId="33DF9164">
            <wp:extent cx="5514975" cy="28956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AD514B" w14:textId="731FC6AB" w:rsidR="00162608" w:rsidRPr="00C13F97" w:rsidRDefault="00162608" w:rsidP="00830A51">
      <w:pPr>
        <w:jc w:val="both"/>
        <w:rPr>
          <w:sz w:val="28"/>
          <w:szCs w:val="28"/>
        </w:rPr>
      </w:pPr>
    </w:p>
    <w:p w14:paraId="701472A0" w14:textId="77777777" w:rsidR="00CF53AC" w:rsidRPr="00C13F97" w:rsidRDefault="00CF53AC" w:rsidP="00CF53AC">
      <w:pPr>
        <w:jc w:val="center"/>
        <w:rPr>
          <w:b/>
          <w:sz w:val="28"/>
          <w:szCs w:val="28"/>
        </w:rPr>
      </w:pPr>
      <w:r w:rsidRPr="00C13F97">
        <w:rPr>
          <w:b/>
          <w:sz w:val="28"/>
          <w:szCs w:val="28"/>
        </w:rPr>
        <w:lastRenderedPageBreak/>
        <w:t>Secinājumi</w:t>
      </w:r>
    </w:p>
    <w:p w14:paraId="5B7E4FCC" w14:textId="77777777" w:rsidR="00162608" w:rsidRPr="00C13F97" w:rsidRDefault="00162608" w:rsidP="00830A51">
      <w:pPr>
        <w:jc w:val="both"/>
        <w:rPr>
          <w:sz w:val="28"/>
          <w:szCs w:val="28"/>
        </w:rPr>
      </w:pPr>
    </w:p>
    <w:p w14:paraId="17C81FB3" w14:textId="153E225C" w:rsidR="00574D44" w:rsidRPr="00C13F97" w:rsidRDefault="00B011E8" w:rsidP="00162608">
      <w:pPr>
        <w:ind w:firstLine="720"/>
        <w:jc w:val="both"/>
        <w:rPr>
          <w:sz w:val="28"/>
          <w:szCs w:val="28"/>
        </w:rPr>
      </w:pPr>
      <w:r w:rsidRPr="00C13F97">
        <w:rPr>
          <w:sz w:val="28"/>
          <w:szCs w:val="28"/>
        </w:rPr>
        <w:t>I</w:t>
      </w:r>
      <w:r w:rsidR="00574D44" w:rsidRPr="00C13F97">
        <w:rPr>
          <w:sz w:val="28"/>
          <w:szCs w:val="28"/>
        </w:rPr>
        <w:t>emaksu likmes</w:t>
      </w:r>
      <w:r w:rsidR="00252B08" w:rsidRPr="00C13F97">
        <w:rPr>
          <w:sz w:val="28"/>
          <w:szCs w:val="28"/>
        </w:rPr>
        <w:t xml:space="preserve"> samazinājums pensiju 2.līmenī jeb likmes</w:t>
      </w:r>
      <w:r w:rsidR="00574D44" w:rsidRPr="00C13F97">
        <w:rPr>
          <w:sz w:val="28"/>
          <w:szCs w:val="28"/>
        </w:rPr>
        <w:t xml:space="preserve"> </w:t>
      </w:r>
      <w:r w:rsidR="00D775CB" w:rsidRPr="00C13F97">
        <w:rPr>
          <w:sz w:val="28"/>
          <w:szCs w:val="28"/>
        </w:rPr>
        <w:t xml:space="preserve">pārdale starp pensiju līmeņiem </w:t>
      </w:r>
      <w:r w:rsidR="00574D44" w:rsidRPr="00C13F97">
        <w:rPr>
          <w:sz w:val="28"/>
          <w:szCs w:val="28"/>
        </w:rPr>
        <w:t xml:space="preserve">kopumā </w:t>
      </w:r>
      <w:r w:rsidR="00830A51" w:rsidRPr="00C13F97">
        <w:rPr>
          <w:sz w:val="28"/>
          <w:szCs w:val="28"/>
        </w:rPr>
        <w:t xml:space="preserve">pašlaik </w:t>
      </w:r>
      <w:r w:rsidR="00574D44" w:rsidRPr="00C13F97">
        <w:rPr>
          <w:sz w:val="28"/>
          <w:szCs w:val="28"/>
        </w:rPr>
        <w:t xml:space="preserve">nav negatīvi ietekmējusi shēmas dalībnieku </w:t>
      </w:r>
      <w:r w:rsidR="00AE2136" w:rsidRPr="00C13F97">
        <w:rPr>
          <w:sz w:val="28"/>
          <w:szCs w:val="28"/>
        </w:rPr>
        <w:t>kopējo pensiju kapitālu</w:t>
      </w:r>
      <w:r w:rsidR="00E42CF4" w:rsidRPr="00C13F97">
        <w:rPr>
          <w:sz w:val="28"/>
          <w:szCs w:val="28"/>
        </w:rPr>
        <w:t xml:space="preserve">, jo gan 2.līmeņa ienesīguma, gan 1.līmeņa kapitāla indeksu ietekme uz pensiju iemaksām, kas veiktas par gadiem, sākot no 2009.gada, </w:t>
      </w:r>
      <w:r w:rsidR="00D775CB" w:rsidRPr="00C13F97">
        <w:rPr>
          <w:sz w:val="28"/>
          <w:szCs w:val="28"/>
        </w:rPr>
        <w:t>ir salīdzinoši līdzvērtīga</w:t>
      </w:r>
      <w:r w:rsidR="00AE2136" w:rsidRPr="00C13F97">
        <w:rPr>
          <w:sz w:val="28"/>
          <w:szCs w:val="28"/>
        </w:rPr>
        <w:t>.</w:t>
      </w:r>
      <w:r w:rsidR="00CF44C6" w:rsidRPr="00C13F97">
        <w:rPr>
          <w:sz w:val="28"/>
          <w:szCs w:val="28"/>
        </w:rPr>
        <w:t xml:space="preserve"> Līdz ar to nav pamata </w:t>
      </w:r>
      <w:r w:rsidR="001F72DD" w:rsidRPr="00C13F97">
        <w:rPr>
          <w:sz w:val="28"/>
          <w:szCs w:val="28"/>
        </w:rPr>
        <w:t>vērtēt iespēju kompensēt sociālās apdrošināšanas iemaksu likmes samazinājumu pensiju 2.līmenī.</w:t>
      </w:r>
    </w:p>
    <w:p w14:paraId="364749C9" w14:textId="2515949F" w:rsidR="001E7A95" w:rsidRPr="00C13F97" w:rsidRDefault="00000137" w:rsidP="00C13F97">
      <w:pPr>
        <w:ind w:firstLine="720"/>
        <w:jc w:val="both"/>
        <w:rPr>
          <w:sz w:val="28"/>
          <w:szCs w:val="28"/>
        </w:rPr>
      </w:pPr>
      <w:r w:rsidRPr="00C13F97">
        <w:rPr>
          <w:sz w:val="28"/>
          <w:szCs w:val="28"/>
        </w:rPr>
        <w:t>Vērtējot</w:t>
      </w:r>
      <w:r w:rsidR="00F75E18" w:rsidRPr="00C13F97">
        <w:rPr>
          <w:sz w:val="28"/>
          <w:szCs w:val="28"/>
        </w:rPr>
        <w:t xml:space="preserve"> no pensiju politikas viedokļa un ņemot vērā to, ka pensiju sistēma ir jāskata </w:t>
      </w:r>
      <w:r w:rsidR="00320F75" w:rsidRPr="00C13F97">
        <w:rPr>
          <w:sz w:val="28"/>
          <w:szCs w:val="28"/>
        </w:rPr>
        <w:t xml:space="preserve">un jāvērtē </w:t>
      </w:r>
      <w:r w:rsidR="00F75E18" w:rsidRPr="00C13F97">
        <w:rPr>
          <w:sz w:val="28"/>
          <w:szCs w:val="28"/>
        </w:rPr>
        <w:t xml:space="preserve">kopumā, nav atbalstāmas jebkādas kompensācijas </w:t>
      </w:r>
      <w:r w:rsidR="00320F75" w:rsidRPr="00C13F97">
        <w:rPr>
          <w:sz w:val="28"/>
          <w:szCs w:val="28"/>
        </w:rPr>
        <w:t xml:space="preserve">atšķirību mazināšanai starp pensiju 1.līmeņa kapitāla indeksa un pensiju 2.līmeņa ienesīguma </w:t>
      </w:r>
      <w:r w:rsidR="0049377B" w:rsidRPr="00C13F97">
        <w:rPr>
          <w:sz w:val="28"/>
          <w:szCs w:val="28"/>
        </w:rPr>
        <w:t>vērtību ietekmēm</w:t>
      </w:r>
      <w:r w:rsidR="00320F75" w:rsidRPr="00C13F97">
        <w:rPr>
          <w:sz w:val="28"/>
          <w:szCs w:val="28"/>
        </w:rPr>
        <w:t xml:space="preserve">. </w:t>
      </w:r>
    </w:p>
    <w:p w14:paraId="65DB6392" w14:textId="30B101BE" w:rsidR="006C20FA" w:rsidRPr="00C13F97" w:rsidRDefault="00047FB4" w:rsidP="00574D44">
      <w:pPr>
        <w:ind w:firstLine="720"/>
        <w:jc w:val="both"/>
        <w:rPr>
          <w:color w:val="000000"/>
          <w:sz w:val="28"/>
          <w:szCs w:val="28"/>
        </w:rPr>
      </w:pPr>
      <w:r w:rsidRPr="00C13F97">
        <w:rPr>
          <w:sz w:val="28"/>
          <w:szCs w:val="28"/>
        </w:rPr>
        <w:t>I</w:t>
      </w:r>
      <w:r w:rsidR="00AE2136" w:rsidRPr="00C13F97">
        <w:rPr>
          <w:sz w:val="28"/>
          <w:szCs w:val="28"/>
        </w:rPr>
        <w:t xml:space="preserve">emaksu likmes pārdale starp pensiju līmeņiem ir </w:t>
      </w:r>
      <w:r w:rsidR="006C20FA" w:rsidRPr="00C13F97">
        <w:rPr>
          <w:sz w:val="28"/>
          <w:szCs w:val="28"/>
        </w:rPr>
        <w:t xml:space="preserve">nozīmīgi </w:t>
      </w:r>
      <w:r w:rsidR="00AE2136" w:rsidRPr="00C13F97">
        <w:rPr>
          <w:sz w:val="28"/>
          <w:szCs w:val="28"/>
        </w:rPr>
        <w:t>veicinājusi speciālā budžeta finanšu stabilit</w:t>
      </w:r>
      <w:r w:rsidR="006C20FA" w:rsidRPr="00C13F97">
        <w:rPr>
          <w:sz w:val="28"/>
          <w:szCs w:val="28"/>
        </w:rPr>
        <w:t xml:space="preserve">āti, radot </w:t>
      </w:r>
      <w:r w:rsidR="00AE2136" w:rsidRPr="00C13F97">
        <w:rPr>
          <w:sz w:val="28"/>
          <w:szCs w:val="28"/>
        </w:rPr>
        <w:t xml:space="preserve">iespēju </w:t>
      </w:r>
      <w:r w:rsidR="006C20FA" w:rsidRPr="00C13F97">
        <w:rPr>
          <w:sz w:val="28"/>
          <w:szCs w:val="28"/>
        </w:rPr>
        <w:t xml:space="preserve">jau šogad </w:t>
      </w:r>
      <w:r w:rsidR="00A3293A" w:rsidRPr="00C13F97">
        <w:rPr>
          <w:sz w:val="28"/>
          <w:szCs w:val="28"/>
        </w:rPr>
        <w:t xml:space="preserve">rosināt pasākumus, kas </w:t>
      </w:r>
      <w:r w:rsidR="006C20FA" w:rsidRPr="00C13F97">
        <w:rPr>
          <w:rStyle w:val="spelle"/>
          <w:sz w:val="28"/>
          <w:szCs w:val="28"/>
        </w:rPr>
        <w:t xml:space="preserve">novērstu gan iepriekšējās ekonomiskās krīzes radītās sekas uz </w:t>
      </w:r>
      <w:proofErr w:type="spellStart"/>
      <w:r w:rsidR="006C20FA" w:rsidRPr="00C13F97">
        <w:rPr>
          <w:rStyle w:val="spelle"/>
          <w:sz w:val="28"/>
          <w:szCs w:val="28"/>
        </w:rPr>
        <w:t>jaunpiešķirto</w:t>
      </w:r>
      <w:proofErr w:type="spellEnd"/>
      <w:r w:rsidR="006C20FA" w:rsidRPr="00C13F97">
        <w:rPr>
          <w:rStyle w:val="spelle"/>
          <w:sz w:val="28"/>
          <w:szCs w:val="28"/>
        </w:rPr>
        <w:t xml:space="preserve"> pensiju apmēriem, gan uzlabotu pensionāru dzīves kvalitāti</w:t>
      </w:r>
      <w:r w:rsidR="006C20FA" w:rsidRPr="00C13F97">
        <w:rPr>
          <w:color w:val="000000"/>
          <w:sz w:val="28"/>
          <w:szCs w:val="28"/>
        </w:rPr>
        <w:t>.</w:t>
      </w:r>
    </w:p>
    <w:p w14:paraId="4E1E3263" w14:textId="29B85EFA" w:rsidR="00776CED" w:rsidRPr="00C13F97" w:rsidRDefault="00B57B17" w:rsidP="00C13F97">
      <w:pPr>
        <w:ind w:firstLine="720"/>
        <w:jc w:val="both"/>
        <w:rPr>
          <w:color w:val="000000"/>
          <w:sz w:val="28"/>
          <w:szCs w:val="28"/>
        </w:rPr>
      </w:pPr>
      <w:r w:rsidRPr="00C13F97">
        <w:rPr>
          <w:color w:val="000000"/>
          <w:sz w:val="28"/>
          <w:szCs w:val="28"/>
        </w:rPr>
        <w:t>R</w:t>
      </w:r>
      <w:r w:rsidR="00574D44" w:rsidRPr="00C13F97">
        <w:rPr>
          <w:color w:val="000000"/>
          <w:sz w:val="28"/>
          <w:szCs w:val="28"/>
        </w:rPr>
        <w:t xml:space="preserve">augoties no indivīda – nākotnes pensionāra puses – tas, </w:t>
      </w:r>
      <w:r w:rsidR="00830A51" w:rsidRPr="00C13F97">
        <w:rPr>
          <w:color w:val="000000"/>
          <w:sz w:val="28"/>
          <w:szCs w:val="28"/>
        </w:rPr>
        <w:t xml:space="preserve">kā iemaksu likmes pārdale turpmāk </w:t>
      </w:r>
      <w:r w:rsidR="00574D44" w:rsidRPr="00C13F97">
        <w:rPr>
          <w:color w:val="000000"/>
          <w:sz w:val="28"/>
          <w:szCs w:val="28"/>
        </w:rPr>
        <w:t xml:space="preserve">ietekmēs </w:t>
      </w:r>
      <w:r w:rsidR="00DA6B48" w:rsidRPr="00C13F97">
        <w:rPr>
          <w:color w:val="000000"/>
          <w:sz w:val="28"/>
          <w:szCs w:val="28"/>
        </w:rPr>
        <w:t xml:space="preserve">katras </w:t>
      </w:r>
      <w:r w:rsidR="00574D44" w:rsidRPr="00C13F97">
        <w:rPr>
          <w:color w:val="000000"/>
          <w:sz w:val="28"/>
          <w:szCs w:val="28"/>
        </w:rPr>
        <w:t xml:space="preserve">personas nākotnes pensijas apmēru, ir </w:t>
      </w:r>
      <w:r w:rsidR="00830A51" w:rsidRPr="00C13F97">
        <w:rPr>
          <w:color w:val="000000"/>
          <w:sz w:val="28"/>
          <w:szCs w:val="28"/>
        </w:rPr>
        <w:t xml:space="preserve">galvenokārt </w:t>
      </w:r>
      <w:r w:rsidR="00574D44" w:rsidRPr="00C13F97">
        <w:rPr>
          <w:color w:val="000000"/>
          <w:sz w:val="28"/>
          <w:szCs w:val="28"/>
        </w:rPr>
        <w:t xml:space="preserve">atkarīgs </w:t>
      </w:r>
      <w:r w:rsidR="00830A51" w:rsidRPr="00C13F97">
        <w:rPr>
          <w:color w:val="000000"/>
          <w:sz w:val="28"/>
          <w:szCs w:val="28"/>
        </w:rPr>
        <w:t>no valsts ekonomiskās</w:t>
      </w:r>
      <w:r w:rsidR="00DA6B48" w:rsidRPr="00C13F97">
        <w:rPr>
          <w:color w:val="000000"/>
          <w:sz w:val="28"/>
          <w:szCs w:val="28"/>
        </w:rPr>
        <w:t xml:space="preserve">, demogrāfiskās </w:t>
      </w:r>
      <w:r w:rsidR="00830A51" w:rsidRPr="00C13F97">
        <w:rPr>
          <w:color w:val="000000"/>
          <w:sz w:val="28"/>
          <w:szCs w:val="28"/>
        </w:rPr>
        <w:t>un</w:t>
      </w:r>
      <w:r w:rsidR="00DA6B48" w:rsidRPr="00C13F97">
        <w:rPr>
          <w:color w:val="000000"/>
          <w:sz w:val="28"/>
          <w:szCs w:val="28"/>
        </w:rPr>
        <w:t xml:space="preserve"> finanšu un kapitāla tirgus attīstības tempiem</w:t>
      </w:r>
      <w:r w:rsidR="00CF44C6" w:rsidRPr="00C13F97">
        <w:rPr>
          <w:color w:val="000000"/>
          <w:sz w:val="28"/>
          <w:szCs w:val="28"/>
        </w:rPr>
        <w:t>, kā ar</w:t>
      </w:r>
      <w:r w:rsidR="00DA3DD3" w:rsidRPr="00C13F97">
        <w:rPr>
          <w:color w:val="000000"/>
          <w:sz w:val="28"/>
          <w:szCs w:val="28"/>
        </w:rPr>
        <w:t xml:space="preserve">ī no individuālajiem faktoriem (pensionēšanās gada, vecuma, iemaksu </w:t>
      </w:r>
      <w:r w:rsidR="00776CED" w:rsidRPr="00C13F97">
        <w:rPr>
          <w:color w:val="000000"/>
          <w:sz w:val="28"/>
          <w:szCs w:val="28"/>
        </w:rPr>
        <w:t>veikšanas periodiem un pārtraukumiem, utt.)</w:t>
      </w:r>
      <w:r w:rsidR="00000137" w:rsidRPr="00C13F97">
        <w:rPr>
          <w:color w:val="000000"/>
          <w:sz w:val="28"/>
          <w:szCs w:val="28"/>
        </w:rPr>
        <w:t>.</w:t>
      </w:r>
    </w:p>
    <w:p w14:paraId="22542B3F" w14:textId="77777777" w:rsidR="00362A71" w:rsidRPr="00C13F97" w:rsidRDefault="00362A71" w:rsidP="00C13F97">
      <w:pPr>
        <w:jc w:val="both"/>
        <w:rPr>
          <w:color w:val="000000"/>
          <w:sz w:val="28"/>
          <w:szCs w:val="28"/>
        </w:rPr>
      </w:pPr>
    </w:p>
    <w:tbl>
      <w:tblPr>
        <w:tblW w:w="0" w:type="auto"/>
        <w:tblInd w:w="2" w:type="dxa"/>
        <w:tblLook w:val="01E0" w:firstRow="1" w:lastRow="1" w:firstColumn="1" w:lastColumn="1" w:noHBand="0" w:noVBand="0"/>
      </w:tblPr>
      <w:tblGrid>
        <w:gridCol w:w="6563"/>
        <w:gridCol w:w="2722"/>
      </w:tblGrid>
      <w:tr w:rsidR="00362A71" w:rsidRPr="00C13F97" w14:paraId="793BA43D" w14:textId="77777777" w:rsidTr="00F2197B">
        <w:tc>
          <w:tcPr>
            <w:tcW w:w="6828" w:type="dxa"/>
          </w:tcPr>
          <w:p w14:paraId="6BE4AF54" w14:textId="77777777" w:rsidR="00362A71" w:rsidRPr="00C13F97" w:rsidRDefault="00362A71" w:rsidP="00F2197B">
            <w:pPr>
              <w:pStyle w:val="naisf"/>
              <w:spacing w:before="0" w:after="0"/>
              <w:rPr>
                <w:sz w:val="28"/>
                <w:szCs w:val="28"/>
              </w:rPr>
            </w:pPr>
          </w:p>
          <w:p w14:paraId="3F272320" w14:textId="77777777" w:rsidR="00362A71" w:rsidRPr="00C13F97" w:rsidRDefault="00362A71" w:rsidP="00F2197B">
            <w:pPr>
              <w:pStyle w:val="naisf"/>
              <w:spacing w:before="0" w:after="0"/>
              <w:rPr>
                <w:sz w:val="28"/>
                <w:szCs w:val="28"/>
              </w:rPr>
            </w:pPr>
            <w:r w:rsidRPr="00C13F97">
              <w:rPr>
                <w:sz w:val="28"/>
                <w:szCs w:val="28"/>
              </w:rPr>
              <w:t>Labklājības ministrs</w:t>
            </w:r>
          </w:p>
        </w:tc>
        <w:tc>
          <w:tcPr>
            <w:tcW w:w="2793" w:type="dxa"/>
            <w:vAlign w:val="bottom"/>
          </w:tcPr>
          <w:p w14:paraId="5B7B54F8" w14:textId="77777777" w:rsidR="00362A71" w:rsidRPr="00C13F97" w:rsidRDefault="00362A71" w:rsidP="00F2197B">
            <w:pPr>
              <w:pStyle w:val="naisf"/>
              <w:spacing w:before="0" w:after="0"/>
              <w:jc w:val="center"/>
              <w:rPr>
                <w:sz w:val="28"/>
                <w:szCs w:val="28"/>
              </w:rPr>
            </w:pPr>
          </w:p>
          <w:p w14:paraId="25779FD6" w14:textId="77777777" w:rsidR="00362A71" w:rsidRPr="00C13F97" w:rsidRDefault="00362A71" w:rsidP="00C13F97">
            <w:pPr>
              <w:pStyle w:val="naisf"/>
              <w:spacing w:before="0" w:after="0"/>
              <w:rPr>
                <w:sz w:val="28"/>
                <w:szCs w:val="28"/>
              </w:rPr>
            </w:pPr>
            <w:r w:rsidRPr="00C13F97">
              <w:rPr>
                <w:sz w:val="28"/>
                <w:szCs w:val="28"/>
              </w:rPr>
              <w:t>U.Augulis</w:t>
            </w:r>
          </w:p>
        </w:tc>
      </w:tr>
    </w:tbl>
    <w:p w14:paraId="0018ADA7" w14:textId="77777777" w:rsidR="00362A71" w:rsidRDefault="00362A71" w:rsidP="00362A71">
      <w:pPr>
        <w:rPr>
          <w:sz w:val="20"/>
          <w:szCs w:val="20"/>
        </w:rPr>
      </w:pPr>
    </w:p>
    <w:p w14:paraId="4DCA8BF3" w14:textId="77777777" w:rsidR="00362A71" w:rsidRDefault="00362A71" w:rsidP="00362A71">
      <w:pPr>
        <w:rPr>
          <w:sz w:val="20"/>
          <w:szCs w:val="20"/>
        </w:rPr>
      </w:pPr>
    </w:p>
    <w:p w14:paraId="6E67D087" w14:textId="77777777" w:rsidR="00362A71" w:rsidRDefault="00362A71" w:rsidP="00362A71">
      <w:pPr>
        <w:rPr>
          <w:sz w:val="20"/>
          <w:szCs w:val="20"/>
        </w:rPr>
      </w:pPr>
    </w:p>
    <w:p w14:paraId="5B81AC92" w14:textId="77777777" w:rsidR="005A770C" w:rsidRDefault="005A770C" w:rsidP="00362A71">
      <w:pPr>
        <w:rPr>
          <w:sz w:val="20"/>
          <w:szCs w:val="20"/>
        </w:rPr>
      </w:pPr>
      <w:r>
        <w:rPr>
          <w:sz w:val="20"/>
          <w:szCs w:val="20"/>
        </w:rPr>
        <w:t>12.06.2015 9:34</w:t>
      </w:r>
    </w:p>
    <w:p w14:paraId="67031865" w14:textId="18C65647" w:rsidR="00362A71" w:rsidRDefault="00D257CD" w:rsidP="00362A71">
      <w:pPr>
        <w:rPr>
          <w:sz w:val="20"/>
          <w:szCs w:val="20"/>
        </w:rPr>
      </w:pPr>
      <w:bookmarkStart w:id="4" w:name="_GoBack"/>
      <w:bookmarkEnd w:id="4"/>
      <w:r>
        <w:rPr>
          <w:sz w:val="20"/>
          <w:szCs w:val="20"/>
        </w:rPr>
        <w:t>1 835</w:t>
      </w:r>
    </w:p>
    <w:p w14:paraId="7CCBB773" w14:textId="0D253422" w:rsidR="00362A71" w:rsidRPr="00873C0C" w:rsidRDefault="009E79E3" w:rsidP="00362A71">
      <w:pPr>
        <w:rPr>
          <w:sz w:val="20"/>
          <w:szCs w:val="20"/>
        </w:rPr>
      </w:pPr>
      <w:r>
        <w:rPr>
          <w:sz w:val="20"/>
          <w:szCs w:val="20"/>
        </w:rPr>
        <w:t>S.Stabiņa</w:t>
      </w:r>
    </w:p>
    <w:p w14:paraId="2E49B209" w14:textId="3ABE77A4" w:rsidR="00362A71" w:rsidRDefault="00362A71" w:rsidP="00362A71">
      <w:r w:rsidRPr="00873C0C">
        <w:rPr>
          <w:sz w:val="20"/>
          <w:szCs w:val="20"/>
        </w:rPr>
        <w:t>670215</w:t>
      </w:r>
      <w:r>
        <w:rPr>
          <w:sz w:val="20"/>
          <w:szCs w:val="20"/>
        </w:rPr>
        <w:t>5</w:t>
      </w:r>
      <w:r w:rsidR="009E79E3">
        <w:rPr>
          <w:sz w:val="20"/>
          <w:szCs w:val="20"/>
        </w:rPr>
        <w:t>1</w:t>
      </w:r>
      <w:r w:rsidRPr="00873C0C">
        <w:rPr>
          <w:sz w:val="20"/>
          <w:szCs w:val="20"/>
        </w:rPr>
        <w:t xml:space="preserve">, </w:t>
      </w:r>
      <w:hyperlink r:id="rId15" w:history="1">
        <w:r w:rsidR="009E79E3" w:rsidRPr="00294924">
          <w:rPr>
            <w:rStyle w:val="Hyperlink"/>
            <w:sz w:val="20"/>
          </w:rPr>
          <w:t>Sandra.Stabina@lm.gov.lv</w:t>
        </w:r>
      </w:hyperlink>
    </w:p>
    <w:p w14:paraId="5C3FD577" w14:textId="77777777" w:rsidR="00362A71" w:rsidRDefault="00362A71" w:rsidP="00362A71"/>
    <w:p w14:paraId="120BDB31" w14:textId="77777777" w:rsidR="00362A71" w:rsidRDefault="00362A71" w:rsidP="00574D44">
      <w:pPr>
        <w:ind w:firstLine="720"/>
        <w:jc w:val="both"/>
        <w:rPr>
          <w:color w:val="000000"/>
          <w:szCs w:val="28"/>
        </w:rPr>
      </w:pPr>
    </w:p>
    <w:p w14:paraId="7AD85DDB" w14:textId="77777777" w:rsidR="00776CED" w:rsidRDefault="00776CED" w:rsidP="00574D44">
      <w:pPr>
        <w:ind w:firstLine="720"/>
        <w:jc w:val="both"/>
        <w:rPr>
          <w:color w:val="000000"/>
          <w:szCs w:val="28"/>
        </w:rPr>
      </w:pPr>
    </w:p>
    <w:p w14:paraId="694975EB" w14:textId="77777777" w:rsidR="00F75E18" w:rsidRPr="00574D44" w:rsidRDefault="00F75E18" w:rsidP="00574D44">
      <w:pPr>
        <w:ind w:firstLine="720"/>
        <w:jc w:val="both"/>
        <w:rPr>
          <w:color w:val="000000"/>
          <w:szCs w:val="28"/>
        </w:rPr>
      </w:pPr>
    </w:p>
    <w:p w14:paraId="56CA16EC" w14:textId="77777777" w:rsidR="00574D44" w:rsidRDefault="00574D44"/>
    <w:sectPr w:rsidR="00574D44" w:rsidSect="00A22E5B">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EE0DF" w15:done="0"/>
  <w15:commentEx w15:paraId="32C5A18E" w15:done="0"/>
  <w15:commentEx w15:paraId="62D3968E" w15:done="0"/>
  <w15:commentEx w15:paraId="6A43BAD9" w15:done="0"/>
  <w15:commentEx w15:paraId="2FA4B64B" w15:done="0"/>
  <w15:commentEx w15:paraId="261A3BF9" w15:done="0"/>
  <w15:commentEx w15:paraId="6CC47F43" w15:done="0"/>
  <w15:commentEx w15:paraId="69214BE4" w15:done="0"/>
  <w15:commentEx w15:paraId="652BF819" w15:done="0"/>
  <w15:commentEx w15:paraId="1E0CA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E9BA" w14:textId="77777777" w:rsidR="007953E6" w:rsidRDefault="007953E6" w:rsidP="006469FC">
      <w:r>
        <w:separator/>
      </w:r>
    </w:p>
  </w:endnote>
  <w:endnote w:type="continuationSeparator" w:id="0">
    <w:p w14:paraId="30D88EA6" w14:textId="77777777" w:rsidR="007953E6" w:rsidRDefault="007953E6" w:rsidP="0064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0C6E" w14:textId="1F6991DB" w:rsidR="00E74D8F" w:rsidRPr="00F57793" w:rsidRDefault="00A22E5B" w:rsidP="00E74D8F">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LMzino_1</w:t>
    </w:r>
    <w:r>
      <w:rPr>
        <w:noProof/>
        <w:sz w:val="20"/>
        <w:szCs w:val="20"/>
      </w:rPr>
      <w:t>2</w:t>
    </w:r>
    <w:r>
      <w:rPr>
        <w:noProof/>
        <w:sz w:val="20"/>
        <w:szCs w:val="20"/>
      </w:rPr>
      <w:t>0615</w:t>
    </w:r>
    <w:r>
      <w:rPr>
        <w:sz w:val="20"/>
        <w:szCs w:val="20"/>
      </w:rPr>
      <w:fldChar w:fldCharType="end"/>
    </w:r>
    <w:r w:rsidR="00E74D8F" w:rsidRPr="00284892">
      <w:rPr>
        <w:sz w:val="20"/>
        <w:szCs w:val="20"/>
      </w:rPr>
      <w:t>;</w:t>
    </w:r>
    <w:r w:rsidR="00E74D8F" w:rsidRPr="00341127">
      <w:rPr>
        <w:sz w:val="20"/>
        <w:szCs w:val="20"/>
      </w:rPr>
      <w:t xml:space="preserve"> Informatīvais ziņojums</w:t>
    </w:r>
    <w:r w:rsidR="00E74D8F">
      <w:rPr>
        <w:sz w:val="20"/>
        <w:szCs w:val="20"/>
      </w:rPr>
      <w:t xml:space="preserve"> „</w:t>
    </w:r>
    <w:r w:rsidR="00F57793" w:rsidRPr="00F57793">
      <w:rPr>
        <w:sz w:val="20"/>
        <w:szCs w:val="20"/>
      </w:rPr>
      <w:t>Par iemaksu likmes valsts fondēto pensiju shēmā samazinājumu no 2009.gada un tā ietekmi uz valsts fondēto pensiju shēmas dalībnieka vecuma pensijas kapitālu</w:t>
    </w:r>
    <w:r w:rsidR="00E74D8F">
      <w:rPr>
        <w:sz w:val="20"/>
        <w:szCs w:val="20"/>
      </w:rPr>
      <w:t>”</w:t>
    </w:r>
  </w:p>
  <w:p w14:paraId="3A5FF14F" w14:textId="2AA96BAB" w:rsidR="00E74D8F" w:rsidRDefault="00E74D8F">
    <w:pPr>
      <w:pStyle w:val="Footer"/>
    </w:pPr>
  </w:p>
  <w:p w14:paraId="515B17EF" w14:textId="77777777" w:rsidR="00747134" w:rsidRDefault="0074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A943" w14:textId="300D3269" w:rsidR="005948EA" w:rsidRPr="00F57793" w:rsidRDefault="005948EA" w:rsidP="005948EA">
    <w:pPr>
      <w:pStyle w:val="Footer"/>
      <w:jc w:val="both"/>
      <w:rPr>
        <w:sz w:val="20"/>
        <w:szCs w:val="20"/>
      </w:rPr>
    </w:pPr>
    <w:r>
      <w:tab/>
    </w:r>
    <w:r w:rsidR="00A22E5B">
      <w:rPr>
        <w:sz w:val="20"/>
        <w:szCs w:val="20"/>
      </w:rPr>
      <w:fldChar w:fldCharType="begin"/>
    </w:r>
    <w:r w:rsidR="00A22E5B">
      <w:rPr>
        <w:sz w:val="20"/>
        <w:szCs w:val="20"/>
      </w:rPr>
      <w:instrText xml:space="preserve"> FILENAME \* MERGEFORMAT </w:instrText>
    </w:r>
    <w:r w:rsidR="00A22E5B">
      <w:rPr>
        <w:sz w:val="20"/>
        <w:szCs w:val="20"/>
      </w:rPr>
      <w:fldChar w:fldCharType="separate"/>
    </w:r>
    <w:r w:rsidR="00A22E5B">
      <w:rPr>
        <w:noProof/>
        <w:sz w:val="20"/>
        <w:szCs w:val="20"/>
      </w:rPr>
      <w:t>LMzino_1</w:t>
    </w:r>
    <w:r w:rsidR="00A22E5B">
      <w:rPr>
        <w:noProof/>
        <w:sz w:val="20"/>
        <w:szCs w:val="20"/>
      </w:rPr>
      <w:t>2</w:t>
    </w:r>
    <w:r w:rsidR="00A22E5B">
      <w:rPr>
        <w:noProof/>
        <w:sz w:val="20"/>
        <w:szCs w:val="20"/>
      </w:rPr>
      <w:t>0615</w:t>
    </w:r>
    <w:r w:rsidR="00A22E5B">
      <w:rPr>
        <w:sz w:val="20"/>
        <w:szCs w:val="20"/>
      </w:rPr>
      <w:fldChar w:fldCharType="end"/>
    </w:r>
    <w:r w:rsidRPr="00284892">
      <w:rPr>
        <w:sz w:val="20"/>
        <w:szCs w:val="20"/>
      </w:rPr>
      <w:t>;</w:t>
    </w:r>
    <w:r w:rsidRPr="00341127">
      <w:rPr>
        <w:sz w:val="20"/>
        <w:szCs w:val="20"/>
      </w:rPr>
      <w:t xml:space="preserve"> Informatīvais ziņojums</w:t>
    </w:r>
    <w:r>
      <w:rPr>
        <w:sz w:val="20"/>
        <w:szCs w:val="20"/>
      </w:rPr>
      <w:t xml:space="preserve"> „</w:t>
    </w:r>
    <w:r w:rsidRPr="00F57793">
      <w:rPr>
        <w:sz w:val="20"/>
        <w:szCs w:val="20"/>
      </w:rPr>
      <w:t>Par iemaksu likmes valsts fondēto pensiju shēmā samazinājumu no 2009.gada un tā ietekmi uz valsts fondēto pensiju shēmas dalībnieka vecuma pensijas kapitālu</w:t>
    </w:r>
    <w:r>
      <w:rPr>
        <w:sz w:val="20"/>
        <w:szCs w:val="20"/>
      </w:rPr>
      <w:t>”</w:t>
    </w:r>
  </w:p>
  <w:p w14:paraId="4EC1659B" w14:textId="3121E700" w:rsidR="005948EA" w:rsidRDefault="005948EA" w:rsidP="005948EA">
    <w:pPr>
      <w:pStyle w:val="Footer"/>
      <w:tabs>
        <w:tab w:val="clear" w:pos="4153"/>
        <w:tab w:val="clear" w:pos="8306"/>
        <w:tab w:val="left" w:pos="65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73D8" w14:textId="77777777" w:rsidR="007953E6" w:rsidRDefault="007953E6" w:rsidP="006469FC">
      <w:r>
        <w:separator/>
      </w:r>
    </w:p>
  </w:footnote>
  <w:footnote w:type="continuationSeparator" w:id="0">
    <w:p w14:paraId="0E0DA6A5" w14:textId="77777777" w:rsidR="007953E6" w:rsidRDefault="007953E6" w:rsidP="006469FC">
      <w:r>
        <w:continuationSeparator/>
      </w:r>
    </w:p>
  </w:footnote>
  <w:footnote w:id="1">
    <w:p w14:paraId="4E145073" w14:textId="77777777" w:rsidR="00747134" w:rsidRDefault="00747134">
      <w:pPr>
        <w:pStyle w:val="FootnoteText"/>
      </w:pPr>
      <w:r>
        <w:rPr>
          <w:rStyle w:val="FootnoteReference"/>
        </w:rPr>
        <w:footnoteRef/>
      </w:r>
      <w:r>
        <w:t xml:space="preserve"> Noteikts likumā „Par valsts sociālo apdrošināšanu” </w:t>
      </w:r>
    </w:p>
  </w:footnote>
  <w:footnote w:id="2">
    <w:p w14:paraId="46C5E350" w14:textId="3C9F0B9F" w:rsidR="001F72DD" w:rsidRDefault="001F72DD" w:rsidP="00B70A55">
      <w:pPr>
        <w:pStyle w:val="FootnoteText"/>
        <w:jc w:val="both"/>
      </w:pPr>
      <w:r>
        <w:rPr>
          <w:rStyle w:val="FootnoteReference"/>
        </w:rPr>
        <w:footnoteRef/>
      </w:r>
      <w:r>
        <w:t xml:space="preserve"> Lai aprēķini būtu salīdzināmi, aprēķinos izmantotas iemaksas pensiju 2.līmenī par laika periodu no 2009.gada līdz 2013.gadam (ieskaitot) un par atskaites punktu izvēlēts 2014.gada 1.janvāris. Šāda izvēle veikta, jo ikgadējās iemaksas pensiju 1.līmenī tiek indeksētas ar visiem nākamo gadu kapitāla indeksiem līdz pensijas piešķiršanai. 2015.gada pensiju kapitāla indekss, kas būtu jāpiemēro visām iemaksām, kuras veiktas līdz 2014.gada beigām, būs zināms tikai 2015.gada oktobrī.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59577"/>
      <w:docPartObj>
        <w:docPartGallery w:val="Page Numbers (Top of Page)"/>
        <w:docPartUnique/>
      </w:docPartObj>
    </w:sdtPr>
    <w:sdtEndPr>
      <w:rPr>
        <w:noProof/>
      </w:rPr>
    </w:sdtEndPr>
    <w:sdtContent>
      <w:p w14:paraId="5E4F647A" w14:textId="59642DE5" w:rsidR="00D45550" w:rsidRDefault="00D45550">
        <w:pPr>
          <w:pStyle w:val="Header"/>
          <w:jc w:val="center"/>
        </w:pPr>
        <w:r>
          <w:fldChar w:fldCharType="begin"/>
        </w:r>
        <w:r>
          <w:instrText xml:space="preserve"> PAGE   \* MERGEFORMAT </w:instrText>
        </w:r>
        <w:r>
          <w:fldChar w:fldCharType="separate"/>
        </w:r>
        <w:r w:rsidR="005A770C">
          <w:rPr>
            <w:noProof/>
          </w:rPr>
          <w:t>8</w:t>
        </w:r>
        <w:r>
          <w:rPr>
            <w:noProof/>
          </w:rPr>
          <w:fldChar w:fldCharType="end"/>
        </w:r>
      </w:p>
    </w:sdtContent>
  </w:sdt>
  <w:p w14:paraId="1B157E85" w14:textId="77777777" w:rsidR="00D45550" w:rsidRDefault="00D45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69E"/>
    <w:multiLevelType w:val="hybridMultilevel"/>
    <w:tmpl w:val="F336EDC8"/>
    <w:lvl w:ilvl="0" w:tplc="184EB78C">
      <w:start w:val="6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1535FD"/>
    <w:multiLevelType w:val="hybridMultilevel"/>
    <w:tmpl w:val="168EA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247A14"/>
    <w:multiLevelType w:val="hybridMultilevel"/>
    <w:tmpl w:val="1CD447B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CF2168"/>
    <w:multiLevelType w:val="hybridMultilevel"/>
    <w:tmpl w:val="1556034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B66027"/>
    <w:multiLevelType w:val="hybridMultilevel"/>
    <w:tmpl w:val="282C9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5E5806"/>
    <w:multiLevelType w:val="hybridMultilevel"/>
    <w:tmpl w:val="7A1E6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55D3CFE"/>
    <w:multiLevelType w:val="hybridMultilevel"/>
    <w:tmpl w:val="F336EDC8"/>
    <w:lvl w:ilvl="0" w:tplc="184EB78C">
      <w:start w:val="6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0E1610"/>
    <w:multiLevelType w:val="hybridMultilevel"/>
    <w:tmpl w:val="B740B7C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882BEF"/>
    <w:multiLevelType w:val="hybridMultilevel"/>
    <w:tmpl w:val="609C9D60"/>
    <w:lvl w:ilvl="0" w:tplc="7186C288">
      <w:start w:val="61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5F1914AB"/>
    <w:multiLevelType w:val="multilevel"/>
    <w:tmpl w:val="3E0A6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
  </w:num>
  <w:num w:numId="4">
    <w:abstractNumId w:val="0"/>
  </w:num>
  <w:num w:numId="5">
    <w:abstractNumId w:val="6"/>
  </w:num>
  <w:num w:numId="6">
    <w:abstractNumId w:val="8"/>
  </w:num>
  <w:num w:numId="7">
    <w:abstractNumId w:val="9"/>
  </w:num>
  <w:num w:numId="8">
    <w:abstractNumId w:val="1"/>
  </w:num>
  <w:num w:numId="9">
    <w:abstractNumId w:val="4"/>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
    <w15:presenceInfo w15:providerId="None" w15:userId="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67"/>
    <w:rsid w:val="00000137"/>
    <w:rsid w:val="000039A0"/>
    <w:rsid w:val="000040E1"/>
    <w:rsid w:val="00005910"/>
    <w:rsid w:val="00007F0F"/>
    <w:rsid w:val="000139D5"/>
    <w:rsid w:val="00014A05"/>
    <w:rsid w:val="0002485B"/>
    <w:rsid w:val="0002533C"/>
    <w:rsid w:val="00043CD7"/>
    <w:rsid w:val="00047FB4"/>
    <w:rsid w:val="00052C77"/>
    <w:rsid w:val="00065971"/>
    <w:rsid w:val="00073F6D"/>
    <w:rsid w:val="00092DF6"/>
    <w:rsid w:val="000B0A1F"/>
    <w:rsid w:val="000B4A98"/>
    <w:rsid w:val="000B5EBB"/>
    <w:rsid w:val="000C5280"/>
    <w:rsid w:val="000D7EB0"/>
    <w:rsid w:val="00101BB6"/>
    <w:rsid w:val="00103577"/>
    <w:rsid w:val="00104614"/>
    <w:rsid w:val="00146750"/>
    <w:rsid w:val="00154A3D"/>
    <w:rsid w:val="00162608"/>
    <w:rsid w:val="0017542C"/>
    <w:rsid w:val="00176542"/>
    <w:rsid w:val="0019695E"/>
    <w:rsid w:val="001A4F61"/>
    <w:rsid w:val="001B19A7"/>
    <w:rsid w:val="001D5F43"/>
    <w:rsid w:val="001E7A95"/>
    <w:rsid w:val="001F0390"/>
    <w:rsid w:val="001F274E"/>
    <w:rsid w:val="001F72DD"/>
    <w:rsid w:val="002064C7"/>
    <w:rsid w:val="00210556"/>
    <w:rsid w:val="0022468E"/>
    <w:rsid w:val="00252B08"/>
    <w:rsid w:val="00253DD3"/>
    <w:rsid w:val="00263E13"/>
    <w:rsid w:val="00273FA9"/>
    <w:rsid w:val="0028231F"/>
    <w:rsid w:val="00283960"/>
    <w:rsid w:val="00292B8F"/>
    <w:rsid w:val="00293F00"/>
    <w:rsid w:val="00295C6C"/>
    <w:rsid w:val="002A3BB2"/>
    <w:rsid w:val="002C55E0"/>
    <w:rsid w:val="002C5A86"/>
    <w:rsid w:val="002D4A5A"/>
    <w:rsid w:val="002E7385"/>
    <w:rsid w:val="00306038"/>
    <w:rsid w:val="00307AD0"/>
    <w:rsid w:val="00320F75"/>
    <w:rsid w:val="003328E9"/>
    <w:rsid w:val="00335EE3"/>
    <w:rsid w:val="003417B0"/>
    <w:rsid w:val="00362A71"/>
    <w:rsid w:val="003A31C2"/>
    <w:rsid w:val="003A3283"/>
    <w:rsid w:val="003B1786"/>
    <w:rsid w:val="003D227B"/>
    <w:rsid w:val="003D2D23"/>
    <w:rsid w:val="003D36D6"/>
    <w:rsid w:val="003E03D9"/>
    <w:rsid w:val="003E13B8"/>
    <w:rsid w:val="003F20A7"/>
    <w:rsid w:val="003F26A4"/>
    <w:rsid w:val="0041776C"/>
    <w:rsid w:val="004209FF"/>
    <w:rsid w:val="004213B6"/>
    <w:rsid w:val="004216F4"/>
    <w:rsid w:val="004373B1"/>
    <w:rsid w:val="00440E1A"/>
    <w:rsid w:val="00455ABC"/>
    <w:rsid w:val="00472F2A"/>
    <w:rsid w:val="00477545"/>
    <w:rsid w:val="00480A0E"/>
    <w:rsid w:val="00480E33"/>
    <w:rsid w:val="004815ED"/>
    <w:rsid w:val="00485226"/>
    <w:rsid w:val="00487054"/>
    <w:rsid w:val="0049377B"/>
    <w:rsid w:val="00494D33"/>
    <w:rsid w:val="004951D3"/>
    <w:rsid w:val="004A4802"/>
    <w:rsid w:val="004A5D50"/>
    <w:rsid w:val="004B5805"/>
    <w:rsid w:val="004C1B3E"/>
    <w:rsid w:val="004D52AD"/>
    <w:rsid w:val="0053177E"/>
    <w:rsid w:val="00552044"/>
    <w:rsid w:val="00557CF6"/>
    <w:rsid w:val="00560FF3"/>
    <w:rsid w:val="00562B72"/>
    <w:rsid w:val="00573D13"/>
    <w:rsid w:val="00574D44"/>
    <w:rsid w:val="005838DC"/>
    <w:rsid w:val="005948EA"/>
    <w:rsid w:val="005949C4"/>
    <w:rsid w:val="0059700D"/>
    <w:rsid w:val="005A1DCC"/>
    <w:rsid w:val="005A31B2"/>
    <w:rsid w:val="005A770C"/>
    <w:rsid w:val="005B1973"/>
    <w:rsid w:val="005C5202"/>
    <w:rsid w:val="005F7707"/>
    <w:rsid w:val="006049F9"/>
    <w:rsid w:val="006062D4"/>
    <w:rsid w:val="00616A81"/>
    <w:rsid w:val="0063277A"/>
    <w:rsid w:val="00642D23"/>
    <w:rsid w:val="006469FC"/>
    <w:rsid w:val="006556DF"/>
    <w:rsid w:val="006572B8"/>
    <w:rsid w:val="006616F6"/>
    <w:rsid w:val="0067472D"/>
    <w:rsid w:val="00691D22"/>
    <w:rsid w:val="006942BF"/>
    <w:rsid w:val="006A0AC3"/>
    <w:rsid w:val="006B08B8"/>
    <w:rsid w:val="006B4BA0"/>
    <w:rsid w:val="006B5804"/>
    <w:rsid w:val="006C20FA"/>
    <w:rsid w:val="006D4559"/>
    <w:rsid w:val="006F5589"/>
    <w:rsid w:val="00704C52"/>
    <w:rsid w:val="00716688"/>
    <w:rsid w:val="00735731"/>
    <w:rsid w:val="00747134"/>
    <w:rsid w:val="00752285"/>
    <w:rsid w:val="007601BA"/>
    <w:rsid w:val="00775D1B"/>
    <w:rsid w:val="00776CED"/>
    <w:rsid w:val="00776E5C"/>
    <w:rsid w:val="00777771"/>
    <w:rsid w:val="007864A1"/>
    <w:rsid w:val="007873F8"/>
    <w:rsid w:val="00790DF9"/>
    <w:rsid w:val="007953E6"/>
    <w:rsid w:val="007A54BA"/>
    <w:rsid w:val="007B01DD"/>
    <w:rsid w:val="007C3A6A"/>
    <w:rsid w:val="007C3E57"/>
    <w:rsid w:val="007D19E6"/>
    <w:rsid w:val="007D2316"/>
    <w:rsid w:val="008279E2"/>
    <w:rsid w:val="00830A51"/>
    <w:rsid w:val="00833076"/>
    <w:rsid w:val="0083722F"/>
    <w:rsid w:val="00842D06"/>
    <w:rsid w:val="00856853"/>
    <w:rsid w:val="00857549"/>
    <w:rsid w:val="00860734"/>
    <w:rsid w:val="0086515E"/>
    <w:rsid w:val="00875C69"/>
    <w:rsid w:val="00894E87"/>
    <w:rsid w:val="008A32A3"/>
    <w:rsid w:val="008A695F"/>
    <w:rsid w:val="008B3ADB"/>
    <w:rsid w:val="008C4186"/>
    <w:rsid w:val="008D2715"/>
    <w:rsid w:val="008F5B74"/>
    <w:rsid w:val="008F7E7E"/>
    <w:rsid w:val="009007CB"/>
    <w:rsid w:val="00901228"/>
    <w:rsid w:val="00936D55"/>
    <w:rsid w:val="009640CC"/>
    <w:rsid w:val="009712D9"/>
    <w:rsid w:val="00972CF7"/>
    <w:rsid w:val="00981B43"/>
    <w:rsid w:val="009820E7"/>
    <w:rsid w:val="00987B52"/>
    <w:rsid w:val="00990449"/>
    <w:rsid w:val="0099078D"/>
    <w:rsid w:val="009B1B8F"/>
    <w:rsid w:val="009E1AEA"/>
    <w:rsid w:val="009E79E3"/>
    <w:rsid w:val="009F6D4C"/>
    <w:rsid w:val="00A2065C"/>
    <w:rsid w:val="00A22E5B"/>
    <w:rsid w:val="00A3293A"/>
    <w:rsid w:val="00A32EAA"/>
    <w:rsid w:val="00A34364"/>
    <w:rsid w:val="00A431FD"/>
    <w:rsid w:val="00A4762F"/>
    <w:rsid w:val="00A6161B"/>
    <w:rsid w:val="00A66792"/>
    <w:rsid w:val="00A80632"/>
    <w:rsid w:val="00AA1B45"/>
    <w:rsid w:val="00AC1731"/>
    <w:rsid w:val="00AC449C"/>
    <w:rsid w:val="00AE1332"/>
    <w:rsid w:val="00AE2136"/>
    <w:rsid w:val="00AE77C6"/>
    <w:rsid w:val="00B011E8"/>
    <w:rsid w:val="00B1265D"/>
    <w:rsid w:val="00B26704"/>
    <w:rsid w:val="00B34F57"/>
    <w:rsid w:val="00B53B5E"/>
    <w:rsid w:val="00B560FA"/>
    <w:rsid w:val="00B57B17"/>
    <w:rsid w:val="00B67C3D"/>
    <w:rsid w:val="00B70A55"/>
    <w:rsid w:val="00B74DB1"/>
    <w:rsid w:val="00B8119C"/>
    <w:rsid w:val="00B833B2"/>
    <w:rsid w:val="00BA7289"/>
    <w:rsid w:val="00BB3716"/>
    <w:rsid w:val="00BC7846"/>
    <w:rsid w:val="00BD0DB6"/>
    <w:rsid w:val="00BE6D72"/>
    <w:rsid w:val="00C00B23"/>
    <w:rsid w:val="00C04B05"/>
    <w:rsid w:val="00C13F97"/>
    <w:rsid w:val="00C2605A"/>
    <w:rsid w:val="00C31A61"/>
    <w:rsid w:val="00C52EA3"/>
    <w:rsid w:val="00C56135"/>
    <w:rsid w:val="00C62DAD"/>
    <w:rsid w:val="00C63B23"/>
    <w:rsid w:val="00C67BB6"/>
    <w:rsid w:val="00C9132A"/>
    <w:rsid w:val="00C926FD"/>
    <w:rsid w:val="00CB6E1A"/>
    <w:rsid w:val="00CC19A7"/>
    <w:rsid w:val="00CD0867"/>
    <w:rsid w:val="00CF2066"/>
    <w:rsid w:val="00CF26E2"/>
    <w:rsid w:val="00CF44C6"/>
    <w:rsid w:val="00CF53AC"/>
    <w:rsid w:val="00D05ECB"/>
    <w:rsid w:val="00D17BED"/>
    <w:rsid w:val="00D17FF7"/>
    <w:rsid w:val="00D257CD"/>
    <w:rsid w:val="00D26208"/>
    <w:rsid w:val="00D35F17"/>
    <w:rsid w:val="00D422B4"/>
    <w:rsid w:val="00D430A2"/>
    <w:rsid w:val="00D45550"/>
    <w:rsid w:val="00D4692B"/>
    <w:rsid w:val="00D60A41"/>
    <w:rsid w:val="00D65E73"/>
    <w:rsid w:val="00D664EC"/>
    <w:rsid w:val="00D6686C"/>
    <w:rsid w:val="00D702C5"/>
    <w:rsid w:val="00D71E55"/>
    <w:rsid w:val="00D775CB"/>
    <w:rsid w:val="00D964D3"/>
    <w:rsid w:val="00DA0346"/>
    <w:rsid w:val="00DA39C2"/>
    <w:rsid w:val="00DA3DD3"/>
    <w:rsid w:val="00DA6B48"/>
    <w:rsid w:val="00DC5B09"/>
    <w:rsid w:val="00DC7F6B"/>
    <w:rsid w:val="00DD0ED0"/>
    <w:rsid w:val="00DE646A"/>
    <w:rsid w:val="00DF4AC9"/>
    <w:rsid w:val="00E13105"/>
    <w:rsid w:val="00E25A28"/>
    <w:rsid w:val="00E27F72"/>
    <w:rsid w:val="00E42CF4"/>
    <w:rsid w:val="00E54BB8"/>
    <w:rsid w:val="00E56474"/>
    <w:rsid w:val="00E74D8F"/>
    <w:rsid w:val="00E7756A"/>
    <w:rsid w:val="00E95816"/>
    <w:rsid w:val="00E97598"/>
    <w:rsid w:val="00EA6175"/>
    <w:rsid w:val="00EB30BA"/>
    <w:rsid w:val="00EB6643"/>
    <w:rsid w:val="00EB680A"/>
    <w:rsid w:val="00EC0855"/>
    <w:rsid w:val="00EC1856"/>
    <w:rsid w:val="00EC3373"/>
    <w:rsid w:val="00ED1634"/>
    <w:rsid w:val="00EE4EAD"/>
    <w:rsid w:val="00F0104C"/>
    <w:rsid w:val="00F117D7"/>
    <w:rsid w:val="00F14F0D"/>
    <w:rsid w:val="00F57793"/>
    <w:rsid w:val="00F71E77"/>
    <w:rsid w:val="00F744FD"/>
    <w:rsid w:val="00F75E18"/>
    <w:rsid w:val="00F83858"/>
    <w:rsid w:val="00F84FE8"/>
    <w:rsid w:val="00F87E97"/>
    <w:rsid w:val="00F93B73"/>
    <w:rsid w:val="00FA20EB"/>
    <w:rsid w:val="00FA66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6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D08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A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67"/>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DF4AC9"/>
    <w:rPr>
      <w:rFonts w:ascii="Arial" w:eastAsia="Times New Roman" w:hAnsi="Arial" w:cs="Arial"/>
      <w:b/>
      <w:bCs/>
      <w:i/>
      <w:iCs/>
      <w:sz w:val="28"/>
      <w:szCs w:val="28"/>
      <w:lang w:eastAsia="lv-LV"/>
    </w:rPr>
  </w:style>
  <w:style w:type="character" w:customStyle="1" w:styleId="spelle">
    <w:name w:val="spelle"/>
    <w:basedOn w:val="DefaultParagraphFont"/>
    <w:rsid w:val="00DF4AC9"/>
  </w:style>
  <w:style w:type="paragraph" w:styleId="BodyText2">
    <w:name w:val="Body Text 2"/>
    <w:basedOn w:val="Normal"/>
    <w:link w:val="BodyText2Char"/>
    <w:rsid w:val="00C2605A"/>
    <w:pPr>
      <w:spacing w:after="120" w:line="480" w:lineRule="auto"/>
    </w:pPr>
    <w:rPr>
      <w:rFonts w:ascii="RimTimes" w:hAnsi="RimTimes"/>
      <w:szCs w:val="20"/>
      <w:lang w:eastAsia="en-US"/>
    </w:rPr>
  </w:style>
  <w:style w:type="character" w:customStyle="1" w:styleId="BodyText2Char">
    <w:name w:val="Body Text 2 Char"/>
    <w:basedOn w:val="DefaultParagraphFont"/>
    <w:link w:val="BodyText2"/>
    <w:rsid w:val="00C2605A"/>
    <w:rPr>
      <w:rFonts w:ascii="RimTimes" w:eastAsia="Times New Roman" w:hAnsi="RimTimes" w:cs="Times New Roman"/>
      <w:sz w:val="24"/>
      <w:szCs w:val="20"/>
    </w:rPr>
  </w:style>
  <w:style w:type="paragraph" w:styleId="ListParagraph">
    <w:name w:val="List Paragraph"/>
    <w:basedOn w:val="Normal"/>
    <w:uiPriority w:val="34"/>
    <w:qFormat/>
    <w:rsid w:val="00D6686C"/>
    <w:pPr>
      <w:ind w:left="720"/>
      <w:contextualSpacing/>
    </w:pPr>
  </w:style>
  <w:style w:type="table" w:styleId="TableGrid">
    <w:name w:val="Table Grid"/>
    <w:basedOn w:val="TableNormal"/>
    <w:uiPriority w:val="59"/>
    <w:rsid w:val="00306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FA9"/>
    <w:rPr>
      <w:rFonts w:ascii="Tahoma" w:hAnsi="Tahoma" w:cs="Tahoma"/>
      <w:sz w:val="16"/>
      <w:szCs w:val="16"/>
    </w:rPr>
  </w:style>
  <w:style w:type="character" w:customStyle="1" w:styleId="BalloonTextChar">
    <w:name w:val="Balloon Text Char"/>
    <w:basedOn w:val="DefaultParagraphFont"/>
    <w:link w:val="BalloonText"/>
    <w:uiPriority w:val="99"/>
    <w:semiHidden/>
    <w:rsid w:val="00273FA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117D7"/>
    <w:rPr>
      <w:sz w:val="16"/>
      <w:szCs w:val="16"/>
    </w:rPr>
  </w:style>
  <w:style w:type="paragraph" w:styleId="CommentText">
    <w:name w:val="annotation text"/>
    <w:basedOn w:val="Normal"/>
    <w:link w:val="CommentTextChar"/>
    <w:uiPriority w:val="99"/>
    <w:semiHidden/>
    <w:unhideWhenUsed/>
    <w:rsid w:val="00F117D7"/>
    <w:rPr>
      <w:sz w:val="20"/>
      <w:szCs w:val="20"/>
    </w:rPr>
  </w:style>
  <w:style w:type="character" w:customStyle="1" w:styleId="CommentTextChar">
    <w:name w:val="Comment Text Char"/>
    <w:basedOn w:val="DefaultParagraphFont"/>
    <w:link w:val="CommentText"/>
    <w:uiPriority w:val="99"/>
    <w:semiHidden/>
    <w:rsid w:val="00F117D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7D7"/>
    <w:rPr>
      <w:b/>
      <w:bCs/>
    </w:rPr>
  </w:style>
  <w:style w:type="character" w:customStyle="1" w:styleId="CommentSubjectChar">
    <w:name w:val="Comment Subject Char"/>
    <w:basedOn w:val="CommentTextChar"/>
    <w:link w:val="CommentSubject"/>
    <w:uiPriority w:val="99"/>
    <w:semiHidden/>
    <w:rsid w:val="00F117D7"/>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6469FC"/>
    <w:pPr>
      <w:tabs>
        <w:tab w:val="center" w:pos="4153"/>
        <w:tab w:val="right" w:pos="8306"/>
      </w:tabs>
    </w:pPr>
  </w:style>
  <w:style w:type="character" w:customStyle="1" w:styleId="HeaderChar">
    <w:name w:val="Header Char"/>
    <w:basedOn w:val="DefaultParagraphFont"/>
    <w:link w:val="Header"/>
    <w:uiPriority w:val="99"/>
    <w:rsid w:val="006469F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69FC"/>
    <w:pPr>
      <w:tabs>
        <w:tab w:val="center" w:pos="4153"/>
        <w:tab w:val="right" w:pos="8306"/>
      </w:tabs>
    </w:pPr>
  </w:style>
  <w:style w:type="character" w:customStyle="1" w:styleId="FooterChar">
    <w:name w:val="Footer Char"/>
    <w:basedOn w:val="DefaultParagraphFont"/>
    <w:link w:val="Footer"/>
    <w:uiPriority w:val="99"/>
    <w:rsid w:val="006469FC"/>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857549"/>
    <w:rPr>
      <w:sz w:val="20"/>
      <w:szCs w:val="20"/>
    </w:rPr>
  </w:style>
  <w:style w:type="character" w:customStyle="1" w:styleId="FootnoteTextChar">
    <w:name w:val="Footnote Text Char"/>
    <w:basedOn w:val="DefaultParagraphFont"/>
    <w:link w:val="FootnoteText"/>
    <w:semiHidden/>
    <w:rsid w:val="00857549"/>
    <w:rPr>
      <w:rFonts w:ascii="Times New Roman" w:eastAsia="Times New Roman" w:hAnsi="Times New Roman" w:cs="Times New Roman"/>
      <w:sz w:val="20"/>
      <w:szCs w:val="20"/>
      <w:lang w:eastAsia="lv-LV"/>
    </w:rPr>
  </w:style>
  <w:style w:type="character" w:styleId="FootnoteReference">
    <w:name w:val="footnote reference"/>
    <w:semiHidden/>
    <w:rsid w:val="00857549"/>
    <w:rPr>
      <w:vertAlign w:val="superscript"/>
    </w:rPr>
  </w:style>
  <w:style w:type="paragraph" w:customStyle="1" w:styleId="naisf">
    <w:name w:val="naisf"/>
    <w:basedOn w:val="Normal"/>
    <w:link w:val="naisfChar"/>
    <w:uiPriority w:val="99"/>
    <w:rsid w:val="00857549"/>
    <w:pPr>
      <w:spacing w:before="75" w:after="75"/>
      <w:ind w:firstLine="375"/>
      <w:jc w:val="both"/>
    </w:pPr>
  </w:style>
  <w:style w:type="character" w:customStyle="1" w:styleId="naisfChar">
    <w:name w:val="naisf Char"/>
    <w:link w:val="naisf"/>
    <w:locked/>
    <w:rsid w:val="00857549"/>
    <w:rPr>
      <w:rFonts w:ascii="Times New Roman" w:eastAsia="Times New Roman" w:hAnsi="Times New Roman" w:cs="Times New Roman"/>
      <w:sz w:val="24"/>
      <w:szCs w:val="24"/>
      <w:lang w:eastAsia="lv-LV"/>
    </w:rPr>
  </w:style>
  <w:style w:type="character" w:styleId="Hyperlink">
    <w:name w:val="Hyperlink"/>
    <w:uiPriority w:val="99"/>
    <w:rsid w:val="00362A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6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D08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A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67"/>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DF4AC9"/>
    <w:rPr>
      <w:rFonts w:ascii="Arial" w:eastAsia="Times New Roman" w:hAnsi="Arial" w:cs="Arial"/>
      <w:b/>
      <w:bCs/>
      <w:i/>
      <w:iCs/>
      <w:sz w:val="28"/>
      <w:szCs w:val="28"/>
      <w:lang w:eastAsia="lv-LV"/>
    </w:rPr>
  </w:style>
  <w:style w:type="character" w:customStyle="1" w:styleId="spelle">
    <w:name w:val="spelle"/>
    <w:basedOn w:val="DefaultParagraphFont"/>
    <w:rsid w:val="00DF4AC9"/>
  </w:style>
  <w:style w:type="paragraph" w:styleId="BodyText2">
    <w:name w:val="Body Text 2"/>
    <w:basedOn w:val="Normal"/>
    <w:link w:val="BodyText2Char"/>
    <w:rsid w:val="00C2605A"/>
    <w:pPr>
      <w:spacing w:after="120" w:line="480" w:lineRule="auto"/>
    </w:pPr>
    <w:rPr>
      <w:rFonts w:ascii="RimTimes" w:hAnsi="RimTimes"/>
      <w:szCs w:val="20"/>
      <w:lang w:eastAsia="en-US"/>
    </w:rPr>
  </w:style>
  <w:style w:type="character" w:customStyle="1" w:styleId="BodyText2Char">
    <w:name w:val="Body Text 2 Char"/>
    <w:basedOn w:val="DefaultParagraphFont"/>
    <w:link w:val="BodyText2"/>
    <w:rsid w:val="00C2605A"/>
    <w:rPr>
      <w:rFonts w:ascii="RimTimes" w:eastAsia="Times New Roman" w:hAnsi="RimTimes" w:cs="Times New Roman"/>
      <w:sz w:val="24"/>
      <w:szCs w:val="20"/>
    </w:rPr>
  </w:style>
  <w:style w:type="paragraph" w:styleId="ListParagraph">
    <w:name w:val="List Paragraph"/>
    <w:basedOn w:val="Normal"/>
    <w:uiPriority w:val="34"/>
    <w:qFormat/>
    <w:rsid w:val="00D6686C"/>
    <w:pPr>
      <w:ind w:left="720"/>
      <w:contextualSpacing/>
    </w:pPr>
  </w:style>
  <w:style w:type="table" w:styleId="TableGrid">
    <w:name w:val="Table Grid"/>
    <w:basedOn w:val="TableNormal"/>
    <w:uiPriority w:val="59"/>
    <w:rsid w:val="00306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FA9"/>
    <w:rPr>
      <w:rFonts w:ascii="Tahoma" w:hAnsi="Tahoma" w:cs="Tahoma"/>
      <w:sz w:val="16"/>
      <w:szCs w:val="16"/>
    </w:rPr>
  </w:style>
  <w:style w:type="character" w:customStyle="1" w:styleId="BalloonTextChar">
    <w:name w:val="Balloon Text Char"/>
    <w:basedOn w:val="DefaultParagraphFont"/>
    <w:link w:val="BalloonText"/>
    <w:uiPriority w:val="99"/>
    <w:semiHidden/>
    <w:rsid w:val="00273FA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117D7"/>
    <w:rPr>
      <w:sz w:val="16"/>
      <w:szCs w:val="16"/>
    </w:rPr>
  </w:style>
  <w:style w:type="paragraph" w:styleId="CommentText">
    <w:name w:val="annotation text"/>
    <w:basedOn w:val="Normal"/>
    <w:link w:val="CommentTextChar"/>
    <w:uiPriority w:val="99"/>
    <w:semiHidden/>
    <w:unhideWhenUsed/>
    <w:rsid w:val="00F117D7"/>
    <w:rPr>
      <w:sz w:val="20"/>
      <w:szCs w:val="20"/>
    </w:rPr>
  </w:style>
  <w:style w:type="character" w:customStyle="1" w:styleId="CommentTextChar">
    <w:name w:val="Comment Text Char"/>
    <w:basedOn w:val="DefaultParagraphFont"/>
    <w:link w:val="CommentText"/>
    <w:uiPriority w:val="99"/>
    <w:semiHidden/>
    <w:rsid w:val="00F117D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7D7"/>
    <w:rPr>
      <w:b/>
      <w:bCs/>
    </w:rPr>
  </w:style>
  <w:style w:type="character" w:customStyle="1" w:styleId="CommentSubjectChar">
    <w:name w:val="Comment Subject Char"/>
    <w:basedOn w:val="CommentTextChar"/>
    <w:link w:val="CommentSubject"/>
    <w:uiPriority w:val="99"/>
    <w:semiHidden/>
    <w:rsid w:val="00F117D7"/>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6469FC"/>
    <w:pPr>
      <w:tabs>
        <w:tab w:val="center" w:pos="4153"/>
        <w:tab w:val="right" w:pos="8306"/>
      </w:tabs>
    </w:pPr>
  </w:style>
  <w:style w:type="character" w:customStyle="1" w:styleId="HeaderChar">
    <w:name w:val="Header Char"/>
    <w:basedOn w:val="DefaultParagraphFont"/>
    <w:link w:val="Header"/>
    <w:uiPriority w:val="99"/>
    <w:rsid w:val="006469F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69FC"/>
    <w:pPr>
      <w:tabs>
        <w:tab w:val="center" w:pos="4153"/>
        <w:tab w:val="right" w:pos="8306"/>
      </w:tabs>
    </w:pPr>
  </w:style>
  <w:style w:type="character" w:customStyle="1" w:styleId="FooterChar">
    <w:name w:val="Footer Char"/>
    <w:basedOn w:val="DefaultParagraphFont"/>
    <w:link w:val="Footer"/>
    <w:uiPriority w:val="99"/>
    <w:rsid w:val="006469FC"/>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857549"/>
    <w:rPr>
      <w:sz w:val="20"/>
      <w:szCs w:val="20"/>
    </w:rPr>
  </w:style>
  <w:style w:type="character" w:customStyle="1" w:styleId="FootnoteTextChar">
    <w:name w:val="Footnote Text Char"/>
    <w:basedOn w:val="DefaultParagraphFont"/>
    <w:link w:val="FootnoteText"/>
    <w:semiHidden/>
    <w:rsid w:val="00857549"/>
    <w:rPr>
      <w:rFonts w:ascii="Times New Roman" w:eastAsia="Times New Roman" w:hAnsi="Times New Roman" w:cs="Times New Roman"/>
      <w:sz w:val="20"/>
      <w:szCs w:val="20"/>
      <w:lang w:eastAsia="lv-LV"/>
    </w:rPr>
  </w:style>
  <w:style w:type="character" w:styleId="FootnoteReference">
    <w:name w:val="footnote reference"/>
    <w:semiHidden/>
    <w:rsid w:val="00857549"/>
    <w:rPr>
      <w:vertAlign w:val="superscript"/>
    </w:rPr>
  </w:style>
  <w:style w:type="paragraph" w:customStyle="1" w:styleId="naisf">
    <w:name w:val="naisf"/>
    <w:basedOn w:val="Normal"/>
    <w:link w:val="naisfChar"/>
    <w:uiPriority w:val="99"/>
    <w:rsid w:val="00857549"/>
    <w:pPr>
      <w:spacing w:before="75" w:after="75"/>
      <w:ind w:firstLine="375"/>
      <w:jc w:val="both"/>
    </w:pPr>
  </w:style>
  <w:style w:type="character" w:customStyle="1" w:styleId="naisfChar">
    <w:name w:val="naisf Char"/>
    <w:link w:val="naisf"/>
    <w:locked/>
    <w:rsid w:val="00857549"/>
    <w:rPr>
      <w:rFonts w:ascii="Times New Roman" w:eastAsia="Times New Roman" w:hAnsi="Times New Roman" w:cs="Times New Roman"/>
      <w:sz w:val="24"/>
      <w:szCs w:val="24"/>
      <w:lang w:eastAsia="lv-LV"/>
    </w:rPr>
  </w:style>
  <w:style w:type="character" w:styleId="Hyperlink">
    <w:name w:val="Hyperlink"/>
    <w:uiPriority w:val="99"/>
    <w:rsid w:val="0036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9">
      <w:bodyDiv w:val="1"/>
      <w:marLeft w:val="0"/>
      <w:marRight w:val="0"/>
      <w:marTop w:val="0"/>
      <w:marBottom w:val="0"/>
      <w:divBdr>
        <w:top w:val="none" w:sz="0" w:space="0" w:color="auto"/>
        <w:left w:val="none" w:sz="0" w:space="0" w:color="auto"/>
        <w:bottom w:val="none" w:sz="0" w:space="0" w:color="auto"/>
        <w:right w:val="none" w:sz="0" w:space="0" w:color="auto"/>
      </w:divBdr>
    </w:div>
    <w:div w:id="333607625">
      <w:bodyDiv w:val="1"/>
      <w:marLeft w:val="0"/>
      <w:marRight w:val="0"/>
      <w:marTop w:val="0"/>
      <w:marBottom w:val="0"/>
      <w:divBdr>
        <w:top w:val="none" w:sz="0" w:space="0" w:color="auto"/>
        <w:left w:val="none" w:sz="0" w:space="0" w:color="auto"/>
        <w:bottom w:val="none" w:sz="0" w:space="0" w:color="auto"/>
        <w:right w:val="none" w:sz="0" w:space="0" w:color="auto"/>
      </w:divBdr>
    </w:div>
    <w:div w:id="452098545">
      <w:bodyDiv w:val="1"/>
      <w:marLeft w:val="0"/>
      <w:marRight w:val="0"/>
      <w:marTop w:val="0"/>
      <w:marBottom w:val="0"/>
      <w:divBdr>
        <w:top w:val="none" w:sz="0" w:space="0" w:color="auto"/>
        <w:left w:val="none" w:sz="0" w:space="0" w:color="auto"/>
        <w:bottom w:val="none" w:sz="0" w:space="0" w:color="auto"/>
        <w:right w:val="none" w:sz="0" w:space="0" w:color="auto"/>
      </w:divBdr>
    </w:div>
    <w:div w:id="524097162">
      <w:bodyDiv w:val="1"/>
      <w:marLeft w:val="0"/>
      <w:marRight w:val="0"/>
      <w:marTop w:val="0"/>
      <w:marBottom w:val="0"/>
      <w:divBdr>
        <w:top w:val="none" w:sz="0" w:space="0" w:color="auto"/>
        <w:left w:val="none" w:sz="0" w:space="0" w:color="auto"/>
        <w:bottom w:val="none" w:sz="0" w:space="0" w:color="auto"/>
        <w:right w:val="none" w:sz="0" w:space="0" w:color="auto"/>
      </w:divBdr>
    </w:div>
    <w:div w:id="552624579">
      <w:bodyDiv w:val="1"/>
      <w:marLeft w:val="0"/>
      <w:marRight w:val="0"/>
      <w:marTop w:val="0"/>
      <w:marBottom w:val="0"/>
      <w:divBdr>
        <w:top w:val="none" w:sz="0" w:space="0" w:color="auto"/>
        <w:left w:val="none" w:sz="0" w:space="0" w:color="auto"/>
        <w:bottom w:val="none" w:sz="0" w:space="0" w:color="auto"/>
        <w:right w:val="none" w:sz="0" w:space="0" w:color="auto"/>
      </w:divBdr>
    </w:div>
    <w:div w:id="699862843">
      <w:bodyDiv w:val="1"/>
      <w:marLeft w:val="0"/>
      <w:marRight w:val="0"/>
      <w:marTop w:val="0"/>
      <w:marBottom w:val="0"/>
      <w:divBdr>
        <w:top w:val="none" w:sz="0" w:space="0" w:color="auto"/>
        <w:left w:val="none" w:sz="0" w:space="0" w:color="auto"/>
        <w:bottom w:val="none" w:sz="0" w:space="0" w:color="auto"/>
        <w:right w:val="none" w:sz="0" w:space="0" w:color="auto"/>
      </w:divBdr>
    </w:div>
    <w:div w:id="703332409">
      <w:bodyDiv w:val="1"/>
      <w:marLeft w:val="0"/>
      <w:marRight w:val="0"/>
      <w:marTop w:val="0"/>
      <w:marBottom w:val="0"/>
      <w:divBdr>
        <w:top w:val="none" w:sz="0" w:space="0" w:color="auto"/>
        <w:left w:val="none" w:sz="0" w:space="0" w:color="auto"/>
        <w:bottom w:val="none" w:sz="0" w:space="0" w:color="auto"/>
        <w:right w:val="none" w:sz="0" w:space="0" w:color="auto"/>
      </w:divBdr>
    </w:div>
    <w:div w:id="933779039">
      <w:bodyDiv w:val="1"/>
      <w:marLeft w:val="0"/>
      <w:marRight w:val="0"/>
      <w:marTop w:val="0"/>
      <w:marBottom w:val="0"/>
      <w:divBdr>
        <w:top w:val="none" w:sz="0" w:space="0" w:color="auto"/>
        <w:left w:val="none" w:sz="0" w:space="0" w:color="auto"/>
        <w:bottom w:val="none" w:sz="0" w:space="0" w:color="auto"/>
        <w:right w:val="none" w:sz="0" w:space="0" w:color="auto"/>
      </w:divBdr>
    </w:div>
    <w:div w:id="1201168657">
      <w:bodyDiv w:val="1"/>
      <w:marLeft w:val="0"/>
      <w:marRight w:val="0"/>
      <w:marTop w:val="0"/>
      <w:marBottom w:val="0"/>
      <w:divBdr>
        <w:top w:val="none" w:sz="0" w:space="0" w:color="auto"/>
        <w:left w:val="none" w:sz="0" w:space="0" w:color="auto"/>
        <w:bottom w:val="none" w:sz="0" w:space="0" w:color="auto"/>
        <w:right w:val="none" w:sz="0" w:space="0" w:color="auto"/>
      </w:divBdr>
    </w:div>
    <w:div w:id="1355502686">
      <w:bodyDiv w:val="1"/>
      <w:marLeft w:val="0"/>
      <w:marRight w:val="0"/>
      <w:marTop w:val="0"/>
      <w:marBottom w:val="0"/>
      <w:divBdr>
        <w:top w:val="none" w:sz="0" w:space="0" w:color="auto"/>
        <w:left w:val="none" w:sz="0" w:space="0" w:color="auto"/>
        <w:bottom w:val="none" w:sz="0" w:space="0" w:color="auto"/>
        <w:right w:val="none" w:sz="0" w:space="0" w:color="auto"/>
      </w:divBdr>
    </w:div>
    <w:div w:id="1518428904">
      <w:bodyDiv w:val="1"/>
      <w:marLeft w:val="0"/>
      <w:marRight w:val="0"/>
      <w:marTop w:val="0"/>
      <w:marBottom w:val="0"/>
      <w:divBdr>
        <w:top w:val="none" w:sz="0" w:space="0" w:color="auto"/>
        <w:left w:val="none" w:sz="0" w:space="0" w:color="auto"/>
        <w:bottom w:val="none" w:sz="0" w:space="0" w:color="auto"/>
        <w:right w:val="none" w:sz="0" w:space="0" w:color="auto"/>
      </w:divBdr>
    </w:div>
    <w:div w:id="1560244122">
      <w:bodyDiv w:val="1"/>
      <w:marLeft w:val="0"/>
      <w:marRight w:val="0"/>
      <w:marTop w:val="0"/>
      <w:marBottom w:val="0"/>
      <w:divBdr>
        <w:top w:val="none" w:sz="0" w:space="0" w:color="auto"/>
        <w:left w:val="none" w:sz="0" w:space="0" w:color="auto"/>
        <w:bottom w:val="none" w:sz="0" w:space="0" w:color="auto"/>
        <w:right w:val="none" w:sz="0" w:space="0" w:color="auto"/>
      </w:divBdr>
    </w:div>
    <w:div w:id="1590507738">
      <w:bodyDiv w:val="1"/>
      <w:marLeft w:val="0"/>
      <w:marRight w:val="0"/>
      <w:marTop w:val="0"/>
      <w:marBottom w:val="0"/>
      <w:divBdr>
        <w:top w:val="none" w:sz="0" w:space="0" w:color="auto"/>
        <w:left w:val="none" w:sz="0" w:space="0" w:color="auto"/>
        <w:bottom w:val="none" w:sz="0" w:space="0" w:color="auto"/>
        <w:right w:val="none" w:sz="0" w:space="0" w:color="auto"/>
      </w:divBdr>
    </w:div>
    <w:div w:id="1628664896">
      <w:bodyDiv w:val="1"/>
      <w:marLeft w:val="0"/>
      <w:marRight w:val="0"/>
      <w:marTop w:val="0"/>
      <w:marBottom w:val="0"/>
      <w:divBdr>
        <w:top w:val="none" w:sz="0" w:space="0" w:color="auto"/>
        <w:left w:val="none" w:sz="0" w:space="0" w:color="auto"/>
        <w:bottom w:val="none" w:sz="0" w:space="0" w:color="auto"/>
        <w:right w:val="none" w:sz="0" w:space="0" w:color="auto"/>
      </w:divBdr>
    </w:div>
    <w:div w:id="1641688385">
      <w:bodyDiv w:val="1"/>
      <w:marLeft w:val="0"/>
      <w:marRight w:val="0"/>
      <w:marTop w:val="0"/>
      <w:marBottom w:val="0"/>
      <w:divBdr>
        <w:top w:val="none" w:sz="0" w:space="0" w:color="auto"/>
        <w:left w:val="none" w:sz="0" w:space="0" w:color="auto"/>
        <w:bottom w:val="none" w:sz="0" w:space="0" w:color="auto"/>
        <w:right w:val="none" w:sz="0" w:space="0" w:color="auto"/>
      </w:divBdr>
    </w:div>
    <w:div w:id="1658726809">
      <w:bodyDiv w:val="1"/>
      <w:marLeft w:val="0"/>
      <w:marRight w:val="0"/>
      <w:marTop w:val="0"/>
      <w:marBottom w:val="0"/>
      <w:divBdr>
        <w:top w:val="none" w:sz="0" w:space="0" w:color="auto"/>
        <w:left w:val="none" w:sz="0" w:space="0" w:color="auto"/>
        <w:bottom w:val="none" w:sz="0" w:space="0" w:color="auto"/>
        <w:right w:val="none" w:sz="0" w:space="0" w:color="auto"/>
      </w:divBdr>
    </w:div>
    <w:div w:id="1664699246">
      <w:bodyDiv w:val="1"/>
      <w:marLeft w:val="0"/>
      <w:marRight w:val="0"/>
      <w:marTop w:val="0"/>
      <w:marBottom w:val="0"/>
      <w:divBdr>
        <w:top w:val="none" w:sz="0" w:space="0" w:color="auto"/>
        <w:left w:val="none" w:sz="0" w:space="0" w:color="auto"/>
        <w:bottom w:val="none" w:sz="0" w:space="0" w:color="auto"/>
        <w:right w:val="none" w:sz="0" w:space="0" w:color="auto"/>
      </w:divBdr>
    </w:div>
    <w:div w:id="1678463243">
      <w:bodyDiv w:val="1"/>
      <w:marLeft w:val="0"/>
      <w:marRight w:val="0"/>
      <w:marTop w:val="0"/>
      <w:marBottom w:val="0"/>
      <w:divBdr>
        <w:top w:val="none" w:sz="0" w:space="0" w:color="auto"/>
        <w:left w:val="none" w:sz="0" w:space="0" w:color="auto"/>
        <w:bottom w:val="none" w:sz="0" w:space="0" w:color="auto"/>
        <w:right w:val="none" w:sz="0" w:space="0" w:color="auto"/>
      </w:divBdr>
    </w:div>
    <w:div w:id="1706786336">
      <w:bodyDiv w:val="1"/>
      <w:marLeft w:val="0"/>
      <w:marRight w:val="0"/>
      <w:marTop w:val="0"/>
      <w:marBottom w:val="0"/>
      <w:divBdr>
        <w:top w:val="none" w:sz="0" w:space="0" w:color="auto"/>
        <w:left w:val="none" w:sz="0" w:space="0" w:color="auto"/>
        <w:bottom w:val="none" w:sz="0" w:space="0" w:color="auto"/>
        <w:right w:val="none" w:sz="0" w:space="0" w:color="auto"/>
      </w:divBdr>
    </w:div>
    <w:div w:id="2008055575">
      <w:bodyDiv w:val="1"/>
      <w:marLeft w:val="0"/>
      <w:marRight w:val="0"/>
      <w:marTop w:val="0"/>
      <w:marBottom w:val="0"/>
      <w:divBdr>
        <w:top w:val="none" w:sz="0" w:space="0" w:color="auto"/>
        <w:left w:val="none" w:sz="0" w:space="0" w:color="auto"/>
        <w:bottom w:val="none" w:sz="0" w:space="0" w:color="auto"/>
        <w:right w:val="none" w:sz="0" w:space="0" w:color="auto"/>
      </w:divBdr>
    </w:div>
    <w:div w:id="20088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mailto:Sandra.Stabina@lm.gov.lv" TargetMode="External"/><Relationship Id="rId23" Type="http://schemas.microsoft.com/office/2011/relationships/commentsExtended" Target="commentsExtended.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ra.stabina\Documents\2015_gads\2_limenis\Zinojums_MK_Aprilis\LM_oblig_apdr_pers_2006-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ndra.stabina\Documents\2015_gads\2_limenis\Zinojums_MK_Aprilis\LM_oblig_apdr_pers_2006-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ndra.stabina\Documents\2015_gads\2_limenis\Zinojums_MK_Aprilis\LM_oblig_apdr_pers_2006-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ndra.stabina\Documents\2015_gads\2_limenis\Zinojums_MK_Aprilis\Sandrai_gra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ndra.stabina\Documents\2015_gads\2_limenis\Zinojums_MK_Aprilis\Sandrai_gra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ndra.stabina\Documents\2015_gads\2_limenis\Zinojums_MK_Aprilis\P2L%20nopelnit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kopa!$A$3</c:f>
              <c:strCache>
                <c:ptCount val="1"/>
                <c:pt idx="0">
                  <c:v>Obligāti sociāli apdrošinātās personas (darba ņēmēji, pašnodarbinātie), tūkst. informācija aktualizēta 2015.g. maijā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numRef>
              <c:f>kopa!$B$2:$H$2</c:f>
              <c:numCache>
                <c:formatCode>General</c:formatCode>
                <c:ptCount val="7"/>
                <c:pt idx="0">
                  <c:v>2008</c:v>
                </c:pt>
                <c:pt idx="1">
                  <c:v>2009</c:v>
                </c:pt>
                <c:pt idx="2">
                  <c:v>2010</c:v>
                </c:pt>
                <c:pt idx="3">
                  <c:v>2011</c:v>
                </c:pt>
                <c:pt idx="4">
                  <c:v>2012</c:v>
                </c:pt>
                <c:pt idx="5">
                  <c:v>2013</c:v>
                </c:pt>
                <c:pt idx="6">
                  <c:v>2014</c:v>
                </c:pt>
              </c:numCache>
            </c:numRef>
          </c:cat>
          <c:val>
            <c:numRef>
              <c:f>kopa!$B$3:$H$3</c:f>
              <c:numCache>
                <c:formatCode>#,##0.0</c:formatCode>
                <c:ptCount val="7"/>
                <c:pt idx="0">
                  <c:v>1121.327</c:v>
                </c:pt>
                <c:pt idx="1">
                  <c:v>1003.976</c:v>
                </c:pt>
                <c:pt idx="2">
                  <c:v>903.66099999999994</c:v>
                </c:pt>
                <c:pt idx="3">
                  <c:v>929.34</c:v>
                </c:pt>
                <c:pt idx="4">
                  <c:v>954.51800000000003</c:v>
                </c:pt>
                <c:pt idx="5">
                  <c:v>978.404</c:v>
                </c:pt>
                <c:pt idx="6">
                  <c:v>992.25699999999995</c:v>
                </c:pt>
              </c:numCache>
            </c:numRef>
          </c:val>
        </c:ser>
        <c:dLbls>
          <c:showLegendKey val="0"/>
          <c:showVal val="1"/>
          <c:showCatName val="0"/>
          <c:showSerName val="0"/>
          <c:showPercent val="0"/>
          <c:showBubbleSize val="0"/>
        </c:dLbls>
        <c:gapWidth val="40"/>
        <c:overlap val="-24"/>
        <c:axId val="100092160"/>
        <c:axId val="100340864"/>
      </c:barChart>
      <c:catAx>
        <c:axId val="100092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340864"/>
        <c:crosses val="autoZero"/>
        <c:auto val="1"/>
        <c:lblAlgn val="ctr"/>
        <c:lblOffset val="100"/>
        <c:noMultiLvlLbl val="0"/>
      </c:catAx>
      <c:valAx>
        <c:axId val="100340864"/>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092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666666666666666E-2"/>
          <c:y val="7.407407407407407E-2"/>
          <c:w val="0.93888888888888888"/>
          <c:h val="0.83309419655876349"/>
        </c:manualLayout>
      </c:layout>
      <c:lineChart>
        <c:grouping val="stacked"/>
        <c:varyColors val="0"/>
        <c:ser>
          <c:idx val="0"/>
          <c:order val="0"/>
          <c:tx>
            <c:strRef>
              <c:f>kopa!$A$7</c:f>
              <c:strCache>
                <c:ptCount val="1"/>
                <c:pt idx="0">
                  <c:v> Vidējā apdrošināšanas iemaksu alga obligāti sociāli apdrošinātās personām (darba ņēmējiem, pašnodarbinātiem), EUR informācija aktualizēta 2015.g. maijā </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1481481481480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558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numRef>
              <c:f>kopa!$B$6:$H$6</c:f>
              <c:numCache>
                <c:formatCode>General</c:formatCode>
                <c:ptCount val="7"/>
                <c:pt idx="0">
                  <c:v>2008</c:v>
                </c:pt>
                <c:pt idx="1">
                  <c:v>2009</c:v>
                </c:pt>
                <c:pt idx="2">
                  <c:v>2010</c:v>
                </c:pt>
                <c:pt idx="3">
                  <c:v>2011</c:v>
                </c:pt>
                <c:pt idx="4">
                  <c:v>2012</c:v>
                </c:pt>
                <c:pt idx="5">
                  <c:v>2013</c:v>
                </c:pt>
                <c:pt idx="6">
                  <c:v>2014</c:v>
                </c:pt>
              </c:numCache>
            </c:numRef>
          </c:cat>
          <c:val>
            <c:numRef>
              <c:f>kopa!$B$7:$H$7</c:f>
              <c:numCache>
                <c:formatCode>#,##0.0</c:formatCode>
                <c:ptCount val="7"/>
                <c:pt idx="0">
                  <c:v>644.79999999999995</c:v>
                </c:pt>
                <c:pt idx="1">
                  <c:v>596.78</c:v>
                </c:pt>
                <c:pt idx="2">
                  <c:v>572.27</c:v>
                </c:pt>
                <c:pt idx="3">
                  <c:v>579.59</c:v>
                </c:pt>
                <c:pt idx="4">
                  <c:v>599.87</c:v>
                </c:pt>
                <c:pt idx="5">
                  <c:v>626.41</c:v>
                </c:pt>
                <c:pt idx="6">
                  <c:v>651.20000000000005</c:v>
                </c:pt>
              </c:numCache>
            </c:numRef>
          </c:val>
          <c:smooth val="0"/>
        </c:ser>
        <c:dLbls>
          <c:showLegendKey val="0"/>
          <c:showVal val="1"/>
          <c:showCatName val="0"/>
          <c:showSerName val="0"/>
          <c:showPercent val="0"/>
          <c:showBubbleSize val="0"/>
        </c:dLbls>
        <c:marker val="1"/>
        <c:smooth val="0"/>
        <c:axId val="100420992"/>
        <c:axId val="100677888"/>
      </c:lineChart>
      <c:catAx>
        <c:axId val="100420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677888"/>
        <c:crosses val="autoZero"/>
        <c:auto val="1"/>
        <c:lblAlgn val="ctr"/>
        <c:lblOffset val="100"/>
        <c:noMultiLvlLbl val="0"/>
      </c:catAx>
      <c:valAx>
        <c:axId val="100677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420992"/>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b="1"/>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91441004006672E-2"/>
          <c:y val="4.0033960955045356E-2"/>
          <c:w val="0.93605114624194607"/>
          <c:h val="0.84284368560892697"/>
        </c:manualLayout>
      </c:layout>
      <c:barChart>
        <c:barDir val="col"/>
        <c:grouping val="clustered"/>
        <c:varyColors val="0"/>
        <c:ser>
          <c:idx val="0"/>
          <c:order val="0"/>
          <c:tx>
            <c:strRef>
              <c:f>kopa!$A$29</c:f>
              <c:strCache>
                <c:ptCount val="1"/>
                <c:pt idx="0">
                  <c:v>ieņēmumi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kopa!$B$28:$H$28</c:f>
              <c:strCache>
                <c:ptCount val="7"/>
                <c:pt idx="0">
                  <c:v>2008.gads</c:v>
                </c:pt>
                <c:pt idx="1">
                  <c:v>2009.gads</c:v>
                </c:pt>
                <c:pt idx="2">
                  <c:v>2010.gads</c:v>
                </c:pt>
                <c:pt idx="3">
                  <c:v>2011.gads</c:v>
                </c:pt>
                <c:pt idx="4">
                  <c:v>2012.gads</c:v>
                </c:pt>
                <c:pt idx="5">
                  <c:v>2013.gads</c:v>
                </c:pt>
                <c:pt idx="6">
                  <c:v>2014.gads</c:v>
                </c:pt>
              </c:strCache>
            </c:strRef>
          </c:cat>
          <c:val>
            <c:numRef>
              <c:f>kopa!$B$29:$H$29</c:f>
              <c:numCache>
                <c:formatCode>#,##0.0</c:formatCode>
                <c:ptCount val="7"/>
                <c:pt idx="0">
                  <c:v>2050.5384061559125</c:v>
                </c:pt>
                <c:pt idx="1">
                  <c:v>1776.3996576570423</c:v>
                </c:pt>
                <c:pt idx="2">
                  <c:v>1676.2908293066062</c:v>
                </c:pt>
                <c:pt idx="3">
                  <c:v>1785.5142941702097</c:v>
                </c:pt>
                <c:pt idx="4">
                  <c:v>1924.6760120887191</c:v>
                </c:pt>
                <c:pt idx="5">
                  <c:v>2036.2561966067353</c:v>
                </c:pt>
                <c:pt idx="6">
                  <c:v>2222.1063290000002</c:v>
                </c:pt>
              </c:numCache>
            </c:numRef>
          </c:val>
        </c:ser>
        <c:ser>
          <c:idx val="1"/>
          <c:order val="1"/>
          <c:tx>
            <c:strRef>
              <c:f>kopa!$A$30</c:f>
              <c:strCache>
                <c:ptCount val="1"/>
                <c:pt idx="0">
                  <c:v>izdevumi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kopa!$B$28:$H$28</c:f>
              <c:strCache>
                <c:ptCount val="7"/>
                <c:pt idx="0">
                  <c:v>2008.gads</c:v>
                </c:pt>
                <c:pt idx="1">
                  <c:v>2009.gads</c:v>
                </c:pt>
                <c:pt idx="2">
                  <c:v>2010.gads</c:v>
                </c:pt>
                <c:pt idx="3">
                  <c:v>2011.gads</c:v>
                </c:pt>
                <c:pt idx="4">
                  <c:v>2012.gads</c:v>
                </c:pt>
                <c:pt idx="5">
                  <c:v>2013.gads</c:v>
                </c:pt>
                <c:pt idx="6">
                  <c:v>2014.gads</c:v>
                </c:pt>
              </c:strCache>
            </c:strRef>
          </c:cat>
          <c:val>
            <c:numRef>
              <c:f>kopa!$B$30:$H$30</c:f>
              <c:numCache>
                <c:formatCode>#,##0.0</c:formatCode>
                <c:ptCount val="7"/>
                <c:pt idx="0">
                  <c:v>1727.1319927035133</c:v>
                </c:pt>
                <c:pt idx="1">
                  <c:v>2079.4880749113554</c:v>
                </c:pt>
                <c:pt idx="2">
                  <c:v>2154.0411522985069</c:v>
                </c:pt>
                <c:pt idx="3">
                  <c:v>1963.1769824872938</c:v>
                </c:pt>
                <c:pt idx="4">
                  <c:v>1995.0797092788318</c:v>
                </c:pt>
                <c:pt idx="5">
                  <c:v>2094.1670792994919</c:v>
                </c:pt>
                <c:pt idx="6">
                  <c:v>2121.7545</c:v>
                </c:pt>
              </c:numCache>
            </c:numRef>
          </c:val>
        </c:ser>
        <c:dLbls>
          <c:showLegendKey val="0"/>
          <c:showVal val="0"/>
          <c:showCatName val="0"/>
          <c:showSerName val="0"/>
          <c:showPercent val="0"/>
          <c:showBubbleSize val="0"/>
        </c:dLbls>
        <c:gapWidth val="29"/>
        <c:overlap val="-4"/>
        <c:axId val="100711808"/>
        <c:axId val="100713600"/>
      </c:barChart>
      <c:lineChart>
        <c:grouping val="stacked"/>
        <c:varyColors val="0"/>
        <c:ser>
          <c:idx val="2"/>
          <c:order val="2"/>
          <c:tx>
            <c:strRef>
              <c:f>kopa!$A$31</c:f>
              <c:strCache>
                <c:ptCount val="1"/>
                <c:pt idx="0">
                  <c:v>finansiālā bilance</c:v>
                </c:pt>
              </c:strCache>
            </c:strRef>
          </c:tx>
          <c:spPr>
            <a:ln w="34925" cap="rnd">
              <a:solidFill>
                <a:schemeClr val="accent3">
                  <a:lumMod val="50000"/>
                </a:schemeClr>
              </a:solidFill>
              <a:round/>
            </a:ln>
            <a:effectLst>
              <a:outerShdw blurRad="40000" dist="23000" dir="5400000" rotWithShape="0">
                <a:srgbClr val="000000">
                  <a:alpha val="35000"/>
                </a:srgbClr>
              </a:outerShdw>
            </a:effectLst>
          </c:spPr>
          <c:marker>
            <c:symbol val="none"/>
          </c:marker>
          <c:cat>
            <c:strRef>
              <c:f>kopa!$B$28:$H$28</c:f>
              <c:strCache>
                <c:ptCount val="7"/>
                <c:pt idx="0">
                  <c:v>2008.gads</c:v>
                </c:pt>
                <c:pt idx="1">
                  <c:v>2009.gads</c:v>
                </c:pt>
                <c:pt idx="2">
                  <c:v>2010.gads</c:v>
                </c:pt>
                <c:pt idx="3">
                  <c:v>2011.gads</c:v>
                </c:pt>
                <c:pt idx="4">
                  <c:v>2012.gads</c:v>
                </c:pt>
                <c:pt idx="5">
                  <c:v>2013.gads</c:v>
                </c:pt>
                <c:pt idx="6">
                  <c:v>2014.gads</c:v>
                </c:pt>
              </c:strCache>
            </c:strRef>
          </c:cat>
          <c:val>
            <c:numRef>
              <c:f>kopa!$B$31:$H$31</c:f>
              <c:numCache>
                <c:formatCode>#,##0.0</c:formatCode>
                <c:ptCount val="7"/>
                <c:pt idx="0">
                  <c:v>323.40641345239919</c:v>
                </c:pt>
                <c:pt idx="1">
                  <c:v>-303.08841725431307</c:v>
                </c:pt>
                <c:pt idx="2">
                  <c:v>-477.7503229919007</c:v>
                </c:pt>
                <c:pt idx="3">
                  <c:v>-177.66268831708408</c:v>
                </c:pt>
                <c:pt idx="4">
                  <c:v>-70.40369719011278</c:v>
                </c:pt>
                <c:pt idx="5">
                  <c:v>-57.910882692756559</c:v>
                </c:pt>
                <c:pt idx="6">
                  <c:v>100.35182900000018</c:v>
                </c:pt>
              </c:numCache>
            </c:numRef>
          </c:val>
          <c:smooth val="0"/>
        </c:ser>
        <c:dLbls>
          <c:showLegendKey val="0"/>
          <c:showVal val="0"/>
          <c:showCatName val="0"/>
          <c:showSerName val="0"/>
          <c:showPercent val="0"/>
          <c:showBubbleSize val="0"/>
        </c:dLbls>
        <c:marker val="1"/>
        <c:smooth val="0"/>
        <c:axId val="100711808"/>
        <c:axId val="100713600"/>
      </c:lineChart>
      <c:catAx>
        <c:axId val="100711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713600"/>
        <c:crosses val="autoZero"/>
        <c:auto val="1"/>
        <c:lblAlgn val="ctr"/>
        <c:lblOffset val="100"/>
        <c:noMultiLvlLbl val="0"/>
      </c:catAx>
      <c:valAx>
        <c:axId val="10071360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71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241379310344827E-2"/>
          <c:y val="7.1552055230888409E-2"/>
          <c:w val="0.95785440613026818"/>
          <c:h val="0.70635128385046253"/>
        </c:manualLayout>
      </c:layout>
      <c:barChart>
        <c:barDir val="col"/>
        <c:grouping val="clustered"/>
        <c:varyColors val="0"/>
        <c:ser>
          <c:idx val="0"/>
          <c:order val="0"/>
          <c:tx>
            <c:strRef>
              <c:f>Sheet1!$A$2</c:f>
              <c:strCache>
                <c:ptCount val="1"/>
                <c:pt idx="0">
                  <c:v>ieņēmumi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strRef>
              <c:f>Sheet1!$B$1:$E$1</c:f>
              <c:strCache>
                <c:ptCount val="4"/>
                <c:pt idx="0">
                  <c:v>2015.gads</c:v>
                </c:pt>
                <c:pt idx="1">
                  <c:v>2016.gads</c:v>
                </c:pt>
                <c:pt idx="2">
                  <c:v>2017.gads</c:v>
                </c:pt>
                <c:pt idx="3">
                  <c:v>2018.gads</c:v>
                </c:pt>
              </c:strCache>
            </c:strRef>
          </c:cat>
          <c:val>
            <c:numRef>
              <c:f>Sheet1!$B$2:$E$2</c:f>
              <c:numCache>
                <c:formatCode>#,##0.0</c:formatCode>
                <c:ptCount val="4"/>
                <c:pt idx="0">
                  <c:v>2309.8982740000001</c:v>
                </c:pt>
                <c:pt idx="1">
                  <c:v>2318.7588099999998</c:v>
                </c:pt>
                <c:pt idx="2">
                  <c:v>2419.8582959999999</c:v>
                </c:pt>
                <c:pt idx="3">
                  <c:v>2541.1048129999999</c:v>
                </c:pt>
              </c:numCache>
            </c:numRef>
          </c:val>
        </c:ser>
        <c:ser>
          <c:idx val="1"/>
          <c:order val="1"/>
          <c:tx>
            <c:strRef>
              <c:f>Sheet1!$A$3</c:f>
              <c:strCache>
                <c:ptCount val="1"/>
                <c:pt idx="0">
                  <c:v>izdevumi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9524091104950787E-17"/>
                  <c:y val="1.60400977182960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00501221478700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20300732887220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3897763578274758E-3"/>
                  <c:y val="2.4060146577444149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strRef>
              <c:f>Sheet1!$B$1:$E$1</c:f>
              <c:strCache>
                <c:ptCount val="4"/>
                <c:pt idx="0">
                  <c:v>2015.gads</c:v>
                </c:pt>
                <c:pt idx="1">
                  <c:v>2016.gads</c:v>
                </c:pt>
                <c:pt idx="2">
                  <c:v>2017.gads</c:v>
                </c:pt>
                <c:pt idx="3">
                  <c:v>2018.gads</c:v>
                </c:pt>
              </c:strCache>
            </c:strRef>
          </c:cat>
          <c:val>
            <c:numRef>
              <c:f>Sheet1!$B$3:$E$3</c:f>
              <c:numCache>
                <c:formatCode>#,##0.0</c:formatCode>
                <c:ptCount val="4"/>
                <c:pt idx="0">
                  <c:v>2147.0322999999999</c:v>
                </c:pt>
                <c:pt idx="1">
                  <c:v>2184.7726120000002</c:v>
                </c:pt>
                <c:pt idx="2">
                  <c:v>2242.0853179999999</c:v>
                </c:pt>
                <c:pt idx="3">
                  <c:v>2313.757861</c:v>
                </c:pt>
              </c:numCache>
            </c:numRef>
          </c:val>
        </c:ser>
        <c:dLbls>
          <c:showLegendKey val="0"/>
          <c:showVal val="1"/>
          <c:showCatName val="0"/>
          <c:showSerName val="0"/>
          <c:showPercent val="0"/>
          <c:showBubbleSize val="0"/>
        </c:dLbls>
        <c:gapWidth val="100"/>
        <c:overlap val="-24"/>
        <c:axId val="100920704"/>
        <c:axId val="100963456"/>
      </c:barChart>
      <c:lineChart>
        <c:grouping val="stacked"/>
        <c:varyColors val="0"/>
        <c:ser>
          <c:idx val="2"/>
          <c:order val="2"/>
          <c:tx>
            <c:strRef>
              <c:f>Sheet1!$A$4</c:f>
              <c:strCache>
                <c:ptCount val="1"/>
                <c:pt idx="0">
                  <c:v>finansiālā bilance</c:v>
                </c:pt>
              </c:strCache>
            </c:strRef>
          </c:tx>
          <c:spPr>
            <a:ln w="34925" cap="rnd">
              <a:solidFill>
                <a:schemeClr val="accent3">
                  <a:lumMod val="50000"/>
                </a:schemeClr>
              </a:solidFill>
              <a:round/>
            </a:ln>
            <a:effectLst>
              <a:outerShdw blurRad="40000" dist="23000" dir="5400000" rotWithShape="0">
                <a:srgbClr val="000000">
                  <a:alpha val="35000"/>
                </a:srgbClr>
              </a:outerShdw>
            </a:effectLst>
          </c:spPr>
          <c:marker>
            <c:symbol val="none"/>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strRef>
              <c:f>Sheet1!$B$1:$E$1</c:f>
              <c:strCache>
                <c:ptCount val="4"/>
                <c:pt idx="0">
                  <c:v>2015.gads</c:v>
                </c:pt>
                <c:pt idx="1">
                  <c:v>2016.gads</c:v>
                </c:pt>
                <c:pt idx="2">
                  <c:v>2017.gads</c:v>
                </c:pt>
                <c:pt idx="3">
                  <c:v>2018.gads</c:v>
                </c:pt>
              </c:strCache>
            </c:strRef>
          </c:cat>
          <c:val>
            <c:numRef>
              <c:f>Sheet1!$B$4:$E$4</c:f>
              <c:numCache>
                <c:formatCode>#,##0.0</c:formatCode>
                <c:ptCount val="4"/>
                <c:pt idx="0">
                  <c:v>162.86597400000028</c:v>
                </c:pt>
                <c:pt idx="1">
                  <c:v>133.9861979999996</c:v>
                </c:pt>
                <c:pt idx="2">
                  <c:v>177.77297799999997</c:v>
                </c:pt>
                <c:pt idx="3">
                  <c:v>227.34695199999987</c:v>
                </c:pt>
              </c:numCache>
            </c:numRef>
          </c:val>
          <c:smooth val="0"/>
        </c:ser>
        <c:dLbls>
          <c:showLegendKey val="0"/>
          <c:showVal val="0"/>
          <c:showCatName val="0"/>
          <c:showSerName val="0"/>
          <c:showPercent val="0"/>
          <c:showBubbleSize val="0"/>
        </c:dLbls>
        <c:marker val="1"/>
        <c:smooth val="0"/>
        <c:axId val="100920704"/>
        <c:axId val="100963456"/>
      </c:lineChart>
      <c:catAx>
        <c:axId val="1009207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100963456"/>
        <c:crosses val="autoZero"/>
        <c:auto val="1"/>
        <c:lblAlgn val="ctr"/>
        <c:lblOffset val="100"/>
        <c:noMultiLvlLbl val="0"/>
      </c:catAx>
      <c:valAx>
        <c:axId val="100963456"/>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092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96916010498688E-2"/>
          <c:y val="6.147934678194044E-2"/>
          <c:w val="0.93888888888888888"/>
          <c:h val="0.8618251681075888"/>
        </c:manualLayout>
      </c:layout>
      <c:lineChart>
        <c:grouping val="standard"/>
        <c:varyColors val="0"/>
        <c:ser>
          <c:idx val="0"/>
          <c:order val="0"/>
          <c:spPr>
            <a:ln w="34925"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1111111111111112E-2"/>
                  <c:y val="-3.0739673390970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2.6897214217098942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strRef>
              <c:f>Sheet1!$A$34:$K$34</c:f>
              <c:strCache>
                <c:ptCount val="11"/>
                <c:pt idx="0">
                  <c:v>uz 01.01.2009.</c:v>
                </c:pt>
                <c:pt idx="1">
                  <c:v>uz 01.01.2010.</c:v>
                </c:pt>
                <c:pt idx="2">
                  <c:v>uz 01.01.2011.</c:v>
                </c:pt>
                <c:pt idx="3">
                  <c:v>uz 01.01.2012.</c:v>
                </c:pt>
                <c:pt idx="4">
                  <c:v>uz 01.01.2013.</c:v>
                </c:pt>
                <c:pt idx="5">
                  <c:v>uz 01.01.2014.</c:v>
                </c:pt>
                <c:pt idx="6">
                  <c:v>uz 01.01.2015.</c:v>
                </c:pt>
                <c:pt idx="7">
                  <c:v>uz 01.01.2016.</c:v>
                </c:pt>
                <c:pt idx="8">
                  <c:v>uz 01.01.2017.</c:v>
                </c:pt>
                <c:pt idx="9">
                  <c:v>uz 01.01.2018.</c:v>
                </c:pt>
                <c:pt idx="10">
                  <c:v>uz 01.01.2019.</c:v>
                </c:pt>
              </c:strCache>
            </c:strRef>
          </c:cat>
          <c:val>
            <c:numRef>
              <c:f>Sheet1!$A$35:$K$35</c:f>
              <c:numCache>
                <c:formatCode>0.0</c:formatCode>
                <c:ptCount val="11"/>
                <c:pt idx="0">
                  <c:v>1353.3</c:v>
                </c:pt>
                <c:pt idx="1">
                  <c:v>1049.7</c:v>
                </c:pt>
                <c:pt idx="2">
                  <c:v>571.9</c:v>
                </c:pt>
                <c:pt idx="3">
                  <c:v>394.4</c:v>
                </c:pt>
                <c:pt idx="4">
                  <c:v>324.10000000000002</c:v>
                </c:pt>
                <c:pt idx="5">
                  <c:v>266.2</c:v>
                </c:pt>
                <c:pt idx="6">
                  <c:v>366.66313700000001</c:v>
                </c:pt>
                <c:pt idx="7">
                  <c:v>529.52911099999994</c:v>
                </c:pt>
                <c:pt idx="8">
                  <c:v>663.515309</c:v>
                </c:pt>
                <c:pt idx="9">
                  <c:v>841.28828699999997</c:v>
                </c:pt>
                <c:pt idx="10">
                  <c:v>1068.635239</c:v>
                </c:pt>
              </c:numCache>
            </c:numRef>
          </c:val>
          <c:smooth val="0"/>
        </c:ser>
        <c:dLbls>
          <c:showLegendKey val="0"/>
          <c:showVal val="1"/>
          <c:showCatName val="0"/>
          <c:showSerName val="0"/>
          <c:showPercent val="0"/>
          <c:showBubbleSize val="0"/>
        </c:dLbls>
        <c:marker val="1"/>
        <c:smooth val="0"/>
        <c:axId val="115433472"/>
        <c:axId val="115436160"/>
      </c:lineChart>
      <c:catAx>
        <c:axId val="1154334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lv-LV"/>
          </a:p>
        </c:txPr>
        <c:crossAx val="115436160"/>
        <c:crosses val="autoZero"/>
        <c:auto val="1"/>
        <c:lblAlgn val="ctr"/>
        <c:lblOffset val="100"/>
        <c:noMultiLvlLbl val="0"/>
      </c:catAx>
      <c:valAx>
        <c:axId val="11543616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15433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866359447004608E-2"/>
          <c:y val="3.247977736023068E-2"/>
          <c:w val="0.93855606758832566"/>
          <c:h val="0.74433995467242853"/>
        </c:manualLayout>
      </c:layout>
      <c:barChart>
        <c:barDir val="col"/>
        <c:grouping val="clustered"/>
        <c:varyColors val="0"/>
        <c:ser>
          <c:idx val="0"/>
          <c:order val="0"/>
          <c:tx>
            <c:strRef>
              <c:f>Sandra!$Q$15</c:f>
              <c:strCache>
                <c:ptCount val="1"/>
                <c:pt idx="0">
                  <c:v>ar 2.līmeņa vidējiem ienesīgumiem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strRef>
              <c:f>Sandra!$P$16:$P$21</c:f>
              <c:strCache>
                <c:ptCount val="6"/>
                <c:pt idx="0">
                  <c:v>par 2009.gadu</c:v>
                </c:pt>
                <c:pt idx="1">
                  <c:v> par 2010.gadu</c:v>
                </c:pt>
                <c:pt idx="2">
                  <c:v>par 2011.gadu</c:v>
                </c:pt>
                <c:pt idx="3">
                  <c:v>par 2012.gadu</c:v>
                </c:pt>
                <c:pt idx="4">
                  <c:v>par 2013.gadu</c:v>
                </c:pt>
                <c:pt idx="5">
                  <c:v>kopā par 2009-2013.gadiem</c:v>
                </c:pt>
              </c:strCache>
            </c:strRef>
          </c:cat>
          <c:val>
            <c:numRef>
              <c:f>Sandra!$Q$16:$Q$21</c:f>
              <c:numCache>
                <c:formatCode>#,##0.0</c:formatCode>
                <c:ptCount val="6"/>
                <c:pt idx="0">
                  <c:v>132.02920232633102</c:v>
                </c:pt>
                <c:pt idx="1">
                  <c:v>106.1738410899778</c:v>
                </c:pt>
                <c:pt idx="2">
                  <c:v>104.09635731698799</c:v>
                </c:pt>
                <c:pt idx="3">
                  <c:v>111.06455593187698</c:v>
                </c:pt>
                <c:pt idx="4">
                  <c:v>160.54644382225598</c:v>
                </c:pt>
                <c:pt idx="5">
                  <c:v>613.9104004874298</c:v>
                </c:pt>
              </c:numCache>
            </c:numRef>
          </c:val>
        </c:ser>
        <c:ser>
          <c:idx val="1"/>
          <c:order val="1"/>
          <c:tx>
            <c:strRef>
              <c:f>Sandra!$R$15</c:f>
              <c:strCache>
                <c:ptCount val="1"/>
                <c:pt idx="0">
                  <c:v>ar 1.līmeņa kapitāla indeksiem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3360433604335644E-3"/>
                  <c:y val="3.13199215487048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92170195765363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92170195765363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8021680216643E-3"/>
                  <c:y val="4.026847056262056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474274506957857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5.369129408349419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0"/>
              </c:ext>
            </c:extLst>
          </c:dLbls>
          <c:cat>
            <c:strRef>
              <c:f>Sandra!$P$16:$P$21</c:f>
              <c:strCache>
                <c:ptCount val="6"/>
                <c:pt idx="0">
                  <c:v>par 2009.gadu</c:v>
                </c:pt>
                <c:pt idx="1">
                  <c:v> par 2010.gadu</c:v>
                </c:pt>
                <c:pt idx="2">
                  <c:v>par 2011.gadu</c:v>
                </c:pt>
                <c:pt idx="3">
                  <c:v>par 2012.gadu</c:v>
                </c:pt>
                <c:pt idx="4">
                  <c:v>par 2013.gadu</c:v>
                </c:pt>
                <c:pt idx="5">
                  <c:v>kopā par 2009-2013.gadiem</c:v>
                </c:pt>
              </c:strCache>
            </c:strRef>
          </c:cat>
          <c:val>
            <c:numRef>
              <c:f>Sandra!$R$16:$R$21</c:f>
              <c:numCache>
                <c:formatCode>#,##0.0</c:formatCode>
                <c:ptCount val="6"/>
                <c:pt idx="0">
                  <c:v>98.07541319596946</c:v>
                </c:pt>
                <c:pt idx="1">
                  <c:v>112.16595357611141</c:v>
                </c:pt>
                <c:pt idx="2">
                  <c:v>116.23481077256461</c:v>
                </c:pt>
                <c:pt idx="3">
                  <c:v>118.53156256574835</c:v>
                </c:pt>
                <c:pt idx="4">
                  <c:v>169.38877050082397</c:v>
                </c:pt>
                <c:pt idx="5">
                  <c:v>614.39651061121776</c:v>
                </c:pt>
              </c:numCache>
            </c:numRef>
          </c:val>
        </c:ser>
        <c:dLbls>
          <c:showLegendKey val="0"/>
          <c:showVal val="1"/>
          <c:showCatName val="0"/>
          <c:showSerName val="0"/>
          <c:showPercent val="0"/>
          <c:showBubbleSize val="0"/>
        </c:dLbls>
        <c:gapWidth val="100"/>
        <c:overlap val="-24"/>
        <c:axId val="115494272"/>
        <c:axId val="115766400"/>
      </c:barChart>
      <c:catAx>
        <c:axId val="1154942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lv-LV"/>
          </a:p>
        </c:txPr>
        <c:crossAx val="115766400"/>
        <c:crosses val="autoZero"/>
        <c:auto val="1"/>
        <c:lblAlgn val="ctr"/>
        <c:lblOffset val="100"/>
        <c:noMultiLvlLbl val="0"/>
      </c:catAx>
      <c:valAx>
        <c:axId val="11576640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15494272"/>
        <c:crosses val="autoZero"/>
        <c:crossBetween val="between"/>
      </c:valAx>
      <c:spPr>
        <a:noFill/>
        <a:ln>
          <a:noFill/>
        </a:ln>
        <a:effectLst/>
      </c:spPr>
    </c:plotArea>
    <c:legend>
      <c:legendPos val="b"/>
      <c:layout>
        <c:manualLayout>
          <c:xMode val="edge"/>
          <c:yMode val="edge"/>
          <c:x val="0.11665578388067345"/>
          <c:y val="0.91909208162626843"/>
          <c:w val="0.76668826152828462"/>
          <c:h val="8.090791837373156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5512-BE26-4E9D-8D10-2F49633D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1784</Words>
  <Characters>12334</Characters>
  <Application>Microsoft Office Word</Application>
  <DocSecurity>0</DocSecurity>
  <Lines>333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Stabina</dc:creator>
  <cp:lastModifiedBy>Inese Upite</cp:lastModifiedBy>
  <cp:revision>3</cp:revision>
  <cp:lastPrinted>2015-06-05T08:48:00Z</cp:lastPrinted>
  <dcterms:created xsi:type="dcterms:W3CDTF">2015-06-12T06:33:00Z</dcterms:created>
  <dcterms:modified xsi:type="dcterms:W3CDTF">2015-06-12T06:34:00Z</dcterms:modified>
</cp:coreProperties>
</file>