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DF" w:rsidRPr="00B57E4B" w:rsidRDefault="00582255" w:rsidP="00EF77C8">
      <w:pPr>
        <w:pStyle w:val="Footer"/>
        <w:tabs>
          <w:tab w:val="clear" w:pos="8306"/>
          <w:tab w:val="right" w:pos="8931"/>
        </w:tabs>
        <w:ind w:left="-142" w:right="-1"/>
        <w:jc w:val="center"/>
        <w:rPr>
          <w:rFonts w:ascii="Times New Roman" w:hAnsi="Times New Roman" w:cs="Times New Roman"/>
          <w:b/>
          <w:sz w:val="24"/>
          <w:szCs w:val="24"/>
        </w:rPr>
      </w:pPr>
      <w:bookmarkStart w:id="0" w:name="OLE_LINK1"/>
      <w:bookmarkStart w:id="1" w:name="OLE_LINK2"/>
      <w:bookmarkStart w:id="2" w:name="OLE_LINK3"/>
      <w:r w:rsidRPr="00B57E4B">
        <w:rPr>
          <w:rFonts w:ascii="Times New Roman" w:hAnsi="Times New Roman" w:cs="Times New Roman"/>
          <w:b/>
          <w:sz w:val="24"/>
          <w:szCs w:val="24"/>
        </w:rPr>
        <w:t>Mini</w:t>
      </w:r>
      <w:r w:rsidR="00E268CA" w:rsidRPr="00B57E4B">
        <w:rPr>
          <w:rFonts w:ascii="Times New Roman" w:hAnsi="Times New Roman" w:cs="Times New Roman"/>
          <w:b/>
          <w:sz w:val="24"/>
          <w:szCs w:val="24"/>
        </w:rPr>
        <w:t>stru kabineta noteikumu projekta</w:t>
      </w:r>
    </w:p>
    <w:p w:rsidR="00582255" w:rsidRPr="00B57E4B" w:rsidRDefault="00E268CA" w:rsidP="000D3F25">
      <w:pPr>
        <w:spacing w:after="0" w:line="240" w:lineRule="auto"/>
        <w:jc w:val="center"/>
        <w:rPr>
          <w:rFonts w:ascii="Times New Roman" w:hAnsi="Times New Roman" w:cs="Times New Roman"/>
          <w:b/>
          <w:sz w:val="24"/>
          <w:szCs w:val="24"/>
        </w:rPr>
      </w:pPr>
      <w:r w:rsidRPr="00B57E4B">
        <w:rPr>
          <w:rFonts w:ascii="Times New Roman" w:hAnsi="Times New Roman" w:cs="Times New Roman"/>
          <w:sz w:val="24"/>
          <w:szCs w:val="24"/>
        </w:rPr>
        <w:t>„</w:t>
      </w:r>
      <w:r w:rsidR="00B57E4B" w:rsidRPr="00B57E4B">
        <w:rPr>
          <w:rFonts w:ascii="Times New Roman" w:hAnsi="Times New Roman" w:cs="Times New Roman"/>
          <w:b/>
          <w:color w:val="000000"/>
          <w:sz w:val="24"/>
          <w:szCs w:val="24"/>
        </w:rPr>
        <w:t>Sabiedriskas nozīmes pakalpojumu sniegšanas saistību uzlikšanas kārtība v</w:t>
      </w:r>
      <w:r w:rsidR="00B57E4B" w:rsidRPr="00B57E4B">
        <w:rPr>
          <w:rFonts w:ascii="Times New Roman" w:hAnsi="Times New Roman" w:cs="Times New Roman"/>
          <w:b/>
          <w:sz w:val="24"/>
          <w:szCs w:val="24"/>
        </w:rPr>
        <w:t>alsts nozīmes civilās aviācijas lidlaukam</w:t>
      </w:r>
      <w:r w:rsidRPr="00B57E4B">
        <w:rPr>
          <w:rFonts w:ascii="Times New Roman" w:hAnsi="Times New Roman" w:cs="Times New Roman"/>
          <w:b/>
          <w:color w:val="000000"/>
          <w:sz w:val="24"/>
          <w:szCs w:val="24"/>
        </w:rPr>
        <w:t>”</w:t>
      </w:r>
      <w:r w:rsidR="00C753CC" w:rsidRPr="00B57E4B">
        <w:rPr>
          <w:rFonts w:ascii="Times New Roman" w:hAnsi="Times New Roman" w:cs="Times New Roman"/>
          <w:b/>
          <w:color w:val="000000"/>
          <w:sz w:val="24"/>
          <w:szCs w:val="24"/>
        </w:rPr>
        <w:t xml:space="preserve"> </w:t>
      </w:r>
      <w:r w:rsidR="00582255" w:rsidRPr="00B57E4B">
        <w:rPr>
          <w:rFonts w:ascii="Times New Roman" w:hAnsi="Times New Roman" w:cs="Times New Roman"/>
          <w:b/>
          <w:sz w:val="24"/>
          <w:szCs w:val="24"/>
        </w:rPr>
        <w:t>sākotnējās ietekmes novērtējuma ziņojums (anotācija)</w:t>
      </w:r>
      <w:bookmarkEnd w:id="0"/>
      <w:bookmarkEnd w:id="1"/>
      <w:bookmarkEnd w:id="2"/>
    </w:p>
    <w:tbl>
      <w:tblPr>
        <w:tblpPr w:leftFromText="180" w:rightFromText="180" w:vertAnchor="text" w:horzAnchor="margin" w:tblpXSpec="center" w:tblpY="149"/>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984"/>
        <w:gridCol w:w="6664"/>
      </w:tblGrid>
      <w:tr w:rsidR="00582255" w:rsidRPr="00884529" w:rsidTr="0021318A">
        <w:trPr>
          <w:trHeight w:val="419"/>
        </w:trPr>
        <w:tc>
          <w:tcPr>
            <w:tcW w:w="5000" w:type="pct"/>
            <w:gridSpan w:val="3"/>
            <w:vAlign w:val="center"/>
          </w:tcPr>
          <w:p w:rsidR="00582255" w:rsidRPr="00884529" w:rsidRDefault="00582255" w:rsidP="000D3F25">
            <w:pPr>
              <w:pStyle w:val="naisnod"/>
              <w:spacing w:before="0" w:beforeAutospacing="0" w:after="0" w:afterAutospacing="0"/>
              <w:ind w:left="57" w:right="57"/>
              <w:jc w:val="center"/>
              <w:rPr>
                <w:b/>
              </w:rPr>
            </w:pPr>
            <w:r w:rsidRPr="00884529">
              <w:rPr>
                <w:b/>
              </w:rPr>
              <w:t>I. Tiesību akta projekta izstrādes nepieciešamība</w:t>
            </w:r>
          </w:p>
        </w:tc>
      </w:tr>
      <w:tr w:rsidR="00ED235A" w:rsidRPr="00884529" w:rsidTr="00EF77C8">
        <w:trPr>
          <w:trHeight w:val="415"/>
        </w:trPr>
        <w:tc>
          <w:tcPr>
            <w:tcW w:w="450" w:type="pct"/>
          </w:tcPr>
          <w:p w:rsidR="00582255" w:rsidRPr="00884529" w:rsidRDefault="00582255" w:rsidP="007F474C">
            <w:pPr>
              <w:pStyle w:val="naiskr"/>
              <w:spacing w:before="0" w:beforeAutospacing="0" w:after="0" w:afterAutospacing="0"/>
              <w:ind w:left="57" w:right="57"/>
              <w:jc w:val="center"/>
            </w:pPr>
            <w:r w:rsidRPr="00884529">
              <w:t>1.</w:t>
            </w:r>
          </w:p>
        </w:tc>
        <w:tc>
          <w:tcPr>
            <w:tcW w:w="1044" w:type="pct"/>
          </w:tcPr>
          <w:p w:rsidR="00582255" w:rsidRPr="00884529" w:rsidRDefault="00582255" w:rsidP="007F474C">
            <w:pPr>
              <w:pStyle w:val="naiskr"/>
              <w:spacing w:before="0" w:beforeAutospacing="0" w:after="0" w:afterAutospacing="0"/>
              <w:ind w:left="57" w:right="57"/>
            </w:pPr>
            <w:r w:rsidRPr="00884529">
              <w:t>Pamatojums</w:t>
            </w:r>
          </w:p>
        </w:tc>
        <w:tc>
          <w:tcPr>
            <w:tcW w:w="3506" w:type="pct"/>
          </w:tcPr>
          <w:p w:rsidR="00EE5508" w:rsidRPr="00884529" w:rsidRDefault="00582255" w:rsidP="00331EA6">
            <w:pPr>
              <w:pStyle w:val="naisc"/>
              <w:spacing w:before="0" w:after="0"/>
              <w:jc w:val="both"/>
              <w:rPr>
                <w:color w:val="000000"/>
              </w:rPr>
            </w:pPr>
            <w:r w:rsidRPr="00884529">
              <w:rPr>
                <w:color w:val="000000"/>
              </w:rPr>
              <w:t>Likuma „Par aviāciju”  27.</w:t>
            </w:r>
            <w:r w:rsidR="00331EA6" w:rsidRPr="00884529">
              <w:rPr>
                <w:color w:val="000000"/>
                <w:kern w:val="26"/>
                <w:vertAlign w:val="superscript"/>
              </w:rPr>
              <w:t>2</w:t>
            </w:r>
            <w:r w:rsidRPr="00884529">
              <w:rPr>
                <w:color w:val="000000"/>
              </w:rPr>
              <w:t xml:space="preserve">panta trešā daļa. </w:t>
            </w:r>
          </w:p>
        </w:tc>
      </w:tr>
      <w:tr w:rsidR="00ED235A" w:rsidRPr="00884529" w:rsidTr="00EF77C8">
        <w:trPr>
          <w:trHeight w:val="472"/>
        </w:trPr>
        <w:tc>
          <w:tcPr>
            <w:tcW w:w="450" w:type="pct"/>
          </w:tcPr>
          <w:p w:rsidR="00582255" w:rsidRPr="00884529" w:rsidRDefault="00582255" w:rsidP="007F474C">
            <w:pPr>
              <w:pStyle w:val="naiskr"/>
              <w:spacing w:before="0" w:beforeAutospacing="0" w:after="0" w:afterAutospacing="0"/>
              <w:ind w:left="57" w:right="57"/>
              <w:jc w:val="center"/>
            </w:pPr>
            <w:r w:rsidRPr="00884529">
              <w:t>2.</w:t>
            </w:r>
          </w:p>
        </w:tc>
        <w:tc>
          <w:tcPr>
            <w:tcW w:w="1044" w:type="pct"/>
          </w:tcPr>
          <w:p w:rsidR="00582255" w:rsidRPr="00884529" w:rsidRDefault="00582255" w:rsidP="007F474C">
            <w:pPr>
              <w:pStyle w:val="naiskr"/>
              <w:tabs>
                <w:tab w:val="left" w:pos="170"/>
              </w:tabs>
              <w:spacing w:before="0" w:beforeAutospacing="0" w:after="0" w:afterAutospacing="0"/>
              <w:ind w:left="57" w:right="57"/>
            </w:pPr>
            <w:r w:rsidRPr="00884529">
              <w:t>Pašreizējā situācija un problēmas, kuru risināšanai tiesību akta projekts izstrādāts, tiesiskā regulējuma mērķis un būtība</w:t>
            </w:r>
          </w:p>
        </w:tc>
        <w:tc>
          <w:tcPr>
            <w:tcW w:w="3506" w:type="pct"/>
          </w:tcPr>
          <w:p w:rsidR="00B310D0" w:rsidRPr="00884529" w:rsidRDefault="008B015C" w:rsidP="008B5B12">
            <w:pPr>
              <w:pStyle w:val="CM1"/>
              <w:ind w:firstLine="537"/>
              <w:jc w:val="both"/>
              <w:rPr>
                <w:rFonts w:ascii="Times New Roman" w:hAnsi="Times New Roman"/>
              </w:rPr>
            </w:pPr>
            <w:r w:rsidRPr="00884529">
              <w:rPr>
                <w:rFonts w:ascii="Times New Roman" w:eastAsia="Calibri" w:hAnsi="Times New Roman"/>
                <w:color w:val="000000"/>
              </w:rPr>
              <w:t xml:space="preserve">Tā kā valstī ir nepieciešamība nodrošināt </w:t>
            </w:r>
            <w:r w:rsidRPr="00884529">
              <w:rPr>
                <w:rFonts w:ascii="Times New Roman" w:hAnsi="Times New Roman"/>
              </w:rPr>
              <w:t xml:space="preserve">tādu sabiedriski svarīgu funkciju </w:t>
            </w:r>
            <w:r w:rsidR="006327BF" w:rsidRPr="00884529">
              <w:rPr>
                <w:rFonts w:ascii="Times New Roman" w:hAnsi="Times New Roman"/>
              </w:rPr>
              <w:t>izpildi</w:t>
            </w:r>
            <w:r w:rsidRPr="00884529">
              <w:rPr>
                <w:rFonts w:ascii="Times New Roman" w:hAnsi="Times New Roman"/>
              </w:rPr>
              <w:t xml:space="preserve"> kā meklēšana un glābšana, </w:t>
            </w:r>
            <w:proofErr w:type="spellStart"/>
            <w:r w:rsidRPr="00884529">
              <w:rPr>
                <w:rFonts w:ascii="Times New Roman" w:hAnsi="Times New Roman"/>
              </w:rPr>
              <w:t>civilmilitārās</w:t>
            </w:r>
            <w:proofErr w:type="spellEnd"/>
            <w:r w:rsidRPr="00884529">
              <w:rPr>
                <w:rFonts w:ascii="Times New Roman" w:hAnsi="Times New Roman"/>
              </w:rPr>
              <w:t xml:space="preserve"> sadarbības atbalsta sniegšana un citu funkciju izpild</w:t>
            </w:r>
            <w:r w:rsidR="006327BF" w:rsidRPr="00884529">
              <w:rPr>
                <w:rFonts w:ascii="Times New Roman" w:hAnsi="Times New Roman"/>
              </w:rPr>
              <w:t>e</w:t>
            </w:r>
            <w:r w:rsidRPr="00884529">
              <w:rPr>
                <w:rFonts w:ascii="Times New Roman" w:hAnsi="Times New Roman"/>
              </w:rPr>
              <w:t xml:space="preserve">, </w:t>
            </w:r>
            <w:r w:rsidR="0017451E" w:rsidRPr="00884529">
              <w:rPr>
                <w:rFonts w:ascii="Times New Roman" w:hAnsi="Times New Roman"/>
                <w:color w:val="000000" w:themeColor="text1"/>
              </w:rPr>
              <w:t>(tas ir, nodrošināt tos likuma „Par  aviāciju” 27.</w:t>
            </w:r>
            <w:r w:rsidR="0017451E" w:rsidRPr="00884529">
              <w:rPr>
                <w:rFonts w:ascii="Times New Roman" w:hAnsi="Times New Roman"/>
                <w:color w:val="000000" w:themeColor="text1"/>
                <w:vertAlign w:val="superscript"/>
              </w:rPr>
              <w:t>2</w:t>
            </w:r>
            <w:r w:rsidR="0017451E" w:rsidRPr="00884529">
              <w:rPr>
                <w:rFonts w:ascii="Times New Roman" w:hAnsi="Times New Roman"/>
                <w:color w:val="000000" w:themeColor="text1"/>
              </w:rPr>
              <w:t xml:space="preserve"> panta pirmajā daļā minētos pakalpojumus, kas ir nepieciešami minēto sabiedriski svarīgu funkciju veikšanas nodrošināšanai, ko lid</w:t>
            </w:r>
            <w:r w:rsidR="0009479A" w:rsidRPr="00884529">
              <w:rPr>
                <w:rFonts w:ascii="Times New Roman" w:hAnsi="Times New Roman"/>
                <w:color w:val="000000" w:themeColor="text1"/>
              </w:rPr>
              <w:t>lauks</w:t>
            </w:r>
            <w:r w:rsidR="0017451E" w:rsidRPr="00884529">
              <w:rPr>
                <w:rFonts w:ascii="Times New Roman" w:hAnsi="Times New Roman"/>
                <w:color w:val="000000" w:themeColor="text1"/>
              </w:rPr>
              <w:t xml:space="preserve"> bez papildus finansējuma nevar nodrošināt, </w:t>
            </w:r>
            <w:r w:rsidRPr="00884529">
              <w:rPr>
                <w:rFonts w:ascii="Times New Roman" w:hAnsi="Times New Roman"/>
              </w:rPr>
              <w:t>Saeima 2014.gada 2.oktobrī pieņēma likumprojektu „Grozījumi likumā „Par aviāciju””, kas paredz, ka valsts un pašvaldība valsts nozīmes civilās aviācijas lidlaukiem var uzlikt sabiedriskas nozīmes pakalpojumu saistības minēto funkciju</w:t>
            </w:r>
            <w:r w:rsidR="000221E9" w:rsidRPr="00884529">
              <w:rPr>
                <w:rFonts w:ascii="Times New Roman" w:hAnsi="Times New Roman"/>
              </w:rPr>
              <w:t xml:space="preserve"> veikšanas</w:t>
            </w:r>
            <w:r w:rsidRPr="00884529">
              <w:rPr>
                <w:rFonts w:ascii="Times New Roman" w:hAnsi="Times New Roman"/>
              </w:rPr>
              <w:t xml:space="preserve"> nodrošināšanai </w:t>
            </w:r>
            <w:r w:rsidR="000221E9" w:rsidRPr="00884529">
              <w:rPr>
                <w:rFonts w:ascii="Times New Roman" w:hAnsi="Times New Roman"/>
              </w:rPr>
              <w:t xml:space="preserve">(turpmāk - sabiedriski svarīgu funkciju veikšanas atbalsta saistības) </w:t>
            </w:r>
            <w:r w:rsidRPr="00884529">
              <w:rPr>
                <w:rFonts w:ascii="Times New Roman" w:hAnsi="Times New Roman"/>
              </w:rPr>
              <w:t xml:space="preserve">un </w:t>
            </w:r>
            <w:r w:rsidR="00B310D0" w:rsidRPr="00884529">
              <w:rPr>
                <w:rFonts w:ascii="Times New Roman" w:hAnsi="Times New Roman"/>
              </w:rPr>
              <w:t xml:space="preserve">Ministru kabinetam noteikt to uzlikšanas </w:t>
            </w:r>
            <w:r w:rsidRPr="00884529">
              <w:rPr>
                <w:rFonts w:ascii="Times New Roman" w:hAnsi="Times New Roman"/>
              </w:rPr>
              <w:t xml:space="preserve">un ar </w:t>
            </w:r>
            <w:r w:rsidR="00F33055" w:rsidRPr="00884529">
              <w:rPr>
                <w:rFonts w:ascii="Times New Roman" w:hAnsi="Times New Roman"/>
              </w:rPr>
              <w:t>minēto saistību</w:t>
            </w:r>
            <w:r w:rsidRPr="00884529">
              <w:rPr>
                <w:rFonts w:ascii="Times New Roman" w:hAnsi="Times New Roman"/>
              </w:rPr>
              <w:t xml:space="preserve"> izpildi saistīto izdevumu kompensācij</w:t>
            </w:r>
            <w:r w:rsidR="00B310D0" w:rsidRPr="00884529">
              <w:rPr>
                <w:rFonts w:ascii="Times New Roman" w:hAnsi="Times New Roman"/>
              </w:rPr>
              <w:t>as kārtību.</w:t>
            </w:r>
            <w:r w:rsidRPr="00884529">
              <w:rPr>
                <w:rFonts w:ascii="Times New Roman" w:hAnsi="Times New Roman"/>
              </w:rPr>
              <w:t xml:space="preserve"> </w:t>
            </w:r>
          </w:p>
          <w:p w:rsidR="00B310D0" w:rsidRPr="00884529" w:rsidRDefault="00B310D0" w:rsidP="008B5B12">
            <w:pPr>
              <w:pStyle w:val="CM1"/>
              <w:ind w:firstLine="537"/>
              <w:jc w:val="both"/>
              <w:rPr>
                <w:rFonts w:ascii="Times New Roman" w:hAnsi="Times New Roman"/>
              </w:rPr>
            </w:pPr>
            <w:r w:rsidRPr="00884529">
              <w:rPr>
                <w:rFonts w:ascii="Times New Roman" w:hAnsi="Times New Roman"/>
              </w:rPr>
              <w:t xml:space="preserve">Līdz šim sabiedriskas nozīmes pakalpojumu </w:t>
            </w:r>
            <w:r w:rsidR="00AB603A" w:rsidRPr="00884529">
              <w:rPr>
                <w:rFonts w:ascii="Times New Roman" w:hAnsi="Times New Roman"/>
              </w:rPr>
              <w:t xml:space="preserve">sniegšanas saistību </w:t>
            </w:r>
            <w:r w:rsidRPr="00884529">
              <w:rPr>
                <w:rFonts w:ascii="Times New Roman" w:hAnsi="Times New Roman"/>
              </w:rPr>
              <w:t xml:space="preserve">uzlikšanas kārtība bija noteikta tikai </w:t>
            </w:r>
            <w:r w:rsidR="00911C94" w:rsidRPr="00884529">
              <w:rPr>
                <w:rFonts w:ascii="Times New Roman" w:hAnsi="Times New Roman"/>
              </w:rPr>
              <w:t xml:space="preserve">pakalpojumiem </w:t>
            </w:r>
            <w:r w:rsidR="00D212EF" w:rsidRPr="00884529">
              <w:rPr>
                <w:rFonts w:ascii="Times New Roman" w:hAnsi="Times New Roman"/>
              </w:rPr>
              <w:t xml:space="preserve">noteikta </w:t>
            </w:r>
            <w:r w:rsidR="00911C94" w:rsidRPr="00884529">
              <w:rPr>
                <w:rFonts w:ascii="Times New Roman" w:hAnsi="Times New Roman"/>
              </w:rPr>
              <w:t>regulāro gaisa pārvadājumu apjoma un lidojumu regularitātes nodrošināšanai</w:t>
            </w:r>
            <w:r w:rsidRPr="00884529">
              <w:rPr>
                <w:rFonts w:ascii="Times New Roman" w:hAnsi="Times New Roman"/>
              </w:rPr>
              <w:t xml:space="preserve">, ja tas nepieciešams valsts un tās reģionu sasniedzamības un attīstības nodrošināšanai, bet tirgus attiecīgajā jomā nav spējīgs to īstenot. </w:t>
            </w:r>
          </w:p>
          <w:p w:rsidR="000139DF" w:rsidRPr="00884529" w:rsidRDefault="00B310D0" w:rsidP="008B5B12">
            <w:pPr>
              <w:pStyle w:val="CM1"/>
              <w:ind w:firstLine="537"/>
              <w:jc w:val="both"/>
              <w:rPr>
                <w:rFonts w:ascii="Times New Roman" w:hAnsi="Times New Roman"/>
                <w:color w:val="000000" w:themeColor="text1"/>
              </w:rPr>
            </w:pPr>
            <w:r w:rsidRPr="00884529">
              <w:rPr>
                <w:rFonts w:ascii="Times New Roman" w:hAnsi="Times New Roman"/>
              </w:rPr>
              <w:t xml:space="preserve">Šo kārtību regulē </w:t>
            </w:r>
            <w:r w:rsidRPr="00884529">
              <w:rPr>
                <w:rFonts w:ascii="Times New Roman" w:eastAsia="Calibri" w:hAnsi="Times New Roman"/>
                <w:color w:val="000000"/>
              </w:rPr>
              <w:t xml:space="preserve">Ministru kabineta 2011.gada </w:t>
            </w:r>
            <w:r w:rsidRPr="00884529">
              <w:rPr>
                <w:rFonts w:ascii="Times New Roman" w:hAnsi="Times New Roman"/>
                <w:color w:val="000000" w:themeColor="text1"/>
              </w:rPr>
              <w:t xml:space="preserve">23.augusta noteikumos Nr.661 „Noteikumi par lidostai uzliekamām sabiedriskas nozīmes pakalpojumu sniegšanas saistībām”” (turpmāk – MK noteikumi Nr. 661), </w:t>
            </w:r>
            <w:r w:rsidR="00AB603A" w:rsidRPr="00884529">
              <w:rPr>
                <w:rFonts w:ascii="Times New Roman" w:hAnsi="Times New Roman"/>
                <w:color w:val="000000" w:themeColor="text1"/>
              </w:rPr>
              <w:t xml:space="preserve">atbilstoši </w:t>
            </w:r>
            <w:r w:rsidRPr="00884529">
              <w:rPr>
                <w:rFonts w:ascii="Times New Roman" w:hAnsi="Times New Roman"/>
                <w:color w:val="000000" w:themeColor="text1"/>
              </w:rPr>
              <w:t>Eiropas Komisijas noteikt</w:t>
            </w:r>
            <w:r w:rsidR="00AB603A" w:rsidRPr="00884529">
              <w:rPr>
                <w:rFonts w:ascii="Times New Roman" w:hAnsi="Times New Roman"/>
                <w:color w:val="000000" w:themeColor="text1"/>
              </w:rPr>
              <w:t>ajai</w:t>
            </w:r>
            <w:r w:rsidRPr="00884529">
              <w:rPr>
                <w:rFonts w:ascii="Times New Roman" w:hAnsi="Times New Roman"/>
                <w:color w:val="000000" w:themeColor="text1"/>
              </w:rPr>
              <w:t xml:space="preserve"> kārtīb</w:t>
            </w:r>
            <w:r w:rsidR="00AB603A" w:rsidRPr="00884529">
              <w:rPr>
                <w:rFonts w:ascii="Times New Roman" w:hAnsi="Times New Roman"/>
                <w:color w:val="000000" w:themeColor="text1"/>
              </w:rPr>
              <w:t>ai</w:t>
            </w:r>
            <w:r w:rsidRPr="00884529">
              <w:rPr>
                <w:rFonts w:ascii="Times New Roman" w:hAnsi="Times New Roman"/>
                <w:color w:val="000000" w:themeColor="text1"/>
              </w:rPr>
              <w:t xml:space="preserve"> par </w:t>
            </w:r>
            <w:r w:rsidR="00C07126" w:rsidRPr="00884529">
              <w:rPr>
                <w:rFonts w:ascii="Times New Roman" w:hAnsi="Times New Roman"/>
              </w:rPr>
              <w:t>pakalpojumiem</w:t>
            </w:r>
            <w:r w:rsidR="00C07126" w:rsidRPr="00884529">
              <w:rPr>
                <w:rFonts w:ascii="Times New Roman" w:hAnsi="Times New Roman"/>
                <w:b/>
              </w:rPr>
              <w:t xml:space="preserve"> </w:t>
            </w:r>
            <w:r w:rsidR="00C07126" w:rsidRPr="00884529">
              <w:rPr>
                <w:rFonts w:ascii="Times New Roman" w:hAnsi="Times New Roman"/>
              </w:rPr>
              <w:t>vispārēju tautsaimniecības interešu nodrošināšanai.</w:t>
            </w:r>
            <w:r w:rsidR="00C07126" w:rsidRPr="00884529">
              <w:rPr>
                <w:rFonts w:ascii="Times New Roman" w:hAnsi="Times New Roman"/>
                <w:color w:val="000000" w:themeColor="text1"/>
              </w:rPr>
              <w:t xml:space="preserve"> </w:t>
            </w:r>
            <w:r w:rsidR="00911C94" w:rsidRPr="00884529">
              <w:rPr>
                <w:rFonts w:ascii="Times New Roman" w:hAnsi="Times New Roman"/>
                <w:color w:val="000000" w:themeColor="text1"/>
              </w:rPr>
              <w:t xml:space="preserve">Lai izpildītu Saeimas doto uzdevumu </w:t>
            </w:r>
            <w:r w:rsidR="004552AF" w:rsidRPr="00884529">
              <w:rPr>
                <w:rFonts w:ascii="Times New Roman" w:hAnsi="Times New Roman"/>
                <w:color w:val="000000" w:themeColor="text1"/>
              </w:rPr>
              <w:t>un noteiktu kārtību</w:t>
            </w:r>
            <w:r w:rsidR="00911C94" w:rsidRPr="00884529">
              <w:rPr>
                <w:rFonts w:ascii="Times New Roman" w:hAnsi="Times New Roman"/>
                <w:color w:val="000000" w:themeColor="text1"/>
              </w:rPr>
              <w:t xml:space="preserve"> sabiedriskas nozīmes pakalpojumu saistību uzlik</w:t>
            </w:r>
            <w:r w:rsidR="004552AF" w:rsidRPr="00884529">
              <w:rPr>
                <w:rFonts w:ascii="Times New Roman" w:hAnsi="Times New Roman"/>
                <w:color w:val="000000" w:themeColor="text1"/>
              </w:rPr>
              <w:t>šanai</w:t>
            </w:r>
            <w:r w:rsidR="000F6EE8" w:rsidRPr="00884529">
              <w:rPr>
                <w:rFonts w:ascii="Times New Roman" w:hAnsi="Times New Roman"/>
                <w:color w:val="000000" w:themeColor="text1"/>
              </w:rPr>
              <w:t>, lai nodrošinātu</w:t>
            </w:r>
            <w:r w:rsidR="004552AF" w:rsidRPr="00884529">
              <w:rPr>
                <w:rFonts w:ascii="Times New Roman" w:hAnsi="Times New Roman"/>
                <w:color w:val="000000" w:themeColor="text1"/>
              </w:rPr>
              <w:t xml:space="preserve"> </w:t>
            </w:r>
            <w:r w:rsidR="001B1017" w:rsidRPr="00884529">
              <w:rPr>
                <w:rFonts w:ascii="Times New Roman" w:hAnsi="Times New Roman"/>
              </w:rPr>
              <w:t xml:space="preserve">tādu sabiedriski svarīgu funkciju veikšanu </w:t>
            </w:r>
            <w:r w:rsidR="001B1017" w:rsidRPr="00884529">
              <w:rPr>
                <w:rFonts w:ascii="Times New Roman" w:hAnsi="Times New Roman"/>
                <w:color w:val="000000" w:themeColor="text1"/>
              </w:rPr>
              <w:t>kā meklēšana un glābšana</w:t>
            </w:r>
            <w:r w:rsidR="001F2DF2" w:rsidRPr="00884529">
              <w:rPr>
                <w:rFonts w:ascii="Times New Roman" w:hAnsi="Times New Roman"/>
                <w:color w:val="000000" w:themeColor="text1"/>
              </w:rPr>
              <w:t xml:space="preserve"> </w:t>
            </w:r>
            <w:r w:rsidR="00BB0DFE" w:rsidRPr="00884529">
              <w:rPr>
                <w:rFonts w:ascii="Times New Roman" w:hAnsi="Times New Roman"/>
                <w:color w:val="000000" w:themeColor="text1"/>
              </w:rPr>
              <w:t>(</w:t>
            </w:r>
            <w:r w:rsidR="008C748F" w:rsidRPr="00884529">
              <w:rPr>
                <w:rFonts w:ascii="Times New Roman" w:hAnsi="Times New Roman"/>
                <w:color w:val="000000" w:themeColor="text1"/>
              </w:rPr>
              <w:t>ārpus valsts nozīmes civilās aviācijas lidlauka teritorijas</w:t>
            </w:r>
            <w:r w:rsidR="00BB0DFE" w:rsidRPr="00884529">
              <w:rPr>
                <w:rFonts w:ascii="Times New Roman" w:hAnsi="Times New Roman"/>
                <w:color w:val="000000" w:themeColor="text1"/>
              </w:rPr>
              <w:t>)</w:t>
            </w:r>
            <w:r w:rsidR="008C748F" w:rsidRPr="00884529">
              <w:rPr>
                <w:rFonts w:ascii="Times New Roman" w:hAnsi="Times New Roman"/>
                <w:color w:val="000000" w:themeColor="text1"/>
              </w:rPr>
              <w:t>,</w:t>
            </w:r>
            <w:r w:rsidR="001B1017" w:rsidRPr="00884529">
              <w:rPr>
                <w:rFonts w:ascii="Times New Roman" w:hAnsi="Times New Roman"/>
                <w:color w:val="000000" w:themeColor="text1"/>
              </w:rPr>
              <w:t xml:space="preserve"> </w:t>
            </w:r>
            <w:proofErr w:type="spellStart"/>
            <w:r w:rsidR="001B1017" w:rsidRPr="00884529">
              <w:rPr>
                <w:rFonts w:ascii="Times New Roman" w:hAnsi="Times New Roman"/>
                <w:color w:val="000000" w:themeColor="text1"/>
              </w:rPr>
              <w:t>civilmilitārās</w:t>
            </w:r>
            <w:proofErr w:type="spellEnd"/>
            <w:r w:rsidR="001B1017" w:rsidRPr="00884529">
              <w:rPr>
                <w:rFonts w:ascii="Times New Roman" w:hAnsi="Times New Roman"/>
                <w:color w:val="000000" w:themeColor="text1"/>
              </w:rPr>
              <w:t xml:space="preserve"> sadarbības atbalsta sniegšana un citu </w:t>
            </w:r>
            <w:r w:rsidR="00894098" w:rsidRPr="00884529">
              <w:rPr>
                <w:rFonts w:ascii="Times New Roman" w:hAnsi="Times New Roman"/>
                <w:color w:val="000000" w:themeColor="text1"/>
              </w:rPr>
              <w:t xml:space="preserve"> sabiedriski svarīgu funkciju, </w:t>
            </w:r>
            <w:r w:rsidR="00884529">
              <w:rPr>
                <w:rFonts w:ascii="Times New Roman" w:hAnsi="Times New Roman"/>
                <w:color w:val="000000" w:themeColor="text1"/>
              </w:rPr>
              <w:t>kas aptver</w:t>
            </w:r>
            <w:r w:rsidR="009601CA" w:rsidRPr="00884529">
              <w:rPr>
                <w:rFonts w:ascii="Times New Roman" w:hAnsi="Times New Roman"/>
                <w:color w:val="000000" w:themeColor="text1"/>
              </w:rPr>
              <w:t xml:space="preserve"> </w:t>
            </w:r>
            <w:r w:rsidR="008C748F" w:rsidRPr="00884529">
              <w:rPr>
                <w:rFonts w:ascii="Times New Roman" w:hAnsi="Times New Roman"/>
                <w:color w:val="000000" w:themeColor="text1"/>
              </w:rPr>
              <w:t>jūras akvatorijas apsekošan</w:t>
            </w:r>
            <w:r w:rsidR="00884529">
              <w:rPr>
                <w:rFonts w:ascii="Times New Roman" w:hAnsi="Times New Roman"/>
                <w:color w:val="000000" w:themeColor="text1"/>
              </w:rPr>
              <w:t>u</w:t>
            </w:r>
            <w:r w:rsidR="008C748F" w:rsidRPr="00884529">
              <w:rPr>
                <w:rFonts w:ascii="Times New Roman" w:hAnsi="Times New Roman"/>
                <w:color w:val="000000" w:themeColor="text1"/>
              </w:rPr>
              <w:t xml:space="preserve">, </w:t>
            </w:r>
            <w:r w:rsidR="002F2062" w:rsidRPr="00884529">
              <w:rPr>
                <w:rFonts w:ascii="Times New Roman" w:hAnsi="Times New Roman"/>
                <w:color w:val="000000"/>
              </w:rPr>
              <w:t xml:space="preserve"> medicīniska  nolūka gaisa pārvadājum</w:t>
            </w:r>
            <w:r w:rsidR="00884529">
              <w:rPr>
                <w:rFonts w:ascii="Times New Roman" w:hAnsi="Times New Roman"/>
                <w:color w:val="000000"/>
              </w:rPr>
              <w:t>us</w:t>
            </w:r>
            <w:r w:rsidR="008C748F" w:rsidRPr="00884529">
              <w:rPr>
                <w:rFonts w:ascii="Times New Roman" w:hAnsi="Times New Roman"/>
                <w:color w:val="000000" w:themeColor="text1"/>
              </w:rPr>
              <w:t xml:space="preserve">, aviācijas </w:t>
            </w:r>
            <w:r w:rsidR="008C748F" w:rsidRPr="00884529">
              <w:rPr>
                <w:rFonts w:ascii="Times New Roman" w:hAnsi="Times New Roman"/>
                <w:bCs/>
                <w:color w:val="000000" w:themeColor="text1"/>
              </w:rPr>
              <w:t>palīdzības sniegšan</w:t>
            </w:r>
            <w:r w:rsidR="00884529">
              <w:rPr>
                <w:rFonts w:ascii="Times New Roman" w:hAnsi="Times New Roman"/>
                <w:bCs/>
                <w:color w:val="000000" w:themeColor="text1"/>
              </w:rPr>
              <w:t>u</w:t>
            </w:r>
            <w:r w:rsidR="008C748F" w:rsidRPr="00884529">
              <w:rPr>
                <w:rFonts w:ascii="Times New Roman" w:hAnsi="Times New Roman"/>
                <w:bCs/>
                <w:color w:val="000000" w:themeColor="text1"/>
              </w:rPr>
              <w:t xml:space="preserve"> iedzīvotājiem stihisku nelaimju (katastrofu) seku likvidēšanā - </w:t>
            </w:r>
            <w:r w:rsidR="002F2062" w:rsidRPr="00884529">
              <w:rPr>
                <w:rFonts w:ascii="Times New Roman" w:hAnsi="Times New Roman"/>
                <w:bCs/>
                <w:color w:val="000000" w:themeColor="text1"/>
              </w:rPr>
              <w:t>nelaimes</w:t>
            </w:r>
            <w:r w:rsidR="008C748F" w:rsidRPr="00884529">
              <w:rPr>
                <w:rFonts w:ascii="Times New Roman" w:hAnsi="Times New Roman"/>
                <w:color w:val="000000" w:themeColor="text1"/>
              </w:rPr>
              <w:t xml:space="preserve"> skarto rajonu apsekošana, novērošana, iedzīvotāju evakuēšana, pārtikas produktu, apģērbu, medikamentu, aprīkojuma, būvmateriālu un citu materiālu piegāde</w:t>
            </w:r>
            <w:r w:rsidR="00216604" w:rsidRPr="00884529">
              <w:rPr>
                <w:rFonts w:ascii="Times New Roman" w:hAnsi="Times New Roman"/>
                <w:color w:val="000000" w:themeColor="text1"/>
              </w:rPr>
              <w:t>, valsts pārvaldes iestāžu kopīgās mācības, kurās iesaistīti arī</w:t>
            </w:r>
            <w:r w:rsidR="0009479A" w:rsidRPr="00884529">
              <w:rPr>
                <w:rFonts w:ascii="Times New Roman" w:hAnsi="Times New Roman"/>
                <w:color w:val="000000" w:themeColor="text1"/>
              </w:rPr>
              <w:t xml:space="preserve"> </w:t>
            </w:r>
            <w:r w:rsidR="00216604" w:rsidRPr="00884529">
              <w:rPr>
                <w:rFonts w:ascii="Times New Roman" w:hAnsi="Times New Roman"/>
                <w:color w:val="000000" w:themeColor="text1"/>
              </w:rPr>
              <w:t>to rīcībā esošie gaisa kuģi, meža dzīvnieku vakcinācij</w:t>
            </w:r>
            <w:r w:rsidR="00ED3CCE">
              <w:rPr>
                <w:rFonts w:ascii="Times New Roman" w:hAnsi="Times New Roman"/>
                <w:color w:val="000000" w:themeColor="text1"/>
              </w:rPr>
              <w:t>u</w:t>
            </w:r>
            <w:r w:rsidR="001B1017" w:rsidRPr="00884529">
              <w:rPr>
                <w:rFonts w:ascii="Times New Roman" w:hAnsi="Times New Roman"/>
                <w:color w:val="000000" w:themeColor="text1"/>
              </w:rPr>
              <w:t xml:space="preserve"> izpild</w:t>
            </w:r>
            <w:r w:rsidR="00884529">
              <w:rPr>
                <w:rFonts w:ascii="Times New Roman" w:hAnsi="Times New Roman"/>
                <w:color w:val="000000" w:themeColor="text1"/>
              </w:rPr>
              <w:t>i</w:t>
            </w:r>
            <w:r w:rsidR="00953E8F" w:rsidRPr="00884529">
              <w:rPr>
                <w:rFonts w:ascii="Times New Roman" w:hAnsi="Times New Roman"/>
              </w:rPr>
              <w:t>,</w:t>
            </w:r>
            <w:r w:rsidR="00FE33C0" w:rsidRPr="00884529">
              <w:rPr>
                <w:rFonts w:ascii="Times New Roman" w:hAnsi="Times New Roman"/>
              </w:rPr>
              <w:t xml:space="preserve"> </w:t>
            </w:r>
            <w:r w:rsidR="00911C94" w:rsidRPr="00884529">
              <w:rPr>
                <w:rFonts w:ascii="Times New Roman" w:hAnsi="Times New Roman"/>
                <w:color w:val="000000" w:themeColor="text1"/>
              </w:rPr>
              <w:t xml:space="preserve">Satiksmes ministrija </w:t>
            </w:r>
            <w:r w:rsidR="005A2FD9" w:rsidRPr="00884529">
              <w:rPr>
                <w:rFonts w:ascii="Times New Roman" w:hAnsi="Times New Roman"/>
                <w:color w:val="000000" w:themeColor="text1"/>
              </w:rPr>
              <w:t>sag</w:t>
            </w:r>
            <w:r w:rsidR="001B1017" w:rsidRPr="00884529">
              <w:rPr>
                <w:rFonts w:ascii="Times New Roman" w:hAnsi="Times New Roman"/>
                <w:color w:val="000000" w:themeColor="text1"/>
              </w:rPr>
              <w:t>atavoja Ministru kabineta noteikumu projektu</w:t>
            </w:r>
            <w:r w:rsidR="004552AF" w:rsidRPr="00884529">
              <w:rPr>
                <w:rFonts w:ascii="Times New Roman" w:hAnsi="Times New Roman"/>
                <w:color w:val="000000" w:themeColor="text1"/>
              </w:rPr>
              <w:t>, kas paredzēja attiecīgus grozījumus MK noteikumos</w:t>
            </w:r>
            <w:r w:rsidR="001B1017" w:rsidRPr="00884529">
              <w:rPr>
                <w:rFonts w:ascii="Times New Roman" w:hAnsi="Times New Roman"/>
                <w:color w:val="000000" w:themeColor="text1"/>
              </w:rPr>
              <w:t xml:space="preserve"> Nr.661 (VSS – 960).</w:t>
            </w:r>
            <w:r w:rsidR="00A46A30" w:rsidRPr="00884529">
              <w:rPr>
                <w:rFonts w:ascii="Times New Roman" w:hAnsi="Times New Roman"/>
                <w:color w:val="000000" w:themeColor="text1"/>
              </w:rPr>
              <w:t xml:space="preserve"> </w:t>
            </w:r>
            <w:r w:rsidR="000139DF" w:rsidRPr="00884529">
              <w:rPr>
                <w:rFonts w:ascii="Times New Roman" w:hAnsi="Times New Roman"/>
                <w:color w:val="000000" w:themeColor="text1"/>
              </w:rPr>
              <w:t xml:space="preserve">Minētā projekta saskaņošanas laikā tika secināts, ka šādu saistību noteikšana ir jāparedz </w:t>
            </w:r>
            <w:r w:rsidR="00C07126" w:rsidRPr="00884529">
              <w:rPr>
                <w:rFonts w:ascii="Times New Roman" w:hAnsi="Times New Roman"/>
                <w:color w:val="000000" w:themeColor="text1"/>
              </w:rPr>
              <w:t xml:space="preserve">atsevišķos </w:t>
            </w:r>
            <w:r w:rsidR="00E80073" w:rsidRPr="00884529">
              <w:rPr>
                <w:rFonts w:ascii="Times New Roman" w:hAnsi="Times New Roman"/>
                <w:color w:val="000000" w:themeColor="text1"/>
              </w:rPr>
              <w:t xml:space="preserve">Ministru kabineta </w:t>
            </w:r>
            <w:r w:rsidR="00C07126" w:rsidRPr="00884529">
              <w:rPr>
                <w:rFonts w:ascii="Times New Roman" w:hAnsi="Times New Roman"/>
                <w:color w:val="000000" w:themeColor="text1"/>
              </w:rPr>
              <w:t>noteikumos.</w:t>
            </w:r>
          </w:p>
          <w:p w:rsidR="00CC7F67" w:rsidRPr="00884529" w:rsidRDefault="0011708E" w:rsidP="00A5585A">
            <w:pPr>
              <w:pStyle w:val="CM1"/>
              <w:ind w:firstLine="537"/>
              <w:jc w:val="both"/>
              <w:rPr>
                <w:rFonts w:ascii="Times New Roman" w:hAnsi="Times New Roman"/>
                <w:color w:val="000000" w:themeColor="text1"/>
              </w:rPr>
            </w:pPr>
            <w:r w:rsidRPr="00884529">
              <w:rPr>
                <w:rFonts w:ascii="Times New Roman" w:hAnsi="Times New Roman"/>
                <w:color w:val="000000" w:themeColor="text1"/>
              </w:rPr>
              <w:lastRenderedPageBreak/>
              <w:t>Minētajos Ministru kabineta noteikumos ir paredzēts noteikt</w:t>
            </w:r>
            <w:r w:rsidR="00CC7F67" w:rsidRPr="00884529">
              <w:rPr>
                <w:rFonts w:ascii="Times New Roman" w:hAnsi="Times New Roman"/>
                <w:color w:val="000000" w:themeColor="text1"/>
              </w:rPr>
              <w:t>:</w:t>
            </w:r>
          </w:p>
          <w:p w:rsidR="000326F4" w:rsidRPr="00C52B26" w:rsidRDefault="000326F4" w:rsidP="000326F4">
            <w:pPr>
              <w:spacing w:after="0" w:line="240" w:lineRule="auto"/>
              <w:ind w:firstLine="425"/>
              <w:rPr>
                <w:rFonts w:ascii="Times New Roman" w:hAnsi="Times New Roman" w:cs="Times New Roman"/>
                <w:sz w:val="24"/>
                <w:szCs w:val="24"/>
                <w:lang w:eastAsia="lv-LV"/>
              </w:rPr>
            </w:pPr>
            <w:r w:rsidRPr="00C52B26">
              <w:rPr>
                <w:rFonts w:ascii="Times New Roman" w:hAnsi="Times New Roman" w:cs="Times New Roman"/>
                <w:sz w:val="24"/>
                <w:szCs w:val="24"/>
                <w:lang w:eastAsia="lv-LV"/>
              </w:rPr>
              <w:t xml:space="preserve">- ko noteikumu projekta ietvaros saprot ar sabiedriskas nozīmes </w:t>
            </w:r>
            <w:r w:rsidRPr="00C52B26">
              <w:rPr>
                <w:rFonts w:ascii="Times New Roman" w:hAnsi="Times New Roman" w:cs="Times New Roman"/>
                <w:color w:val="000000" w:themeColor="text1"/>
                <w:sz w:val="24"/>
                <w:szCs w:val="24"/>
              </w:rPr>
              <w:t>sabiedriskas nozīmes pakalpojumu sniegšanas saistībām;</w:t>
            </w:r>
          </w:p>
          <w:p w:rsidR="00A5585A" w:rsidRPr="00884529" w:rsidRDefault="00A5585A" w:rsidP="00251082">
            <w:pPr>
              <w:spacing w:after="0" w:line="240" w:lineRule="auto"/>
              <w:ind w:firstLine="426"/>
              <w:jc w:val="both"/>
              <w:rPr>
                <w:rFonts w:ascii="Times New Roman" w:hAnsi="Times New Roman" w:cs="Times New Roman"/>
                <w:color w:val="000000" w:themeColor="text1"/>
                <w:sz w:val="24"/>
                <w:szCs w:val="24"/>
              </w:rPr>
            </w:pPr>
            <w:r w:rsidRPr="00884529">
              <w:rPr>
                <w:rFonts w:ascii="Times New Roman" w:hAnsi="Times New Roman" w:cs="Times New Roman"/>
                <w:sz w:val="24"/>
                <w:szCs w:val="24"/>
                <w:lang w:eastAsia="lv-LV"/>
              </w:rPr>
              <w:t>- ka</w:t>
            </w:r>
            <w:r w:rsidRPr="00884529">
              <w:rPr>
                <w:rFonts w:ascii="Times New Roman" w:hAnsi="Times New Roman" w:cs="Times New Roman"/>
                <w:color w:val="000000" w:themeColor="text1"/>
                <w:sz w:val="24"/>
                <w:szCs w:val="24"/>
              </w:rPr>
              <w:t xml:space="preserve"> noteikumi tiek attiecināti uz valsts nozīmes civilās aviācijas lidlaukiem, kuru vidējais gada satiksmes apjoms divu finanšu gadu laikā pirms pakalpojumu sniegšanas saistību uzlikšanas un arī uzlikto </w:t>
            </w:r>
            <w:r w:rsidR="00884529" w:rsidRPr="001257BB">
              <w:rPr>
                <w:rFonts w:ascii="Times New Roman" w:hAnsi="Times New Roman" w:cs="Times New Roman"/>
                <w:color w:val="000000" w:themeColor="text1"/>
                <w:sz w:val="24"/>
                <w:szCs w:val="24"/>
              </w:rPr>
              <w:t xml:space="preserve">sabiedriski svarīgu funkciju veikšanas atbalsta saistību nodrošināšanas periodā </w:t>
            </w:r>
            <w:r w:rsidRPr="00884529">
              <w:rPr>
                <w:rFonts w:ascii="Times New Roman" w:hAnsi="Times New Roman" w:cs="Times New Roman"/>
                <w:color w:val="000000" w:themeColor="text1"/>
                <w:sz w:val="24"/>
                <w:szCs w:val="24"/>
              </w:rPr>
              <w:t>nepārsniedz 200 000 pasažieru, tajā skaitā, lidlaukiem, kuri pagaidām neapkalpo regulārus lidojumus, bet nākotnē to varētu darīt;</w:t>
            </w:r>
          </w:p>
          <w:p w:rsidR="00CC7F67" w:rsidRPr="00884529" w:rsidRDefault="0011708E" w:rsidP="00A5585A">
            <w:pPr>
              <w:pStyle w:val="CM1"/>
              <w:ind w:firstLine="537"/>
              <w:jc w:val="both"/>
              <w:rPr>
                <w:rFonts w:ascii="Times New Roman" w:hAnsi="Times New Roman"/>
                <w:color w:val="000000" w:themeColor="text1"/>
              </w:rPr>
            </w:pPr>
            <w:r w:rsidRPr="00884529">
              <w:rPr>
                <w:rFonts w:ascii="Times New Roman" w:hAnsi="Times New Roman"/>
                <w:color w:val="000000" w:themeColor="text1"/>
              </w:rPr>
              <w:t xml:space="preserve"> </w:t>
            </w:r>
            <w:r w:rsidR="00CC7F67" w:rsidRPr="00884529">
              <w:rPr>
                <w:rFonts w:ascii="Times New Roman" w:hAnsi="Times New Roman"/>
                <w:color w:val="000000" w:themeColor="text1"/>
              </w:rPr>
              <w:t xml:space="preserve">- </w:t>
            </w:r>
            <w:r w:rsidRPr="00884529">
              <w:rPr>
                <w:rFonts w:ascii="Times New Roman" w:hAnsi="Times New Roman"/>
                <w:color w:val="000000" w:themeColor="text1"/>
              </w:rPr>
              <w:t xml:space="preserve">kuras </w:t>
            </w:r>
            <w:r w:rsidR="00B5640E">
              <w:rPr>
                <w:rFonts w:ascii="Times New Roman" w:hAnsi="Times New Roman"/>
                <w:color w:val="000000" w:themeColor="text1"/>
              </w:rPr>
              <w:t>ministrijas un pašvaldības</w:t>
            </w:r>
            <w:r w:rsidRPr="00884529">
              <w:rPr>
                <w:rFonts w:ascii="Times New Roman" w:hAnsi="Times New Roman"/>
                <w:color w:val="000000" w:themeColor="text1"/>
              </w:rPr>
              <w:t xml:space="preserve"> </w:t>
            </w:r>
            <w:r w:rsidR="00C66E44" w:rsidRPr="00884529">
              <w:rPr>
                <w:rFonts w:ascii="Times New Roman" w:hAnsi="Times New Roman"/>
                <w:color w:val="000000" w:themeColor="text1"/>
              </w:rPr>
              <w:t>valsts nozīmes civilās aviācijas lidlaukam</w:t>
            </w:r>
            <w:r w:rsidR="00C66E44" w:rsidRPr="00884529" w:rsidDel="00C66E44">
              <w:rPr>
                <w:rFonts w:ascii="Times New Roman" w:hAnsi="Times New Roman"/>
                <w:color w:val="000000" w:themeColor="text1"/>
              </w:rPr>
              <w:t xml:space="preserve"> </w:t>
            </w:r>
            <w:r w:rsidR="00A5585A" w:rsidRPr="00884529">
              <w:rPr>
                <w:rFonts w:ascii="Times New Roman" w:hAnsi="Times New Roman"/>
                <w:color w:val="000000" w:themeColor="text1"/>
              </w:rPr>
              <w:t xml:space="preserve"> var uzlikt </w:t>
            </w:r>
            <w:r w:rsidR="00A5585A" w:rsidRPr="00884529">
              <w:rPr>
                <w:rFonts w:ascii="Times New Roman" w:hAnsi="Times New Roman"/>
              </w:rPr>
              <w:t xml:space="preserve"> sabiedriski svarīgu funkciju veikšanas atbalsta saistības</w:t>
            </w:r>
            <w:r w:rsidR="000326F4">
              <w:rPr>
                <w:rFonts w:ascii="Times New Roman" w:hAnsi="Times New Roman"/>
              </w:rPr>
              <w:t>;</w:t>
            </w:r>
            <w:r w:rsidR="00A5585A" w:rsidRPr="00884529">
              <w:rPr>
                <w:rFonts w:ascii="Times New Roman" w:hAnsi="Times New Roman"/>
                <w:color w:val="000000" w:themeColor="text1"/>
              </w:rPr>
              <w:t xml:space="preserve"> </w:t>
            </w:r>
          </w:p>
          <w:p w:rsidR="00953E8F" w:rsidRPr="00884529" w:rsidRDefault="000446ED" w:rsidP="00B8380F">
            <w:pPr>
              <w:spacing w:after="0" w:line="240" w:lineRule="auto"/>
              <w:ind w:firstLine="498"/>
              <w:jc w:val="both"/>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būtiskas</w:t>
            </w:r>
            <w:r w:rsidR="00CC7F67" w:rsidRPr="00884529">
              <w:rPr>
                <w:rFonts w:ascii="Times New Roman" w:hAnsi="Times New Roman" w:cs="Times New Roman"/>
                <w:color w:val="000000" w:themeColor="text1"/>
                <w:sz w:val="24"/>
                <w:szCs w:val="24"/>
              </w:rPr>
              <w:t xml:space="preserve"> sastāvdaļas</w:t>
            </w:r>
            <w:r w:rsidR="00F33055" w:rsidRPr="00884529">
              <w:rPr>
                <w:rFonts w:ascii="Times New Roman" w:hAnsi="Times New Roman" w:cs="Times New Roman"/>
                <w:color w:val="000000" w:themeColor="text1"/>
                <w:sz w:val="24"/>
                <w:szCs w:val="24"/>
              </w:rPr>
              <w:t>, kuras</w:t>
            </w:r>
            <w:r w:rsidR="00CC7F67" w:rsidRPr="00884529">
              <w:rPr>
                <w:rFonts w:ascii="Times New Roman" w:hAnsi="Times New Roman" w:cs="Times New Roman"/>
                <w:color w:val="000000" w:themeColor="text1"/>
                <w:sz w:val="24"/>
                <w:szCs w:val="24"/>
              </w:rPr>
              <w:t xml:space="preserve"> ir </w:t>
            </w:r>
            <w:r w:rsidR="00D212EF" w:rsidRPr="00884529">
              <w:rPr>
                <w:rFonts w:ascii="Times New Roman" w:hAnsi="Times New Roman" w:cs="Times New Roman"/>
                <w:color w:val="000000" w:themeColor="text1"/>
                <w:sz w:val="24"/>
                <w:szCs w:val="24"/>
              </w:rPr>
              <w:t xml:space="preserve">obligāti </w:t>
            </w:r>
            <w:r w:rsidR="00CC7F67" w:rsidRPr="00884529">
              <w:rPr>
                <w:rFonts w:ascii="Times New Roman" w:hAnsi="Times New Roman" w:cs="Times New Roman"/>
                <w:color w:val="000000" w:themeColor="text1"/>
                <w:sz w:val="24"/>
                <w:szCs w:val="24"/>
              </w:rPr>
              <w:t xml:space="preserve">jāiekļauj līgumā, ar kuru </w:t>
            </w:r>
            <w:r w:rsidR="00251082" w:rsidRPr="00884529">
              <w:rPr>
                <w:rFonts w:ascii="Times New Roman" w:hAnsi="Times New Roman" w:cs="Times New Roman"/>
                <w:color w:val="000000" w:themeColor="text1"/>
                <w:sz w:val="24"/>
                <w:szCs w:val="24"/>
              </w:rPr>
              <w:t xml:space="preserve">valsts nozīmes civilās aviācijas lidlaukam  uzliek </w:t>
            </w:r>
            <w:r w:rsidR="00251082" w:rsidRPr="00884529">
              <w:rPr>
                <w:rFonts w:ascii="Times New Roman" w:hAnsi="Times New Roman" w:cs="Times New Roman"/>
                <w:sz w:val="24"/>
                <w:szCs w:val="24"/>
              </w:rPr>
              <w:t xml:space="preserve"> sabiedriski svarīgu funkciju veikšanas atbalsta saistības;</w:t>
            </w:r>
            <w:r w:rsidR="00251082" w:rsidRPr="00884529" w:rsidDel="00251082">
              <w:rPr>
                <w:rFonts w:ascii="Times New Roman" w:hAnsi="Times New Roman" w:cs="Times New Roman"/>
                <w:color w:val="000000" w:themeColor="text1"/>
                <w:sz w:val="24"/>
                <w:szCs w:val="24"/>
              </w:rPr>
              <w:t xml:space="preserve"> </w:t>
            </w:r>
          </w:p>
          <w:p w:rsidR="00D2672D" w:rsidRPr="00884529" w:rsidRDefault="00D2672D" w:rsidP="00B8380F">
            <w:pPr>
              <w:spacing w:after="0" w:line="240" w:lineRule="auto"/>
              <w:ind w:firstLine="498"/>
              <w:jc w:val="both"/>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 xml:space="preserve">- </w:t>
            </w:r>
            <w:r w:rsidR="00251082" w:rsidRPr="00884529">
              <w:rPr>
                <w:rFonts w:ascii="Times New Roman" w:hAnsi="Times New Roman" w:cs="Times New Roman"/>
                <w:color w:val="000000" w:themeColor="text1"/>
                <w:sz w:val="24"/>
                <w:szCs w:val="24"/>
              </w:rPr>
              <w:t xml:space="preserve">ka </w:t>
            </w:r>
            <w:r w:rsidR="005E4159" w:rsidRPr="00884529">
              <w:rPr>
                <w:rFonts w:ascii="Times New Roman" w:hAnsi="Times New Roman" w:cs="Times New Roman"/>
                <w:color w:val="000000" w:themeColor="text1"/>
                <w:sz w:val="24"/>
                <w:szCs w:val="24"/>
              </w:rPr>
              <w:t>v</w:t>
            </w:r>
            <w:r w:rsidR="00B8380F" w:rsidRPr="00884529">
              <w:rPr>
                <w:rFonts w:ascii="Times New Roman" w:hAnsi="Times New Roman" w:cs="Times New Roman"/>
                <w:color w:val="000000" w:themeColor="text1"/>
                <w:sz w:val="24"/>
                <w:szCs w:val="24"/>
              </w:rPr>
              <w:t>alsts un pašvaldība kompensē izmaksas, kas lidlaukam rodas</w:t>
            </w:r>
            <w:r w:rsidR="00ED3CCE">
              <w:rPr>
                <w:rFonts w:ascii="Times New Roman" w:hAnsi="Times New Roman" w:cs="Times New Roman"/>
                <w:color w:val="000000" w:themeColor="text1"/>
                <w:sz w:val="24"/>
                <w:szCs w:val="24"/>
              </w:rPr>
              <w:t>,</w:t>
            </w:r>
            <w:r w:rsidR="00B8380F" w:rsidRPr="00884529">
              <w:rPr>
                <w:rFonts w:ascii="Times New Roman" w:hAnsi="Times New Roman" w:cs="Times New Roman"/>
                <w:color w:val="000000" w:themeColor="text1"/>
                <w:sz w:val="24"/>
                <w:szCs w:val="24"/>
              </w:rPr>
              <w:t xml:space="preserve"> izpildot </w:t>
            </w:r>
            <w:r w:rsidR="00043580" w:rsidRPr="00884529">
              <w:rPr>
                <w:rFonts w:ascii="Times New Roman" w:hAnsi="Times New Roman" w:cs="Times New Roman"/>
                <w:color w:val="000000" w:themeColor="text1"/>
                <w:sz w:val="24"/>
                <w:szCs w:val="24"/>
              </w:rPr>
              <w:t xml:space="preserve">minētās </w:t>
            </w:r>
            <w:r w:rsidR="00251082" w:rsidRPr="00884529">
              <w:rPr>
                <w:rFonts w:ascii="Times New Roman" w:hAnsi="Times New Roman" w:cs="Times New Roman"/>
                <w:sz w:val="24"/>
                <w:szCs w:val="24"/>
              </w:rPr>
              <w:t xml:space="preserve">sabiedriski svarīgu funkciju veikšanas atbalsta </w:t>
            </w:r>
            <w:r w:rsidR="00B8380F" w:rsidRPr="00884529">
              <w:rPr>
                <w:rFonts w:ascii="Times New Roman" w:hAnsi="Times New Roman" w:cs="Times New Roman"/>
                <w:color w:val="000000" w:themeColor="text1"/>
                <w:sz w:val="24"/>
                <w:szCs w:val="24"/>
              </w:rPr>
              <w:t>saistības</w:t>
            </w:r>
            <w:r w:rsidR="001654A1" w:rsidRPr="00884529">
              <w:rPr>
                <w:rFonts w:ascii="Times New Roman" w:hAnsi="Times New Roman" w:cs="Times New Roman"/>
                <w:color w:val="000000" w:themeColor="text1"/>
                <w:sz w:val="24"/>
                <w:szCs w:val="24"/>
              </w:rPr>
              <w:t>.</w:t>
            </w:r>
            <w:r w:rsidR="00B8380F" w:rsidRPr="00884529">
              <w:rPr>
                <w:rFonts w:ascii="Times New Roman" w:hAnsi="Times New Roman" w:cs="Times New Roman"/>
                <w:color w:val="000000" w:themeColor="text1"/>
                <w:sz w:val="24"/>
                <w:szCs w:val="24"/>
              </w:rPr>
              <w:t xml:space="preserve"> </w:t>
            </w:r>
            <w:r w:rsidR="001654A1" w:rsidRPr="00884529">
              <w:rPr>
                <w:rFonts w:ascii="Times New Roman" w:hAnsi="Times New Roman" w:cs="Times New Roman"/>
                <w:color w:val="000000" w:themeColor="text1"/>
                <w:sz w:val="24"/>
                <w:szCs w:val="24"/>
              </w:rPr>
              <w:t>A</w:t>
            </w:r>
            <w:r w:rsidR="00B8380F" w:rsidRPr="00884529">
              <w:rPr>
                <w:rFonts w:ascii="Times New Roman" w:hAnsi="Times New Roman" w:cs="Times New Roman"/>
                <w:color w:val="000000" w:themeColor="text1"/>
                <w:sz w:val="24"/>
                <w:szCs w:val="24"/>
              </w:rPr>
              <w:t>r š</w:t>
            </w:r>
            <w:r w:rsidR="00F33055" w:rsidRPr="00884529">
              <w:rPr>
                <w:rFonts w:ascii="Times New Roman" w:hAnsi="Times New Roman" w:cs="Times New Roman"/>
                <w:color w:val="000000" w:themeColor="text1"/>
                <w:sz w:val="24"/>
                <w:szCs w:val="24"/>
              </w:rPr>
              <w:t>ī</w:t>
            </w:r>
            <w:r w:rsidR="00B8380F" w:rsidRPr="00884529">
              <w:rPr>
                <w:rFonts w:ascii="Times New Roman" w:hAnsi="Times New Roman" w:cs="Times New Roman"/>
                <w:color w:val="000000" w:themeColor="text1"/>
                <w:sz w:val="24"/>
                <w:szCs w:val="24"/>
              </w:rPr>
              <w:t xml:space="preserve">m kompensācijām valsts gadījumā saprot </w:t>
            </w:r>
            <w:r w:rsidR="00043580" w:rsidRPr="00884529">
              <w:rPr>
                <w:rFonts w:ascii="Times New Roman" w:hAnsi="Times New Roman" w:cs="Times New Roman"/>
                <w:color w:val="000000" w:themeColor="text1"/>
                <w:sz w:val="24"/>
                <w:szCs w:val="24"/>
              </w:rPr>
              <w:t>dotāciju</w:t>
            </w:r>
            <w:r w:rsidR="00B8380F" w:rsidRPr="00884529">
              <w:rPr>
                <w:rFonts w:ascii="Times New Roman" w:hAnsi="Times New Roman" w:cs="Times New Roman"/>
                <w:color w:val="000000" w:themeColor="text1"/>
                <w:sz w:val="24"/>
                <w:szCs w:val="24"/>
              </w:rPr>
              <w:t>, kas noteikt</w:t>
            </w:r>
            <w:r w:rsidR="00043580" w:rsidRPr="00884529">
              <w:rPr>
                <w:rFonts w:ascii="Times New Roman" w:hAnsi="Times New Roman" w:cs="Times New Roman"/>
                <w:color w:val="000000" w:themeColor="text1"/>
                <w:sz w:val="24"/>
                <w:szCs w:val="24"/>
              </w:rPr>
              <w:t>a</w:t>
            </w:r>
            <w:r w:rsidR="00B8380F" w:rsidRPr="00884529">
              <w:rPr>
                <w:rFonts w:ascii="Times New Roman" w:hAnsi="Times New Roman" w:cs="Times New Roman"/>
                <w:color w:val="000000" w:themeColor="text1"/>
                <w:sz w:val="24"/>
                <w:szCs w:val="24"/>
              </w:rPr>
              <w:t xml:space="preserve"> valsts budžetā likumā kārtējam gadam</w:t>
            </w:r>
            <w:r w:rsidR="000E43A7">
              <w:rPr>
                <w:rFonts w:ascii="Times New Roman" w:hAnsi="Times New Roman" w:cs="Times New Roman"/>
                <w:color w:val="000000" w:themeColor="text1"/>
                <w:sz w:val="24"/>
                <w:szCs w:val="24"/>
              </w:rPr>
              <w:t xml:space="preserve"> </w:t>
            </w:r>
            <w:r w:rsidR="000E43A7" w:rsidRPr="001257BB">
              <w:rPr>
                <w:rFonts w:ascii="Times New Roman" w:hAnsi="Times New Roman" w:cs="Times New Roman"/>
                <w:color w:val="000000" w:themeColor="text1"/>
                <w:sz w:val="24"/>
                <w:szCs w:val="24"/>
              </w:rPr>
              <w:t>vai attiecīgās ministrijas valsts pamatfunkciju īstenošanai valsts budžetā paredzētie līdzekļi</w:t>
            </w:r>
            <w:r w:rsidR="00B8380F" w:rsidRPr="00884529">
              <w:rPr>
                <w:rFonts w:ascii="Times New Roman" w:hAnsi="Times New Roman" w:cs="Times New Roman"/>
                <w:color w:val="000000" w:themeColor="text1"/>
                <w:sz w:val="24"/>
                <w:szCs w:val="24"/>
              </w:rPr>
              <w:t>, savukārt pašvaldību gadījumā pašvaldību budžetā šim mērķim paredzētā dotācija kārtējam gadam</w:t>
            </w:r>
            <w:r w:rsidR="001654A1" w:rsidRPr="00884529">
              <w:rPr>
                <w:rFonts w:ascii="Times New Roman" w:hAnsi="Times New Roman" w:cs="Times New Roman"/>
                <w:color w:val="000000" w:themeColor="text1"/>
                <w:sz w:val="24"/>
                <w:szCs w:val="24"/>
              </w:rPr>
              <w:t>;</w:t>
            </w:r>
          </w:p>
          <w:p w:rsidR="0017125A" w:rsidRDefault="00045D9B" w:rsidP="00B8380F">
            <w:pPr>
              <w:spacing w:after="0" w:line="240" w:lineRule="auto"/>
              <w:ind w:firstLine="498"/>
              <w:jc w:val="both"/>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 nosacījumus, lai nepieļautu sabiedriskas nozīmes pakalpojumu sniegšanas līgumā noteikta regulāro gaisa pārvadājumu apjoma un lidojumu regularitātes nodrošināšana</w:t>
            </w:r>
            <w:r w:rsidR="000139DF" w:rsidRPr="00884529">
              <w:rPr>
                <w:rFonts w:ascii="Times New Roman" w:hAnsi="Times New Roman" w:cs="Times New Roman"/>
                <w:color w:val="000000" w:themeColor="text1"/>
                <w:sz w:val="24"/>
                <w:szCs w:val="24"/>
              </w:rPr>
              <w:t>s</w:t>
            </w:r>
            <w:r w:rsidRPr="00884529">
              <w:rPr>
                <w:rFonts w:ascii="Times New Roman" w:hAnsi="Times New Roman" w:cs="Times New Roman"/>
                <w:color w:val="000000" w:themeColor="text1"/>
                <w:sz w:val="24"/>
                <w:szCs w:val="24"/>
              </w:rPr>
              <w:t xml:space="preserve"> un </w:t>
            </w:r>
            <w:r w:rsidR="0017125A" w:rsidRPr="00884529">
              <w:rPr>
                <w:rFonts w:ascii="Times New Roman" w:hAnsi="Times New Roman" w:cs="Times New Roman"/>
                <w:sz w:val="24"/>
                <w:szCs w:val="24"/>
              </w:rPr>
              <w:t xml:space="preserve"> sabiedriski svarīgu funkc</w:t>
            </w:r>
            <w:r w:rsidR="000326F4">
              <w:rPr>
                <w:rFonts w:ascii="Times New Roman" w:hAnsi="Times New Roman" w:cs="Times New Roman"/>
                <w:sz w:val="24"/>
                <w:szCs w:val="24"/>
              </w:rPr>
              <w:t>iju veikšanas atbalsta saistību uzlikšanas līgumā</w:t>
            </w:r>
            <w:r w:rsidR="0017125A" w:rsidRPr="00884529" w:rsidDel="0017125A">
              <w:rPr>
                <w:rFonts w:ascii="Times New Roman" w:hAnsi="Times New Roman" w:cs="Times New Roman"/>
                <w:color w:val="000000" w:themeColor="text1"/>
                <w:sz w:val="24"/>
                <w:szCs w:val="24"/>
              </w:rPr>
              <w:t xml:space="preserve"> </w:t>
            </w:r>
            <w:r w:rsidR="00F33410" w:rsidRPr="00884529">
              <w:rPr>
                <w:rFonts w:ascii="Times New Roman" w:hAnsi="Times New Roman" w:cs="Times New Roman"/>
                <w:color w:val="000000" w:themeColor="text1"/>
                <w:sz w:val="24"/>
                <w:szCs w:val="24"/>
              </w:rPr>
              <w:t>ietverto pasākumu dubultu finansēšanu</w:t>
            </w:r>
            <w:r w:rsidR="0017125A">
              <w:rPr>
                <w:rFonts w:ascii="Times New Roman" w:hAnsi="Times New Roman" w:cs="Times New Roman"/>
                <w:color w:val="000000" w:themeColor="text1"/>
                <w:sz w:val="24"/>
                <w:szCs w:val="24"/>
              </w:rPr>
              <w:t>;</w:t>
            </w:r>
          </w:p>
          <w:p w:rsidR="00054985" w:rsidRPr="001257BB" w:rsidRDefault="00054985" w:rsidP="00054985">
            <w:pPr>
              <w:pStyle w:val="paraksti"/>
              <w:shd w:val="clear" w:color="auto" w:fill="FFFFFF"/>
              <w:tabs>
                <w:tab w:val="clear" w:pos="6804"/>
                <w:tab w:val="left" w:pos="851"/>
                <w:tab w:val="left" w:pos="1276"/>
              </w:tabs>
              <w:ind w:firstLine="567"/>
              <w:rPr>
                <w:color w:val="000000" w:themeColor="text1"/>
                <w:sz w:val="24"/>
              </w:rPr>
            </w:pPr>
            <w:r>
              <w:rPr>
                <w:color w:val="000000" w:themeColor="text1"/>
                <w:sz w:val="24"/>
              </w:rPr>
              <w:t xml:space="preserve">- </w:t>
            </w:r>
            <w:r w:rsidR="00B5640E">
              <w:rPr>
                <w:color w:val="000000" w:themeColor="text1"/>
                <w:sz w:val="24"/>
              </w:rPr>
              <w:t>ka</w:t>
            </w:r>
            <w:r w:rsidRPr="001257BB">
              <w:rPr>
                <w:color w:val="000000" w:themeColor="text1"/>
              </w:rPr>
              <w:t xml:space="preserve"> </w:t>
            </w:r>
            <w:r>
              <w:rPr>
                <w:color w:val="000000" w:themeColor="text1"/>
                <w:sz w:val="24"/>
              </w:rPr>
              <w:t>k</w:t>
            </w:r>
            <w:r w:rsidRPr="001257BB">
              <w:rPr>
                <w:color w:val="000000" w:themeColor="text1"/>
                <w:sz w:val="24"/>
              </w:rPr>
              <w:t xml:space="preserve">ompensācijas par izmaksām, kas lidlaukam rodas, sniedzot pakalpojumus </w:t>
            </w:r>
            <w:r w:rsidRPr="001257BB">
              <w:rPr>
                <w:sz w:val="24"/>
              </w:rPr>
              <w:t xml:space="preserve">uzlikto </w:t>
            </w:r>
            <w:r w:rsidRPr="001257BB">
              <w:rPr>
                <w:color w:val="000000" w:themeColor="text1"/>
                <w:sz w:val="24"/>
              </w:rPr>
              <w:t xml:space="preserve">sabiedriski svarīgu funkciju veikšanas atbalsta saistību </w:t>
            </w:r>
            <w:r w:rsidRPr="001257BB">
              <w:rPr>
                <w:sz w:val="24"/>
              </w:rPr>
              <w:t xml:space="preserve"> līguma ietvaros un</w:t>
            </w:r>
            <w:r w:rsidRPr="001257BB">
              <w:rPr>
                <w:color w:val="000000" w:themeColor="text1"/>
                <w:sz w:val="24"/>
              </w:rPr>
              <w:t xml:space="preserve"> ko lidlauks nenodrošinātu, ja tam nebūtu uzliktas sabiedriski svarīgu funkciju veikšanas atbalsta saistības, apmēru katrā konkrētā gadījumā aprēķina, ņemot vērā  pakalpojumu saistību aprakstā noteikto prasību un standartu nodrošināšanas faktiskās izmaksas</w:t>
            </w:r>
            <w:r>
              <w:rPr>
                <w:color w:val="000000" w:themeColor="text1"/>
                <w:sz w:val="24"/>
              </w:rPr>
              <w:t>;</w:t>
            </w:r>
            <w:r w:rsidRPr="001257BB">
              <w:rPr>
                <w:color w:val="000000" w:themeColor="text1"/>
                <w:sz w:val="24"/>
              </w:rPr>
              <w:t xml:space="preserve"> </w:t>
            </w:r>
          </w:p>
          <w:p w:rsidR="0056661B" w:rsidRDefault="0017125A" w:rsidP="0056661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 </w:t>
            </w:r>
            <w:r w:rsidR="000326F4">
              <w:rPr>
                <w:rFonts w:ascii="Times New Roman" w:hAnsi="Times New Roman" w:cs="Times New Roman"/>
                <w:color w:val="000000" w:themeColor="text1"/>
                <w:sz w:val="24"/>
                <w:szCs w:val="24"/>
              </w:rPr>
              <w:t>ka, j</w:t>
            </w:r>
            <w:r w:rsidR="000326F4" w:rsidRPr="001257BB">
              <w:rPr>
                <w:rFonts w:ascii="Times New Roman" w:hAnsi="Times New Roman" w:cs="Times New Roman"/>
                <w:color w:val="000000" w:themeColor="text1"/>
                <w:sz w:val="24"/>
                <w:szCs w:val="24"/>
              </w:rPr>
              <w:t xml:space="preserve">a </w:t>
            </w:r>
            <w:r w:rsidR="000326F4" w:rsidRPr="001257BB">
              <w:rPr>
                <w:rFonts w:ascii="Times New Roman" w:hAnsi="Times New Roman" w:cs="Times New Roman"/>
                <w:color w:val="000000"/>
                <w:sz w:val="24"/>
                <w:szCs w:val="24"/>
              </w:rPr>
              <w:t xml:space="preserve">sabiedriski svarīgu funkciju veikšanas atbalsta saistības uzliek kopīgi vairākas ministrijas un pašvaldība, tās sabiedriski svarīgu funkciju veikšanas atbalsta saistību līgumā paredz nosacījumus par plānotā  kompensācijas apmēra sadalījumu starp līguma slēdzējiem un vienojas par katras līgumslēdzējas puses atbildību par izmaksājamo kompensāciju atbilstību </w:t>
            </w:r>
            <w:r w:rsidR="000446ED">
              <w:rPr>
                <w:rFonts w:ascii="Times New Roman" w:hAnsi="Times New Roman" w:cs="Times New Roman"/>
                <w:color w:val="000000"/>
                <w:sz w:val="24"/>
                <w:szCs w:val="24"/>
              </w:rPr>
              <w:t xml:space="preserve">pakalpojumu sniegšanas </w:t>
            </w:r>
            <w:r w:rsidR="000326F4" w:rsidRPr="001257BB">
              <w:rPr>
                <w:rFonts w:ascii="Times New Roman" w:hAnsi="Times New Roman" w:cs="Times New Roman"/>
                <w:color w:val="000000"/>
                <w:sz w:val="24"/>
                <w:szCs w:val="24"/>
              </w:rPr>
              <w:t>saistību aprakstā noteiktajam</w:t>
            </w:r>
            <w:r w:rsidR="0056661B">
              <w:rPr>
                <w:rFonts w:ascii="Times New Roman" w:hAnsi="Times New Roman" w:cs="Times New Roman"/>
                <w:color w:val="000000"/>
                <w:sz w:val="24"/>
                <w:szCs w:val="24"/>
              </w:rPr>
              <w:t>;</w:t>
            </w:r>
          </w:p>
          <w:p w:rsidR="00D2672D" w:rsidRPr="00884529" w:rsidRDefault="00B8380F" w:rsidP="0056661B">
            <w:pPr>
              <w:spacing w:after="0" w:line="240" w:lineRule="auto"/>
              <w:ind w:firstLine="567"/>
              <w:jc w:val="both"/>
              <w:rPr>
                <w:rFonts w:ascii="Times New Roman" w:hAnsi="Times New Roman" w:cs="Times New Roman"/>
                <w:sz w:val="24"/>
                <w:szCs w:val="24"/>
                <w:lang w:eastAsia="lv-LV"/>
              </w:rPr>
            </w:pPr>
            <w:r w:rsidRPr="00884529">
              <w:rPr>
                <w:rFonts w:ascii="Times New Roman" w:hAnsi="Times New Roman" w:cs="Times New Roman"/>
                <w:color w:val="000000" w:themeColor="text1"/>
                <w:sz w:val="24"/>
                <w:szCs w:val="24"/>
              </w:rPr>
              <w:t xml:space="preserve">- </w:t>
            </w:r>
            <w:r w:rsidR="007C55FE" w:rsidRPr="00884529">
              <w:rPr>
                <w:rFonts w:ascii="Times New Roman" w:hAnsi="Times New Roman" w:cs="Times New Roman"/>
                <w:color w:val="000000" w:themeColor="text1"/>
                <w:sz w:val="24"/>
                <w:szCs w:val="24"/>
              </w:rPr>
              <w:t xml:space="preserve">ja lidlauks bez uzliktajām sabiedriski svarīgu funkciju veikšanas </w:t>
            </w:r>
            <w:r w:rsidR="006E20F1" w:rsidRPr="00884529">
              <w:rPr>
                <w:rFonts w:ascii="Times New Roman" w:hAnsi="Times New Roman" w:cs="Times New Roman"/>
                <w:color w:val="000000" w:themeColor="text1"/>
                <w:sz w:val="24"/>
                <w:szCs w:val="24"/>
              </w:rPr>
              <w:t xml:space="preserve">atbalsta </w:t>
            </w:r>
            <w:r w:rsidR="007C55FE" w:rsidRPr="00884529">
              <w:rPr>
                <w:rFonts w:ascii="Times New Roman" w:hAnsi="Times New Roman" w:cs="Times New Roman"/>
                <w:color w:val="000000" w:themeColor="text1"/>
                <w:sz w:val="24"/>
                <w:szCs w:val="24"/>
              </w:rPr>
              <w:t xml:space="preserve">saistībām veic saimniecisko darbību vai tam ir uzliktas </w:t>
            </w:r>
            <w:r w:rsidR="00C66E44" w:rsidRPr="00884529">
              <w:rPr>
                <w:rFonts w:ascii="Times New Roman" w:hAnsi="Times New Roman" w:cs="Times New Roman"/>
                <w:color w:val="000000" w:themeColor="text1"/>
                <w:sz w:val="24"/>
                <w:szCs w:val="24"/>
              </w:rPr>
              <w:t xml:space="preserve">sabiedriskas nozīmes saistības noteikta apjoma regulāru lidojumu </w:t>
            </w:r>
            <w:r w:rsidR="00043580" w:rsidRPr="00884529">
              <w:rPr>
                <w:rFonts w:ascii="Times New Roman" w:hAnsi="Times New Roman" w:cs="Times New Roman"/>
                <w:color w:val="000000" w:themeColor="text1"/>
                <w:sz w:val="24"/>
                <w:szCs w:val="24"/>
              </w:rPr>
              <w:t xml:space="preserve">apjoma un regularitātes </w:t>
            </w:r>
            <w:r w:rsidR="00C66E44" w:rsidRPr="00884529">
              <w:rPr>
                <w:rFonts w:ascii="Times New Roman" w:hAnsi="Times New Roman" w:cs="Times New Roman"/>
                <w:color w:val="000000" w:themeColor="text1"/>
                <w:sz w:val="24"/>
                <w:szCs w:val="24"/>
              </w:rPr>
              <w:t>nodrošināšanai</w:t>
            </w:r>
            <w:r w:rsidR="007C55FE" w:rsidRPr="00884529">
              <w:rPr>
                <w:rFonts w:ascii="Times New Roman" w:hAnsi="Times New Roman" w:cs="Times New Roman"/>
                <w:color w:val="000000" w:themeColor="text1"/>
                <w:sz w:val="24"/>
                <w:szCs w:val="24"/>
              </w:rPr>
              <w:t>, tas nodrošina ar</w:t>
            </w:r>
            <w:r w:rsidR="000326F4">
              <w:rPr>
                <w:rFonts w:ascii="Times New Roman" w:hAnsi="Times New Roman" w:cs="Times New Roman"/>
                <w:color w:val="000000" w:themeColor="text1"/>
                <w:sz w:val="24"/>
                <w:szCs w:val="24"/>
              </w:rPr>
              <w:t xml:space="preserve"> </w:t>
            </w:r>
            <w:r w:rsidR="000326F4" w:rsidRPr="00884529">
              <w:rPr>
                <w:rFonts w:ascii="Times New Roman" w:hAnsi="Times New Roman" w:cs="Times New Roman"/>
                <w:sz w:val="24"/>
                <w:szCs w:val="24"/>
              </w:rPr>
              <w:t xml:space="preserve"> sabiedriski svarīgu funkc</w:t>
            </w:r>
            <w:r w:rsidR="000326F4">
              <w:rPr>
                <w:rFonts w:ascii="Times New Roman" w:hAnsi="Times New Roman" w:cs="Times New Roman"/>
                <w:sz w:val="24"/>
                <w:szCs w:val="24"/>
              </w:rPr>
              <w:t xml:space="preserve">iju veikšanas atbalsta saistību uzlikšanas </w:t>
            </w:r>
            <w:r w:rsidR="007C55FE" w:rsidRPr="00884529">
              <w:rPr>
                <w:rFonts w:ascii="Times New Roman" w:hAnsi="Times New Roman" w:cs="Times New Roman"/>
                <w:color w:val="000000" w:themeColor="text1"/>
                <w:sz w:val="24"/>
                <w:szCs w:val="24"/>
              </w:rPr>
              <w:t>līguma izpildi saistīt</w:t>
            </w:r>
            <w:r w:rsidR="006E20F1" w:rsidRPr="00884529">
              <w:rPr>
                <w:rFonts w:ascii="Times New Roman" w:hAnsi="Times New Roman" w:cs="Times New Roman"/>
                <w:color w:val="000000" w:themeColor="text1"/>
                <w:sz w:val="24"/>
                <w:szCs w:val="24"/>
              </w:rPr>
              <w:t>o</w:t>
            </w:r>
            <w:r w:rsidR="007C55FE" w:rsidRPr="00884529">
              <w:rPr>
                <w:rFonts w:ascii="Times New Roman" w:hAnsi="Times New Roman" w:cs="Times New Roman"/>
                <w:color w:val="000000" w:themeColor="text1"/>
                <w:sz w:val="24"/>
                <w:szCs w:val="24"/>
              </w:rPr>
              <w:t xml:space="preserve"> izdevumu atsevišķu uzskaiti. </w:t>
            </w:r>
          </w:p>
        </w:tc>
      </w:tr>
      <w:tr w:rsidR="00ED235A" w:rsidRPr="00884529" w:rsidTr="00EF77C8">
        <w:trPr>
          <w:trHeight w:val="476"/>
        </w:trPr>
        <w:tc>
          <w:tcPr>
            <w:tcW w:w="450" w:type="pct"/>
          </w:tcPr>
          <w:p w:rsidR="00582255" w:rsidRPr="00884529" w:rsidRDefault="00582255" w:rsidP="007F474C">
            <w:pPr>
              <w:pStyle w:val="naiskr"/>
              <w:spacing w:before="0" w:beforeAutospacing="0" w:after="0" w:afterAutospacing="0"/>
              <w:ind w:left="57" w:right="57"/>
              <w:jc w:val="center"/>
            </w:pPr>
          </w:p>
        </w:tc>
        <w:tc>
          <w:tcPr>
            <w:tcW w:w="1044" w:type="pct"/>
          </w:tcPr>
          <w:p w:rsidR="00582255" w:rsidRPr="00884529" w:rsidRDefault="00582255" w:rsidP="007F474C">
            <w:pPr>
              <w:pStyle w:val="naiskr"/>
              <w:spacing w:before="0" w:beforeAutospacing="0" w:after="0" w:afterAutospacing="0"/>
              <w:ind w:left="57" w:right="57"/>
            </w:pPr>
            <w:r w:rsidRPr="00884529">
              <w:t xml:space="preserve">Projekta izstrādē </w:t>
            </w:r>
            <w:r w:rsidRPr="00884529">
              <w:lastRenderedPageBreak/>
              <w:t>iesaistītās institūcijas</w:t>
            </w:r>
          </w:p>
        </w:tc>
        <w:tc>
          <w:tcPr>
            <w:tcW w:w="3506" w:type="pct"/>
          </w:tcPr>
          <w:p w:rsidR="00582255" w:rsidRPr="00884529" w:rsidRDefault="00852089" w:rsidP="00F33410">
            <w:pPr>
              <w:spacing w:after="0" w:line="240" w:lineRule="auto"/>
              <w:ind w:left="57" w:right="57"/>
              <w:jc w:val="both"/>
              <w:rPr>
                <w:rFonts w:ascii="Times New Roman" w:hAnsi="Times New Roman" w:cs="Times New Roman"/>
                <w:color w:val="000000"/>
                <w:sz w:val="24"/>
                <w:szCs w:val="24"/>
                <w:lang w:eastAsia="lv-LV"/>
              </w:rPr>
            </w:pPr>
            <w:r w:rsidRPr="00884529">
              <w:rPr>
                <w:rFonts w:ascii="Times New Roman" w:hAnsi="Times New Roman" w:cs="Times New Roman"/>
                <w:color w:val="000000"/>
                <w:sz w:val="24"/>
                <w:szCs w:val="24"/>
                <w:lang w:eastAsia="lv-LV"/>
              </w:rPr>
              <w:lastRenderedPageBreak/>
              <w:t>Satiksmes ministrija</w:t>
            </w:r>
            <w:r w:rsidR="00882B38" w:rsidRPr="00884529">
              <w:rPr>
                <w:rFonts w:ascii="Times New Roman" w:hAnsi="Times New Roman" w:cs="Times New Roman"/>
                <w:color w:val="000000"/>
                <w:sz w:val="24"/>
                <w:szCs w:val="24"/>
                <w:lang w:eastAsia="lv-LV"/>
              </w:rPr>
              <w:t xml:space="preserve">, Aizsardzības ministrija, Iekšlietu ministrija, </w:t>
            </w:r>
            <w:r w:rsidR="009D5DC3" w:rsidRPr="00884529">
              <w:rPr>
                <w:rFonts w:ascii="Times New Roman" w:hAnsi="Times New Roman" w:cs="Times New Roman"/>
                <w:color w:val="000000"/>
                <w:sz w:val="24"/>
                <w:szCs w:val="24"/>
                <w:lang w:eastAsia="lv-LV"/>
              </w:rPr>
              <w:lastRenderedPageBreak/>
              <w:t xml:space="preserve">Finanšu ministrija, </w:t>
            </w:r>
            <w:r w:rsidR="00882B38" w:rsidRPr="00884529">
              <w:rPr>
                <w:rFonts w:ascii="Times New Roman" w:hAnsi="Times New Roman" w:cs="Times New Roman"/>
                <w:color w:val="000000"/>
                <w:sz w:val="24"/>
                <w:szCs w:val="24"/>
                <w:lang w:eastAsia="lv-LV"/>
              </w:rPr>
              <w:t>Ventspils pilsētas dome, SIA „Ventspils lidosta”</w:t>
            </w:r>
            <w:r w:rsidR="00F33410" w:rsidRPr="00884529">
              <w:rPr>
                <w:rFonts w:ascii="Times New Roman" w:hAnsi="Times New Roman" w:cs="Times New Roman"/>
                <w:color w:val="000000"/>
                <w:sz w:val="24"/>
                <w:szCs w:val="24"/>
                <w:lang w:eastAsia="lv-LV"/>
              </w:rPr>
              <w:t>.</w:t>
            </w:r>
          </w:p>
          <w:p w:rsidR="008D3889" w:rsidRPr="00884529" w:rsidRDefault="008D3889" w:rsidP="00F33410">
            <w:pPr>
              <w:spacing w:after="0" w:line="240" w:lineRule="auto"/>
              <w:ind w:left="57" w:right="57"/>
              <w:jc w:val="both"/>
              <w:rPr>
                <w:rFonts w:ascii="Times New Roman" w:hAnsi="Times New Roman" w:cs="Times New Roman"/>
                <w:b/>
                <w:sz w:val="24"/>
                <w:szCs w:val="24"/>
              </w:rPr>
            </w:pPr>
          </w:p>
        </w:tc>
      </w:tr>
      <w:tr w:rsidR="00ED235A" w:rsidRPr="00884529" w:rsidTr="00EF77C8">
        <w:tc>
          <w:tcPr>
            <w:tcW w:w="450" w:type="pct"/>
          </w:tcPr>
          <w:p w:rsidR="00582255" w:rsidRPr="00884529" w:rsidRDefault="00582255" w:rsidP="007F474C">
            <w:pPr>
              <w:pStyle w:val="naiskr"/>
              <w:spacing w:before="0" w:beforeAutospacing="0" w:after="0" w:afterAutospacing="0"/>
              <w:ind w:left="57" w:right="57"/>
              <w:jc w:val="center"/>
            </w:pPr>
            <w:r w:rsidRPr="00884529">
              <w:lastRenderedPageBreak/>
              <w:t>4.</w:t>
            </w:r>
          </w:p>
        </w:tc>
        <w:tc>
          <w:tcPr>
            <w:tcW w:w="1044" w:type="pct"/>
          </w:tcPr>
          <w:p w:rsidR="00582255" w:rsidRPr="00884529" w:rsidRDefault="00582255" w:rsidP="007F474C">
            <w:pPr>
              <w:pStyle w:val="naiskr"/>
              <w:spacing w:before="0" w:beforeAutospacing="0" w:after="0" w:afterAutospacing="0"/>
              <w:ind w:left="57" w:right="57"/>
            </w:pPr>
            <w:r w:rsidRPr="00884529">
              <w:t>Cita informācija</w:t>
            </w:r>
          </w:p>
        </w:tc>
        <w:tc>
          <w:tcPr>
            <w:tcW w:w="3506" w:type="pct"/>
          </w:tcPr>
          <w:p w:rsidR="00582255" w:rsidRPr="00884529" w:rsidRDefault="00DA6EC8" w:rsidP="00ED235A">
            <w:pPr>
              <w:pStyle w:val="naiskr"/>
              <w:spacing w:before="0" w:beforeAutospacing="0" w:after="0" w:afterAutospacing="0"/>
              <w:ind w:left="57" w:right="57"/>
              <w:jc w:val="both"/>
            </w:pPr>
            <w:r w:rsidRPr="00884529">
              <w:t>Nav.</w:t>
            </w:r>
          </w:p>
        </w:tc>
      </w:tr>
    </w:tbl>
    <w:p w:rsidR="00582255" w:rsidRPr="000D3F25" w:rsidRDefault="00582255" w:rsidP="00582255">
      <w:pPr>
        <w:spacing w:after="0" w:line="240" w:lineRule="auto"/>
        <w:rPr>
          <w:rFonts w:ascii="Times New Roman" w:hAnsi="Times New Roman" w:cs="Times New Roman"/>
          <w:sz w:val="16"/>
          <w:szCs w:val="16"/>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946"/>
      </w:tblGrid>
      <w:tr w:rsidR="00582255" w:rsidRPr="00884529" w:rsidTr="007F474C">
        <w:trPr>
          <w:trHeight w:val="556"/>
        </w:trPr>
        <w:tc>
          <w:tcPr>
            <w:tcW w:w="9503" w:type="dxa"/>
            <w:gridSpan w:val="3"/>
            <w:vAlign w:val="center"/>
          </w:tcPr>
          <w:p w:rsidR="00582255" w:rsidRPr="00884529" w:rsidRDefault="00582255" w:rsidP="007F474C">
            <w:pPr>
              <w:pStyle w:val="naisnod"/>
              <w:spacing w:before="0" w:beforeAutospacing="0" w:after="0" w:afterAutospacing="0"/>
              <w:ind w:left="57" w:right="57"/>
              <w:jc w:val="center"/>
              <w:rPr>
                <w:b/>
              </w:rPr>
            </w:pPr>
            <w:r w:rsidRPr="00884529">
              <w:rPr>
                <w:b/>
              </w:rPr>
              <w:t>II. Tiesību akta projekta ietekme uz sabiedrību, tautsaimniecības attīstību</w:t>
            </w:r>
          </w:p>
          <w:p w:rsidR="00582255" w:rsidRPr="00884529" w:rsidRDefault="00582255" w:rsidP="007F474C">
            <w:pPr>
              <w:pStyle w:val="naisnod"/>
              <w:spacing w:before="0" w:beforeAutospacing="0" w:after="0" w:afterAutospacing="0"/>
              <w:ind w:left="57" w:right="57"/>
              <w:jc w:val="center"/>
              <w:rPr>
                <w:b/>
              </w:rPr>
            </w:pPr>
            <w:r w:rsidRPr="00884529">
              <w:rPr>
                <w:b/>
              </w:rPr>
              <w:t>un administratīvo slogu</w:t>
            </w:r>
          </w:p>
        </w:tc>
      </w:tr>
      <w:tr w:rsidR="00582255" w:rsidRPr="00884529" w:rsidTr="00EF77C8">
        <w:trPr>
          <w:trHeight w:val="467"/>
        </w:trPr>
        <w:tc>
          <w:tcPr>
            <w:tcW w:w="431" w:type="dxa"/>
          </w:tcPr>
          <w:p w:rsidR="00582255" w:rsidRPr="00884529" w:rsidRDefault="00582255" w:rsidP="007F474C">
            <w:pPr>
              <w:pStyle w:val="naiskr"/>
              <w:spacing w:before="0" w:beforeAutospacing="0" w:after="0" w:afterAutospacing="0"/>
              <w:ind w:left="57" w:right="57"/>
              <w:jc w:val="both"/>
            </w:pPr>
            <w:r w:rsidRPr="00884529">
              <w:t>1.</w:t>
            </w:r>
          </w:p>
        </w:tc>
        <w:tc>
          <w:tcPr>
            <w:tcW w:w="2126" w:type="dxa"/>
          </w:tcPr>
          <w:p w:rsidR="00582255" w:rsidRPr="00884529" w:rsidRDefault="00582255" w:rsidP="007F474C">
            <w:pPr>
              <w:pStyle w:val="naiskr"/>
              <w:spacing w:before="0" w:beforeAutospacing="0" w:after="0" w:afterAutospacing="0"/>
              <w:ind w:left="57" w:right="57"/>
            </w:pPr>
            <w:r w:rsidRPr="00884529">
              <w:t xml:space="preserve">Sabiedrības </w:t>
            </w:r>
            <w:proofErr w:type="spellStart"/>
            <w:r w:rsidRPr="00884529">
              <w:t>mērķgrupas</w:t>
            </w:r>
            <w:proofErr w:type="spellEnd"/>
            <w:r w:rsidRPr="00884529">
              <w:t>, kuras tiesiskais regulējums ietekmē vai varētu ietekmēt</w:t>
            </w:r>
          </w:p>
        </w:tc>
        <w:tc>
          <w:tcPr>
            <w:tcW w:w="6946" w:type="dxa"/>
          </w:tcPr>
          <w:p w:rsidR="00582255" w:rsidRPr="00884529" w:rsidRDefault="00852089" w:rsidP="000139DF">
            <w:pPr>
              <w:shd w:val="clear" w:color="auto" w:fill="FFFFFF"/>
              <w:spacing w:after="0" w:line="240" w:lineRule="auto"/>
              <w:ind w:left="57" w:right="57"/>
              <w:jc w:val="both"/>
              <w:rPr>
                <w:rFonts w:ascii="Times New Roman" w:hAnsi="Times New Roman" w:cs="Times New Roman"/>
                <w:sz w:val="24"/>
                <w:szCs w:val="24"/>
                <w:lang w:eastAsia="lv-LV"/>
              </w:rPr>
            </w:pPr>
            <w:bookmarkStart w:id="3" w:name="p21"/>
            <w:bookmarkEnd w:id="3"/>
            <w:r w:rsidRPr="00884529">
              <w:rPr>
                <w:rFonts w:ascii="Times New Roman" w:hAnsi="Times New Roman" w:cs="Times New Roman"/>
                <w:sz w:val="24"/>
                <w:szCs w:val="24"/>
                <w:lang w:eastAsia="lv-LV"/>
              </w:rPr>
              <w:t>Valsts nozī</w:t>
            </w:r>
            <w:r w:rsidR="00F40353" w:rsidRPr="00884529">
              <w:rPr>
                <w:rFonts w:ascii="Times New Roman" w:hAnsi="Times New Roman" w:cs="Times New Roman"/>
                <w:sz w:val="24"/>
                <w:szCs w:val="24"/>
                <w:lang w:eastAsia="lv-LV"/>
              </w:rPr>
              <w:t>mes civilās aviācijas lidlauki</w:t>
            </w:r>
            <w:r w:rsidR="000139DF" w:rsidRPr="00884529">
              <w:rPr>
                <w:rFonts w:ascii="Times New Roman" w:hAnsi="Times New Roman" w:cs="Times New Roman"/>
                <w:sz w:val="24"/>
                <w:szCs w:val="24"/>
                <w:lang w:eastAsia="lv-LV"/>
              </w:rPr>
              <w:t>,</w:t>
            </w:r>
            <w:r w:rsidR="004E2B57" w:rsidRPr="00884529">
              <w:rPr>
                <w:rFonts w:ascii="Times New Roman" w:hAnsi="Times New Roman" w:cs="Times New Roman"/>
                <w:sz w:val="24"/>
                <w:szCs w:val="24"/>
                <w:lang w:eastAsia="lv-LV"/>
              </w:rPr>
              <w:t xml:space="preserve"> SIA „</w:t>
            </w:r>
            <w:proofErr w:type="spellStart"/>
            <w:r w:rsidR="004E2B57" w:rsidRPr="00884529">
              <w:rPr>
                <w:rFonts w:ascii="Times New Roman" w:hAnsi="Times New Roman" w:cs="Times New Roman"/>
                <w:sz w:val="24"/>
                <w:szCs w:val="24"/>
                <w:lang w:eastAsia="lv-LV"/>
              </w:rPr>
              <w:t>Aviasabiedrība</w:t>
            </w:r>
            <w:proofErr w:type="spellEnd"/>
            <w:r w:rsidR="004E2B57" w:rsidRPr="00884529">
              <w:rPr>
                <w:rFonts w:ascii="Times New Roman" w:hAnsi="Times New Roman" w:cs="Times New Roman"/>
                <w:sz w:val="24"/>
                <w:szCs w:val="24"/>
                <w:lang w:eastAsia="lv-LV"/>
              </w:rPr>
              <w:t xml:space="preserve"> „Liepāja”” lidlauks, SIA „Ventspils lidosta” lidlauks</w:t>
            </w:r>
            <w:r w:rsidR="00F40353" w:rsidRPr="00884529">
              <w:rPr>
                <w:rFonts w:ascii="Times New Roman" w:hAnsi="Times New Roman" w:cs="Times New Roman"/>
                <w:sz w:val="24"/>
                <w:szCs w:val="24"/>
                <w:lang w:eastAsia="lv-LV"/>
              </w:rPr>
              <w:t xml:space="preserve">, Aizsardzības ministrija, Iekšlietu ministrija, </w:t>
            </w:r>
            <w:r w:rsidR="00C351B3" w:rsidRPr="00884529">
              <w:rPr>
                <w:rFonts w:ascii="Times New Roman" w:hAnsi="Times New Roman" w:cs="Times New Roman"/>
                <w:sz w:val="24"/>
                <w:szCs w:val="24"/>
                <w:lang w:eastAsia="lv-LV"/>
              </w:rPr>
              <w:t xml:space="preserve">Satiksmes ministrija, </w:t>
            </w:r>
            <w:r w:rsidR="00F40353" w:rsidRPr="00884529">
              <w:rPr>
                <w:rFonts w:ascii="Times New Roman" w:hAnsi="Times New Roman" w:cs="Times New Roman"/>
                <w:sz w:val="24"/>
                <w:szCs w:val="24"/>
                <w:lang w:eastAsia="lv-LV"/>
              </w:rPr>
              <w:t xml:space="preserve">Vides aizsardzības un reģionālās attīstības ministrija, </w:t>
            </w:r>
            <w:r w:rsidR="007D0EA8" w:rsidRPr="00884529">
              <w:rPr>
                <w:rFonts w:ascii="Times New Roman" w:hAnsi="Times New Roman" w:cs="Times New Roman"/>
                <w:sz w:val="24"/>
                <w:szCs w:val="24"/>
                <w:lang w:eastAsia="lv-LV"/>
              </w:rPr>
              <w:t xml:space="preserve">Ventspils pilsētas dome, Liepājas </w:t>
            </w:r>
            <w:r w:rsidR="004E2B57" w:rsidRPr="00884529">
              <w:rPr>
                <w:rFonts w:ascii="Times New Roman" w:hAnsi="Times New Roman" w:cs="Times New Roman"/>
                <w:sz w:val="24"/>
                <w:szCs w:val="24"/>
                <w:lang w:eastAsia="lv-LV"/>
              </w:rPr>
              <w:t xml:space="preserve">pilsētas </w:t>
            </w:r>
            <w:r w:rsidR="007D0EA8" w:rsidRPr="00884529">
              <w:rPr>
                <w:rFonts w:ascii="Times New Roman" w:hAnsi="Times New Roman" w:cs="Times New Roman"/>
                <w:sz w:val="24"/>
                <w:szCs w:val="24"/>
                <w:lang w:eastAsia="lv-LV"/>
              </w:rPr>
              <w:t xml:space="preserve"> dome.</w:t>
            </w:r>
            <w:r w:rsidR="00F40353" w:rsidRPr="00884529">
              <w:rPr>
                <w:rFonts w:ascii="Times New Roman" w:hAnsi="Times New Roman" w:cs="Times New Roman"/>
                <w:sz w:val="24"/>
                <w:szCs w:val="24"/>
                <w:lang w:eastAsia="lv-LV"/>
              </w:rPr>
              <w:t xml:space="preserve"> </w:t>
            </w:r>
          </w:p>
        </w:tc>
      </w:tr>
      <w:tr w:rsidR="00582255" w:rsidRPr="00884529" w:rsidTr="00EF77C8">
        <w:trPr>
          <w:trHeight w:val="523"/>
        </w:trPr>
        <w:tc>
          <w:tcPr>
            <w:tcW w:w="431" w:type="dxa"/>
          </w:tcPr>
          <w:p w:rsidR="00582255" w:rsidRPr="00884529" w:rsidRDefault="00582255" w:rsidP="007F474C">
            <w:pPr>
              <w:pStyle w:val="naiskr"/>
              <w:spacing w:before="0" w:beforeAutospacing="0" w:after="0" w:afterAutospacing="0"/>
              <w:ind w:left="57" w:right="57"/>
              <w:jc w:val="both"/>
            </w:pPr>
            <w:r w:rsidRPr="00884529">
              <w:t>2.</w:t>
            </w:r>
          </w:p>
        </w:tc>
        <w:tc>
          <w:tcPr>
            <w:tcW w:w="2126" w:type="dxa"/>
          </w:tcPr>
          <w:p w:rsidR="00582255" w:rsidRPr="00884529" w:rsidRDefault="00582255" w:rsidP="007F474C">
            <w:pPr>
              <w:pStyle w:val="naiskr"/>
              <w:spacing w:before="0" w:beforeAutospacing="0" w:after="0" w:afterAutospacing="0"/>
              <w:ind w:left="57" w:right="57"/>
            </w:pPr>
            <w:r w:rsidRPr="00884529">
              <w:t>Tiesiskā regulējuma ietekme uz tautsaimniecību un administratīvo slogu</w:t>
            </w:r>
          </w:p>
        </w:tc>
        <w:tc>
          <w:tcPr>
            <w:tcW w:w="6946" w:type="dxa"/>
          </w:tcPr>
          <w:p w:rsidR="00582255" w:rsidRPr="00884529" w:rsidRDefault="00C75E56" w:rsidP="00D83CB0">
            <w:pPr>
              <w:pStyle w:val="naiskr"/>
              <w:spacing w:before="0" w:beforeAutospacing="0" w:after="0" w:afterAutospacing="0"/>
              <w:ind w:right="113"/>
              <w:jc w:val="both"/>
            </w:pPr>
            <w:r w:rsidRPr="00884529">
              <w:rPr>
                <w:iCs/>
              </w:rPr>
              <w:t xml:space="preserve">Ar noteikumu projektu tiek </w:t>
            </w:r>
            <w:r w:rsidR="0021318A" w:rsidRPr="00884529">
              <w:rPr>
                <w:iCs/>
              </w:rPr>
              <w:t>noteikta kārtība</w:t>
            </w:r>
            <w:r w:rsidR="000139DF" w:rsidRPr="00884529">
              <w:rPr>
                <w:iCs/>
              </w:rPr>
              <w:t>,</w:t>
            </w:r>
            <w:r w:rsidR="0021318A" w:rsidRPr="00884529">
              <w:rPr>
                <w:iCs/>
              </w:rPr>
              <w:t xml:space="preserve"> kādā valsts un pašvaldība nepieciešamības gadījumā var </w:t>
            </w:r>
            <w:r w:rsidRPr="00884529">
              <w:rPr>
                <w:iCs/>
              </w:rPr>
              <w:t>uzlikt valsts</w:t>
            </w:r>
            <w:r w:rsidR="0021318A" w:rsidRPr="00884529">
              <w:rPr>
                <w:iCs/>
              </w:rPr>
              <w:t xml:space="preserve"> </w:t>
            </w:r>
            <w:r w:rsidRPr="00884529">
              <w:rPr>
                <w:iCs/>
              </w:rPr>
              <w:t>nozīmes civilās aviācijas lidlauk</w:t>
            </w:r>
            <w:r w:rsidR="00005E07" w:rsidRPr="00884529">
              <w:rPr>
                <w:iCs/>
              </w:rPr>
              <w:t>am</w:t>
            </w:r>
            <w:r w:rsidRPr="00884529">
              <w:rPr>
                <w:iCs/>
              </w:rPr>
              <w:t xml:space="preserve"> </w:t>
            </w:r>
            <w:r w:rsidR="006E20F1" w:rsidRPr="00884529">
              <w:t>sabiedriski svarīgu funkciju veikšanas atbalsta saistības</w:t>
            </w:r>
            <w:r w:rsidR="00ED3CCE">
              <w:t>,</w:t>
            </w:r>
            <w:bookmarkStart w:id="4" w:name="_GoBack"/>
            <w:bookmarkEnd w:id="4"/>
            <w:r w:rsidR="006E20F1" w:rsidRPr="00884529">
              <w:rPr>
                <w:color w:val="000000"/>
              </w:rPr>
              <w:t xml:space="preserve"> </w:t>
            </w:r>
            <w:r w:rsidRPr="00884529">
              <w:t>un noteikta kārtība</w:t>
            </w:r>
            <w:r w:rsidR="0021318A" w:rsidRPr="00884529">
              <w:t>,</w:t>
            </w:r>
            <w:r w:rsidRPr="00884529">
              <w:t xml:space="preserve"> </w:t>
            </w:r>
            <w:r w:rsidR="0021318A" w:rsidRPr="00884529">
              <w:t xml:space="preserve">kādā var tikt kompensēti </w:t>
            </w:r>
            <w:r w:rsidRPr="00884529">
              <w:t xml:space="preserve">ar </w:t>
            </w:r>
            <w:r w:rsidR="0021318A" w:rsidRPr="00884529">
              <w:t>saistību izpildi radušies izdevumi.</w:t>
            </w:r>
            <w:r w:rsidRPr="00884529">
              <w:t xml:space="preserve"> K</w:t>
            </w:r>
            <w:r w:rsidR="007F6829" w:rsidRPr="00884529">
              <w:t>onkrēti</w:t>
            </w:r>
            <w:r w:rsidRPr="00884529">
              <w:t xml:space="preserve"> </w:t>
            </w:r>
            <w:r w:rsidR="0021318A" w:rsidRPr="00884529">
              <w:t>k</w:t>
            </w:r>
            <w:r w:rsidR="007F6829" w:rsidRPr="00884529">
              <w:t>ādu</w:t>
            </w:r>
            <w:r w:rsidR="0021318A" w:rsidRPr="00884529">
              <w:t xml:space="preserve"> </w:t>
            </w:r>
            <w:r w:rsidRPr="00884529">
              <w:t xml:space="preserve">sabiedriski svarīgu funkciju </w:t>
            </w:r>
            <w:r w:rsidR="006E20F1" w:rsidRPr="00884529">
              <w:t xml:space="preserve">un kādā apmērā </w:t>
            </w:r>
            <w:r w:rsidR="007F6829" w:rsidRPr="00884529">
              <w:t>nodro</w:t>
            </w:r>
            <w:r w:rsidRPr="00884529">
              <w:t>š</w:t>
            </w:r>
            <w:r w:rsidR="007F6829" w:rsidRPr="00884529">
              <w:t>ināša</w:t>
            </w:r>
            <w:r w:rsidRPr="00884529">
              <w:t>n</w:t>
            </w:r>
            <w:r w:rsidR="0021318A" w:rsidRPr="00884529">
              <w:t>ai</w:t>
            </w:r>
            <w:r w:rsidRPr="00884529">
              <w:t xml:space="preserve"> būs nepieciešams iesaistīt valsts nozīmes civilās aviācijas lidlauku</w:t>
            </w:r>
            <w:r w:rsidR="00BB45F2" w:rsidRPr="00884529">
              <w:t>,</w:t>
            </w:r>
            <w:r w:rsidRPr="00884529">
              <w:t xml:space="preserve"> </w:t>
            </w:r>
            <w:r w:rsidR="0021318A" w:rsidRPr="00884529">
              <w:t xml:space="preserve">uzliekot sabiedriski svarīgu funkciju </w:t>
            </w:r>
            <w:r w:rsidR="006E20F1" w:rsidRPr="00884529">
              <w:t>veikšanas atbalsta</w:t>
            </w:r>
            <w:r w:rsidR="00043580" w:rsidRPr="00884529">
              <w:t xml:space="preserve"> </w:t>
            </w:r>
            <w:r w:rsidR="0021318A" w:rsidRPr="00884529">
              <w:t>saistības</w:t>
            </w:r>
            <w:r w:rsidR="00056A75" w:rsidRPr="00884529">
              <w:t>,</w:t>
            </w:r>
            <w:r w:rsidR="0021318A" w:rsidRPr="00884529">
              <w:t xml:space="preserve"> </w:t>
            </w:r>
            <w:r w:rsidRPr="00884529">
              <w:t xml:space="preserve">tiks noteikts </w:t>
            </w:r>
            <w:r w:rsidR="007F6829" w:rsidRPr="00884529">
              <w:t xml:space="preserve">vadoties no </w:t>
            </w:r>
            <w:r w:rsidR="00BB45F2" w:rsidRPr="00884529">
              <w:t xml:space="preserve">ministrijas, kas valstī atbild par konkrētās funkcijas nodrošināšanu vai funkcijas uzlikšanā ieinteresētās pašvaldības </w:t>
            </w:r>
            <w:r w:rsidR="00056A75" w:rsidRPr="00884529">
              <w:t xml:space="preserve">darbības vai </w:t>
            </w:r>
            <w:r w:rsidR="00BB45F2" w:rsidRPr="00884529">
              <w:t xml:space="preserve">attīstības </w:t>
            </w:r>
            <w:r w:rsidR="00BC2BBA" w:rsidRPr="00884529">
              <w:t xml:space="preserve">pamatnostādnēs, </w:t>
            </w:r>
            <w:r w:rsidR="007F6829" w:rsidRPr="00884529">
              <w:t>strat</w:t>
            </w:r>
            <w:r w:rsidR="00BC2BBA" w:rsidRPr="00884529">
              <w:t>ē</w:t>
            </w:r>
            <w:r w:rsidR="00B8540F" w:rsidRPr="00884529">
              <w:t>ģ</w:t>
            </w:r>
            <w:r w:rsidR="007F6829" w:rsidRPr="00884529">
              <w:t>ij</w:t>
            </w:r>
            <w:r w:rsidR="00BC2BBA" w:rsidRPr="00884529">
              <w:t>ā</w:t>
            </w:r>
            <w:r w:rsidR="007F6829" w:rsidRPr="00884529">
              <w:t xml:space="preserve"> </w:t>
            </w:r>
            <w:r w:rsidR="00BC2BBA" w:rsidRPr="00884529">
              <w:t xml:space="preserve">vai </w:t>
            </w:r>
            <w:r w:rsidR="00BB45F2" w:rsidRPr="00884529">
              <w:t>plānos</w:t>
            </w:r>
            <w:r w:rsidR="007F6829" w:rsidRPr="00884529">
              <w:t xml:space="preserve"> noteiktā</w:t>
            </w:r>
            <w:r w:rsidR="00BB45F2" w:rsidRPr="00884529">
              <w:t>.</w:t>
            </w:r>
            <w:r w:rsidR="00056A75" w:rsidRPr="00884529">
              <w:t xml:space="preserve"> </w:t>
            </w:r>
            <w:r w:rsidR="00B8540F" w:rsidRPr="00884529">
              <w:t>Pl</w:t>
            </w:r>
            <w:r w:rsidR="00056A75" w:rsidRPr="00884529">
              <w:t>ān</w:t>
            </w:r>
            <w:r w:rsidR="00B8540F" w:rsidRPr="00884529">
              <w:t>ošanas dokumentu</w:t>
            </w:r>
            <w:r w:rsidR="00056A75" w:rsidRPr="00884529">
              <w:t xml:space="preserve"> izstrāde tiek veikta attiecīgās ministrijas vai pašvaldības funkciju nodrošināšanas finansēšanas ietvaros. </w:t>
            </w:r>
            <w:r w:rsidR="00171BAF" w:rsidRPr="00884529">
              <w:t>S</w:t>
            </w:r>
            <w:r w:rsidR="00056A75" w:rsidRPr="00884529">
              <w:t xml:space="preserve">abiedriski svarīgu funkciju nodrošināšanai </w:t>
            </w:r>
            <w:r w:rsidR="00BB45F2" w:rsidRPr="00884529">
              <w:t xml:space="preserve">būs jāsagatavo </w:t>
            </w:r>
            <w:r w:rsidR="0008683F" w:rsidRPr="00884529">
              <w:t xml:space="preserve"> sabiedriski svarīgu funkciju veikšanas atbalsta </w:t>
            </w:r>
            <w:r w:rsidR="00BB45F2" w:rsidRPr="00884529">
              <w:t xml:space="preserve">saistību </w:t>
            </w:r>
            <w:r w:rsidR="00B8540F" w:rsidRPr="00884529">
              <w:t xml:space="preserve">uzlikšanas </w:t>
            </w:r>
            <w:r w:rsidR="00BB45F2" w:rsidRPr="00884529">
              <w:t>līgums</w:t>
            </w:r>
            <w:r w:rsidR="00171BAF" w:rsidRPr="00884529">
              <w:t>, lidlauka administrācijai</w:t>
            </w:r>
            <w:r w:rsidR="0008683F" w:rsidRPr="00884529">
              <w:t>,</w:t>
            </w:r>
            <w:r w:rsidR="00BB45F2" w:rsidRPr="00884529">
              <w:t xml:space="preserve"> </w:t>
            </w:r>
            <w:r w:rsidR="00171BAF" w:rsidRPr="00884529">
              <w:t>kā jebkurā citā līgumā</w:t>
            </w:r>
            <w:r w:rsidR="0008683F" w:rsidRPr="00884529">
              <w:t>,</w:t>
            </w:r>
            <w:r w:rsidR="00171BAF" w:rsidRPr="00884529">
              <w:t xml:space="preserve"> noteiktajā termiņā jānodrošina pakalpojuma sniegšana un </w:t>
            </w:r>
            <w:r w:rsidR="00D83CB0" w:rsidRPr="00884529">
              <w:t>izdevumu uzskaite</w:t>
            </w:r>
            <w:r w:rsidR="00171BAF" w:rsidRPr="00884529">
              <w:t xml:space="preserve"> savukārt</w:t>
            </w:r>
            <w:r w:rsidR="00BB45F2" w:rsidRPr="00884529">
              <w:t xml:space="preserve"> saistību uzlicējam</w:t>
            </w:r>
            <w:r w:rsidR="00171BAF" w:rsidRPr="00884529">
              <w:t xml:space="preserve"> ir</w:t>
            </w:r>
            <w:r w:rsidR="00BB45F2" w:rsidRPr="00884529">
              <w:t xml:space="preserve"> jāizvērtē lidlauka iesniegtā informācija par faktiski sniegtajiem pakalpojumiem attiecīgās funkcijas nodrošināšanai un </w:t>
            </w:r>
            <w:r w:rsidR="00056A75" w:rsidRPr="00884529">
              <w:t xml:space="preserve">jāpārbauda </w:t>
            </w:r>
            <w:r w:rsidR="00D83CB0" w:rsidRPr="00884529">
              <w:t>izdevumu</w:t>
            </w:r>
            <w:r w:rsidR="00056A75" w:rsidRPr="00884529">
              <w:t xml:space="preserve"> atbilstība faktiski paveiktajam.</w:t>
            </w:r>
            <w:r w:rsidR="00E41C51" w:rsidRPr="00884529">
              <w:t xml:space="preserve"> </w:t>
            </w:r>
            <w:r w:rsidR="00E9070E" w:rsidRPr="00884529">
              <w:t>Gan ministrijās, gan pašvaldībās</w:t>
            </w:r>
            <w:r w:rsidR="00056A75" w:rsidRPr="00884529">
              <w:t>, gan lidostu administrācijās</w:t>
            </w:r>
            <w:r w:rsidR="00E9070E" w:rsidRPr="00884529">
              <w:t xml:space="preserve"> ir personāls, kas ikdienā nodarbojas ar  līgumu sagatavošanu un slēgšanu, izpildīto darbu uzraudzību un grāmatvedības funkciju veikšanu. Līdz ar to noteikumu projektā paredzēt</w:t>
            </w:r>
            <w:r w:rsidR="00056A75" w:rsidRPr="00884529">
              <w:t>o</w:t>
            </w:r>
            <w:r w:rsidR="00E9070E" w:rsidRPr="00884529">
              <w:t xml:space="preserve"> funkciju izpildi nodrošinās esošais personāls, </w:t>
            </w:r>
            <w:r w:rsidR="00171BAF" w:rsidRPr="00884529">
              <w:t>ministrijas vai pašvald</w:t>
            </w:r>
            <w:r w:rsidR="00B53795" w:rsidRPr="00884529">
              <w:t>ī</w:t>
            </w:r>
            <w:r w:rsidR="00171BAF" w:rsidRPr="00884529">
              <w:t>bas</w:t>
            </w:r>
            <w:r w:rsidR="00E9070E" w:rsidRPr="00884529">
              <w:t xml:space="preserve"> finansēšanai piešķirto līdzekļu ietvaros.</w:t>
            </w:r>
            <w:r w:rsidR="00E41C51" w:rsidRPr="00884529">
              <w:t xml:space="preserve"> </w:t>
            </w:r>
            <w:r w:rsidR="003B21D8" w:rsidRPr="00884529">
              <w:t xml:space="preserve"> </w:t>
            </w:r>
          </w:p>
        </w:tc>
      </w:tr>
      <w:tr w:rsidR="00582255" w:rsidRPr="00884529" w:rsidTr="00EF77C8">
        <w:trPr>
          <w:trHeight w:val="523"/>
        </w:trPr>
        <w:tc>
          <w:tcPr>
            <w:tcW w:w="431" w:type="dxa"/>
          </w:tcPr>
          <w:p w:rsidR="00582255" w:rsidRPr="00884529" w:rsidRDefault="00582255" w:rsidP="007F474C">
            <w:pPr>
              <w:pStyle w:val="naiskr"/>
              <w:spacing w:before="0" w:beforeAutospacing="0" w:after="0" w:afterAutospacing="0"/>
              <w:ind w:left="57" w:right="57"/>
              <w:jc w:val="both"/>
            </w:pPr>
            <w:r w:rsidRPr="00884529">
              <w:t>3.</w:t>
            </w:r>
          </w:p>
        </w:tc>
        <w:tc>
          <w:tcPr>
            <w:tcW w:w="2126" w:type="dxa"/>
          </w:tcPr>
          <w:p w:rsidR="00582255" w:rsidRPr="00884529" w:rsidRDefault="00582255" w:rsidP="007F474C">
            <w:pPr>
              <w:pStyle w:val="naiskr"/>
              <w:spacing w:before="0" w:beforeAutospacing="0" w:after="0" w:afterAutospacing="0"/>
              <w:ind w:left="57" w:right="57"/>
            </w:pPr>
            <w:r w:rsidRPr="00884529">
              <w:t>Administratīvo izmaksu monetārs novērtējums</w:t>
            </w:r>
          </w:p>
        </w:tc>
        <w:tc>
          <w:tcPr>
            <w:tcW w:w="6946" w:type="dxa"/>
          </w:tcPr>
          <w:p w:rsidR="00582255" w:rsidRPr="00884529" w:rsidRDefault="00A35FE0" w:rsidP="007F474C">
            <w:pPr>
              <w:shd w:val="clear" w:color="auto" w:fill="FFFFFF"/>
              <w:spacing w:after="0" w:line="240" w:lineRule="auto"/>
              <w:ind w:left="57" w:right="57"/>
              <w:rPr>
                <w:rFonts w:ascii="Times New Roman" w:hAnsi="Times New Roman" w:cs="Times New Roman"/>
                <w:sz w:val="24"/>
                <w:szCs w:val="24"/>
                <w:lang w:eastAsia="lv-LV"/>
              </w:rPr>
            </w:pPr>
            <w:r w:rsidRPr="00884529">
              <w:rPr>
                <w:rFonts w:ascii="Times New Roman" w:eastAsia="Times New Roman" w:hAnsi="Times New Roman" w:cs="Times New Roman"/>
                <w:sz w:val="24"/>
                <w:szCs w:val="24"/>
                <w:lang w:eastAsia="lv-LV"/>
              </w:rPr>
              <w:t>Projekts šo jomu neskar.</w:t>
            </w:r>
          </w:p>
        </w:tc>
      </w:tr>
      <w:tr w:rsidR="00582255" w:rsidRPr="00884529" w:rsidTr="00EF77C8">
        <w:trPr>
          <w:trHeight w:val="357"/>
        </w:trPr>
        <w:tc>
          <w:tcPr>
            <w:tcW w:w="431" w:type="dxa"/>
          </w:tcPr>
          <w:p w:rsidR="00582255" w:rsidRPr="00884529" w:rsidRDefault="00582255" w:rsidP="007F474C">
            <w:pPr>
              <w:pStyle w:val="naiskr"/>
              <w:spacing w:before="0" w:beforeAutospacing="0" w:after="0" w:afterAutospacing="0"/>
              <w:ind w:left="57" w:right="57"/>
              <w:jc w:val="both"/>
            </w:pPr>
            <w:r w:rsidRPr="00884529">
              <w:t>4.</w:t>
            </w:r>
          </w:p>
        </w:tc>
        <w:tc>
          <w:tcPr>
            <w:tcW w:w="2126" w:type="dxa"/>
          </w:tcPr>
          <w:p w:rsidR="00582255" w:rsidRPr="00884529" w:rsidRDefault="00582255" w:rsidP="007F474C">
            <w:pPr>
              <w:pStyle w:val="naiskr"/>
              <w:spacing w:before="0" w:beforeAutospacing="0" w:after="0" w:afterAutospacing="0"/>
              <w:ind w:left="57" w:right="57"/>
            </w:pPr>
            <w:r w:rsidRPr="00884529">
              <w:t>Cita informācija</w:t>
            </w:r>
          </w:p>
        </w:tc>
        <w:tc>
          <w:tcPr>
            <w:tcW w:w="6946" w:type="dxa"/>
          </w:tcPr>
          <w:p w:rsidR="00582255" w:rsidRPr="00884529" w:rsidRDefault="00A35FE0" w:rsidP="007F474C">
            <w:pPr>
              <w:shd w:val="clear" w:color="auto" w:fill="FFFFFF"/>
              <w:spacing w:after="0" w:line="240" w:lineRule="auto"/>
              <w:ind w:left="57" w:right="57"/>
              <w:rPr>
                <w:rFonts w:ascii="Times New Roman" w:hAnsi="Times New Roman" w:cs="Times New Roman"/>
                <w:sz w:val="24"/>
                <w:szCs w:val="24"/>
                <w:lang w:eastAsia="lv-LV"/>
              </w:rPr>
            </w:pPr>
            <w:r w:rsidRPr="00884529">
              <w:rPr>
                <w:rFonts w:ascii="Times New Roman" w:hAnsi="Times New Roman" w:cs="Times New Roman"/>
                <w:sz w:val="24"/>
                <w:szCs w:val="24"/>
                <w:lang w:eastAsia="lv-LV"/>
              </w:rPr>
              <w:t>Nav.</w:t>
            </w:r>
          </w:p>
        </w:tc>
      </w:tr>
    </w:tbl>
    <w:p w:rsidR="000374BC" w:rsidRPr="000D3F25" w:rsidRDefault="000374BC" w:rsidP="000374BC">
      <w:pPr>
        <w:spacing w:after="0" w:line="240" w:lineRule="auto"/>
        <w:rPr>
          <w:rFonts w:ascii="Times New Roman" w:eastAsia="Times New Roman" w:hAnsi="Times New Roman" w:cs="Times New Roman"/>
          <w:sz w:val="16"/>
          <w:szCs w:val="16"/>
          <w:lang w:eastAsia="lv-LV"/>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
        <w:gridCol w:w="405"/>
        <w:gridCol w:w="36"/>
        <w:gridCol w:w="18"/>
        <w:gridCol w:w="2373"/>
        <w:gridCol w:w="645"/>
        <w:gridCol w:w="18"/>
        <w:gridCol w:w="1720"/>
        <w:gridCol w:w="2177"/>
        <w:gridCol w:w="2128"/>
        <w:gridCol w:w="6"/>
      </w:tblGrid>
      <w:tr w:rsidR="00204F9E" w:rsidRPr="00884529" w:rsidTr="00EF5D00">
        <w:trPr>
          <w:gridBefore w:val="1"/>
          <w:gridAfter w:val="1"/>
          <w:wBefore w:w="9" w:type="dxa"/>
          <w:wAfter w:w="6" w:type="dxa"/>
          <w:trHeight w:val="381"/>
          <w:jc w:val="center"/>
        </w:trPr>
        <w:tc>
          <w:tcPr>
            <w:tcW w:w="9520" w:type="dxa"/>
            <w:gridSpan w:val="9"/>
            <w:tcBorders>
              <w:top w:val="single" w:sz="4" w:space="0" w:color="auto"/>
              <w:left w:val="single" w:sz="4" w:space="0" w:color="auto"/>
              <w:bottom w:val="single" w:sz="4" w:space="0" w:color="auto"/>
              <w:right w:val="single" w:sz="4" w:space="0" w:color="auto"/>
            </w:tcBorders>
            <w:vAlign w:val="center"/>
          </w:tcPr>
          <w:p w:rsidR="00204F9E" w:rsidRPr="00884529" w:rsidRDefault="00204F9E" w:rsidP="00204F9E">
            <w:pPr>
              <w:pStyle w:val="naisnod"/>
              <w:ind w:left="57" w:right="57"/>
              <w:rPr>
                <w:b/>
                <w:color w:val="000000" w:themeColor="text1"/>
              </w:rPr>
            </w:pPr>
            <w:r w:rsidRPr="00884529">
              <w:rPr>
                <w:b/>
                <w:color w:val="000000" w:themeColor="text1"/>
              </w:rPr>
              <w:t>V. Tiesību akta projekta atbilstība Latvijas Republikas starptautiskajām saistībām</w:t>
            </w:r>
          </w:p>
        </w:tc>
      </w:tr>
      <w:tr w:rsidR="00204F9E" w:rsidRPr="00884529" w:rsidTr="00EF5D0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1668"/>
          <w:jc w:val="center"/>
        </w:trPr>
        <w:tc>
          <w:tcPr>
            <w:tcW w:w="450" w:type="dxa"/>
            <w:gridSpan w:val="3"/>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lastRenderedPageBreak/>
              <w:t>1.</w:t>
            </w:r>
          </w:p>
        </w:tc>
        <w:tc>
          <w:tcPr>
            <w:tcW w:w="2391" w:type="dxa"/>
            <w:gridSpan w:val="2"/>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Saistības pret Eiropas Savienību</w:t>
            </w:r>
          </w:p>
        </w:tc>
        <w:tc>
          <w:tcPr>
            <w:tcW w:w="6694" w:type="dxa"/>
            <w:gridSpan w:val="6"/>
            <w:tcBorders>
              <w:top w:val="outset" w:sz="6" w:space="0" w:color="auto"/>
              <w:left w:val="outset" w:sz="6" w:space="0" w:color="auto"/>
              <w:bottom w:val="outset" w:sz="6" w:space="0" w:color="auto"/>
              <w:right w:val="outset" w:sz="6" w:space="0" w:color="auto"/>
            </w:tcBorders>
          </w:tcPr>
          <w:p w:rsidR="00204F9E" w:rsidRPr="00884529" w:rsidRDefault="00204F9E" w:rsidP="00FF630A">
            <w:pPr>
              <w:shd w:val="clear" w:color="auto" w:fill="FFFFFF"/>
              <w:spacing w:after="0" w:line="240" w:lineRule="auto"/>
              <w:ind w:left="-17" w:firstLine="737"/>
              <w:jc w:val="both"/>
              <w:rPr>
                <w:rFonts w:ascii="Times New Roman" w:eastAsia="Calibri" w:hAnsi="Times New Roman" w:cs="Times New Roman"/>
                <w:color w:val="000000"/>
                <w:sz w:val="24"/>
                <w:szCs w:val="24"/>
              </w:rPr>
            </w:pPr>
            <w:r w:rsidRPr="00884529">
              <w:rPr>
                <w:rFonts w:ascii="Times New Roman" w:eastAsia="Calibri" w:hAnsi="Times New Roman" w:cs="Times New Roman"/>
                <w:color w:val="000000"/>
                <w:sz w:val="24"/>
                <w:szCs w:val="24"/>
              </w:rPr>
              <w:t xml:space="preserve">2011.gada 20.decembra Eiropas Komisijas </w:t>
            </w:r>
            <w:r w:rsidR="00FF630A" w:rsidRPr="00884529">
              <w:rPr>
                <w:rFonts w:ascii="Times New Roman" w:eastAsia="Calibri" w:hAnsi="Times New Roman" w:cs="Times New Roman"/>
                <w:color w:val="000000"/>
                <w:sz w:val="24"/>
                <w:szCs w:val="24"/>
              </w:rPr>
              <w:t xml:space="preserve">Lēmums </w:t>
            </w:r>
            <w:r w:rsidRPr="00884529">
              <w:rPr>
                <w:rFonts w:ascii="Times New Roman" w:eastAsia="Calibri" w:hAnsi="Times New Roman" w:cs="Times New Roman"/>
                <w:color w:val="000000"/>
                <w:sz w:val="24"/>
                <w:szCs w:val="24"/>
              </w:rPr>
              <w:t>par Līguma par Eiropas Savienības darbību 106.panta 2.punkta piemērošanu valsts atbalstam attiecībā uz kompensāciju par sabiedriskajiem pakalpojumiem dažiem uzņēmumiem, kuriem uzticēts sniegt pakalpojumus ar vispārēju tautsaimniecisku nozīmi (Publicēts ES Oficiālajā Vēstnesī 2012.gada 11.janvārī 2012/21/ES)</w:t>
            </w:r>
            <w:r w:rsidR="00A32AA2" w:rsidRPr="00884529">
              <w:rPr>
                <w:rFonts w:ascii="Times New Roman" w:eastAsia="Calibri" w:hAnsi="Times New Roman" w:cs="Times New Roman"/>
                <w:color w:val="000000"/>
                <w:sz w:val="24"/>
                <w:szCs w:val="24"/>
              </w:rPr>
              <w:t>.</w:t>
            </w:r>
          </w:p>
        </w:tc>
      </w:tr>
      <w:tr w:rsidR="00204F9E" w:rsidRPr="00884529" w:rsidTr="00EF5D0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jc w:val="center"/>
        </w:trPr>
        <w:tc>
          <w:tcPr>
            <w:tcW w:w="450" w:type="dxa"/>
            <w:gridSpan w:val="3"/>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2.</w:t>
            </w:r>
          </w:p>
        </w:tc>
        <w:tc>
          <w:tcPr>
            <w:tcW w:w="2391" w:type="dxa"/>
            <w:gridSpan w:val="2"/>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Citas starptautiskās saistības</w:t>
            </w:r>
          </w:p>
        </w:tc>
        <w:tc>
          <w:tcPr>
            <w:tcW w:w="6694" w:type="dxa"/>
            <w:gridSpan w:val="6"/>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jc w:val="both"/>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Projekts šo jomu neskar.</w:t>
            </w:r>
          </w:p>
        </w:tc>
      </w:tr>
      <w:tr w:rsidR="00204F9E" w:rsidRPr="00884529" w:rsidTr="00EF5D0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jc w:val="center"/>
        </w:trPr>
        <w:tc>
          <w:tcPr>
            <w:tcW w:w="450" w:type="dxa"/>
            <w:gridSpan w:val="3"/>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3.</w:t>
            </w:r>
          </w:p>
        </w:tc>
        <w:tc>
          <w:tcPr>
            <w:tcW w:w="2391" w:type="dxa"/>
            <w:gridSpan w:val="2"/>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Cita informācija</w:t>
            </w:r>
          </w:p>
        </w:tc>
        <w:tc>
          <w:tcPr>
            <w:tcW w:w="6694" w:type="dxa"/>
            <w:gridSpan w:val="6"/>
            <w:tcBorders>
              <w:top w:val="outset" w:sz="6" w:space="0" w:color="auto"/>
              <w:left w:val="outset" w:sz="6" w:space="0" w:color="auto"/>
              <w:bottom w:val="outset" w:sz="6" w:space="0" w:color="auto"/>
              <w:right w:val="outset" w:sz="6" w:space="0" w:color="auto"/>
            </w:tcBorders>
          </w:tcPr>
          <w:p w:rsidR="00204F9E" w:rsidRPr="00884529" w:rsidRDefault="00204F9E" w:rsidP="00204F9E">
            <w:pPr>
              <w:spacing w:after="0" w:line="240" w:lineRule="auto"/>
              <w:jc w:val="both"/>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Nav.</w:t>
            </w:r>
          </w:p>
        </w:tc>
      </w:tr>
      <w:tr w:rsidR="00204F9E" w:rsidRPr="00884529" w:rsidTr="00204F9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jc w:val="center"/>
        </w:trPr>
        <w:tc>
          <w:tcPr>
            <w:tcW w:w="9535" w:type="dxa"/>
            <w:gridSpan w:val="11"/>
            <w:tcBorders>
              <w:top w:val="outset" w:sz="6" w:space="0" w:color="auto"/>
              <w:left w:val="outset" w:sz="6" w:space="0" w:color="auto"/>
              <w:bottom w:val="outset" w:sz="6" w:space="0" w:color="auto"/>
              <w:right w:val="outset" w:sz="6" w:space="0" w:color="auto"/>
            </w:tcBorders>
            <w:vAlign w:val="center"/>
          </w:tcPr>
          <w:p w:rsidR="00204F9E" w:rsidRPr="00884529" w:rsidRDefault="00204F9E" w:rsidP="001F382A">
            <w:pPr>
              <w:spacing w:after="0" w:line="240" w:lineRule="auto"/>
              <w:ind w:left="57"/>
              <w:jc w:val="center"/>
              <w:rPr>
                <w:rFonts w:ascii="Times New Roman" w:hAnsi="Times New Roman" w:cs="Times New Roman"/>
                <w:b/>
                <w:color w:val="000000" w:themeColor="text1"/>
                <w:sz w:val="24"/>
                <w:szCs w:val="24"/>
              </w:rPr>
            </w:pPr>
            <w:r w:rsidRPr="00884529">
              <w:rPr>
                <w:rFonts w:ascii="Times New Roman" w:hAnsi="Times New Roman" w:cs="Times New Roman"/>
                <w:b/>
                <w:color w:val="000000" w:themeColor="text1"/>
                <w:sz w:val="24"/>
                <w:szCs w:val="24"/>
              </w:rPr>
              <w:t>1.tabula</w:t>
            </w:r>
          </w:p>
          <w:p w:rsidR="00204F9E" w:rsidRPr="00884529" w:rsidRDefault="00204F9E" w:rsidP="001F382A">
            <w:pPr>
              <w:spacing w:after="0" w:line="240" w:lineRule="auto"/>
              <w:ind w:left="57"/>
              <w:jc w:val="center"/>
              <w:rPr>
                <w:rFonts w:ascii="Times New Roman" w:hAnsi="Times New Roman" w:cs="Times New Roman"/>
                <w:color w:val="000000" w:themeColor="text1"/>
                <w:sz w:val="24"/>
                <w:szCs w:val="24"/>
              </w:rPr>
            </w:pPr>
            <w:r w:rsidRPr="00884529">
              <w:rPr>
                <w:rFonts w:ascii="Times New Roman" w:hAnsi="Times New Roman" w:cs="Times New Roman"/>
                <w:b/>
                <w:color w:val="000000" w:themeColor="text1"/>
                <w:sz w:val="24"/>
                <w:szCs w:val="24"/>
              </w:rPr>
              <w:t>Tiesību akta projekta atbilstība ES tiesību aktiem</w:t>
            </w:r>
          </w:p>
        </w:tc>
      </w:tr>
      <w:tr w:rsidR="00204F9E"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3504" w:type="dxa"/>
            <w:gridSpan w:val="7"/>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Attiecīgā ES tiesību akta datums, numurs un nosaukums</w:t>
            </w:r>
          </w:p>
        </w:tc>
        <w:tc>
          <w:tcPr>
            <w:tcW w:w="6031" w:type="dxa"/>
            <w:gridSpan w:val="4"/>
            <w:tcBorders>
              <w:top w:val="outset" w:sz="6" w:space="0" w:color="auto"/>
              <w:left w:val="outset" w:sz="6" w:space="0" w:color="auto"/>
              <w:bottom w:val="outset" w:sz="6" w:space="0" w:color="auto"/>
              <w:right w:val="outset" w:sz="6" w:space="0" w:color="auto"/>
            </w:tcBorders>
          </w:tcPr>
          <w:p w:rsidR="00204F9E" w:rsidRPr="00884529" w:rsidRDefault="00204F9E" w:rsidP="00FF630A">
            <w:pPr>
              <w:shd w:val="clear" w:color="auto" w:fill="FFFFFF"/>
              <w:spacing w:after="120" w:line="240" w:lineRule="auto"/>
              <w:ind w:left="-17" w:firstLine="737"/>
              <w:jc w:val="both"/>
              <w:rPr>
                <w:rFonts w:ascii="Times New Roman" w:hAnsi="Times New Roman" w:cs="Times New Roman"/>
                <w:color w:val="000000" w:themeColor="text1"/>
                <w:sz w:val="24"/>
                <w:szCs w:val="24"/>
              </w:rPr>
            </w:pPr>
            <w:r w:rsidRPr="00884529">
              <w:rPr>
                <w:rFonts w:ascii="Times New Roman" w:eastAsia="Calibri" w:hAnsi="Times New Roman" w:cs="Times New Roman"/>
                <w:color w:val="000000"/>
                <w:sz w:val="24"/>
                <w:szCs w:val="24"/>
              </w:rPr>
              <w:t xml:space="preserve">2011.gada 20.decembra Eiropas Komisijas </w:t>
            </w:r>
            <w:r w:rsidR="00FF630A" w:rsidRPr="00884529">
              <w:rPr>
                <w:rFonts w:ascii="Times New Roman" w:eastAsia="Calibri" w:hAnsi="Times New Roman" w:cs="Times New Roman"/>
                <w:color w:val="000000"/>
                <w:sz w:val="24"/>
                <w:szCs w:val="24"/>
              </w:rPr>
              <w:t xml:space="preserve">Lēmums </w:t>
            </w:r>
            <w:r w:rsidRPr="00884529">
              <w:rPr>
                <w:rFonts w:ascii="Times New Roman" w:eastAsia="Calibri" w:hAnsi="Times New Roman" w:cs="Times New Roman"/>
                <w:color w:val="000000"/>
                <w:sz w:val="24"/>
                <w:szCs w:val="24"/>
              </w:rPr>
              <w:t>par Līguma par Eiropas Savienības darbību 106.panta 2.punkta piemērošanu valsts atbalstam attiecībā uz kompensāciju par sabiedriskajiem pakalpojumiem dažiem uzņēmumiem, kuriem uzticēts sniegt pakalpojumus ar vispārēju tautsaimniecisku nozīmi (Publicēts ES Oficiālajā Vēstnesī 2012.gada 11.janvārī 2012/21/ES) (turpmāk - EK lēmums 2012/21/ES);</w:t>
            </w:r>
          </w:p>
        </w:tc>
      </w:tr>
      <w:tr w:rsidR="00204F9E"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3504" w:type="dxa"/>
            <w:gridSpan w:val="7"/>
            <w:tcBorders>
              <w:top w:val="outset" w:sz="6" w:space="0" w:color="auto"/>
              <w:left w:val="outset" w:sz="6" w:space="0" w:color="auto"/>
              <w:bottom w:val="outset" w:sz="6" w:space="0" w:color="auto"/>
              <w:right w:val="outset" w:sz="6" w:space="0" w:color="auto"/>
            </w:tcBorders>
            <w:vAlign w:val="center"/>
          </w:tcPr>
          <w:p w:rsidR="00204F9E" w:rsidRPr="00884529" w:rsidRDefault="00204F9E" w:rsidP="001F382A">
            <w:pPr>
              <w:spacing w:after="0" w:line="240" w:lineRule="auto"/>
              <w:ind w:left="57"/>
              <w:jc w:val="center"/>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A</w:t>
            </w:r>
          </w:p>
        </w:tc>
        <w:tc>
          <w:tcPr>
            <w:tcW w:w="1720" w:type="dxa"/>
            <w:tcBorders>
              <w:top w:val="outset" w:sz="6" w:space="0" w:color="auto"/>
              <w:left w:val="outset" w:sz="6" w:space="0" w:color="auto"/>
              <w:bottom w:val="outset" w:sz="6" w:space="0" w:color="auto"/>
              <w:right w:val="outset" w:sz="6" w:space="0" w:color="auto"/>
            </w:tcBorders>
            <w:vAlign w:val="center"/>
          </w:tcPr>
          <w:p w:rsidR="00204F9E" w:rsidRPr="00884529" w:rsidRDefault="00204F9E" w:rsidP="001F382A">
            <w:pPr>
              <w:spacing w:after="0" w:line="240" w:lineRule="auto"/>
              <w:ind w:left="57"/>
              <w:jc w:val="center"/>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B</w:t>
            </w:r>
          </w:p>
        </w:tc>
        <w:tc>
          <w:tcPr>
            <w:tcW w:w="2177" w:type="dxa"/>
            <w:tcBorders>
              <w:top w:val="outset" w:sz="6" w:space="0" w:color="auto"/>
              <w:left w:val="outset" w:sz="6" w:space="0" w:color="auto"/>
              <w:bottom w:val="outset" w:sz="6" w:space="0" w:color="auto"/>
              <w:right w:val="outset" w:sz="6" w:space="0" w:color="auto"/>
            </w:tcBorders>
            <w:vAlign w:val="center"/>
          </w:tcPr>
          <w:p w:rsidR="00204F9E" w:rsidRPr="00884529" w:rsidRDefault="00204F9E" w:rsidP="001F382A">
            <w:pPr>
              <w:spacing w:after="0" w:line="240" w:lineRule="auto"/>
              <w:ind w:left="57"/>
              <w:jc w:val="center"/>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C</w:t>
            </w:r>
          </w:p>
        </w:tc>
        <w:tc>
          <w:tcPr>
            <w:tcW w:w="2134" w:type="dxa"/>
            <w:gridSpan w:val="2"/>
            <w:tcBorders>
              <w:top w:val="outset" w:sz="6" w:space="0" w:color="auto"/>
              <w:left w:val="outset" w:sz="6" w:space="0" w:color="auto"/>
              <w:bottom w:val="outset" w:sz="6" w:space="0" w:color="auto"/>
              <w:right w:val="outset" w:sz="6" w:space="0" w:color="auto"/>
            </w:tcBorders>
            <w:vAlign w:val="center"/>
          </w:tcPr>
          <w:p w:rsidR="00204F9E" w:rsidRPr="00884529" w:rsidRDefault="00204F9E" w:rsidP="001F382A">
            <w:pPr>
              <w:spacing w:after="0" w:line="240" w:lineRule="auto"/>
              <w:ind w:left="57"/>
              <w:jc w:val="center"/>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D</w:t>
            </w:r>
          </w:p>
        </w:tc>
      </w:tr>
      <w:tr w:rsidR="00204F9E"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3504" w:type="dxa"/>
            <w:gridSpan w:val="7"/>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rPr>
                <w:rFonts w:ascii="Times New Roman" w:hAnsi="Times New Roman" w:cs="Times New Roman"/>
                <w:color w:val="000000" w:themeColor="text1"/>
                <w:spacing w:val="-3"/>
                <w:sz w:val="24"/>
                <w:szCs w:val="24"/>
              </w:rPr>
            </w:pPr>
            <w:r w:rsidRPr="00884529">
              <w:rPr>
                <w:rFonts w:ascii="Times New Roman" w:hAnsi="Times New Roman" w:cs="Times New Roman"/>
                <w:color w:val="000000" w:themeColor="text1"/>
                <w:spacing w:val="-3"/>
                <w:sz w:val="24"/>
                <w:szCs w:val="24"/>
              </w:rPr>
              <w:t>Attiecīgā ES tiesību akta panta numurs (uzskaitot katru tiesību akta vienību – pantu, daļu, punktu, apakšpunktu)</w:t>
            </w:r>
          </w:p>
        </w:tc>
        <w:tc>
          <w:tcPr>
            <w:tcW w:w="1720" w:type="dxa"/>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rPr>
                <w:rFonts w:ascii="Times New Roman" w:hAnsi="Times New Roman" w:cs="Times New Roman"/>
                <w:color w:val="000000" w:themeColor="text1"/>
                <w:spacing w:val="-3"/>
                <w:sz w:val="24"/>
                <w:szCs w:val="24"/>
              </w:rPr>
            </w:pPr>
            <w:r w:rsidRPr="00884529">
              <w:rPr>
                <w:rFonts w:ascii="Times New Roman" w:hAnsi="Times New Roman" w:cs="Times New Roman"/>
                <w:color w:val="000000" w:themeColor="text1"/>
                <w:spacing w:val="-3"/>
                <w:sz w:val="24"/>
                <w:szCs w:val="24"/>
              </w:rPr>
              <w:t>Projekta vienība, kas pārņem vai ievieš katru šīs tabulas A ailē minēto ES tiesību akta vienību, vai tiesību akts, kur attiecīgā ES tiesību akta vienība pārņemta vai ieviesta</w:t>
            </w:r>
          </w:p>
        </w:tc>
        <w:tc>
          <w:tcPr>
            <w:tcW w:w="2177" w:type="dxa"/>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rPr>
                <w:rFonts w:ascii="Times New Roman" w:hAnsi="Times New Roman" w:cs="Times New Roman"/>
                <w:color w:val="000000" w:themeColor="text1"/>
                <w:spacing w:val="-3"/>
                <w:sz w:val="24"/>
                <w:szCs w:val="24"/>
              </w:rPr>
            </w:pPr>
            <w:r w:rsidRPr="00884529">
              <w:rPr>
                <w:rFonts w:ascii="Times New Roman" w:hAnsi="Times New Roman" w:cs="Times New Roman"/>
                <w:color w:val="000000" w:themeColor="text1"/>
                <w:spacing w:val="-3"/>
                <w:sz w:val="24"/>
                <w:szCs w:val="24"/>
              </w:rPr>
              <w:t>Informācija par to, vai šīs tabulas A ailē minētās ES tiesību akta vienības tiek pārņemtas vai ieviestas pilnībā vai daļēji.</w:t>
            </w:r>
          </w:p>
          <w:p w:rsidR="00204F9E" w:rsidRPr="00884529" w:rsidRDefault="00204F9E" w:rsidP="001F382A">
            <w:pPr>
              <w:spacing w:after="0" w:line="240" w:lineRule="auto"/>
              <w:ind w:left="57"/>
              <w:rPr>
                <w:rFonts w:ascii="Times New Roman" w:hAnsi="Times New Roman" w:cs="Times New Roman"/>
                <w:color w:val="000000" w:themeColor="text1"/>
                <w:spacing w:val="-3"/>
                <w:sz w:val="24"/>
                <w:szCs w:val="24"/>
              </w:rPr>
            </w:pPr>
            <w:r w:rsidRPr="00884529">
              <w:rPr>
                <w:rFonts w:ascii="Times New Roman" w:hAnsi="Times New Roman" w:cs="Times New Roman"/>
                <w:color w:val="000000" w:themeColor="text1"/>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204F9E" w:rsidRPr="00884529" w:rsidRDefault="00204F9E" w:rsidP="001F382A">
            <w:pPr>
              <w:spacing w:after="0" w:line="240" w:lineRule="auto"/>
              <w:ind w:left="57"/>
              <w:rPr>
                <w:rFonts w:ascii="Times New Roman" w:hAnsi="Times New Roman" w:cs="Times New Roman"/>
                <w:color w:val="000000" w:themeColor="text1"/>
                <w:spacing w:val="-3"/>
                <w:sz w:val="24"/>
                <w:szCs w:val="24"/>
              </w:rPr>
            </w:pPr>
            <w:r w:rsidRPr="00884529">
              <w:rPr>
                <w:rFonts w:ascii="Times New Roman" w:hAnsi="Times New Roman" w:cs="Times New Roman"/>
                <w:color w:val="000000" w:themeColor="text1"/>
                <w:spacing w:val="-3"/>
                <w:sz w:val="24"/>
                <w:szCs w:val="24"/>
              </w:rPr>
              <w:t>Norāda institūciju, kas ir atbildīga par šo saistību izpildi pilnībā</w:t>
            </w:r>
          </w:p>
        </w:tc>
        <w:tc>
          <w:tcPr>
            <w:tcW w:w="2134" w:type="dxa"/>
            <w:gridSpan w:val="2"/>
            <w:tcBorders>
              <w:top w:val="outset" w:sz="6" w:space="0" w:color="auto"/>
              <w:left w:val="outset" w:sz="6" w:space="0" w:color="auto"/>
              <w:bottom w:val="outset" w:sz="6" w:space="0" w:color="auto"/>
              <w:right w:val="outset" w:sz="6" w:space="0" w:color="auto"/>
            </w:tcBorders>
          </w:tcPr>
          <w:p w:rsidR="00204F9E" w:rsidRPr="00884529" w:rsidRDefault="00204F9E"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pacing w:val="-3"/>
                <w:sz w:val="24"/>
                <w:szCs w:val="24"/>
              </w:rPr>
              <w:t xml:space="preserve">Informācija par to, vai šīs </w:t>
            </w:r>
            <w:r w:rsidRPr="00884529">
              <w:rPr>
                <w:rFonts w:ascii="Times New Roman" w:hAnsi="Times New Roman" w:cs="Times New Roman"/>
                <w:color w:val="000000" w:themeColor="text1"/>
                <w:sz w:val="24"/>
                <w:szCs w:val="24"/>
              </w:rPr>
              <w:t>tabulas B ailē minētās projekta vienības paredz stingrākas prasības nekā šīs tabulas A ailē minētās ES tiesību akta vienības.</w:t>
            </w:r>
          </w:p>
          <w:p w:rsidR="00204F9E" w:rsidRPr="00884529" w:rsidRDefault="00204F9E"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Ja projekts satur stingrā</w:t>
            </w:r>
            <w:r w:rsidRPr="00884529">
              <w:rPr>
                <w:rFonts w:ascii="Times New Roman" w:hAnsi="Times New Roman" w:cs="Times New Roman"/>
                <w:color w:val="000000" w:themeColor="text1"/>
                <w:sz w:val="24"/>
                <w:szCs w:val="24"/>
              </w:rPr>
              <w:softHyphen/>
              <w:t>kas prasības nekā attie</w:t>
            </w:r>
            <w:r w:rsidRPr="00884529">
              <w:rPr>
                <w:rFonts w:ascii="Times New Roman" w:hAnsi="Times New Roman" w:cs="Times New Roman"/>
                <w:color w:val="000000" w:themeColor="text1"/>
                <w:sz w:val="24"/>
                <w:szCs w:val="24"/>
              </w:rPr>
              <w:softHyphen/>
              <w:t>cīgais ES tiesību akts, norāda pamatojumu un samērīgumu.</w:t>
            </w:r>
          </w:p>
          <w:p w:rsidR="00204F9E" w:rsidRPr="00884529" w:rsidRDefault="00204F9E" w:rsidP="001F382A">
            <w:pPr>
              <w:spacing w:after="0" w:line="240" w:lineRule="auto"/>
              <w:ind w:left="57"/>
              <w:rPr>
                <w:rFonts w:ascii="Times New Roman" w:hAnsi="Times New Roman" w:cs="Times New Roman"/>
                <w:color w:val="000000" w:themeColor="text1"/>
                <w:spacing w:val="-3"/>
                <w:sz w:val="24"/>
                <w:szCs w:val="24"/>
              </w:rPr>
            </w:pPr>
            <w:r w:rsidRPr="00884529">
              <w:rPr>
                <w:rFonts w:ascii="Times New Roman" w:hAnsi="Times New Roman" w:cs="Times New Roman"/>
                <w:color w:val="000000" w:themeColor="text1"/>
                <w:sz w:val="24"/>
                <w:szCs w:val="24"/>
              </w:rPr>
              <w:t>Norāda iespējamās alternatīvas (t.sk. alternatīvas, kas neparedz tiesiskā regulējuma izstrādi) – kādos gadījumos būtu iespējams izvairīties no stingrāku prasību</w:t>
            </w:r>
            <w:r w:rsidRPr="00884529">
              <w:rPr>
                <w:rFonts w:ascii="Times New Roman" w:hAnsi="Times New Roman" w:cs="Times New Roman"/>
                <w:color w:val="000000" w:themeColor="text1"/>
                <w:spacing w:val="-3"/>
                <w:sz w:val="24"/>
                <w:szCs w:val="24"/>
              </w:rPr>
              <w:t xml:space="preserve"> noteikšanas, nekā paredzēts attiecīgajos ES tiesību aktos</w:t>
            </w:r>
          </w:p>
        </w:tc>
      </w:tr>
      <w:tr w:rsidR="00204F9E"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3504" w:type="dxa"/>
            <w:gridSpan w:val="7"/>
            <w:tcBorders>
              <w:top w:val="outset" w:sz="6" w:space="0" w:color="auto"/>
              <w:left w:val="outset" w:sz="6" w:space="0" w:color="auto"/>
              <w:bottom w:val="outset" w:sz="6" w:space="0" w:color="auto"/>
              <w:right w:val="outset" w:sz="6" w:space="0" w:color="auto"/>
            </w:tcBorders>
          </w:tcPr>
          <w:p w:rsidR="00340AAF" w:rsidRPr="00884529" w:rsidRDefault="00340AAF" w:rsidP="00340AAF">
            <w:pPr>
              <w:spacing w:after="0" w:line="240" w:lineRule="auto"/>
              <w:ind w:left="57"/>
              <w:rPr>
                <w:rFonts w:ascii="Times New Roman" w:hAnsi="Times New Roman" w:cs="Times New Roman"/>
                <w:sz w:val="24"/>
                <w:szCs w:val="24"/>
              </w:rPr>
            </w:pPr>
            <w:r w:rsidRPr="00884529">
              <w:rPr>
                <w:rFonts w:ascii="Times New Roman" w:eastAsia="Calibri" w:hAnsi="Times New Roman" w:cs="Times New Roman"/>
                <w:color w:val="000000"/>
                <w:sz w:val="24"/>
                <w:szCs w:val="24"/>
              </w:rPr>
              <w:lastRenderedPageBreak/>
              <w:t>EK lēmuma 2012/21/ES</w:t>
            </w:r>
            <w:r w:rsidRPr="00884529">
              <w:rPr>
                <w:rFonts w:ascii="Times New Roman" w:hAnsi="Times New Roman" w:cs="Times New Roman"/>
                <w:sz w:val="24"/>
                <w:szCs w:val="24"/>
              </w:rPr>
              <w:t xml:space="preserve"> </w:t>
            </w:r>
            <w:r w:rsidR="00E500D5" w:rsidRPr="00884529">
              <w:rPr>
                <w:rFonts w:ascii="Times New Roman" w:hAnsi="Times New Roman" w:cs="Times New Roman"/>
                <w:sz w:val="24"/>
                <w:szCs w:val="24"/>
              </w:rPr>
              <w:t>2.panta 1.punkta e) apakšpunkts.</w:t>
            </w:r>
          </w:p>
          <w:p w:rsidR="00204F9E" w:rsidRPr="00884529" w:rsidRDefault="00204F9E" w:rsidP="00340AAF">
            <w:pPr>
              <w:spacing w:after="0" w:line="240" w:lineRule="auto"/>
              <w:ind w:left="57"/>
              <w:rPr>
                <w:rFonts w:ascii="Times New Roman" w:hAnsi="Times New Roman" w:cs="Times New Roman"/>
                <w:color w:val="000000" w:themeColor="text1"/>
                <w:sz w:val="24"/>
                <w:szCs w:val="24"/>
              </w:rPr>
            </w:pPr>
          </w:p>
        </w:tc>
        <w:tc>
          <w:tcPr>
            <w:tcW w:w="1720" w:type="dxa"/>
            <w:tcBorders>
              <w:top w:val="outset" w:sz="6" w:space="0" w:color="auto"/>
              <w:left w:val="outset" w:sz="6" w:space="0" w:color="auto"/>
              <w:bottom w:val="outset" w:sz="6" w:space="0" w:color="auto"/>
              <w:right w:val="outset" w:sz="6" w:space="0" w:color="auto"/>
            </w:tcBorders>
          </w:tcPr>
          <w:p w:rsidR="00204F9E" w:rsidRPr="00884529" w:rsidRDefault="00340AAF" w:rsidP="0061007C">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 xml:space="preserve">Noteikumu projekta </w:t>
            </w:r>
            <w:r w:rsidR="002F2062" w:rsidRPr="00884529">
              <w:rPr>
                <w:rFonts w:ascii="Times New Roman" w:hAnsi="Times New Roman" w:cs="Times New Roman"/>
                <w:color w:val="000000" w:themeColor="text1"/>
                <w:sz w:val="24"/>
                <w:szCs w:val="24"/>
              </w:rPr>
              <w:t>4</w:t>
            </w:r>
            <w:r w:rsidRPr="00884529">
              <w:rPr>
                <w:rFonts w:ascii="Times New Roman" w:hAnsi="Times New Roman" w:cs="Times New Roman"/>
                <w:color w:val="000000" w:themeColor="text1"/>
                <w:sz w:val="24"/>
                <w:szCs w:val="24"/>
              </w:rPr>
              <w:t>.punkts</w:t>
            </w:r>
            <w:r w:rsidR="00E500D5" w:rsidRPr="00884529">
              <w:rPr>
                <w:rFonts w:ascii="Times New Roman" w:hAnsi="Times New Roman" w:cs="Times New Roman"/>
                <w:color w:val="000000" w:themeColor="text1"/>
                <w:sz w:val="24"/>
                <w:szCs w:val="24"/>
              </w:rPr>
              <w:t>.</w:t>
            </w:r>
          </w:p>
        </w:tc>
        <w:tc>
          <w:tcPr>
            <w:tcW w:w="2177" w:type="dxa"/>
            <w:tcBorders>
              <w:top w:val="outset" w:sz="6" w:space="0" w:color="auto"/>
              <w:left w:val="outset" w:sz="6" w:space="0" w:color="auto"/>
              <w:bottom w:val="outset" w:sz="6" w:space="0" w:color="auto"/>
              <w:right w:val="outset" w:sz="6" w:space="0" w:color="auto"/>
            </w:tcBorders>
          </w:tcPr>
          <w:p w:rsidR="00204F9E" w:rsidRPr="00884529" w:rsidRDefault="00204F9E"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iCs/>
                <w:color w:val="000000" w:themeColor="text1"/>
                <w:sz w:val="24"/>
                <w:szCs w:val="24"/>
              </w:rPr>
              <w:t>Tiesību norma izpildīta pilnībā.</w:t>
            </w:r>
          </w:p>
        </w:tc>
        <w:tc>
          <w:tcPr>
            <w:tcW w:w="2134" w:type="dxa"/>
            <w:gridSpan w:val="2"/>
            <w:tcBorders>
              <w:top w:val="outset" w:sz="6" w:space="0" w:color="auto"/>
              <w:left w:val="outset" w:sz="6" w:space="0" w:color="auto"/>
              <w:bottom w:val="outset" w:sz="6" w:space="0" w:color="auto"/>
              <w:right w:val="outset" w:sz="6" w:space="0" w:color="auto"/>
            </w:tcBorders>
          </w:tcPr>
          <w:p w:rsidR="00204F9E" w:rsidRPr="00884529" w:rsidRDefault="00204F9E"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color w:val="000000" w:themeColor="text1"/>
                <w:spacing w:val="-2"/>
                <w:sz w:val="24"/>
                <w:szCs w:val="24"/>
              </w:rPr>
              <w:t>Stingrākas prasības netiek piemērotas.</w:t>
            </w:r>
          </w:p>
        </w:tc>
      </w:tr>
      <w:tr w:rsidR="00204F9E" w:rsidRPr="00884529" w:rsidTr="00EF5D00">
        <w:tblPrEx>
          <w:tblBorders>
            <w:top w:val="outset" w:sz="6" w:space="0" w:color="auto"/>
            <w:left w:val="outset" w:sz="6" w:space="0" w:color="auto"/>
            <w:bottom w:val="outset" w:sz="6" w:space="0" w:color="auto"/>
            <w:right w:val="outset" w:sz="6" w:space="0" w:color="auto"/>
          </w:tblBorders>
        </w:tblPrEx>
        <w:trPr>
          <w:trHeight w:val="1266"/>
          <w:jc w:val="center"/>
        </w:trPr>
        <w:tc>
          <w:tcPr>
            <w:tcW w:w="3504" w:type="dxa"/>
            <w:gridSpan w:val="7"/>
            <w:tcBorders>
              <w:top w:val="outset" w:sz="6" w:space="0" w:color="auto"/>
              <w:left w:val="outset" w:sz="6" w:space="0" w:color="auto"/>
              <w:bottom w:val="outset" w:sz="6" w:space="0" w:color="auto"/>
              <w:right w:val="outset" w:sz="6" w:space="0" w:color="auto"/>
            </w:tcBorders>
          </w:tcPr>
          <w:p w:rsidR="00E624F4" w:rsidRPr="00884529" w:rsidRDefault="00E624F4" w:rsidP="00E624F4">
            <w:pPr>
              <w:spacing w:after="0" w:line="240" w:lineRule="auto"/>
              <w:ind w:left="57"/>
              <w:rPr>
                <w:rFonts w:ascii="Times New Roman" w:hAnsi="Times New Roman" w:cs="Times New Roman"/>
                <w:sz w:val="24"/>
                <w:szCs w:val="24"/>
              </w:rPr>
            </w:pPr>
            <w:r w:rsidRPr="00884529">
              <w:rPr>
                <w:rFonts w:ascii="Times New Roman" w:eastAsia="Calibri" w:hAnsi="Times New Roman" w:cs="Times New Roman"/>
                <w:color w:val="000000"/>
                <w:sz w:val="24"/>
                <w:szCs w:val="24"/>
              </w:rPr>
              <w:t>EK lēmuma 2012/21/ES</w:t>
            </w:r>
            <w:r w:rsidRPr="00884529">
              <w:rPr>
                <w:rFonts w:ascii="Times New Roman" w:hAnsi="Times New Roman" w:cs="Times New Roman"/>
                <w:sz w:val="24"/>
                <w:szCs w:val="24"/>
              </w:rPr>
              <w:t xml:space="preserve"> </w:t>
            </w:r>
            <w:r w:rsidR="00F97E67" w:rsidRPr="00884529">
              <w:rPr>
                <w:rFonts w:ascii="Times New Roman" w:hAnsi="Times New Roman" w:cs="Times New Roman"/>
                <w:sz w:val="24"/>
                <w:szCs w:val="24"/>
              </w:rPr>
              <w:t>4</w:t>
            </w:r>
            <w:r w:rsidRPr="00884529">
              <w:rPr>
                <w:rFonts w:ascii="Times New Roman" w:hAnsi="Times New Roman" w:cs="Times New Roman"/>
                <w:sz w:val="24"/>
                <w:szCs w:val="24"/>
              </w:rPr>
              <w:t xml:space="preserve">.panta </w:t>
            </w:r>
            <w:r w:rsidR="00F97E67" w:rsidRPr="00884529">
              <w:rPr>
                <w:rFonts w:ascii="Times New Roman" w:hAnsi="Times New Roman" w:cs="Times New Roman"/>
                <w:sz w:val="24"/>
                <w:szCs w:val="24"/>
              </w:rPr>
              <w:t>a</w:t>
            </w:r>
            <w:r w:rsidR="00E500D5" w:rsidRPr="00884529">
              <w:rPr>
                <w:rFonts w:ascii="Times New Roman" w:hAnsi="Times New Roman" w:cs="Times New Roman"/>
                <w:sz w:val="24"/>
                <w:szCs w:val="24"/>
              </w:rPr>
              <w:t xml:space="preserve">) </w:t>
            </w:r>
            <w:r w:rsidR="002F2062" w:rsidRPr="00884529">
              <w:rPr>
                <w:rFonts w:ascii="Times New Roman" w:hAnsi="Times New Roman" w:cs="Times New Roman"/>
                <w:sz w:val="24"/>
                <w:szCs w:val="24"/>
              </w:rPr>
              <w:t xml:space="preserve"> </w:t>
            </w:r>
            <w:r w:rsidR="00E500D5" w:rsidRPr="00884529">
              <w:rPr>
                <w:rFonts w:ascii="Times New Roman" w:hAnsi="Times New Roman" w:cs="Times New Roman"/>
                <w:sz w:val="24"/>
                <w:szCs w:val="24"/>
              </w:rPr>
              <w:t>apakšpunkts.</w:t>
            </w:r>
          </w:p>
          <w:p w:rsidR="00204F9E" w:rsidRPr="00884529" w:rsidRDefault="00204F9E" w:rsidP="001F382A">
            <w:pPr>
              <w:spacing w:after="0" w:line="240" w:lineRule="auto"/>
              <w:ind w:left="57"/>
              <w:rPr>
                <w:rFonts w:ascii="Times New Roman" w:hAnsi="Times New Roman" w:cs="Times New Roman"/>
                <w:bCs/>
                <w:color w:val="000000" w:themeColor="text1"/>
                <w:sz w:val="24"/>
                <w:szCs w:val="24"/>
              </w:rPr>
            </w:pPr>
          </w:p>
        </w:tc>
        <w:tc>
          <w:tcPr>
            <w:tcW w:w="1720" w:type="dxa"/>
            <w:tcBorders>
              <w:top w:val="outset" w:sz="6" w:space="0" w:color="auto"/>
              <w:left w:val="outset" w:sz="6" w:space="0" w:color="auto"/>
              <w:bottom w:val="outset" w:sz="6" w:space="0" w:color="auto"/>
              <w:right w:val="outset" w:sz="6" w:space="0" w:color="auto"/>
            </w:tcBorders>
          </w:tcPr>
          <w:p w:rsidR="00204F9E" w:rsidRPr="00884529" w:rsidRDefault="00E624F4" w:rsidP="0061007C">
            <w:pPr>
              <w:spacing w:after="0" w:line="240" w:lineRule="auto"/>
              <w:ind w:left="57"/>
              <w:rPr>
                <w:rFonts w:ascii="Times New Roman" w:hAnsi="Times New Roman" w:cs="Times New Roman"/>
                <w:bCs/>
                <w:color w:val="000000" w:themeColor="text1"/>
                <w:sz w:val="24"/>
                <w:szCs w:val="24"/>
              </w:rPr>
            </w:pPr>
            <w:r w:rsidRPr="00884529">
              <w:rPr>
                <w:rFonts w:ascii="Times New Roman" w:hAnsi="Times New Roman" w:cs="Times New Roman"/>
                <w:color w:val="000000" w:themeColor="text1"/>
                <w:sz w:val="24"/>
                <w:szCs w:val="24"/>
              </w:rPr>
              <w:t xml:space="preserve">Noteikumu projekta </w:t>
            </w:r>
            <w:r w:rsidR="002F2062" w:rsidRPr="00884529">
              <w:rPr>
                <w:rFonts w:ascii="Times New Roman" w:hAnsi="Times New Roman" w:cs="Times New Roman"/>
                <w:color w:val="000000" w:themeColor="text1"/>
                <w:sz w:val="24"/>
                <w:szCs w:val="24"/>
              </w:rPr>
              <w:t>6</w:t>
            </w:r>
            <w:r w:rsidRPr="00884529">
              <w:rPr>
                <w:rFonts w:ascii="Times New Roman" w:hAnsi="Times New Roman" w:cs="Times New Roman"/>
                <w:color w:val="000000" w:themeColor="text1"/>
                <w:sz w:val="24"/>
                <w:szCs w:val="24"/>
              </w:rPr>
              <w:t xml:space="preserve">.1. </w:t>
            </w:r>
            <w:r w:rsidR="00A32AA2" w:rsidRPr="00884529">
              <w:rPr>
                <w:rFonts w:ascii="Times New Roman" w:hAnsi="Times New Roman" w:cs="Times New Roman"/>
                <w:color w:val="000000" w:themeColor="text1"/>
                <w:sz w:val="24"/>
                <w:szCs w:val="24"/>
              </w:rPr>
              <w:t xml:space="preserve">un </w:t>
            </w:r>
            <w:r w:rsidR="002F2062" w:rsidRPr="00884529">
              <w:rPr>
                <w:rFonts w:ascii="Times New Roman" w:hAnsi="Times New Roman" w:cs="Times New Roman"/>
                <w:color w:val="000000" w:themeColor="text1"/>
                <w:sz w:val="24"/>
                <w:szCs w:val="24"/>
              </w:rPr>
              <w:t>6</w:t>
            </w:r>
            <w:r w:rsidR="00DD21C6" w:rsidRPr="00884529">
              <w:rPr>
                <w:rFonts w:ascii="Times New Roman" w:hAnsi="Times New Roman" w:cs="Times New Roman"/>
                <w:color w:val="000000" w:themeColor="text1"/>
                <w:sz w:val="24"/>
                <w:szCs w:val="24"/>
              </w:rPr>
              <w:t>.</w:t>
            </w:r>
            <w:r w:rsidR="002F4005" w:rsidRPr="00884529">
              <w:rPr>
                <w:rFonts w:ascii="Times New Roman" w:hAnsi="Times New Roman" w:cs="Times New Roman"/>
                <w:color w:val="000000" w:themeColor="text1"/>
                <w:sz w:val="24"/>
                <w:szCs w:val="24"/>
              </w:rPr>
              <w:t>7</w:t>
            </w:r>
            <w:r w:rsidR="00DD21C6" w:rsidRPr="00884529">
              <w:rPr>
                <w:rFonts w:ascii="Times New Roman" w:hAnsi="Times New Roman" w:cs="Times New Roman"/>
                <w:color w:val="000000" w:themeColor="text1"/>
                <w:sz w:val="24"/>
                <w:szCs w:val="24"/>
              </w:rPr>
              <w:t xml:space="preserve">. </w:t>
            </w:r>
            <w:r w:rsidRPr="00884529">
              <w:rPr>
                <w:rFonts w:ascii="Times New Roman" w:hAnsi="Times New Roman" w:cs="Times New Roman"/>
                <w:color w:val="000000" w:themeColor="text1"/>
                <w:sz w:val="24"/>
                <w:szCs w:val="24"/>
              </w:rPr>
              <w:t>apakšpunkts</w:t>
            </w:r>
            <w:r w:rsidR="00E500D5" w:rsidRPr="00884529">
              <w:rPr>
                <w:rFonts w:ascii="Times New Roman" w:hAnsi="Times New Roman" w:cs="Times New Roman"/>
                <w:color w:val="000000" w:themeColor="text1"/>
                <w:sz w:val="24"/>
                <w:szCs w:val="24"/>
              </w:rPr>
              <w:t>.</w:t>
            </w:r>
          </w:p>
        </w:tc>
        <w:tc>
          <w:tcPr>
            <w:tcW w:w="2177" w:type="dxa"/>
            <w:tcBorders>
              <w:top w:val="outset" w:sz="6" w:space="0" w:color="auto"/>
              <w:left w:val="outset" w:sz="6" w:space="0" w:color="auto"/>
              <w:bottom w:val="outset" w:sz="6" w:space="0" w:color="auto"/>
              <w:right w:val="outset" w:sz="6" w:space="0" w:color="auto"/>
            </w:tcBorders>
          </w:tcPr>
          <w:p w:rsidR="00204F9E" w:rsidRPr="00884529" w:rsidRDefault="00204F9E"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iCs/>
                <w:color w:val="000000" w:themeColor="text1"/>
                <w:sz w:val="24"/>
                <w:szCs w:val="24"/>
              </w:rPr>
              <w:t>Tiesību norma izpildīta pilnībā.</w:t>
            </w:r>
          </w:p>
        </w:tc>
        <w:tc>
          <w:tcPr>
            <w:tcW w:w="2134" w:type="dxa"/>
            <w:gridSpan w:val="2"/>
            <w:tcBorders>
              <w:top w:val="outset" w:sz="6" w:space="0" w:color="auto"/>
              <w:left w:val="outset" w:sz="6" w:space="0" w:color="auto"/>
              <w:bottom w:val="outset" w:sz="6" w:space="0" w:color="auto"/>
              <w:right w:val="outset" w:sz="6" w:space="0" w:color="auto"/>
            </w:tcBorders>
          </w:tcPr>
          <w:p w:rsidR="00204F9E" w:rsidRPr="00884529" w:rsidRDefault="00204F9E"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color w:val="000000" w:themeColor="text1"/>
                <w:spacing w:val="-2"/>
                <w:sz w:val="24"/>
                <w:szCs w:val="24"/>
              </w:rPr>
              <w:t>Stingrākas prasības netiek piemērotas.</w:t>
            </w:r>
          </w:p>
        </w:tc>
      </w:tr>
      <w:tr w:rsidR="00EF5D00" w:rsidRPr="00884529" w:rsidTr="000D3F25">
        <w:tblPrEx>
          <w:tblBorders>
            <w:top w:val="outset" w:sz="6" w:space="0" w:color="auto"/>
            <w:left w:val="outset" w:sz="6" w:space="0" w:color="auto"/>
            <w:bottom w:val="outset" w:sz="6" w:space="0" w:color="auto"/>
            <w:right w:val="outset" w:sz="6" w:space="0" w:color="auto"/>
          </w:tblBorders>
        </w:tblPrEx>
        <w:trPr>
          <w:trHeight w:val="892"/>
          <w:jc w:val="center"/>
        </w:trPr>
        <w:tc>
          <w:tcPr>
            <w:tcW w:w="3504" w:type="dxa"/>
            <w:gridSpan w:val="7"/>
            <w:tcBorders>
              <w:top w:val="outset" w:sz="6" w:space="0" w:color="auto"/>
              <w:left w:val="outset" w:sz="6" w:space="0" w:color="auto"/>
              <w:bottom w:val="outset" w:sz="6" w:space="0" w:color="auto"/>
              <w:right w:val="outset" w:sz="6" w:space="0" w:color="auto"/>
            </w:tcBorders>
          </w:tcPr>
          <w:p w:rsidR="00EF5D00" w:rsidRPr="00884529" w:rsidRDefault="00EF5D00" w:rsidP="00E624F4">
            <w:pPr>
              <w:spacing w:after="0" w:line="240" w:lineRule="auto"/>
              <w:ind w:left="57"/>
              <w:rPr>
                <w:rFonts w:ascii="Times New Roman" w:hAnsi="Times New Roman" w:cs="Times New Roman"/>
                <w:sz w:val="24"/>
                <w:szCs w:val="24"/>
              </w:rPr>
            </w:pPr>
            <w:r w:rsidRPr="00884529">
              <w:rPr>
                <w:rFonts w:ascii="Times New Roman" w:eastAsia="Calibri" w:hAnsi="Times New Roman" w:cs="Times New Roman"/>
                <w:color w:val="000000"/>
                <w:sz w:val="24"/>
                <w:szCs w:val="24"/>
              </w:rPr>
              <w:t>EK lēmuma 2012/21/ES</w:t>
            </w:r>
            <w:r w:rsidRPr="00884529">
              <w:rPr>
                <w:rFonts w:ascii="Times New Roman" w:hAnsi="Times New Roman" w:cs="Times New Roman"/>
                <w:sz w:val="24"/>
                <w:szCs w:val="24"/>
              </w:rPr>
              <w:t xml:space="preserve"> </w:t>
            </w:r>
            <w:r w:rsidR="008906D0" w:rsidRPr="00884529">
              <w:rPr>
                <w:rFonts w:ascii="Times New Roman" w:hAnsi="Times New Roman" w:cs="Times New Roman"/>
                <w:sz w:val="24"/>
                <w:szCs w:val="24"/>
              </w:rPr>
              <w:t>2</w:t>
            </w:r>
            <w:r w:rsidRPr="00884529">
              <w:rPr>
                <w:rFonts w:ascii="Times New Roman" w:hAnsi="Times New Roman" w:cs="Times New Roman"/>
                <w:sz w:val="24"/>
                <w:szCs w:val="24"/>
              </w:rPr>
              <w:t>.panta</w:t>
            </w:r>
          </w:p>
          <w:p w:rsidR="00EF5D00" w:rsidRPr="00884529" w:rsidRDefault="00EF5D00" w:rsidP="00E624F4">
            <w:pPr>
              <w:spacing w:after="0" w:line="240" w:lineRule="auto"/>
              <w:ind w:left="57"/>
              <w:rPr>
                <w:rFonts w:ascii="Times New Roman" w:eastAsia="Calibri" w:hAnsi="Times New Roman" w:cs="Times New Roman"/>
                <w:color w:val="000000"/>
                <w:sz w:val="24"/>
                <w:szCs w:val="24"/>
              </w:rPr>
            </w:pPr>
            <w:r w:rsidRPr="00884529">
              <w:rPr>
                <w:rFonts w:ascii="Times New Roman" w:eastAsia="Calibri" w:hAnsi="Times New Roman" w:cs="Times New Roman"/>
                <w:color w:val="000000"/>
                <w:sz w:val="24"/>
                <w:szCs w:val="24"/>
              </w:rPr>
              <w:t>2.punkts</w:t>
            </w:r>
          </w:p>
        </w:tc>
        <w:tc>
          <w:tcPr>
            <w:tcW w:w="1720" w:type="dxa"/>
            <w:tcBorders>
              <w:top w:val="outset" w:sz="6" w:space="0" w:color="auto"/>
              <w:left w:val="outset" w:sz="6" w:space="0" w:color="auto"/>
              <w:bottom w:val="outset" w:sz="6" w:space="0" w:color="auto"/>
              <w:right w:val="outset" w:sz="6" w:space="0" w:color="auto"/>
            </w:tcBorders>
          </w:tcPr>
          <w:p w:rsidR="00EF5D00" w:rsidRPr="00884529" w:rsidRDefault="00EF5D00" w:rsidP="002F4005">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Noteikumu projekta 6.</w:t>
            </w:r>
            <w:r w:rsidR="002F4005" w:rsidRPr="00884529">
              <w:rPr>
                <w:rFonts w:ascii="Times New Roman" w:hAnsi="Times New Roman" w:cs="Times New Roman"/>
                <w:color w:val="000000" w:themeColor="text1"/>
                <w:sz w:val="24"/>
                <w:szCs w:val="24"/>
              </w:rPr>
              <w:t>7</w:t>
            </w:r>
            <w:r w:rsidRPr="00884529">
              <w:rPr>
                <w:rFonts w:ascii="Times New Roman" w:hAnsi="Times New Roman" w:cs="Times New Roman"/>
                <w:color w:val="000000" w:themeColor="text1"/>
                <w:sz w:val="24"/>
                <w:szCs w:val="24"/>
              </w:rPr>
              <w:t>. apakšpunkts.</w:t>
            </w:r>
          </w:p>
        </w:tc>
        <w:tc>
          <w:tcPr>
            <w:tcW w:w="2177" w:type="dxa"/>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iCs/>
                <w:color w:val="000000" w:themeColor="text1"/>
                <w:sz w:val="24"/>
                <w:szCs w:val="24"/>
              </w:rPr>
            </w:pPr>
            <w:r w:rsidRPr="00884529">
              <w:rPr>
                <w:rFonts w:ascii="Times New Roman" w:hAnsi="Times New Roman" w:cs="Times New Roman"/>
                <w:iCs/>
                <w:color w:val="000000" w:themeColor="text1"/>
                <w:sz w:val="24"/>
                <w:szCs w:val="24"/>
              </w:rPr>
              <w:t>Tiesību norma izpildīta pilnībā.</w:t>
            </w:r>
          </w:p>
        </w:tc>
        <w:tc>
          <w:tcPr>
            <w:tcW w:w="2134" w:type="dxa"/>
            <w:gridSpan w:val="2"/>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color w:val="000000" w:themeColor="text1"/>
                <w:spacing w:val="-2"/>
                <w:sz w:val="24"/>
                <w:szCs w:val="24"/>
              </w:rPr>
              <w:t>Stingrākas prasības netiek piemērotas.</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3504" w:type="dxa"/>
            <w:gridSpan w:val="7"/>
            <w:tcBorders>
              <w:top w:val="outset" w:sz="6" w:space="0" w:color="auto"/>
              <w:left w:val="outset" w:sz="6" w:space="0" w:color="auto"/>
              <w:bottom w:val="outset" w:sz="6" w:space="0" w:color="auto"/>
              <w:right w:val="outset" w:sz="6" w:space="0" w:color="auto"/>
            </w:tcBorders>
          </w:tcPr>
          <w:p w:rsidR="00EF5D00" w:rsidRPr="00884529" w:rsidRDefault="00EF5D00" w:rsidP="00EF5D00">
            <w:pPr>
              <w:spacing w:after="0" w:line="240" w:lineRule="auto"/>
              <w:ind w:left="57"/>
              <w:rPr>
                <w:rFonts w:ascii="Times New Roman" w:hAnsi="Times New Roman" w:cs="Times New Roman"/>
                <w:sz w:val="24"/>
                <w:szCs w:val="24"/>
              </w:rPr>
            </w:pPr>
            <w:r w:rsidRPr="00884529">
              <w:rPr>
                <w:rFonts w:ascii="Times New Roman" w:eastAsia="Calibri" w:hAnsi="Times New Roman" w:cs="Times New Roman"/>
                <w:color w:val="000000"/>
                <w:sz w:val="24"/>
                <w:szCs w:val="24"/>
              </w:rPr>
              <w:t>EK lēmuma 2012/21/ES</w:t>
            </w:r>
            <w:r w:rsidRPr="00884529">
              <w:rPr>
                <w:rFonts w:ascii="Times New Roman" w:hAnsi="Times New Roman" w:cs="Times New Roman"/>
                <w:sz w:val="24"/>
                <w:szCs w:val="24"/>
              </w:rPr>
              <w:t xml:space="preserve"> 4.panta c) apakšpunkts.</w:t>
            </w:r>
          </w:p>
          <w:p w:rsidR="00EF5D00" w:rsidRPr="00884529" w:rsidRDefault="00EF5D00" w:rsidP="00E624F4">
            <w:pPr>
              <w:spacing w:after="0" w:line="240" w:lineRule="auto"/>
              <w:ind w:left="57"/>
              <w:rPr>
                <w:rFonts w:ascii="Times New Roman" w:eastAsia="Calibri" w:hAnsi="Times New Roman" w:cs="Times New Roman"/>
                <w:color w:val="000000"/>
                <w:sz w:val="24"/>
                <w:szCs w:val="24"/>
              </w:rPr>
            </w:pPr>
          </w:p>
        </w:tc>
        <w:tc>
          <w:tcPr>
            <w:tcW w:w="1720" w:type="dxa"/>
            <w:tcBorders>
              <w:top w:val="outset" w:sz="6" w:space="0" w:color="auto"/>
              <w:left w:val="outset" w:sz="6" w:space="0" w:color="auto"/>
              <w:bottom w:val="outset" w:sz="6" w:space="0" w:color="auto"/>
              <w:right w:val="outset" w:sz="6" w:space="0" w:color="auto"/>
            </w:tcBorders>
          </w:tcPr>
          <w:p w:rsidR="00EF5D00" w:rsidRPr="00884529" w:rsidRDefault="00EF5D00" w:rsidP="002F4005">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Noteikumu projekta 6.</w:t>
            </w:r>
            <w:r w:rsidR="002F4005" w:rsidRPr="00884529">
              <w:rPr>
                <w:rFonts w:ascii="Times New Roman" w:hAnsi="Times New Roman" w:cs="Times New Roman"/>
                <w:color w:val="000000" w:themeColor="text1"/>
                <w:sz w:val="24"/>
                <w:szCs w:val="24"/>
              </w:rPr>
              <w:t>3</w:t>
            </w:r>
            <w:r w:rsidRPr="00884529">
              <w:rPr>
                <w:rFonts w:ascii="Times New Roman" w:hAnsi="Times New Roman" w:cs="Times New Roman"/>
                <w:color w:val="000000" w:themeColor="text1"/>
                <w:sz w:val="24"/>
                <w:szCs w:val="24"/>
              </w:rPr>
              <w:t>. apakšpunkts.</w:t>
            </w:r>
          </w:p>
        </w:tc>
        <w:tc>
          <w:tcPr>
            <w:tcW w:w="2177" w:type="dxa"/>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iCs/>
                <w:color w:val="000000" w:themeColor="text1"/>
                <w:sz w:val="24"/>
                <w:szCs w:val="24"/>
              </w:rPr>
            </w:pPr>
            <w:r w:rsidRPr="00884529">
              <w:rPr>
                <w:rFonts w:ascii="Times New Roman" w:hAnsi="Times New Roman" w:cs="Times New Roman"/>
                <w:iCs/>
                <w:color w:val="000000" w:themeColor="text1"/>
                <w:sz w:val="24"/>
                <w:szCs w:val="24"/>
              </w:rPr>
              <w:t>Tiesību norma izpildīta pilnībā</w:t>
            </w:r>
          </w:p>
        </w:tc>
        <w:tc>
          <w:tcPr>
            <w:tcW w:w="2134" w:type="dxa"/>
            <w:gridSpan w:val="2"/>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color w:val="000000" w:themeColor="text1"/>
                <w:spacing w:val="-2"/>
                <w:sz w:val="24"/>
                <w:szCs w:val="24"/>
              </w:rPr>
              <w:t>Stingrākas prasības netiek piemērotas.</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3504" w:type="dxa"/>
            <w:gridSpan w:val="7"/>
            <w:tcBorders>
              <w:top w:val="outset" w:sz="6" w:space="0" w:color="auto"/>
              <w:left w:val="outset" w:sz="6" w:space="0" w:color="auto"/>
              <w:bottom w:val="outset" w:sz="6" w:space="0" w:color="auto"/>
              <w:right w:val="outset" w:sz="6" w:space="0" w:color="auto"/>
            </w:tcBorders>
          </w:tcPr>
          <w:p w:rsidR="00EF5D00" w:rsidRPr="00884529" w:rsidRDefault="00EF5D00" w:rsidP="00F97E67">
            <w:pPr>
              <w:spacing w:after="0" w:line="240" w:lineRule="auto"/>
              <w:ind w:left="57"/>
              <w:rPr>
                <w:rFonts w:ascii="Times New Roman" w:hAnsi="Times New Roman" w:cs="Times New Roman"/>
                <w:sz w:val="24"/>
                <w:szCs w:val="24"/>
              </w:rPr>
            </w:pPr>
            <w:r w:rsidRPr="00884529">
              <w:rPr>
                <w:rFonts w:ascii="Times New Roman" w:eastAsia="Calibri" w:hAnsi="Times New Roman" w:cs="Times New Roman"/>
                <w:color w:val="000000"/>
                <w:sz w:val="24"/>
                <w:szCs w:val="24"/>
              </w:rPr>
              <w:t>EK lēmuma 2012/21/ES</w:t>
            </w:r>
            <w:r w:rsidRPr="00884529">
              <w:rPr>
                <w:rFonts w:ascii="Times New Roman" w:hAnsi="Times New Roman" w:cs="Times New Roman"/>
                <w:sz w:val="24"/>
                <w:szCs w:val="24"/>
              </w:rPr>
              <w:t xml:space="preserve"> 4.panta b) apakšpunkts.</w:t>
            </w:r>
          </w:p>
          <w:p w:rsidR="00EF5D00" w:rsidRPr="00884529" w:rsidRDefault="00EF5D00" w:rsidP="001F382A">
            <w:pPr>
              <w:spacing w:after="0" w:line="240" w:lineRule="auto"/>
              <w:ind w:left="57"/>
              <w:rPr>
                <w:rFonts w:ascii="Times New Roman" w:hAnsi="Times New Roman" w:cs="Times New Roman"/>
                <w:bCs/>
                <w:color w:val="000000" w:themeColor="text1"/>
                <w:sz w:val="24"/>
                <w:szCs w:val="24"/>
              </w:rPr>
            </w:pPr>
          </w:p>
        </w:tc>
        <w:tc>
          <w:tcPr>
            <w:tcW w:w="1720" w:type="dxa"/>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bCs/>
                <w:color w:val="000000" w:themeColor="text1"/>
                <w:sz w:val="24"/>
                <w:szCs w:val="24"/>
              </w:rPr>
            </w:pPr>
            <w:r w:rsidRPr="00884529">
              <w:rPr>
                <w:rFonts w:ascii="Times New Roman" w:hAnsi="Times New Roman" w:cs="Times New Roman"/>
                <w:color w:val="000000" w:themeColor="text1"/>
                <w:sz w:val="24"/>
                <w:szCs w:val="24"/>
              </w:rPr>
              <w:t>Noteikumu projekta 6.2.apakšpunkts.</w:t>
            </w:r>
          </w:p>
        </w:tc>
        <w:tc>
          <w:tcPr>
            <w:tcW w:w="2177" w:type="dxa"/>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iCs/>
                <w:color w:val="000000" w:themeColor="text1"/>
                <w:sz w:val="24"/>
                <w:szCs w:val="24"/>
              </w:rPr>
              <w:t>Tiesību norma izpildīta pilnībā.</w:t>
            </w:r>
          </w:p>
        </w:tc>
        <w:tc>
          <w:tcPr>
            <w:tcW w:w="2134" w:type="dxa"/>
            <w:gridSpan w:val="2"/>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color w:val="000000" w:themeColor="text1"/>
                <w:spacing w:val="-2"/>
                <w:sz w:val="24"/>
                <w:szCs w:val="24"/>
              </w:rPr>
              <w:t>Stingrākas prasības netiek piemērotas.</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3504" w:type="dxa"/>
            <w:gridSpan w:val="7"/>
            <w:tcBorders>
              <w:top w:val="outset" w:sz="6" w:space="0" w:color="auto"/>
              <w:left w:val="outset" w:sz="6" w:space="0" w:color="auto"/>
              <w:bottom w:val="outset" w:sz="6" w:space="0" w:color="auto"/>
              <w:right w:val="outset" w:sz="6" w:space="0" w:color="auto"/>
            </w:tcBorders>
          </w:tcPr>
          <w:p w:rsidR="00EF5D00" w:rsidRPr="00884529" w:rsidRDefault="00EF5D00" w:rsidP="00373AE9">
            <w:pPr>
              <w:spacing w:after="0" w:line="240" w:lineRule="auto"/>
              <w:ind w:left="57"/>
              <w:rPr>
                <w:rFonts w:ascii="Times New Roman" w:hAnsi="Times New Roman" w:cs="Times New Roman"/>
                <w:sz w:val="24"/>
                <w:szCs w:val="24"/>
              </w:rPr>
            </w:pPr>
            <w:r w:rsidRPr="00884529">
              <w:rPr>
                <w:rFonts w:ascii="Times New Roman" w:eastAsia="Calibri" w:hAnsi="Times New Roman" w:cs="Times New Roman"/>
                <w:color w:val="000000"/>
                <w:sz w:val="24"/>
                <w:szCs w:val="24"/>
              </w:rPr>
              <w:t>EK lēmuma 2012/21/ES</w:t>
            </w:r>
            <w:r w:rsidRPr="00884529">
              <w:rPr>
                <w:rFonts w:ascii="Times New Roman" w:hAnsi="Times New Roman" w:cs="Times New Roman"/>
                <w:sz w:val="24"/>
                <w:szCs w:val="24"/>
              </w:rPr>
              <w:t xml:space="preserve"> 4.panta d) apakšpunkts.</w:t>
            </w:r>
          </w:p>
          <w:p w:rsidR="00EF5D00" w:rsidRPr="00884529" w:rsidRDefault="00EF5D00" w:rsidP="001F382A">
            <w:pPr>
              <w:spacing w:after="0" w:line="240" w:lineRule="auto"/>
              <w:ind w:left="57"/>
              <w:rPr>
                <w:rFonts w:ascii="Times New Roman" w:hAnsi="Times New Roman" w:cs="Times New Roman"/>
                <w:bCs/>
                <w:color w:val="000000" w:themeColor="text1"/>
                <w:sz w:val="24"/>
                <w:szCs w:val="24"/>
              </w:rPr>
            </w:pPr>
          </w:p>
        </w:tc>
        <w:tc>
          <w:tcPr>
            <w:tcW w:w="1720" w:type="dxa"/>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bCs/>
                <w:color w:val="000000" w:themeColor="text1"/>
                <w:sz w:val="24"/>
                <w:szCs w:val="24"/>
              </w:rPr>
            </w:pPr>
            <w:r w:rsidRPr="00884529">
              <w:rPr>
                <w:rFonts w:ascii="Times New Roman" w:hAnsi="Times New Roman" w:cs="Times New Roman"/>
                <w:color w:val="000000" w:themeColor="text1"/>
                <w:sz w:val="24"/>
                <w:szCs w:val="24"/>
              </w:rPr>
              <w:t>Noteikumu projekta 6.</w:t>
            </w:r>
            <w:r w:rsidR="002F4005" w:rsidRPr="00884529">
              <w:rPr>
                <w:rFonts w:ascii="Times New Roman" w:hAnsi="Times New Roman" w:cs="Times New Roman"/>
                <w:color w:val="000000" w:themeColor="text1"/>
                <w:sz w:val="24"/>
                <w:szCs w:val="24"/>
              </w:rPr>
              <w:t>4</w:t>
            </w:r>
            <w:r w:rsidRPr="00884529">
              <w:rPr>
                <w:rFonts w:ascii="Times New Roman" w:hAnsi="Times New Roman" w:cs="Times New Roman"/>
                <w:color w:val="000000" w:themeColor="text1"/>
                <w:sz w:val="24"/>
                <w:szCs w:val="24"/>
              </w:rPr>
              <w:t>.apakšpunkts</w:t>
            </w:r>
            <w:r w:rsidR="0056661B">
              <w:rPr>
                <w:rFonts w:ascii="Times New Roman" w:hAnsi="Times New Roman" w:cs="Times New Roman"/>
                <w:color w:val="000000" w:themeColor="text1"/>
                <w:sz w:val="24"/>
                <w:szCs w:val="24"/>
              </w:rPr>
              <w:t xml:space="preserve"> un 9.punkts.</w:t>
            </w:r>
            <w:r w:rsidRPr="00884529">
              <w:rPr>
                <w:rFonts w:ascii="Times New Roman" w:hAnsi="Times New Roman" w:cs="Times New Roman"/>
                <w:color w:val="000000" w:themeColor="text1"/>
                <w:sz w:val="24"/>
                <w:szCs w:val="24"/>
              </w:rPr>
              <w:t>.</w:t>
            </w:r>
          </w:p>
        </w:tc>
        <w:tc>
          <w:tcPr>
            <w:tcW w:w="2177" w:type="dxa"/>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iCs/>
                <w:color w:val="000000" w:themeColor="text1"/>
                <w:sz w:val="24"/>
                <w:szCs w:val="24"/>
              </w:rPr>
            </w:pPr>
            <w:r w:rsidRPr="00884529">
              <w:rPr>
                <w:rFonts w:ascii="Times New Roman" w:hAnsi="Times New Roman" w:cs="Times New Roman"/>
                <w:iCs/>
                <w:color w:val="000000" w:themeColor="text1"/>
                <w:sz w:val="24"/>
                <w:szCs w:val="24"/>
              </w:rPr>
              <w:t>Tiesību norma izpildīta pilnībā.</w:t>
            </w:r>
          </w:p>
          <w:p w:rsidR="00EF5D00" w:rsidRPr="00884529" w:rsidRDefault="00EF5D00" w:rsidP="0061007C">
            <w:pPr>
              <w:spacing w:after="0" w:line="240" w:lineRule="auto"/>
              <w:ind w:left="57"/>
              <w:rPr>
                <w:rFonts w:ascii="Times New Roman" w:hAnsi="Times New Roman" w:cs="Times New Roman"/>
                <w:color w:val="000000" w:themeColor="text1"/>
                <w:spacing w:val="-2"/>
                <w:sz w:val="24"/>
                <w:szCs w:val="24"/>
              </w:rPr>
            </w:pPr>
          </w:p>
        </w:tc>
        <w:tc>
          <w:tcPr>
            <w:tcW w:w="2134" w:type="dxa"/>
            <w:gridSpan w:val="2"/>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color w:val="000000" w:themeColor="text1"/>
                <w:spacing w:val="-2"/>
                <w:sz w:val="24"/>
                <w:szCs w:val="24"/>
              </w:rPr>
              <w:t>Stingrākas prasības netiek piemērotas.</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3504" w:type="dxa"/>
            <w:gridSpan w:val="7"/>
            <w:tcBorders>
              <w:top w:val="outset" w:sz="6" w:space="0" w:color="auto"/>
              <w:left w:val="outset" w:sz="6" w:space="0" w:color="auto"/>
              <w:bottom w:val="outset" w:sz="6" w:space="0" w:color="auto"/>
              <w:right w:val="outset" w:sz="6" w:space="0" w:color="auto"/>
            </w:tcBorders>
          </w:tcPr>
          <w:p w:rsidR="00EF5D00" w:rsidRPr="00884529" w:rsidRDefault="00EF5D00" w:rsidP="00373AE9">
            <w:pPr>
              <w:spacing w:after="0" w:line="240" w:lineRule="auto"/>
              <w:ind w:left="57"/>
              <w:rPr>
                <w:rFonts w:ascii="Times New Roman" w:hAnsi="Times New Roman" w:cs="Times New Roman"/>
                <w:sz w:val="24"/>
                <w:szCs w:val="24"/>
              </w:rPr>
            </w:pPr>
            <w:r w:rsidRPr="00884529">
              <w:rPr>
                <w:rFonts w:ascii="Times New Roman" w:eastAsia="Calibri" w:hAnsi="Times New Roman" w:cs="Times New Roman"/>
                <w:color w:val="000000"/>
                <w:sz w:val="24"/>
                <w:szCs w:val="24"/>
              </w:rPr>
              <w:t>EK lēmuma 2012/21/ES</w:t>
            </w:r>
            <w:r w:rsidRPr="00884529">
              <w:rPr>
                <w:rFonts w:ascii="Times New Roman" w:hAnsi="Times New Roman" w:cs="Times New Roman"/>
                <w:sz w:val="24"/>
                <w:szCs w:val="24"/>
              </w:rPr>
              <w:t xml:space="preserve"> 4.panta e) apakšpunkts.</w:t>
            </w:r>
          </w:p>
          <w:p w:rsidR="00EF5D00" w:rsidRPr="00884529" w:rsidRDefault="00EF5D00" w:rsidP="001F382A">
            <w:pPr>
              <w:spacing w:after="0" w:line="240" w:lineRule="auto"/>
              <w:ind w:left="57"/>
              <w:rPr>
                <w:rFonts w:ascii="Times New Roman" w:hAnsi="Times New Roman" w:cs="Times New Roman"/>
                <w:bCs/>
                <w:color w:val="000000" w:themeColor="text1"/>
                <w:sz w:val="24"/>
                <w:szCs w:val="24"/>
              </w:rPr>
            </w:pPr>
          </w:p>
        </w:tc>
        <w:tc>
          <w:tcPr>
            <w:tcW w:w="1720" w:type="dxa"/>
            <w:tcBorders>
              <w:top w:val="outset" w:sz="6" w:space="0" w:color="auto"/>
              <w:left w:val="outset" w:sz="6" w:space="0" w:color="auto"/>
              <w:bottom w:val="outset" w:sz="6" w:space="0" w:color="auto"/>
              <w:right w:val="outset" w:sz="6" w:space="0" w:color="auto"/>
            </w:tcBorders>
          </w:tcPr>
          <w:p w:rsidR="00EF5D00" w:rsidRPr="00884529" w:rsidRDefault="00EF5D00" w:rsidP="00EF5D00">
            <w:pPr>
              <w:spacing w:after="0" w:line="240" w:lineRule="auto"/>
              <w:ind w:left="57"/>
              <w:rPr>
                <w:rFonts w:ascii="Times New Roman" w:hAnsi="Times New Roman" w:cs="Times New Roman"/>
                <w:bCs/>
                <w:color w:val="000000" w:themeColor="text1"/>
                <w:sz w:val="24"/>
                <w:szCs w:val="24"/>
              </w:rPr>
            </w:pPr>
            <w:r w:rsidRPr="00884529">
              <w:rPr>
                <w:rFonts w:ascii="Times New Roman" w:hAnsi="Times New Roman" w:cs="Times New Roman"/>
                <w:color w:val="000000" w:themeColor="text1"/>
                <w:sz w:val="24"/>
                <w:szCs w:val="24"/>
              </w:rPr>
              <w:t>Noteikumu projekta  6.</w:t>
            </w:r>
            <w:r w:rsidR="002F4005" w:rsidRPr="00884529">
              <w:rPr>
                <w:rFonts w:ascii="Times New Roman" w:hAnsi="Times New Roman" w:cs="Times New Roman"/>
                <w:color w:val="000000" w:themeColor="text1"/>
                <w:sz w:val="24"/>
                <w:szCs w:val="24"/>
              </w:rPr>
              <w:t>6</w:t>
            </w:r>
            <w:r w:rsidRPr="00884529">
              <w:rPr>
                <w:rFonts w:ascii="Times New Roman" w:hAnsi="Times New Roman" w:cs="Times New Roman"/>
                <w:color w:val="000000" w:themeColor="text1"/>
                <w:sz w:val="24"/>
                <w:szCs w:val="24"/>
              </w:rPr>
              <w:t>.apakšpunkts.</w:t>
            </w:r>
          </w:p>
        </w:tc>
        <w:tc>
          <w:tcPr>
            <w:tcW w:w="2177" w:type="dxa"/>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iCs/>
                <w:color w:val="000000" w:themeColor="text1"/>
                <w:sz w:val="24"/>
                <w:szCs w:val="24"/>
              </w:rPr>
            </w:pPr>
            <w:r w:rsidRPr="00884529">
              <w:rPr>
                <w:rFonts w:ascii="Times New Roman" w:hAnsi="Times New Roman" w:cs="Times New Roman"/>
                <w:iCs/>
                <w:color w:val="000000" w:themeColor="text1"/>
                <w:sz w:val="24"/>
                <w:szCs w:val="24"/>
              </w:rPr>
              <w:t>Tiesību norma izpildīta pilnībā.</w:t>
            </w:r>
          </w:p>
          <w:p w:rsidR="00EF5D00" w:rsidRPr="00884529" w:rsidRDefault="00EF5D00" w:rsidP="0061007C">
            <w:pPr>
              <w:spacing w:after="0" w:line="240" w:lineRule="auto"/>
              <w:ind w:left="57"/>
              <w:rPr>
                <w:rFonts w:ascii="Times New Roman" w:hAnsi="Times New Roman" w:cs="Times New Roman"/>
                <w:iCs/>
                <w:color w:val="000000" w:themeColor="text1"/>
                <w:sz w:val="24"/>
                <w:szCs w:val="24"/>
              </w:rPr>
            </w:pPr>
          </w:p>
        </w:tc>
        <w:tc>
          <w:tcPr>
            <w:tcW w:w="2134" w:type="dxa"/>
            <w:gridSpan w:val="2"/>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color w:val="000000" w:themeColor="text1"/>
                <w:spacing w:val="-2"/>
                <w:sz w:val="24"/>
                <w:szCs w:val="24"/>
              </w:rPr>
              <w:t>Stingrākas prasības netiek piemērotas.</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trHeight w:val="797"/>
          <w:jc w:val="center"/>
        </w:trPr>
        <w:tc>
          <w:tcPr>
            <w:tcW w:w="3504" w:type="dxa"/>
            <w:gridSpan w:val="7"/>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bCs/>
                <w:color w:val="000000" w:themeColor="text1"/>
                <w:sz w:val="24"/>
                <w:szCs w:val="24"/>
              </w:rPr>
            </w:pPr>
            <w:r w:rsidRPr="00884529">
              <w:rPr>
                <w:rFonts w:ascii="Times New Roman" w:eastAsia="Calibri" w:hAnsi="Times New Roman" w:cs="Times New Roman"/>
                <w:color w:val="000000"/>
                <w:sz w:val="24"/>
                <w:szCs w:val="24"/>
              </w:rPr>
              <w:t>EK lēmuma 2012/21/ES</w:t>
            </w:r>
            <w:r w:rsidRPr="00884529">
              <w:rPr>
                <w:rFonts w:ascii="Times New Roman" w:hAnsi="Times New Roman" w:cs="Times New Roman"/>
                <w:sz w:val="24"/>
                <w:szCs w:val="24"/>
              </w:rPr>
              <w:t xml:space="preserve"> 4.panta f) apakšpunkts.</w:t>
            </w:r>
          </w:p>
        </w:tc>
        <w:tc>
          <w:tcPr>
            <w:tcW w:w="1720" w:type="dxa"/>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bCs/>
                <w:color w:val="000000" w:themeColor="text1"/>
                <w:sz w:val="24"/>
                <w:szCs w:val="24"/>
              </w:rPr>
            </w:pPr>
            <w:r w:rsidRPr="00884529">
              <w:rPr>
                <w:rFonts w:ascii="Times New Roman" w:hAnsi="Times New Roman" w:cs="Times New Roman"/>
                <w:color w:val="000000" w:themeColor="text1"/>
                <w:sz w:val="24"/>
                <w:szCs w:val="24"/>
              </w:rPr>
              <w:t>Noteikumu projekta 6.</w:t>
            </w:r>
            <w:r w:rsidR="002F4005" w:rsidRPr="00884529">
              <w:rPr>
                <w:rFonts w:ascii="Times New Roman" w:hAnsi="Times New Roman" w:cs="Times New Roman"/>
                <w:color w:val="000000" w:themeColor="text1"/>
                <w:sz w:val="24"/>
                <w:szCs w:val="24"/>
              </w:rPr>
              <w:t>8</w:t>
            </w:r>
            <w:r w:rsidRPr="00884529">
              <w:rPr>
                <w:rFonts w:ascii="Times New Roman" w:hAnsi="Times New Roman" w:cs="Times New Roman"/>
                <w:color w:val="000000" w:themeColor="text1"/>
                <w:sz w:val="24"/>
                <w:szCs w:val="24"/>
              </w:rPr>
              <w:t>.apakšpunkts.</w:t>
            </w:r>
          </w:p>
        </w:tc>
        <w:tc>
          <w:tcPr>
            <w:tcW w:w="2177" w:type="dxa"/>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iCs/>
                <w:color w:val="000000" w:themeColor="text1"/>
                <w:sz w:val="24"/>
                <w:szCs w:val="24"/>
              </w:rPr>
            </w:pPr>
            <w:r w:rsidRPr="00884529">
              <w:rPr>
                <w:rFonts w:ascii="Times New Roman" w:hAnsi="Times New Roman" w:cs="Times New Roman"/>
                <w:iCs/>
                <w:color w:val="000000" w:themeColor="text1"/>
                <w:sz w:val="24"/>
                <w:szCs w:val="24"/>
              </w:rPr>
              <w:t>Tiesību norma izpildīta pilnībā.</w:t>
            </w:r>
          </w:p>
          <w:p w:rsidR="00EF5D00" w:rsidRPr="00884529" w:rsidRDefault="00EF5D00" w:rsidP="0061007C">
            <w:pPr>
              <w:spacing w:after="0" w:line="240" w:lineRule="auto"/>
              <w:ind w:left="57"/>
              <w:rPr>
                <w:rFonts w:ascii="Times New Roman" w:hAnsi="Times New Roman" w:cs="Times New Roman"/>
                <w:iCs/>
                <w:color w:val="000000" w:themeColor="text1"/>
                <w:sz w:val="24"/>
                <w:szCs w:val="24"/>
              </w:rPr>
            </w:pPr>
          </w:p>
        </w:tc>
        <w:tc>
          <w:tcPr>
            <w:tcW w:w="2134" w:type="dxa"/>
            <w:gridSpan w:val="2"/>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color w:val="000000" w:themeColor="text1"/>
                <w:spacing w:val="-2"/>
                <w:sz w:val="24"/>
                <w:szCs w:val="24"/>
              </w:rPr>
              <w:t>Stingrākas prasības netiek piemērotas.</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trHeight w:val="897"/>
          <w:jc w:val="center"/>
        </w:trPr>
        <w:tc>
          <w:tcPr>
            <w:tcW w:w="3504" w:type="dxa"/>
            <w:gridSpan w:val="7"/>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eastAsia="Calibri" w:hAnsi="Times New Roman" w:cs="Times New Roman"/>
                <w:color w:val="000000"/>
                <w:sz w:val="24"/>
                <w:szCs w:val="24"/>
              </w:rPr>
            </w:pPr>
            <w:r w:rsidRPr="00884529">
              <w:rPr>
                <w:rFonts w:ascii="Times New Roman" w:eastAsia="Calibri" w:hAnsi="Times New Roman" w:cs="Times New Roman"/>
                <w:color w:val="000000"/>
                <w:sz w:val="24"/>
                <w:szCs w:val="24"/>
              </w:rPr>
              <w:t xml:space="preserve">EK lēmuma 2012/21/ES 6.panta 1.punkts. </w:t>
            </w:r>
          </w:p>
        </w:tc>
        <w:tc>
          <w:tcPr>
            <w:tcW w:w="1720" w:type="dxa"/>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Noteikumu projekta 6.</w:t>
            </w:r>
            <w:r w:rsidR="002F4005" w:rsidRPr="00884529">
              <w:rPr>
                <w:rFonts w:ascii="Times New Roman" w:hAnsi="Times New Roman" w:cs="Times New Roman"/>
                <w:color w:val="000000" w:themeColor="text1"/>
                <w:sz w:val="24"/>
                <w:szCs w:val="24"/>
              </w:rPr>
              <w:t>4</w:t>
            </w:r>
            <w:r w:rsidRPr="00884529">
              <w:rPr>
                <w:rFonts w:ascii="Times New Roman" w:hAnsi="Times New Roman" w:cs="Times New Roman"/>
                <w:color w:val="000000" w:themeColor="text1"/>
                <w:sz w:val="24"/>
                <w:szCs w:val="24"/>
              </w:rPr>
              <w:t>.apakšpunkts.</w:t>
            </w:r>
            <w:r w:rsidRPr="00884529" w:rsidDel="00C35D89">
              <w:rPr>
                <w:rFonts w:ascii="Times New Roman" w:hAnsi="Times New Roman" w:cs="Times New Roman"/>
                <w:color w:val="000000" w:themeColor="text1"/>
                <w:sz w:val="24"/>
                <w:szCs w:val="24"/>
              </w:rPr>
              <w:t xml:space="preserve"> </w:t>
            </w:r>
          </w:p>
        </w:tc>
        <w:tc>
          <w:tcPr>
            <w:tcW w:w="2177" w:type="dxa"/>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iCs/>
                <w:color w:val="000000" w:themeColor="text1"/>
                <w:sz w:val="24"/>
                <w:szCs w:val="24"/>
              </w:rPr>
            </w:pPr>
            <w:r w:rsidRPr="00884529">
              <w:rPr>
                <w:rFonts w:ascii="Times New Roman" w:hAnsi="Times New Roman" w:cs="Times New Roman"/>
                <w:iCs/>
                <w:color w:val="000000" w:themeColor="text1"/>
                <w:sz w:val="24"/>
                <w:szCs w:val="24"/>
              </w:rPr>
              <w:t>Tiesību norma izpildīta pilnībā.</w:t>
            </w:r>
          </w:p>
          <w:p w:rsidR="00EF5D00" w:rsidRPr="00884529" w:rsidRDefault="00EF5D00" w:rsidP="0061007C">
            <w:pPr>
              <w:spacing w:after="0" w:line="240" w:lineRule="auto"/>
              <w:ind w:left="57"/>
              <w:rPr>
                <w:rFonts w:ascii="Times New Roman" w:hAnsi="Times New Roman" w:cs="Times New Roman"/>
                <w:iCs/>
                <w:color w:val="000000" w:themeColor="text1"/>
                <w:sz w:val="24"/>
                <w:szCs w:val="24"/>
              </w:rPr>
            </w:pPr>
          </w:p>
        </w:tc>
        <w:tc>
          <w:tcPr>
            <w:tcW w:w="2134" w:type="dxa"/>
            <w:gridSpan w:val="2"/>
            <w:tcBorders>
              <w:top w:val="outset" w:sz="6" w:space="0" w:color="auto"/>
              <w:left w:val="outset" w:sz="6" w:space="0" w:color="auto"/>
              <w:bottom w:val="outset" w:sz="6" w:space="0" w:color="auto"/>
              <w:right w:val="outset" w:sz="6" w:space="0" w:color="auto"/>
            </w:tcBorders>
          </w:tcPr>
          <w:p w:rsidR="00EF5D00" w:rsidRPr="00884529" w:rsidRDefault="00EF5D00" w:rsidP="0061007C">
            <w:pPr>
              <w:spacing w:after="0" w:line="240" w:lineRule="auto"/>
              <w:ind w:left="57"/>
              <w:rPr>
                <w:rFonts w:ascii="Times New Roman" w:hAnsi="Times New Roman" w:cs="Times New Roman"/>
                <w:color w:val="000000" w:themeColor="text1"/>
                <w:spacing w:val="-2"/>
                <w:sz w:val="24"/>
                <w:szCs w:val="24"/>
              </w:rPr>
            </w:pPr>
            <w:r w:rsidRPr="00884529">
              <w:rPr>
                <w:rFonts w:ascii="Times New Roman" w:hAnsi="Times New Roman" w:cs="Times New Roman"/>
                <w:color w:val="000000" w:themeColor="text1"/>
                <w:spacing w:val="-2"/>
                <w:sz w:val="24"/>
                <w:szCs w:val="24"/>
              </w:rPr>
              <w:t>Stingrākas prasības netiek piemērotas</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3504" w:type="dxa"/>
            <w:gridSpan w:val="7"/>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pacing w:val="-3"/>
                <w:sz w:val="24"/>
                <w:szCs w:val="24"/>
              </w:rPr>
            </w:pPr>
            <w:r w:rsidRPr="00884529">
              <w:rPr>
                <w:rFonts w:ascii="Times New Roman" w:hAnsi="Times New Roman" w:cs="Times New Roman"/>
                <w:color w:val="000000" w:themeColor="text1"/>
                <w:spacing w:val="-3"/>
                <w:sz w:val="24"/>
                <w:szCs w:val="24"/>
              </w:rPr>
              <w:t>Kā ir izmantota ES tiesību aktā paredzētā rīcības brīvība dalībvalstij pārņemt vai ieviest noteiktas ES tiesību akta normas?</w:t>
            </w:r>
          </w:p>
          <w:p w:rsidR="00EF5D00" w:rsidRPr="00884529" w:rsidRDefault="00EF5D00" w:rsidP="001F382A">
            <w:pPr>
              <w:spacing w:after="0" w:line="240" w:lineRule="auto"/>
              <w:ind w:left="57"/>
              <w:rPr>
                <w:rFonts w:ascii="Times New Roman" w:hAnsi="Times New Roman" w:cs="Times New Roman"/>
                <w:color w:val="000000" w:themeColor="text1"/>
                <w:spacing w:val="-3"/>
                <w:sz w:val="24"/>
                <w:szCs w:val="24"/>
              </w:rPr>
            </w:pPr>
            <w:r w:rsidRPr="00884529">
              <w:rPr>
                <w:rFonts w:ascii="Times New Roman" w:hAnsi="Times New Roman" w:cs="Times New Roman"/>
                <w:color w:val="000000" w:themeColor="text1"/>
                <w:spacing w:val="-3"/>
                <w:sz w:val="24"/>
                <w:szCs w:val="24"/>
              </w:rPr>
              <w:t>Kādēļ?</w:t>
            </w:r>
          </w:p>
        </w:tc>
        <w:tc>
          <w:tcPr>
            <w:tcW w:w="6031" w:type="dxa"/>
            <w:gridSpan w:val="4"/>
            <w:tcBorders>
              <w:top w:val="outset" w:sz="6" w:space="0" w:color="auto"/>
              <w:left w:val="outset" w:sz="6" w:space="0" w:color="auto"/>
              <w:bottom w:val="outset" w:sz="6" w:space="0" w:color="auto"/>
              <w:right w:val="outset" w:sz="6" w:space="0" w:color="auto"/>
            </w:tcBorders>
          </w:tcPr>
          <w:p w:rsidR="00EF5D00" w:rsidRPr="0018238B" w:rsidRDefault="00AE28DD" w:rsidP="000B23A6">
            <w:pPr>
              <w:spacing w:after="0" w:line="240" w:lineRule="auto"/>
              <w:ind w:left="57"/>
              <w:jc w:val="both"/>
              <w:rPr>
                <w:rFonts w:ascii="Times New Roman" w:hAnsi="Times New Roman" w:cs="Times New Roman"/>
                <w:color w:val="000000" w:themeColor="text1"/>
                <w:sz w:val="24"/>
                <w:szCs w:val="24"/>
              </w:rPr>
            </w:pPr>
            <w:r w:rsidRPr="0018238B">
              <w:rPr>
                <w:rFonts w:ascii="Times New Roman" w:hAnsi="Times New Roman" w:cs="Times New Roman"/>
                <w:sz w:val="24"/>
                <w:szCs w:val="24"/>
              </w:rPr>
              <w:t xml:space="preserve">Lēmuma Nr. 2012/21/ES preambulas 14.punktā ir noteikts, ka instrumenta veidi dažādās dalībvalstīs var atšķirties, bet tajā būtu jānorāda vismaz attiecīgie uzņēmumi, uzlikto sabiedrisko pakalpojumu sniegšanas pienākumu precīzs saturs, ilgums un vajadzības gadījumā darbības teritorija, jebkādu ekskluzīvu vai īpašu tiesību piešķiršana un būtu jāapraksta kompensācijas mehānisms un parametri, lai noteiktu kompensāciju, novērstu un atgūtu jebkādu iespējamu kompensācijas pārmaksu. Lai nodrošinātu </w:t>
            </w:r>
            <w:proofErr w:type="spellStart"/>
            <w:r w:rsidRPr="0018238B">
              <w:rPr>
                <w:rFonts w:ascii="Times New Roman" w:hAnsi="Times New Roman" w:cs="Times New Roman"/>
                <w:sz w:val="24"/>
                <w:szCs w:val="24"/>
              </w:rPr>
              <w:t>pārredzamību</w:t>
            </w:r>
            <w:proofErr w:type="spellEnd"/>
            <w:r w:rsidRPr="0018238B">
              <w:rPr>
                <w:rFonts w:ascii="Times New Roman" w:hAnsi="Times New Roman" w:cs="Times New Roman"/>
                <w:sz w:val="24"/>
                <w:szCs w:val="24"/>
              </w:rPr>
              <w:t xml:space="preserve"> saistībā ar šā lēmuma piemērošanu, pilnvarojumā būtu arī jāiekļauj atsauce uz to</w:t>
            </w:r>
            <w:r w:rsidRPr="0018238B">
              <w:rPr>
                <w:rFonts w:ascii="Times New Roman" w:hAnsi="Times New Roman" w:cs="Times New Roman"/>
                <w:color w:val="000000" w:themeColor="text1"/>
                <w:sz w:val="24"/>
                <w:szCs w:val="24"/>
              </w:rPr>
              <w:t>.</w:t>
            </w:r>
            <w:r w:rsidR="00ED4B95" w:rsidRPr="0018238B">
              <w:rPr>
                <w:rFonts w:ascii="Times New Roman" w:hAnsi="Times New Roman" w:cs="Times New Roman"/>
                <w:color w:val="000000" w:themeColor="text1"/>
                <w:sz w:val="24"/>
                <w:szCs w:val="24"/>
              </w:rPr>
              <w:t xml:space="preserve"> Attiecīgi esam šo rīcības brīvību izmantojuši gatavojot noteikumu projektu un ietvēruši tajā Lēmuma Nr. 2012/21/ES prasības, kas obligāti jāietver sabiedriskas nozīmes pakalpojumu saistību uzlikšanas pilnvarojumā.</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3504" w:type="dxa"/>
            <w:gridSpan w:val="7"/>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pacing w:val="-3"/>
                <w:sz w:val="24"/>
                <w:szCs w:val="24"/>
              </w:rPr>
            </w:pPr>
            <w:r w:rsidRPr="00884529">
              <w:rPr>
                <w:rFonts w:ascii="Times New Roman" w:hAnsi="Times New Roman" w:cs="Times New Roman"/>
                <w:color w:val="000000" w:themeColor="text1"/>
                <w:spacing w:val="-4"/>
                <w:sz w:val="24"/>
                <w:szCs w:val="24"/>
              </w:rPr>
              <w:t xml:space="preserve">Saistības sniegt paziņojumu ES </w:t>
            </w:r>
            <w:r w:rsidRPr="00884529">
              <w:rPr>
                <w:rFonts w:ascii="Times New Roman" w:hAnsi="Times New Roman" w:cs="Times New Roman"/>
                <w:color w:val="000000" w:themeColor="text1"/>
                <w:spacing w:val="-4"/>
                <w:sz w:val="24"/>
                <w:szCs w:val="24"/>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6031" w:type="dxa"/>
            <w:gridSpan w:val="4"/>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pacing w:val="-2"/>
                <w:sz w:val="24"/>
                <w:szCs w:val="24"/>
              </w:rPr>
              <w:lastRenderedPageBreak/>
              <w:t>Stingrākas prasības netiek  piemērotas.</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3504" w:type="dxa"/>
            <w:gridSpan w:val="7"/>
            <w:tcBorders>
              <w:top w:val="outset" w:sz="6" w:space="0" w:color="auto"/>
              <w:left w:val="outset" w:sz="6" w:space="0" w:color="auto"/>
              <w:bottom w:val="single" w:sz="4"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lastRenderedPageBreak/>
              <w:t>Cita informācija</w:t>
            </w:r>
          </w:p>
        </w:tc>
        <w:tc>
          <w:tcPr>
            <w:tcW w:w="6031" w:type="dxa"/>
            <w:gridSpan w:val="4"/>
            <w:tcBorders>
              <w:top w:val="outset" w:sz="6" w:space="0" w:color="auto"/>
              <w:left w:val="outset" w:sz="6" w:space="0" w:color="auto"/>
              <w:bottom w:val="single" w:sz="4" w:space="0" w:color="auto"/>
              <w:right w:val="outset" w:sz="6" w:space="0" w:color="auto"/>
            </w:tcBorders>
          </w:tcPr>
          <w:p w:rsidR="00EF5D00" w:rsidRPr="00884529" w:rsidRDefault="00EF5D00" w:rsidP="001F382A">
            <w:pPr>
              <w:spacing w:after="0" w:line="240" w:lineRule="auto"/>
              <w:ind w:left="57"/>
              <w:jc w:val="both"/>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Nav.</w:t>
            </w:r>
          </w:p>
        </w:tc>
      </w:tr>
      <w:tr w:rsidR="00EF5D00" w:rsidRPr="00884529" w:rsidTr="0061007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305"/>
          <w:jc w:val="center"/>
        </w:trPr>
        <w:tc>
          <w:tcPr>
            <w:tcW w:w="9535" w:type="dxa"/>
            <w:gridSpan w:val="11"/>
            <w:tcBorders>
              <w:top w:val="single" w:sz="4" w:space="0" w:color="auto"/>
              <w:left w:val="nil"/>
              <w:bottom w:val="single" w:sz="4" w:space="0" w:color="auto"/>
              <w:right w:val="nil"/>
            </w:tcBorders>
          </w:tcPr>
          <w:p w:rsidR="00EF5D00" w:rsidRPr="000D3F25" w:rsidRDefault="00EF5D00" w:rsidP="0061007C">
            <w:pPr>
              <w:spacing w:after="0" w:line="240" w:lineRule="auto"/>
              <w:ind w:left="57"/>
              <w:jc w:val="both"/>
              <w:rPr>
                <w:rFonts w:ascii="Times New Roman" w:hAnsi="Times New Roman" w:cs="Times New Roman"/>
                <w:color w:val="000000" w:themeColor="text1"/>
                <w:sz w:val="16"/>
                <w:szCs w:val="16"/>
              </w:rPr>
            </w:pPr>
          </w:p>
        </w:tc>
      </w:tr>
      <w:tr w:rsidR="00EF5D00" w:rsidRPr="00884529" w:rsidTr="00D4539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jc w:val="center"/>
        </w:trPr>
        <w:tc>
          <w:tcPr>
            <w:tcW w:w="9535" w:type="dxa"/>
            <w:gridSpan w:val="11"/>
            <w:tcBorders>
              <w:top w:val="single" w:sz="4" w:space="0" w:color="auto"/>
              <w:left w:val="outset" w:sz="6" w:space="0" w:color="auto"/>
              <w:bottom w:val="outset" w:sz="6" w:space="0" w:color="auto"/>
              <w:right w:val="outset" w:sz="6" w:space="0" w:color="auto"/>
            </w:tcBorders>
          </w:tcPr>
          <w:p w:rsidR="00EF5D00" w:rsidRPr="00884529" w:rsidRDefault="00EF5D00" w:rsidP="00D45391">
            <w:pPr>
              <w:spacing w:after="0" w:line="240" w:lineRule="auto"/>
              <w:ind w:left="57"/>
              <w:jc w:val="center"/>
              <w:rPr>
                <w:rFonts w:ascii="Times New Roman" w:hAnsi="Times New Roman" w:cs="Times New Roman"/>
                <w:color w:val="000000" w:themeColor="text1"/>
                <w:sz w:val="24"/>
                <w:szCs w:val="24"/>
              </w:rPr>
            </w:pPr>
            <w:r w:rsidRPr="00884529">
              <w:rPr>
                <w:rFonts w:ascii="Times New Roman" w:hAnsi="Times New Roman" w:cs="Times New Roman"/>
                <w:b/>
                <w:bCs/>
                <w:color w:val="000000" w:themeColor="text1"/>
                <w:sz w:val="24"/>
                <w:szCs w:val="24"/>
              </w:rPr>
              <w:t>VI. Sabiedrības līdzdalība un komunikācijas aktivitātes</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trHeight w:val="865"/>
          <w:jc w:val="center"/>
        </w:trPr>
        <w:tc>
          <w:tcPr>
            <w:tcW w:w="468" w:type="dxa"/>
            <w:gridSpan w:val="4"/>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1.</w:t>
            </w:r>
          </w:p>
        </w:tc>
        <w:tc>
          <w:tcPr>
            <w:tcW w:w="3036" w:type="dxa"/>
            <w:gridSpan w:val="3"/>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Plānotās sabiedrības līdzdalības un komunikācijas aktivitātes saistībā ar projektu</w:t>
            </w:r>
          </w:p>
        </w:tc>
        <w:tc>
          <w:tcPr>
            <w:tcW w:w="6031" w:type="dxa"/>
            <w:gridSpan w:val="4"/>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jc w:val="both"/>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Projekts sabiedrības informēšanai ievietots Satiksmes ministrijas mājas lapā.</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468" w:type="dxa"/>
            <w:gridSpan w:val="4"/>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2.</w:t>
            </w:r>
          </w:p>
        </w:tc>
        <w:tc>
          <w:tcPr>
            <w:tcW w:w="3036" w:type="dxa"/>
            <w:gridSpan w:val="3"/>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Sabiedrības līdzdalība projekta izstrādē</w:t>
            </w:r>
          </w:p>
        </w:tc>
        <w:tc>
          <w:tcPr>
            <w:tcW w:w="6031" w:type="dxa"/>
            <w:gridSpan w:val="4"/>
            <w:tcBorders>
              <w:top w:val="outset" w:sz="6" w:space="0" w:color="auto"/>
              <w:left w:val="outset" w:sz="6" w:space="0" w:color="auto"/>
              <w:bottom w:val="outset" w:sz="6" w:space="0" w:color="auto"/>
              <w:right w:val="outset" w:sz="6" w:space="0" w:color="auto"/>
            </w:tcBorders>
          </w:tcPr>
          <w:p w:rsidR="00EF5D00" w:rsidRPr="00884529" w:rsidRDefault="0056661B" w:rsidP="0056661B">
            <w:pPr>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 attiecināms.</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468" w:type="dxa"/>
            <w:gridSpan w:val="4"/>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3.</w:t>
            </w:r>
          </w:p>
        </w:tc>
        <w:tc>
          <w:tcPr>
            <w:tcW w:w="3036" w:type="dxa"/>
            <w:gridSpan w:val="3"/>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Sabiedrības līdzdalības rezultāti</w:t>
            </w:r>
          </w:p>
        </w:tc>
        <w:tc>
          <w:tcPr>
            <w:tcW w:w="6031" w:type="dxa"/>
            <w:gridSpan w:val="4"/>
            <w:tcBorders>
              <w:top w:val="outset" w:sz="6" w:space="0" w:color="auto"/>
              <w:left w:val="outset" w:sz="6" w:space="0" w:color="auto"/>
              <w:bottom w:val="outset" w:sz="6" w:space="0" w:color="auto"/>
              <w:right w:val="outset" w:sz="6" w:space="0" w:color="auto"/>
            </w:tcBorders>
          </w:tcPr>
          <w:p w:rsidR="00EF5D00" w:rsidRPr="00884529" w:rsidRDefault="0056661B" w:rsidP="001F382A">
            <w:pPr>
              <w:spacing w:after="0"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 attiecināms.</w:t>
            </w:r>
          </w:p>
        </w:tc>
      </w:tr>
      <w:tr w:rsidR="00EF5D00" w:rsidRPr="00884529" w:rsidTr="00EF5D00">
        <w:tblPrEx>
          <w:tblBorders>
            <w:top w:val="outset" w:sz="6" w:space="0" w:color="auto"/>
            <w:left w:val="outset" w:sz="6" w:space="0" w:color="auto"/>
            <w:bottom w:val="outset" w:sz="6" w:space="0" w:color="auto"/>
            <w:right w:val="outset" w:sz="6" w:space="0" w:color="auto"/>
          </w:tblBorders>
        </w:tblPrEx>
        <w:trPr>
          <w:jc w:val="center"/>
        </w:trPr>
        <w:tc>
          <w:tcPr>
            <w:tcW w:w="468" w:type="dxa"/>
            <w:gridSpan w:val="4"/>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4.</w:t>
            </w:r>
          </w:p>
        </w:tc>
        <w:tc>
          <w:tcPr>
            <w:tcW w:w="3036" w:type="dxa"/>
            <w:gridSpan w:val="3"/>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Cita informācija</w:t>
            </w:r>
          </w:p>
        </w:tc>
        <w:tc>
          <w:tcPr>
            <w:tcW w:w="6031" w:type="dxa"/>
            <w:gridSpan w:val="4"/>
            <w:tcBorders>
              <w:top w:val="outset" w:sz="6" w:space="0" w:color="auto"/>
              <w:left w:val="outset" w:sz="6" w:space="0" w:color="auto"/>
              <w:bottom w:val="outset" w:sz="6" w:space="0" w:color="auto"/>
              <w:right w:val="outset" w:sz="6" w:space="0" w:color="auto"/>
            </w:tcBorders>
          </w:tcPr>
          <w:p w:rsidR="00EF5D00" w:rsidRPr="00884529" w:rsidRDefault="00EF5D00" w:rsidP="001F382A">
            <w:pPr>
              <w:spacing w:after="0" w:line="240" w:lineRule="auto"/>
              <w:ind w:left="57"/>
              <w:jc w:val="both"/>
              <w:rPr>
                <w:rFonts w:ascii="Times New Roman" w:hAnsi="Times New Roman" w:cs="Times New Roman"/>
                <w:color w:val="000000" w:themeColor="text1"/>
                <w:sz w:val="24"/>
                <w:szCs w:val="24"/>
              </w:rPr>
            </w:pPr>
            <w:r w:rsidRPr="00884529">
              <w:rPr>
                <w:rFonts w:ascii="Times New Roman" w:hAnsi="Times New Roman" w:cs="Times New Roman"/>
                <w:color w:val="000000" w:themeColor="text1"/>
                <w:sz w:val="24"/>
                <w:szCs w:val="24"/>
              </w:rPr>
              <w:t>Nav.</w:t>
            </w:r>
          </w:p>
        </w:tc>
      </w:tr>
      <w:tr w:rsidR="00EF5D00" w:rsidRPr="00884529" w:rsidTr="009D5D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jc w:val="center"/>
        </w:trPr>
        <w:tc>
          <w:tcPr>
            <w:tcW w:w="9535" w:type="dxa"/>
            <w:gridSpan w:val="11"/>
            <w:tcBorders>
              <w:top w:val="single" w:sz="4" w:space="0" w:color="auto"/>
              <w:left w:val="nil"/>
              <w:bottom w:val="nil"/>
              <w:right w:val="nil"/>
            </w:tcBorders>
          </w:tcPr>
          <w:p w:rsidR="00EF5D00" w:rsidRPr="000D3F25" w:rsidRDefault="00EF5D00" w:rsidP="001F382A">
            <w:pPr>
              <w:spacing w:after="0" w:line="240" w:lineRule="auto"/>
              <w:ind w:left="57"/>
              <w:jc w:val="both"/>
              <w:rPr>
                <w:rFonts w:ascii="Times New Roman" w:hAnsi="Times New Roman" w:cs="Times New Roman"/>
                <w:color w:val="000000" w:themeColor="text1"/>
                <w:sz w:val="16"/>
                <w:szCs w:val="16"/>
              </w:rPr>
            </w:pPr>
          </w:p>
        </w:tc>
      </w:tr>
      <w:tr w:rsidR="00EF5D00" w:rsidRPr="00884529" w:rsidTr="00EF5D00">
        <w:trPr>
          <w:gridBefore w:val="1"/>
          <w:gridAfter w:val="1"/>
          <w:wBefore w:w="9" w:type="dxa"/>
          <w:wAfter w:w="6" w:type="dxa"/>
          <w:trHeight w:val="381"/>
          <w:jc w:val="center"/>
        </w:trPr>
        <w:tc>
          <w:tcPr>
            <w:tcW w:w="9520" w:type="dxa"/>
            <w:gridSpan w:val="9"/>
            <w:vAlign w:val="center"/>
          </w:tcPr>
          <w:p w:rsidR="00EF5D00" w:rsidRPr="00884529" w:rsidRDefault="00EF5D00" w:rsidP="007F474C">
            <w:pPr>
              <w:pStyle w:val="naisnod"/>
              <w:spacing w:before="0" w:beforeAutospacing="0" w:after="0" w:afterAutospacing="0"/>
              <w:ind w:left="57" w:right="57"/>
              <w:jc w:val="center"/>
            </w:pPr>
            <w:r w:rsidRPr="00884529">
              <w:rPr>
                <w:b/>
              </w:rPr>
              <w:t>VII. Tiesību akta projekta izpildes nodrošināšana un tās ietekme uz institūcijām</w:t>
            </w:r>
          </w:p>
        </w:tc>
      </w:tr>
      <w:tr w:rsidR="00EF5D00" w:rsidRPr="00884529" w:rsidTr="00EF5D00">
        <w:trPr>
          <w:gridBefore w:val="1"/>
          <w:gridAfter w:val="1"/>
          <w:wBefore w:w="9" w:type="dxa"/>
          <w:wAfter w:w="6" w:type="dxa"/>
          <w:trHeight w:val="427"/>
          <w:jc w:val="center"/>
        </w:trPr>
        <w:tc>
          <w:tcPr>
            <w:tcW w:w="405" w:type="dxa"/>
          </w:tcPr>
          <w:p w:rsidR="00EF5D00" w:rsidRPr="00884529" w:rsidRDefault="00EF5D00" w:rsidP="007F474C">
            <w:pPr>
              <w:pStyle w:val="naisnod"/>
              <w:spacing w:before="0" w:beforeAutospacing="0" w:after="0" w:afterAutospacing="0"/>
              <w:ind w:left="57" w:right="57"/>
              <w:jc w:val="both"/>
            </w:pPr>
            <w:r w:rsidRPr="00884529">
              <w:t>1.</w:t>
            </w:r>
          </w:p>
        </w:tc>
        <w:tc>
          <w:tcPr>
            <w:tcW w:w="3072" w:type="dxa"/>
            <w:gridSpan w:val="4"/>
          </w:tcPr>
          <w:p w:rsidR="00EF5D00" w:rsidRPr="00884529" w:rsidRDefault="00EF5D00" w:rsidP="007F474C">
            <w:pPr>
              <w:pStyle w:val="naisf"/>
              <w:spacing w:before="0" w:beforeAutospacing="0" w:after="0" w:afterAutospacing="0"/>
              <w:ind w:left="57" w:right="57"/>
            </w:pPr>
            <w:r w:rsidRPr="00884529">
              <w:t>Projekta izpildē iesaistītās institūcijas</w:t>
            </w:r>
          </w:p>
        </w:tc>
        <w:tc>
          <w:tcPr>
            <w:tcW w:w="6043" w:type="dxa"/>
            <w:gridSpan w:val="4"/>
          </w:tcPr>
          <w:p w:rsidR="00EF5D00" w:rsidRPr="00884529" w:rsidRDefault="00EF5D00" w:rsidP="000139DF">
            <w:pPr>
              <w:shd w:val="clear" w:color="auto" w:fill="FFFFFF"/>
              <w:spacing w:after="0" w:line="240" w:lineRule="auto"/>
              <w:jc w:val="both"/>
              <w:rPr>
                <w:rFonts w:ascii="Times New Roman" w:hAnsi="Times New Roman" w:cs="Times New Roman"/>
                <w:sz w:val="24"/>
                <w:szCs w:val="24"/>
                <w:lang w:eastAsia="lv-LV"/>
              </w:rPr>
            </w:pPr>
            <w:bookmarkStart w:id="5" w:name="p66"/>
            <w:bookmarkStart w:id="6" w:name="p67"/>
            <w:bookmarkStart w:id="7" w:name="p68"/>
            <w:bookmarkStart w:id="8" w:name="p69"/>
            <w:bookmarkEnd w:id="5"/>
            <w:bookmarkEnd w:id="6"/>
            <w:bookmarkEnd w:id="7"/>
            <w:bookmarkEnd w:id="8"/>
            <w:r w:rsidRPr="00884529">
              <w:rPr>
                <w:rFonts w:ascii="Times New Roman" w:hAnsi="Times New Roman" w:cs="Times New Roman"/>
                <w:sz w:val="24"/>
                <w:szCs w:val="24"/>
              </w:rPr>
              <w:t xml:space="preserve">Aizsardzības ministrija, Iekšlietu ministrija, Vides aizsardzības un reģionālās attīstības ministrija, </w:t>
            </w:r>
            <w:r w:rsidR="00B519EB">
              <w:rPr>
                <w:rFonts w:ascii="Times New Roman" w:hAnsi="Times New Roman" w:cs="Times New Roman"/>
                <w:sz w:val="24"/>
                <w:szCs w:val="24"/>
              </w:rPr>
              <w:t xml:space="preserve">Satiksmes ministrija, </w:t>
            </w:r>
            <w:r w:rsidRPr="00884529">
              <w:rPr>
                <w:rFonts w:ascii="Times New Roman" w:hAnsi="Times New Roman" w:cs="Times New Roman"/>
                <w:sz w:val="24"/>
                <w:szCs w:val="24"/>
              </w:rPr>
              <w:t>Ventspils pilsētas dome, Liepājas pilsētas dome, SIA „Ventspils lidosta”, SIA „</w:t>
            </w:r>
            <w:proofErr w:type="spellStart"/>
            <w:r w:rsidRPr="00884529">
              <w:rPr>
                <w:rFonts w:ascii="Times New Roman" w:hAnsi="Times New Roman" w:cs="Times New Roman"/>
                <w:sz w:val="24"/>
                <w:szCs w:val="24"/>
              </w:rPr>
              <w:t>Aviasabiedrība</w:t>
            </w:r>
            <w:proofErr w:type="spellEnd"/>
            <w:r w:rsidRPr="00884529">
              <w:rPr>
                <w:rFonts w:ascii="Times New Roman" w:hAnsi="Times New Roman" w:cs="Times New Roman"/>
                <w:sz w:val="24"/>
                <w:szCs w:val="24"/>
              </w:rPr>
              <w:t xml:space="preserve"> „Liepāja””.</w:t>
            </w:r>
          </w:p>
        </w:tc>
      </w:tr>
      <w:tr w:rsidR="00EF5D00" w:rsidRPr="00884529" w:rsidTr="00EF5D00">
        <w:trPr>
          <w:gridBefore w:val="1"/>
          <w:gridAfter w:val="1"/>
          <w:wBefore w:w="9" w:type="dxa"/>
          <w:wAfter w:w="6" w:type="dxa"/>
          <w:trHeight w:val="463"/>
          <w:jc w:val="center"/>
        </w:trPr>
        <w:tc>
          <w:tcPr>
            <w:tcW w:w="405" w:type="dxa"/>
          </w:tcPr>
          <w:p w:rsidR="00EF5D00" w:rsidRPr="00884529" w:rsidRDefault="00EF5D00" w:rsidP="007F474C">
            <w:pPr>
              <w:pStyle w:val="naisnod"/>
              <w:spacing w:before="0" w:beforeAutospacing="0" w:after="0" w:afterAutospacing="0"/>
              <w:ind w:left="57" w:right="57"/>
              <w:jc w:val="both"/>
            </w:pPr>
            <w:r w:rsidRPr="00884529">
              <w:t>2.</w:t>
            </w:r>
          </w:p>
        </w:tc>
        <w:tc>
          <w:tcPr>
            <w:tcW w:w="3072" w:type="dxa"/>
            <w:gridSpan w:val="4"/>
          </w:tcPr>
          <w:p w:rsidR="00EF5D00" w:rsidRPr="00884529" w:rsidRDefault="00EF5D00" w:rsidP="007F474C">
            <w:pPr>
              <w:pStyle w:val="naisf"/>
              <w:spacing w:before="0" w:beforeAutospacing="0" w:after="0" w:afterAutospacing="0"/>
              <w:ind w:left="57" w:right="57"/>
            </w:pPr>
            <w:r w:rsidRPr="00884529">
              <w:t>Projekta izpildes ietekme uz pārvaldes funkcijām un institucionālo struktūru.</w:t>
            </w:r>
          </w:p>
          <w:p w:rsidR="00EF5D00" w:rsidRPr="00884529" w:rsidRDefault="00EF5D00" w:rsidP="007F474C">
            <w:pPr>
              <w:pStyle w:val="naisf"/>
              <w:spacing w:before="0" w:beforeAutospacing="0" w:after="0" w:afterAutospacing="0"/>
              <w:ind w:left="57" w:right="57"/>
            </w:pPr>
            <w:r w:rsidRPr="00884529">
              <w:t>Jaunu institūciju izveide, esošu institūciju likvidācija vai reorganizācija, to ietekme uz institūcijas cilvēkresursiem</w:t>
            </w:r>
          </w:p>
        </w:tc>
        <w:tc>
          <w:tcPr>
            <w:tcW w:w="6043" w:type="dxa"/>
            <w:gridSpan w:val="4"/>
          </w:tcPr>
          <w:p w:rsidR="00EF5D00" w:rsidRPr="00884529" w:rsidRDefault="00EF5D00" w:rsidP="00EF2614">
            <w:pPr>
              <w:pStyle w:val="naiskr"/>
              <w:spacing w:before="0" w:beforeAutospacing="0" w:after="0" w:afterAutospacing="0"/>
              <w:ind w:right="113"/>
              <w:jc w:val="both"/>
            </w:pPr>
            <w:r w:rsidRPr="00884529">
              <w:t xml:space="preserve">Projekts šo jomu neskar. Gan ministrijās, gan pašvaldībās, gan lidostu administrācijās ir personāls, kas ikdienā nodarbojas ar  līgumu sagatavošanu un slēgšanu, izpildīto darbu uzraudzību un grāmatvedības funkciju veikšanu. Līdz ar to noteikumu projektā paredzēto funkciju izpildi nodrošinās esošais personāls. </w:t>
            </w:r>
          </w:p>
        </w:tc>
      </w:tr>
      <w:tr w:rsidR="00EF5D00" w:rsidRPr="00884529" w:rsidTr="00EF5D00">
        <w:trPr>
          <w:gridBefore w:val="1"/>
          <w:gridAfter w:val="1"/>
          <w:wBefore w:w="9" w:type="dxa"/>
          <w:wAfter w:w="6" w:type="dxa"/>
          <w:trHeight w:val="213"/>
          <w:jc w:val="center"/>
        </w:trPr>
        <w:tc>
          <w:tcPr>
            <w:tcW w:w="405" w:type="dxa"/>
            <w:tcBorders>
              <w:top w:val="single" w:sz="4" w:space="0" w:color="auto"/>
              <w:left w:val="single" w:sz="4" w:space="0" w:color="auto"/>
              <w:bottom w:val="single" w:sz="4" w:space="0" w:color="auto"/>
              <w:right w:val="single" w:sz="4" w:space="0" w:color="auto"/>
            </w:tcBorders>
          </w:tcPr>
          <w:p w:rsidR="00EF5D00" w:rsidRPr="00884529" w:rsidRDefault="00EF5D00" w:rsidP="007F474C">
            <w:pPr>
              <w:pStyle w:val="naisnod"/>
              <w:spacing w:before="0" w:beforeAutospacing="0" w:after="0" w:afterAutospacing="0"/>
              <w:ind w:left="57" w:right="57"/>
              <w:jc w:val="both"/>
            </w:pPr>
            <w:r w:rsidRPr="00884529">
              <w:t>3.</w:t>
            </w:r>
          </w:p>
        </w:tc>
        <w:tc>
          <w:tcPr>
            <w:tcW w:w="3072" w:type="dxa"/>
            <w:gridSpan w:val="4"/>
            <w:tcBorders>
              <w:top w:val="single" w:sz="4" w:space="0" w:color="auto"/>
              <w:left w:val="single" w:sz="4" w:space="0" w:color="auto"/>
              <w:bottom w:val="single" w:sz="4" w:space="0" w:color="auto"/>
              <w:right w:val="single" w:sz="4" w:space="0" w:color="auto"/>
            </w:tcBorders>
          </w:tcPr>
          <w:p w:rsidR="00EF5D00" w:rsidRPr="00884529" w:rsidRDefault="00EF5D00" w:rsidP="007F474C">
            <w:pPr>
              <w:pStyle w:val="naisf"/>
              <w:spacing w:before="0" w:beforeAutospacing="0" w:after="0" w:afterAutospacing="0"/>
              <w:ind w:left="57" w:right="57"/>
            </w:pPr>
            <w:r w:rsidRPr="00884529">
              <w:t>Cita informācija</w:t>
            </w:r>
          </w:p>
        </w:tc>
        <w:tc>
          <w:tcPr>
            <w:tcW w:w="6043" w:type="dxa"/>
            <w:gridSpan w:val="4"/>
            <w:tcBorders>
              <w:top w:val="single" w:sz="4" w:space="0" w:color="auto"/>
              <w:left w:val="single" w:sz="4" w:space="0" w:color="auto"/>
              <w:bottom w:val="single" w:sz="4" w:space="0" w:color="auto"/>
              <w:right w:val="single" w:sz="4" w:space="0" w:color="auto"/>
            </w:tcBorders>
          </w:tcPr>
          <w:p w:rsidR="00EF5D00" w:rsidRPr="00884529" w:rsidRDefault="00EF5D00" w:rsidP="007F474C">
            <w:pPr>
              <w:spacing w:after="0" w:line="240" w:lineRule="auto"/>
              <w:ind w:left="57" w:right="57"/>
              <w:jc w:val="both"/>
              <w:rPr>
                <w:rFonts w:ascii="Times New Roman" w:hAnsi="Times New Roman" w:cs="Times New Roman"/>
                <w:sz w:val="24"/>
                <w:szCs w:val="24"/>
                <w:lang w:eastAsia="lv-LV"/>
              </w:rPr>
            </w:pPr>
            <w:r w:rsidRPr="00884529">
              <w:rPr>
                <w:rFonts w:ascii="Times New Roman" w:hAnsi="Times New Roman" w:cs="Times New Roman"/>
                <w:sz w:val="24"/>
                <w:szCs w:val="24"/>
                <w:lang w:eastAsia="lv-LV"/>
              </w:rPr>
              <w:t>Nav.</w:t>
            </w:r>
          </w:p>
        </w:tc>
      </w:tr>
    </w:tbl>
    <w:p w:rsidR="0067673D" w:rsidRPr="00884529" w:rsidRDefault="0067673D" w:rsidP="00BB5A47">
      <w:pPr>
        <w:spacing w:after="0" w:line="240" w:lineRule="auto"/>
        <w:rPr>
          <w:rFonts w:ascii="Times New Roman" w:hAnsi="Times New Roman" w:cs="Times New Roman"/>
          <w:sz w:val="24"/>
          <w:szCs w:val="24"/>
        </w:rPr>
      </w:pPr>
    </w:p>
    <w:p w:rsidR="00852089" w:rsidRPr="00884529" w:rsidRDefault="00852089" w:rsidP="00852089">
      <w:pPr>
        <w:spacing w:line="240" w:lineRule="auto"/>
        <w:rPr>
          <w:rFonts w:ascii="Times New Roman" w:eastAsia="Times New Roman" w:hAnsi="Times New Roman" w:cs="Times New Roman"/>
          <w:sz w:val="24"/>
          <w:szCs w:val="24"/>
          <w:lang w:eastAsia="lv-LV"/>
        </w:rPr>
      </w:pPr>
      <w:r w:rsidRPr="00884529">
        <w:rPr>
          <w:rFonts w:ascii="Times New Roman" w:eastAsia="Times New Roman" w:hAnsi="Times New Roman" w:cs="Times New Roman"/>
          <w:sz w:val="24"/>
          <w:szCs w:val="24"/>
          <w:lang w:eastAsia="lv-LV"/>
        </w:rPr>
        <w:t>Anotācijas III, IV</w:t>
      </w:r>
      <w:r w:rsidR="00460C2B" w:rsidRPr="00884529">
        <w:rPr>
          <w:rFonts w:ascii="Times New Roman" w:eastAsia="Times New Roman" w:hAnsi="Times New Roman" w:cs="Times New Roman"/>
          <w:sz w:val="24"/>
          <w:szCs w:val="24"/>
          <w:lang w:eastAsia="lv-LV"/>
        </w:rPr>
        <w:t xml:space="preserve"> un </w:t>
      </w:r>
      <w:r w:rsidR="00481444" w:rsidRPr="00884529">
        <w:rPr>
          <w:rFonts w:ascii="Times New Roman" w:eastAsia="Times New Roman" w:hAnsi="Times New Roman" w:cs="Times New Roman"/>
          <w:sz w:val="24"/>
          <w:szCs w:val="24"/>
          <w:lang w:eastAsia="lv-LV"/>
        </w:rPr>
        <w:t>V</w:t>
      </w:r>
      <w:r w:rsidRPr="00884529">
        <w:rPr>
          <w:rFonts w:ascii="Times New Roman" w:eastAsia="Times New Roman" w:hAnsi="Times New Roman" w:cs="Times New Roman"/>
          <w:sz w:val="24"/>
          <w:szCs w:val="24"/>
          <w:lang w:eastAsia="lv-LV"/>
        </w:rPr>
        <w:t xml:space="preserve"> sadaļa</w:t>
      </w:r>
      <w:r w:rsidR="001C1A15" w:rsidRPr="00884529">
        <w:rPr>
          <w:rFonts w:ascii="Times New Roman" w:eastAsia="Times New Roman" w:hAnsi="Times New Roman" w:cs="Times New Roman"/>
          <w:sz w:val="24"/>
          <w:szCs w:val="24"/>
          <w:lang w:eastAsia="lv-LV"/>
        </w:rPr>
        <w:t>s 2.tabula</w:t>
      </w:r>
      <w:r w:rsidRPr="00884529">
        <w:rPr>
          <w:rFonts w:ascii="Times New Roman" w:eastAsia="Times New Roman" w:hAnsi="Times New Roman" w:cs="Times New Roman"/>
          <w:sz w:val="24"/>
          <w:szCs w:val="24"/>
          <w:lang w:eastAsia="lv-LV"/>
        </w:rPr>
        <w:t xml:space="preserve"> </w:t>
      </w:r>
      <w:r w:rsidR="00EE5508" w:rsidRPr="00884529">
        <w:rPr>
          <w:rFonts w:ascii="Times New Roman" w:eastAsia="Times New Roman" w:hAnsi="Times New Roman" w:cs="Times New Roman"/>
          <w:sz w:val="24"/>
          <w:szCs w:val="24"/>
          <w:lang w:eastAsia="lv-LV"/>
        </w:rPr>
        <w:t xml:space="preserve"> </w:t>
      </w:r>
      <w:r w:rsidRPr="00884529">
        <w:rPr>
          <w:rFonts w:ascii="Times New Roman" w:eastAsia="Times New Roman" w:hAnsi="Times New Roman" w:cs="Times New Roman"/>
          <w:sz w:val="24"/>
          <w:szCs w:val="24"/>
          <w:lang w:eastAsia="lv-LV"/>
        </w:rPr>
        <w:t xml:space="preserve">– projekts šīs jomas neskar. </w:t>
      </w:r>
    </w:p>
    <w:p w:rsidR="00BB5A47" w:rsidRPr="00884529" w:rsidRDefault="00BB5A47" w:rsidP="00BB5A47">
      <w:pPr>
        <w:spacing w:after="0" w:line="240" w:lineRule="auto"/>
        <w:rPr>
          <w:rFonts w:ascii="Times New Roman" w:hAnsi="Times New Roman" w:cs="Times New Roman"/>
          <w:sz w:val="24"/>
          <w:szCs w:val="24"/>
        </w:rPr>
      </w:pPr>
    </w:p>
    <w:p w:rsidR="00BB5A47" w:rsidRPr="00884529" w:rsidRDefault="00BB5A47" w:rsidP="0061007C">
      <w:pPr>
        <w:pStyle w:val="Signature"/>
        <w:widowControl/>
        <w:tabs>
          <w:tab w:val="left" w:pos="7371"/>
        </w:tabs>
        <w:spacing w:before="0"/>
        <w:rPr>
          <w:color w:val="000000"/>
        </w:rPr>
      </w:pPr>
      <w:r w:rsidRPr="00884529">
        <w:rPr>
          <w:color w:val="000000"/>
        </w:rPr>
        <w:t>Satiksmes ministrs</w:t>
      </w:r>
      <w:r w:rsidR="0061007C" w:rsidRPr="00884529">
        <w:rPr>
          <w:color w:val="000000"/>
        </w:rPr>
        <w:tab/>
      </w:r>
      <w:r w:rsidRPr="00884529">
        <w:rPr>
          <w:color w:val="000000"/>
        </w:rPr>
        <w:t>A.Matīss</w:t>
      </w:r>
    </w:p>
    <w:p w:rsidR="00BB5A47" w:rsidRPr="00884529" w:rsidRDefault="00BB5A47" w:rsidP="00BB5A47">
      <w:pPr>
        <w:tabs>
          <w:tab w:val="left" w:pos="6480"/>
        </w:tabs>
        <w:spacing w:after="0" w:line="240" w:lineRule="auto"/>
        <w:ind w:firstLine="720"/>
        <w:jc w:val="both"/>
        <w:rPr>
          <w:rFonts w:ascii="Times New Roman" w:hAnsi="Times New Roman" w:cs="Times New Roman"/>
          <w:color w:val="000000"/>
          <w:sz w:val="24"/>
          <w:szCs w:val="24"/>
        </w:rPr>
      </w:pPr>
    </w:p>
    <w:p w:rsidR="00BB5A47" w:rsidRPr="00884529" w:rsidRDefault="00BB5A47" w:rsidP="00BB5A47">
      <w:pPr>
        <w:tabs>
          <w:tab w:val="left" w:pos="6480"/>
        </w:tabs>
        <w:spacing w:after="0" w:line="240" w:lineRule="auto"/>
        <w:jc w:val="both"/>
        <w:rPr>
          <w:rFonts w:ascii="Times New Roman" w:hAnsi="Times New Roman" w:cs="Times New Roman"/>
          <w:color w:val="000000"/>
          <w:sz w:val="24"/>
          <w:szCs w:val="24"/>
        </w:rPr>
      </w:pPr>
    </w:p>
    <w:p w:rsidR="00BB5A47" w:rsidRPr="00884529" w:rsidRDefault="00BB5A47" w:rsidP="0061007C">
      <w:pPr>
        <w:tabs>
          <w:tab w:val="left" w:pos="7371"/>
        </w:tabs>
        <w:spacing w:after="0" w:line="240" w:lineRule="auto"/>
        <w:ind w:firstLine="720"/>
        <w:jc w:val="both"/>
        <w:rPr>
          <w:rFonts w:ascii="Times New Roman" w:hAnsi="Times New Roman" w:cs="Times New Roman"/>
          <w:color w:val="000000"/>
          <w:sz w:val="24"/>
          <w:szCs w:val="24"/>
        </w:rPr>
      </w:pPr>
      <w:r w:rsidRPr="00884529">
        <w:rPr>
          <w:rFonts w:ascii="Times New Roman" w:hAnsi="Times New Roman" w:cs="Times New Roman"/>
          <w:color w:val="000000"/>
          <w:sz w:val="24"/>
          <w:szCs w:val="24"/>
        </w:rPr>
        <w:t xml:space="preserve">Vīza: </w:t>
      </w:r>
      <w:r w:rsidR="00FF630A" w:rsidRPr="00884529">
        <w:rPr>
          <w:rFonts w:ascii="Times New Roman" w:hAnsi="Times New Roman" w:cs="Times New Roman"/>
          <w:color w:val="000000"/>
          <w:sz w:val="24"/>
          <w:szCs w:val="24"/>
        </w:rPr>
        <w:t xml:space="preserve">valsts </w:t>
      </w:r>
      <w:r w:rsidRPr="00884529">
        <w:rPr>
          <w:rFonts w:ascii="Times New Roman" w:hAnsi="Times New Roman" w:cs="Times New Roman"/>
          <w:color w:val="000000"/>
          <w:sz w:val="24"/>
          <w:szCs w:val="24"/>
        </w:rPr>
        <w:t xml:space="preserve">sekretārs </w:t>
      </w:r>
      <w:r w:rsidRPr="00884529">
        <w:rPr>
          <w:rFonts w:ascii="Times New Roman" w:hAnsi="Times New Roman" w:cs="Times New Roman"/>
          <w:color w:val="000000"/>
          <w:sz w:val="24"/>
          <w:szCs w:val="24"/>
        </w:rPr>
        <w:tab/>
        <w:t>K.Ozoliņš</w:t>
      </w:r>
    </w:p>
    <w:p w:rsidR="00BB5A47" w:rsidRPr="0061007C" w:rsidRDefault="00BB5A47" w:rsidP="00BB5A47">
      <w:pPr>
        <w:pStyle w:val="Header"/>
        <w:tabs>
          <w:tab w:val="left" w:pos="720"/>
        </w:tabs>
        <w:rPr>
          <w:rFonts w:ascii="Times New Roman" w:hAnsi="Times New Roman" w:cs="Times New Roman"/>
          <w:color w:val="000000"/>
          <w:sz w:val="24"/>
          <w:szCs w:val="24"/>
        </w:rPr>
      </w:pPr>
    </w:p>
    <w:p w:rsidR="000D3F25" w:rsidRPr="0061007C" w:rsidRDefault="000D3F25" w:rsidP="00BB5A47">
      <w:pPr>
        <w:pStyle w:val="Header"/>
        <w:tabs>
          <w:tab w:val="left" w:pos="720"/>
        </w:tabs>
        <w:rPr>
          <w:rFonts w:ascii="Times New Roman" w:hAnsi="Times New Roman" w:cs="Times New Roman"/>
          <w:color w:val="000000"/>
          <w:sz w:val="24"/>
          <w:szCs w:val="24"/>
        </w:rPr>
      </w:pPr>
    </w:p>
    <w:p w:rsidR="00520F45" w:rsidRPr="0061007C" w:rsidRDefault="005D270E" w:rsidP="00BB5A47">
      <w:pPr>
        <w:pStyle w:val="Header"/>
        <w:tabs>
          <w:tab w:val="left" w:pos="720"/>
        </w:tabs>
        <w:rPr>
          <w:rFonts w:ascii="Times New Roman" w:hAnsi="Times New Roman" w:cs="Times New Roman"/>
          <w:color w:val="000000"/>
          <w:sz w:val="20"/>
          <w:szCs w:val="20"/>
        </w:rPr>
      </w:pPr>
      <w:r>
        <w:rPr>
          <w:rFonts w:ascii="Times New Roman" w:hAnsi="Times New Roman" w:cs="Times New Roman"/>
          <w:color w:val="000000"/>
          <w:sz w:val="20"/>
          <w:szCs w:val="20"/>
        </w:rPr>
        <w:t>11.06</w:t>
      </w:r>
      <w:r w:rsidR="00BB5A47" w:rsidRPr="0061007C">
        <w:rPr>
          <w:rFonts w:ascii="Times New Roman" w:hAnsi="Times New Roman" w:cs="Times New Roman"/>
          <w:color w:val="000000"/>
          <w:sz w:val="20"/>
          <w:szCs w:val="20"/>
        </w:rPr>
        <w:t>.201</w:t>
      </w:r>
      <w:r w:rsidR="00D26CFD" w:rsidRPr="0061007C">
        <w:rPr>
          <w:rFonts w:ascii="Times New Roman" w:hAnsi="Times New Roman" w:cs="Times New Roman"/>
          <w:color w:val="000000"/>
          <w:sz w:val="20"/>
          <w:szCs w:val="20"/>
        </w:rPr>
        <w:t>5</w:t>
      </w:r>
      <w:r w:rsidR="00BB5A47" w:rsidRPr="0061007C">
        <w:rPr>
          <w:rFonts w:ascii="Times New Roman" w:hAnsi="Times New Roman" w:cs="Times New Roman"/>
          <w:color w:val="000000"/>
          <w:sz w:val="20"/>
          <w:szCs w:val="20"/>
        </w:rPr>
        <w:t>. 13:00</w:t>
      </w:r>
    </w:p>
    <w:p w:rsidR="005202EA" w:rsidRPr="0061007C" w:rsidRDefault="00864D40" w:rsidP="00BB5A47">
      <w:pPr>
        <w:pStyle w:val="Header"/>
        <w:tabs>
          <w:tab w:val="left" w:pos="720"/>
        </w:tabs>
        <w:rPr>
          <w:rFonts w:ascii="Times New Roman" w:hAnsi="Times New Roman" w:cs="Times New Roman"/>
          <w:color w:val="000000"/>
          <w:sz w:val="20"/>
          <w:szCs w:val="20"/>
        </w:rPr>
      </w:pPr>
      <w:r w:rsidRPr="0061007C">
        <w:rPr>
          <w:rFonts w:ascii="Times New Roman" w:hAnsi="Times New Roman" w:cs="Times New Roman"/>
          <w:color w:val="000000"/>
          <w:sz w:val="20"/>
          <w:szCs w:val="20"/>
        </w:rPr>
        <w:t>1</w:t>
      </w:r>
      <w:r w:rsidR="00B65037">
        <w:rPr>
          <w:rFonts w:ascii="Times New Roman" w:hAnsi="Times New Roman" w:cs="Times New Roman"/>
          <w:color w:val="000000"/>
          <w:sz w:val="20"/>
          <w:szCs w:val="20"/>
        </w:rPr>
        <w:t>7</w:t>
      </w:r>
      <w:r w:rsidR="00FB2995">
        <w:rPr>
          <w:rFonts w:ascii="Times New Roman" w:hAnsi="Times New Roman" w:cs="Times New Roman"/>
          <w:color w:val="000000"/>
          <w:sz w:val="20"/>
          <w:szCs w:val="20"/>
        </w:rPr>
        <w:t>6</w:t>
      </w:r>
      <w:r w:rsidR="00AA287E">
        <w:rPr>
          <w:rFonts w:ascii="Times New Roman" w:hAnsi="Times New Roman" w:cs="Times New Roman"/>
          <w:color w:val="000000"/>
          <w:sz w:val="20"/>
          <w:szCs w:val="20"/>
        </w:rPr>
        <w:t>3</w:t>
      </w:r>
    </w:p>
    <w:p w:rsidR="00BB5A47" w:rsidRPr="0061007C" w:rsidRDefault="003F7A40" w:rsidP="00BB5A47">
      <w:pPr>
        <w:pStyle w:val="Header"/>
        <w:tabs>
          <w:tab w:val="left" w:pos="720"/>
        </w:tabs>
        <w:rPr>
          <w:rFonts w:ascii="Times New Roman" w:hAnsi="Times New Roman" w:cs="Times New Roman"/>
          <w:color w:val="000000"/>
          <w:sz w:val="20"/>
          <w:szCs w:val="20"/>
        </w:rPr>
      </w:pPr>
      <w:r w:rsidRPr="0061007C">
        <w:rPr>
          <w:rFonts w:ascii="Times New Roman" w:hAnsi="Times New Roman" w:cs="Times New Roman"/>
          <w:color w:val="000000"/>
          <w:sz w:val="20"/>
          <w:szCs w:val="20"/>
        </w:rPr>
        <w:t>Jansone</w:t>
      </w:r>
      <w:r w:rsidR="00BB5A47" w:rsidRPr="0061007C">
        <w:rPr>
          <w:rFonts w:ascii="Times New Roman" w:hAnsi="Times New Roman" w:cs="Times New Roman"/>
          <w:color w:val="000000"/>
          <w:sz w:val="20"/>
          <w:szCs w:val="20"/>
        </w:rPr>
        <w:t xml:space="preserve"> 670282</w:t>
      </w:r>
      <w:r w:rsidRPr="0061007C">
        <w:rPr>
          <w:rFonts w:ascii="Times New Roman" w:hAnsi="Times New Roman" w:cs="Times New Roman"/>
          <w:color w:val="000000"/>
          <w:sz w:val="20"/>
          <w:szCs w:val="20"/>
        </w:rPr>
        <w:t>58</w:t>
      </w:r>
    </w:p>
    <w:p w:rsidR="00BB5A47" w:rsidRPr="0061007C" w:rsidRDefault="003F7A40" w:rsidP="00BB5A47">
      <w:pPr>
        <w:pStyle w:val="Header"/>
        <w:tabs>
          <w:tab w:val="left" w:pos="720"/>
        </w:tabs>
        <w:rPr>
          <w:rFonts w:ascii="Times New Roman" w:hAnsi="Times New Roman" w:cs="Times New Roman"/>
          <w:color w:val="000000"/>
          <w:sz w:val="20"/>
          <w:szCs w:val="20"/>
        </w:rPr>
      </w:pPr>
      <w:r w:rsidRPr="0061007C">
        <w:rPr>
          <w:rFonts w:ascii="Times New Roman" w:hAnsi="Times New Roman" w:cs="Times New Roman"/>
          <w:color w:val="000000"/>
          <w:sz w:val="20"/>
          <w:szCs w:val="20"/>
        </w:rPr>
        <w:t>zanete.jansone</w:t>
      </w:r>
      <w:r w:rsidR="00BB5A47" w:rsidRPr="0061007C">
        <w:rPr>
          <w:rFonts w:ascii="Times New Roman" w:hAnsi="Times New Roman" w:cs="Times New Roman"/>
          <w:color w:val="000000"/>
          <w:sz w:val="20"/>
          <w:szCs w:val="20"/>
        </w:rPr>
        <w:t>@sam.gov.lv</w:t>
      </w:r>
    </w:p>
    <w:sectPr w:rsidR="00BB5A47" w:rsidRPr="0061007C" w:rsidSect="00EF77C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FF" w:rsidRDefault="007B24FF" w:rsidP="00582255">
      <w:pPr>
        <w:spacing w:after="0" w:line="240" w:lineRule="auto"/>
      </w:pPr>
      <w:r>
        <w:separator/>
      </w:r>
    </w:p>
  </w:endnote>
  <w:endnote w:type="continuationSeparator" w:id="0">
    <w:p w:rsidR="007B24FF" w:rsidRDefault="007B24FF" w:rsidP="0058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4B" w:rsidRPr="0088351C" w:rsidRDefault="00C753CC" w:rsidP="00B57E4B">
    <w:pPr>
      <w:pStyle w:val="Footer"/>
      <w:tabs>
        <w:tab w:val="right" w:pos="8931"/>
      </w:tabs>
      <w:ind w:left="-142" w:right="-1"/>
      <w:jc w:val="both"/>
      <w:rPr>
        <w:rFonts w:ascii="Times New Roman" w:hAnsi="Times New Roman" w:cs="Times New Roman"/>
        <w:sz w:val="20"/>
        <w:szCs w:val="20"/>
      </w:rPr>
    </w:pPr>
    <w:r w:rsidRPr="00C753CC">
      <w:rPr>
        <w:rFonts w:ascii="Times New Roman" w:hAnsi="Times New Roman" w:cs="Times New Roman"/>
        <w:sz w:val="20"/>
        <w:szCs w:val="20"/>
      </w:rPr>
      <w:t>SAMAnot_</w:t>
    </w:r>
    <w:r w:rsidR="005D270E">
      <w:rPr>
        <w:rFonts w:ascii="Times New Roman" w:hAnsi="Times New Roman" w:cs="Times New Roman"/>
        <w:sz w:val="20"/>
        <w:szCs w:val="20"/>
      </w:rPr>
      <w:t>1106</w:t>
    </w:r>
    <w:r w:rsidRPr="00C753CC">
      <w:rPr>
        <w:rFonts w:ascii="Times New Roman" w:hAnsi="Times New Roman" w:cs="Times New Roman"/>
        <w:sz w:val="20"/>
        <w:szCs w:val="20"/>
      </w:rPr>
      <w:t xml:space="preserve">15_sabpak_mil; </w:t>
    </w:r>
    <w:r w:rsidR="00B57E4B" w:rsidRPr="0088351C">
      <w:rPr>
        <w:rFonts w:ascii="Times New Roman" w:hAnsi="Times New Roman" w:cs="Times New Roman"/>
        <w:sz w:val="20"/>
        <w:szCs w:val="20"/>
      </w:rPr>
      <w:t>Ministru kabineta noteikumu projekta</w:t>
    </w:r>
    <w:r w:rsidR="00B57E4B">
      <w:rPr>
        <w:rFonts w:ascii="Times New Roman" w:hAnsi="Times New Roman" w:cs="Times New Roman"/>
        <w:sz w:val="20"/>
        <w:szCs w:val="20"/>
      </w:rPr>
      <w:t xml:space="preserve"> </w:t>
    </w:r>
    <w:r w:rsidR="00B57E4B" w:rsidRPr="0088351C">
      <w:rPr>
        <w:rFonts w:ascii="Times New Roman" w:hAnsi="Times New Roman" w:cs="Times New Roman"/>
        <w:sz w:val="20"/>
        <w:szCs w:val="20"/>
      </w:rPr>
      <w:t>„</w:t>
    </w:r>
    <w:r w:rsidR="00B57E4B" w:rsidRPr="0088351C">
      <w:rPr>
        <w:rFonts w:ascii="Times New Roman" w:hAnsi="Times New Roman" w:cs="Times New Roman"/>
        <w:color w:val="000000"/>
        <w:sz w:val="20"/>
        <w:szCs w:val="20"/>
      </w:rPr>
      <w:t>Sabiedriskas nozīmes pakalpojumu sniegšanas saistību uzlikšanas kārtība v</w:t>
    </w:r>
    <w:r w:rsidR="00B57E4B" w:rsidRPr="0088351C">
      <w:rPr>
        <w:rFonts w:ascii="Times New Roman" w:hAnsi="Times New Roman" w:cs="Times New Roman"/>
        <w:sz w:val="20"/>
        <w:szCs w:val="20"/>
      </w:rPr>
      <w:t>alsts nozīmes civilās aviācijas lidlaukam</w:t>
    </w:r>
    <w:r w:rsidR="00B57E4B" w:rsidRPr="0088351C">
      <w:rPr>
        <w:rFonts w:ascii="Times New Roman" w:hAnsi="Times New Roman" w:cs="Times New Roman"/>
        <w:color w:val="000000"/>
        <w:sz w:val="20"/>
        <w:szCs w:val="20"/>
      </w:rPr>
      <w:t xml:space="preserve">” </w:t>
    </w:r>
    <w:r w:rsidR="00B57E4B" w:rsidRPr="0088351C">
      <w:rPr>
        <w:rFonts w:ascii="Times New Roman" w:hAnsi="Times New Roman" w:cs="Times New Roman"/>
        <w:sz w:val="20"/>
        <w:szCs w:val="20"/>
      </w:rPr>
      <w:t>sākotnējās ietekmes novērtējuma ziņojums (anotācija)</w:t>
    </w:r>
  </w:p>
  <w:p w:rsidR="00582255" w:rsidRPr="00EF77C8" w:rsidRDefault="00582255" w:rsidP="00B57E4B">
    <w:pPr>
      <w:pStyle w:val="Footer"/>
      <w:tabs>
        <w:tab w:val="right" w:pos="8931"/>
      </w:tabs>
      <w:ind w:left="-142" w:right="-1"/>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E4" w:rsidRPr="00C753CC" w:rsidRDefault="00EF77C8" w:rsidP="00C753CC">
    <w:pPr>
      <w:pStyle w:val="Footer"/>
      <w:tabs>
        <w:tab w:val="right" w:pos="8931"/>
      </w:tabs>
      <w:ind w:left="-142" w:right="-1"/>
      <w:jc w:val="both"/>
      <w:rPr>
        <w:b/>
        <w:sz w:val="20"/>
        <w:szCs w:val="20"/>
      </w:rPr>
    </w:pPr>
    <w:r w:rsidRPr="00C753CC">
      <w:rPr>
        <w:rFonts w:ascii="Times New Roman" w:hAnsi="Times New Roman" w:cs="Times New Roman"/>
        <w:sz w:val="20"/>
        <w:szCs w:val="20"/>
      </w:rPr>
      <w:t>SAMAnot_</w:t>
    </w:r>
    <w:r w:rsidR="005D270E">
      <w:rPr>
        <w:rFonts w:ascii="Times New Roman" w:hAnsi="Times New Roman" w:cs="Times New Roman"/>
        <w:sz w:val="20"/>
        <w:szCs w:val="20"/>
      </w:rPr>
      <w:t>1106</w:t>
    </w:r>
    <w:r w:rsidR="00976E1E" w:rsidRPr="00C753CC">
      <w:rPr>
        <w:rFonts w:ascii="Times New Roman" w:hAnsi="Times New Roman" w:cs="Times New Roman"/>
        <w:sz w:val="20"/>
        <w:szCs w:val="20"/>
      </w:rPr>
      <w:t xml:space="preserve">15_sabpak_mil; </w:t>
    </w:r>
    <w:r w:rsidR="005E73E4" w:rsidRPr="00C753CC">
      <w:rPr>
        <w:rFonts w:ascii="Times New Roman" w:hAnsi="Times New Roman" w:cs="Times New Roman"/>
        <w:sz w:val="20"/>
        <w:szCs w:val="20"/>
      </w:rPr>
      <w:t>Ministru kabineta noteikumu projekta „</w:t>
    </w:r>
    <w:r w:rsidR="00C753CC" w:rsidRPr="00C753CC">
      <w:rPr>
        <w:rFonts w:ascii="Times New Roman" w:hAnsi="Times New Roman" w:cs="Times New Roman"/>
        <w:sz w:val="20"/>
        <w:szCs w:val="20"/>
      </w:rPr>
      <w:t xml:space="preserve">Valsts nozīmes civilās aviācijas lidlaukam </w:t>
    </w:r>
    <w:r w:rsidR="00C753CC" w:rsidRPr="00C753CC">
      <w:rPr>
        <w:rFonts w:ascii="Times New Roman" w:hAnsi="Times New Roman" w:cs="Times New Roman"/>
        <w:color w:val="000000"/>
        <w:sz w:val="20"/>
        <w:szCs w:val="20"/>
      </w:rPr>
      <w:t>uzliekamo sabiedriskas nozīmes pakalpojumu sniegšanas saistību kārtība</w:t>
    </w:r>
    <w:r w:rsidR="005E73E4" w:rsidRPr="00C753CC">
      <w:rPr>
        <w:rFonts w:ascii="Times New Roman" w:hAnsi="Times New Roman" w:cs="Times New Roman"/>
        <w:color w:val="000000"/>
        <w:sz w:val="20"/>
        <w:szCs w:val="20"/>
      </w:rPr>
      <w:t>”</w:t>
    </w:r>
    <w:r w:rsidR="00C753CC">
      <w:rPr>
        <w:rFonts w:ascii="Times New Roman" w:hAnsi="Times New Roman" w:cs="Times New Roman"/>
        <w:color w:val="000000"/>
        <w:sz w:val="20"/>
        <w:szCs w:val="20"/>
      </w:rPr>
      <w:t xml:space="preserve"> </w:t>
    </w:r>
    <w:r w:rsidR="005E73E4" w:rsidRPr="00C753CC">
      <w:rPr>
        <w:rFonts w:ascii="Times New Roman" w:hAnsi="Times New Roman" w:cs="Times New Roman"/>
        <w:sz w:val="20"/>
        <w:szCs w:val="20"/>
      </w:rPr>
      <w:t>sākotnējās ietekmes novērtējuma ziņojums (anotācija)</w:t>
    </w:r>
  </w:p>
  <w:p w:rsidR="00976E1E" w:rsidRPr="00EF77C8" w:rsidRDefault="00976E1E" w:rsidP="00EF77C8">
    <w:pPr>
      <w:pStyle w:val="Footer"/>
      <w:tabs>
        <w:tab w:val="clear" w:pos="8306"/>
        <w:tab w:val="right" w:pos="8931"/>
      </w:tabs>
      <w:ind w:left="-142" w:right="-1"/>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FF" w:rsidRDefault="007B24FF" w:rsidP="00582255">
      <w:pPr>
        <w:spacing w:after="0" w:line="240" w:lineRule="auto"/>
      </w:pPr>
      <w:r>
        <w:separator/>
      </w:r>
    </w:p>
  </w:footnote>
  <w:footnote w:type="continuationSeparator" w:id="0">
    <w:p w:rsidR="007B24FF" w:rsidRDefault="007B24FF" w:rsidP="00582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731502"/>
      <w:docPartObj>
        <w:docPartGallery w:val="Page Numbers (Top of Page)"/>
        <w:docPartUnique/>
      </w:docPartObj>
    </w:sdtPr>
    <w:sdtEndPr>
      <w:rPr>
        <w:rFonts w:ascii="Times New Roman" w:hAnsi="Times New Roman" w:cs="Times New Roman"/>
        <w:noProof/>
        <w:sz w:val="24"/>
        <w:szCs w:val="24"/>
      </w:rPr>
    </w:sdtEndPr>
    <w:sdtContent>
      <w:p w:rsidR="007B1E79" w:rsidRPr="005B7E23" w:rsidRDefault="007B1E79">
        <w:pPr>
          <w:pStyle w:val="Header"/>
          <w:jc w:val="center"/>
          <w:rPr>
            <w:rFonts w:ascii="Times New Roman" w:hAnsi="Times New Roman" w:cs="Times New Roman"/>
            <w:sz w:val="24"/>
            <w:szCs w:val="24"/>
          </w:rPr>
        </w:pPr>
        <w:r w:rsidRPr="005B7E23">
          <w:rPr>
            <w:rFonts w:ascii="Times New Roman" w:hAnsi="Times New Roman" w:cs="Times New Roman"/>
            <w:sz w:val="24"/>
            <w:szCs w:val="24"/>
          </w:rPr>
          <w:fldChar w:fldCharType="begin"/>
        </w:r>
        <w:r w:rsidRPr="005B7E23">
          <w:rPr>
            <w:rFonts w:ascii="Times New Roman" w:hAnsi="Times New Roman" w:cs="Times New Roman"/>
            <w:sz w:val="24"/>
            <w:szCs w:val="24"/>
          </w:rPr>
          <w:instrText xml:space="preserve"> PAGE   \* MERGEFORMAT </w:instrText>
        </w:r>
        <w:r w:rsidRPr="005B7E23">
          <w:rPr>
            <w:rFonts w:ascii="Times New Roman" w:hAnsi="Times New Roman" w:cs="Times New Roman"/>
            <w:sz w:val="24"/>
            <w:szCs w:val="24"/>
          </w:rPr>
          <w:fldChar w:fldCharType="separate"/>
        </w:r>
        <w:r w:rsidR="00415D73">
          <w:rPr>
            <w:rFonts w:ascii="Times New Roman" w:hAnsi="Times New Roman" w:cs="Times New Roman"/>
            <w:noProof/>
            <w:sz w:val="24"/>
            <w:szCs w:val="24"/>
          </w:rPr>
          <w:t>6</w:t>
        </w:r>
        <w:r w:rsidRPr="005B7E2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2CF"/>
    <w:multiLevelType w:val="hybridMultilevel"/>
    <w:tmpl w:val="9F32C0D2"/>
    <w:lvl w:ilvl="0" w:tplc="1560769C">
      <w:numFmt w:val="bullet"/>
      <w:lvlText w:val="-"/>
      <w:lvlJc w:val="left"/>
      <w:pPr>
        <w:ind w:left="897" w:hanging="360"/>
      </w:pPr>
      <w:rPr>
        <w:rFonts w:ascii="Times New Roman" w:eastAsia="Times New Roman" w:hAnsi="Times New Roman" w:cs="Times New Roman" w:hint="default"/>
      </w:rPr>
    </w:lvl>
    <w:lvl w:ilvl="1" w:tplc="04260003" w:tentative="1">
      <w:start w:val="1"/>
      <w:numFmt w:val="bullet"/>
      <w:lvlText w:val="o"/>
      <w:lvlJc w:val="left"/>
      <w:pPr>
        <w:ind w:left="1617" w:hanging="360"/>
      </w:pPr>
      <w:rPr>
        <w:rFonts w:ascii="Courier New" w:hAnsi="Courier New" w:cs="Courier New" w:hint="default"/>
      </w:rPr>
    </w:lvl>
    <w:lvl w:ilvl="2" w:tplc="04260005" w:tentative="1">
      <w:start w:val="1"/>
      <w:numFmt w:val="bullet"/>
      <w:lvlText w:val=""/>
      <w:lvlJc w:val="left"/>
      <w:pPr>
        <w:ind w:left="2337" w:hanging="360"/>
      </w:pPr>
      <w:rPr>
        <w:rFonts w:ascii="Wingdings" w:hAnsi="Wingdings" w:hint="default"/>
      </w:rPr>
    </w:lvl>
    <w:lvl w:ilvl="3" w:tplc="04260001" w:tentative="1">
      <w:start w:val="1"/>
      <w:numFmt w:val="bullet"/>
      <w:lvlText w:val=""/>
      <w:lvlJc w:val="left"/>
      <w:pPr>
        <w:ind w:left="3057" w:hanging="360"/>
      </w:pPr>
      <w:rPr>
        <w:rFonts w:ascii="Symbol" w:hAnsi="Symbol" w:hint="default"/>
      </w:rPr>
    </w:lvl>
    <w:lvl w:ilvl="4" w:tplc="04260003" w:tentative="1">
      <w:start w:val="1"/>
      <w:numFmt w:val="bullet"/>
      <w:lvlText w:val="o"/>
      <w:lvlJc w:val="left"/>
      <w:pPr>
        <w:ind w:left="3777" w:hanging="360"/>
      </w:pPr>
      <w:rPr>
        <w:rFonts w:ascii="Courier New" w:hAnsi="Courier New" w:cs="Courier New" w:hint="default"/>
      </w:rPr>
    </w:lvl>
    <w:lvl w:ilvl="5" w:tplc="04260005" w:tentative="1">
      <w:start w:val="1"/>
      <w:numFmt w:val="bullet"/>
      <w:lvlText w:val=""/>
      <w:lvlJc w:val="left"/>
      <w:pPr>
        <w:ind w:left="4497" w:hanging="360"/>
      </w:pPr>
      <w:rPr>
        <w:rFonts w:ascii="Wingdings" w:hAnsi="Wingdings" w:hint="default"/>
      </w:rPr>
    </w:lvl>
    <w:lvl w:ilvl="6" w:tplc="04260001" w:tentative="1">
      <w:start w:val="1"/>
      <w:numFmt w:val="bullet"/>
      <w:lvlText w:val=""/>
      <w:lvlJc w:val="left"/>
      <w:pPr>
        <w:ind w:left="5217" w:hanging="360"/>
      </w:pPr>
      <w:rPr>
        <w:rFonts w:ascii="Symbol" w:hAnsi="Symbol" w:hint="default"/>
      </w:rPr>
    </w:lvl>
    <w:lvl w:ilvl="7" w:tplc="04260003" w:tentative="1">
      <w:start w:val="1"/>
      <w:numFmt w:val="bullet"/>
      <w:lvlText w:val="o"/>
      <w:lvlJc w:val="left"/>
      <w:pPr>
        <w:ind w:left="5937" w:hanging="360"/>
      </w:pPr>
      <w:rPr>
        <w:rFonts w:ascii="Courier New" w:hAnsi="Courier New" w:cs="Courier New" w:hint="default"/>
      </w:rPr>
    </w:lvl>
    <w:lvl w:ilvl="8" w:tplc="04260005" w:tentative="1">
      <w:start w:val="1"/>
      <w:numFmt w:val="bullet"/>
      <w:lvlText w:val=""/>
      <w:lvlJc w:val="left"/>
      <w:pPr>
        <w:ind w:left="6657" w:hanging="360"/>
      </w:pPr>
      <w:rPr>
        <w:rFonts w:ascii="Wingdings" w:hAnsi="Wingdings" w:hint="default"/>
      </w:rPr>
    </w:lvl>
  </w:abstractNum>
  <w:abstractNum w:abstractNumId="1">
    <w:nsid w:val="23E40C27"/>
    <w:multiLevelType w:val="hybridMultilevel"/>
    <w:tmpl w:val="17A0DB90"/>
    <w:lvl w:ilvl="0" w:tplc="B1D84330">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0F27C86"/>
    <w:multiLevelType w:val="hybridMultilevel"/>
    <w:tmpl w:val="DA489772"/>
    <w:lvl w:ilvl="0" w:tplc="DF5ED6D2">
      <w:start w:val="1"/>
      <w:numFmt w:val="bullet"/>
      <w:lvlText w:val="-"/>
      <w:lvlJc w:val="left"/>
      <w:pPr>
        <w:ind w:left="897" w:hanging="360"/>
      </w:pPr>
      <w:rPr>
        <w:rFonts w:ascii="Times New Roman" w:eastAsia="Times New Roman" w:hAnsi="Times New Roman" w:cs="Times New Roman" w:hint="default"/>
        <w:color w:val="000000"/>
      </w:rPr>
    </w:lvl>
    <w:lvl w:ilvl="1" w:tplc="04260003" w:tentative="1">
      <w:start w:val="1"/>
      <w:numFmt w:val="bullet"/>
      <w:lvlText w:val="o"/>
      <w:lvlJc w:val="left"/>
      <w:pPr>
        <w:ind w:left="1617" w:hanging="360"/>
      </w:pPr>
      <w:rPr>
        <w:rFonts w:ascii="Courier New" w:hAnsi="Courier New" w:cs="Courier New" w:hint="default"/>
      </w:rPr>
    </w:lvl>
    <w:lvl w:ilvl="2" w:tplc="04260005" w:tentative="1">
      <w:start w:val="1"/>
      <w:numFmt w:val="bullet"/>
      <w:lvlText w:val=""/>
      <w:lvlJc w:val="left"/>
      <w:pPr>
        <w:ind w:left="2337" w:hanging="360"/>
      </w:pPr>
      <w:rPr>
        <w:rFonts w:ascii="Wingdings" w:hAnsi="Wingdings" w:hint="default"/>
      </w:rPr>
    </w:lvl>
    <w:lvl w:ilvl="3" w:tplc="04260001" w:tentative="1">
      <w:start w:val="1"/>
      <w:numFmt w:val="bullet"/>
      <w:lvlText w:val=""/>
      <w:lvlJc w:val="left"/>
      <w:pPr>
        <w:ind w:left="3057" w:hanging="360"/>
      </w:pPr>
      <w:rPr>
        <w:rFonts w:ascii="Symbol" w:hAnsi="Symbol" w:hint="default"/>
      </w:rPr>
    </w:lvl>
    <w:lvl w:ilvl="4" w:tplc="04260003" w:tentative="1">
      <w:start w:val="1"/>
      <w:numFmt w:val="bullet"/>
      <w:lvlText w:val="o"/>
      <w:lvlJc w:val="left"/>
      <w:pPr>
        <w:ind w:left="3777" w:hanging="360"/>
      </w:pPr>
      <w:rPr>
        <w:rFonts w:ascii="Courier New" w:hAnsi="Courier New" w:cs="Courier New" w:hint="default"/>
      </w:rPr>
    </w:lvl>
    <w:lvl w:ilvl="5" w:tplc="04260005" w:tentative="1">
      <w:start w:val="1"/>
      <w:numFmt w:val="bullet"/>
      <w:lvlText w:val=""/>
      <w:lvlJc w:val="left"/>
      <w:pPr>
        <w:ind w:left="4497" w:hanging="360"/>
      </w:pPr>
      <w:rPr>
        <w:rFonts w:ascii="Wingdings" w:hAnsi="Wingdings" w:hint="default"/>
      </w:rPr>
    </w:lvl>
    <w:lvl w:ilvl="6" w:tplc="04260001" w:tentative="1">
      <w:start w:val="1"/>
      <w:numFmt w:val="bullet"/>
      <w:lvlText w:val=""/>
      <w:lvlJc w:val="left"/>
      <w:pPr>
        <w:ind w:left="5217" w:hanging="360"/>
      </w:pPr>
      <w:rPr>
        <w:rFonts w:ascii="Symbol" w:hAnsi="Symbol" w:hint="default"/>
      </w:rPr>
    </w:lvl>
    <w:lvl w:ilvl="7" w:tplc="04260003" w:tentative="1">
      <w:start w:val="1"/>
      <w:numFmt w:val="bullet"/>
      <w:lvlText w:val="o"/>
      <w:lvlJc w:val="left"/>
      <w:pPr>
        <w:ind w:left="5937" w:hanging="360"/>
      </w:pPr>
      <w:rPr>
        <w:rFonts w:ascii="Courier New" w:hAnsi="Courier New" w:cs="Courier New" w:hint="default"/>
      </w:rPr>
    </w:lvl>
    <w:lvl w:ilvl="8" w:tplc="04260005" w:tentative="1">
      <w:start w:val="1"/>
      <w:numFmt w:val="bullet"/>
      <w:lvlText w:val=""/>
      <w:lvlJc w:val="left"/>
      <w:pPr>
        <w:ind w:left="6657" w:hanging="360"/>
      </w:pPr>
      <w:rPr>
        <w:rFonts w:ascii="Wingdings" w:hAnsi="Wingdings" w:hint="default"/>
      </w:rPr>
    </w:lvl>
  </w:abstractNum>
  <w:abstractNum w:abstractNumId="3">
    <w:nsid w:val="6D13438A"/>
    <w:multiLevelType w:val="hybridMultilevel"/>
    <w:tmpl w:val="E6608114"/>
    <w:lvl w:ilvl="0" w:tplc="0426000F">
      <w:start w:val="1"/>
      <w:numFmt w:val="decimal"/>
      <w:lvlText w:val="%1."/>
      <w:lvlJc w:val="left"/>
      <w:pPr>
        <w:ind w:left="1145" w:hanging="360"/>
      </w:pPr>
    </w:lvl>
    <w:lvl w:ilvl="1" w:tplc="04260019">
      <w:start w:val="1"/>
      <w:numFmt w:val="lowerLetter"/>
      <w:lvlText w:val="%2."/>
      <w:lvlJc w:val="left"/>
      <w:pPr>
        <w:ind w:left="1865" w:hanging="360"/>
      </w:pPr>
    </w:lvl>
    <w:lvl w:ilvl="2" w:tplc="0426001B">
      <w:start w:val="1"/>
      <w:numFmt w:val="lowerRoman"/>
      <w:lvlText w:val="%3."/>
      <w:lvlJc w:val="right"/>
      <w:pPr>
        <w:ind w:left="2585" w:hanging="180"/>
      </w:pPr>
    </w:lvl>
    <w:lvl w:ilvl="3" w:tplc="0426000F">
      <w:start w:val="1"/>
      <w:numFmt w:val="decimal"/>
      <w:lvlText w:val="%4."/>
      <w:lvlJc w:val="left"/>
      <w:pPr>
        <w:ind w:left="3305" w:hanging="360"/>
      </w:pPr>
    </w:lvl>
    <w:lvl w:ilvl="4" w:tplc="04260019">
      <w:start w:val="1"/>
      <w:numFmt w:val="lowerLetter"/>
      <w:lvlText w:val="%5."/>
      <w:lvlJc w:val="left"/>
      <w:pPr>
        <w:ind w:left="4025" w:hanging="360"/>
      </w:pPr>
    </w:lvl>
    <w:lvl w:ilvl="5" w:tplc="0426001B">
      <w:start w:val="1"/>
      <w:numFmt w:val="lowerRoman"/>
      <w:lvlText w:val="%6."/>
      <w:lvlJc w:val="right"/>
      <w:pPr>
        <w:ind w:left="4745" w:hanging="180"/>
      </w:pPr>
    </w:lvl>
    <w:lvl w:ilvl="6" w:tplc="0426000F">
      <w:start w:val="1"/>
      <w:numFmt w:val="decimal"/>
      <w:lvlText w:val="%7."/>
      <w:lvlJc w:val="left"/>
      <w:pPr>
        <w:ind w:left="5465" w:hanging="360"/>
      </w:pPr>
    </w:lvl>
    <w:lvl w:ilvl="7" w:tplc="04260019">
      <w:start w:val="1"/>
      <w:numFmt w:val="lowerLetter"/>
      <w:lvlText w:val="%8."/>
      <w:lvlJc w:val="left"/>
      <w:pPr>
        <w:ind w:left="6185" w:hanging="360"/>
      </w:pPr>
    </w:lvl>
    <w:lvl w:ilvl="8" w:tplc="0426001B">
      <w:start w:val="1"/>
      <w:numFmt w:val="lowerRoman"/>
      <w:lvlText w:val="%9."/>
      <w:lvlJc w:val="right"/>
      <w:pPr>
        <w:ind w:left="6905"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55"/>
    <w:rsid w:val="0000087B"/>
    <w:rsid w:val="00000EA8"/>
    <w:rsid w:val="00005E07"/>
    <w:rsid w:val="000139DF"/>
    <w:rsid w:val="000221E9"/>
    <w:rsid w:val="000240EA"/>
    <w:rsid w:val="000321BC"/>
    <w:rsid w:val="000326F4"/>
    <w:rsid w:val="000374BC"/>
    <w:rsid w:val="00043580"/>
    <w:rsid w:val="000446ED"/>
    <w:rsid w:val="00045D9B"/>
    <w:rsid w:val="00054985"/>
    <w:rsid w:val="00056A75"/>
    <w:rsid w:val="00082D8D"/>
    <w:rsid w:val="0008683F"/>
    <w:rsid w:val="0009479A"/>
    <w:rsid w:val="000A04A0"/>
    <w:rsid w:val="000B23A6"/>
    <w:rsid w:val="000D3F25"/>
    <w:rsid w:val="000E078C"/>
    <w:rsid w:val="000E43A7"/>
    <w:rsid w:val="000F26EB"/>
    <w:rsid w:val="000F2810"/>
    <w:rsid w:val="000F6EE8"/>
    <w:rsid w:val="00114271"/>
    <w:rsid w:val="00115A67"/>
    <w:rsid w:val="0011708E"/>
    <w:rsid w:val="00130EEF"/>
    <w:rsid w:val="001374C3"/>
    <w:rsid w:val="001474E4"/>
    <w:rsid w:val="001515AC"/>
    <w:rsid w:val="00154CE8"/>
    <w:rsid w:val="00156F60"/>
    <w:rsid w:val="00164F22"/>
    <w:rsid w:val="001654A1"/>
    <w:rsid w:val="0017125A"/>
    <w:rsid w:val="00171BAF"/>
    <w:rsid w:val="00171DCC"/>
    <w:rsid w:val="00172AF3"/>
    <w:rsid w:val="0017410E"/>
    <w:rsid w:val="0017451E"/>
    <w:rsid w:val="00174568"/>
    <w:rsid w:val="0018238B"/>
    <w:rsid w:val="00183778"/>
    <w:rsid w:val="00186D39"/>
    <w:rsid w:val="00197367"/>
    <w:rsid w:val="001B045B"/>
    <w:rsid w:val="001B1017"/>
    <w:rsid w:val="001C1A15"/>
    <w:rsid w:val="001F1186"/>
    <w:rsid w:val="001F2DF2"/>
    <w:rsid w:val="002024FC"/>
    <w:rsid w:val="00204F9E"/>
    <w:rsid w:val="0021318A"/>
    <w:rsid w:val="00216604"/>
    <w:rsid w:val="00251082"/>
    <w:rsid w:val="0028562C"/>
    <w:rsid w:val="002A4332"/>
    <w:rsid w:val="002A450D"/>
    <w:rsid w:val="002B1E19"/>
    <w:rsid w:val="002B5A69"/>
    <w:rsid w:val="002F2062"/>
    <w:rsid w:val="002F4005"/>
    <w:rsid w:val="0030006F"/>
    <w:rsid w:val="00314808"/>
    <w:rsid w:val="00316351"/>
    <w:rsid w:val="00320CDA"/>
    <w:rsid w:val="00323EAF"/>
    <w:rsid w:val="00330838"/>
    <w:rsid w:val="00331EA6"/>
    <w:rsid w:val="00340AAF"/>
    <w:rsid w:val="00342401"/>
    <w:rsid w:val="00344B95"/>
    <w:rsid w:val="0034690F"/>
    <w:rsid w:val="00353F51"/>
    <w:rsid w:val="0035711F"/>
    <w:rsid w:val="003619E8"/>
    <w:rsid w:val="00373AE9"/>
    <w:rsid w:val="00374C4A"/>
    <w:rsid w:val="003B21D8"/>
    <w:rsid w:val="003E3D44"/>
    <w:rsid w:val="003E57AD"/>
    <w:rsid w:val="003F7A40"/>
    <w:rsid w:val="00415D73"/>
    <w:rsid w:val="004310E5"/>
    <w:rsid w:val="00442F37"/>
    <w:rsid w:val="004552AF"/>
    <w:rsid w:val="00460C2B"/>
    <w:rsid w:val="00463861"/>
    <w:rsid w:val="00481444"/>
    <w:rsid w:val="004A0448"/>
    <w:rsid w:val="004A4968"/>
    <w:rsid w:val="004B7E1A"/>
    <w:rsid w:val="004D2705"/>
    <w:rsid w:val="004E2B57"/>
    <w:rsid w:val="004F3ACD"/>
    <w:rsid w:val="004F4E60"/>
    <w:rsid w:val="00506430"/>
    <w:rsid w:val="005127BF"/>
    <w:rsid w:val="005202EA"/>
    <w:rsid w:val="00520F45"/>
    <w:rsid w:val="00523CD3"/>
    <w:rsid w:val="005303EC"/>
    <w:rsid w:val="00530D94"/>
    <w:rsid w:val="00533936"/>
    <w:rsid w:val="005640B9"/>
    <w:rsid w:val="0056661B"/>
    <w:rsid w:val="00566892"/>
    <w:rsid w:val="005773ED"/>
    <w:rsid w:val="00582255"/>
    <w:rsid w:val="005A2FD9"/>
    <w:rsid w:val="005B7E23"/>
    <w:rsid w:val="005D15C4"/>
    <w:rsid w:val="005D1CF6"/>
    <w:rsid w:val="005D270E"/>
    <w:rsid w:val="005E4159"/>
    <w:rsid w:val="005E73E4"/>
    <w:rsid w:val="005F4AAE"/>
    <w:rsid w:val="005F571E"/>
    <w:rsid w:val="005F66A2"/>
    <w:rsid w:val="0061007C"/>
    <w:rsid w:val="006327BF"/>
    <w:rsid w:val="00632CF6"/>
    <w:rsid w:val="006452BE"/>
    <w:rsid w:val="0067673D"/>
    <w:rsid w:val="006862A6"/>
    <w:rsid w:val="00690351"/>
    <w:rsid w:val="0069478C"/>
    <w:rsid w:val="006954F2"/>
    <w:rsid w:val="006A040C"/>
    <w:rsid w:val="006B2FDE"/>
    <w:rsid w:val="006B3134"/>
    <w:rsid w:val="006C6601"/>
    <w:rsid w:val="006D6CB7"/>
    <w:rsid w:val="006E05FF"/>
    <w:rsid w:val="006E20F1"/>
    <w:rsid w:val="006F7676"/>
    <w:rsid w:val="00714511"/>
    <w:rsid w:val="0071700D"/>
    <w:rsid w:val="007209D7"/>
    <w:rsid w:val="00732555"/>
    <w:rsid w:val="00733EDA"/>
    <w:rsid w:val="00734126"/>
    <w:rsid w:val="00734827"/>
    <w:rsid w:val="007510A8"/>
    <w:rsid w:val="007514DF"/>
    <w:rsid w:val="00752603"/>
    <w:rsid w:val="007614CA"/>
    <w:rsid w:val="00793048"/>
    <w:rsid w:val="00795709"/>
    <w:rsid w:val="007A1A9D"/>
    <w:rsid w:val="007A2E8F"/>
    <w:rsid w:val="007B1E79"/>
    <w:rsid w:val="007B24FF"/>
    <w:rsid w:val="007B674D"/>
    <w:rsid w:val="007C55FE"/>
    <w:rsid w:val="007D0EA8"/>
    <w:rsid w:val="007F6829"/>
    <w:rsid w:val="007F6AE3"/>
    <w:rsid w:val="0080361E"/>
    <w:rsid w:val="008041D3"/>
    <w:rsid w:val="00807F97"/>
    <w:rsid w:val="0081074C"/>
    <w:rsid w:val="0081090B"/>
    <w:rsid w:val="00836003"/>
    <w:rsid w:val="00852089"/>
    <w:rsid w:val="00855682"/>
    <w:rsid w:val="00864D40"/>
    <w:rsid w:val="00875D97"/>
    <w:rsid w:val="00882B38"/>
    <w:rsid w:val="00884529"/>
    <w:rsid w:val="008863C7"/>
    <w:rsid w:val="008906D0"/>
    <w:rsid w:val="00894098"/>
    <w:rsid w:val="00895B9A"/>
    <w:rsid w:val="00895C78"/>
    <w:rsid w:val="008B015C"/>
    <w:rsid w:val="008B0C16"/>
    <w:rsid w:val="008B5B12"/>
    <w:rsid w:val="008C748F"/>
    <w:rsid w:val="008D3889"/>
    <w:rsid w:val="008D4971"/>
    <w:rsid w:val="0090254F"/>
    <w:rsid w:val="0090261D"/>
    <w:rsid w:val="00911C94"/>
    <w:rsid w:val="00953E8F"/>
    <w:rsid w:val="00957EFB"/>
    <w:rsid w:val="009601CA"/>
    <w:rsid w:val="00961E8B"/>
    <w:rsid w:val="00962719"/>
    <w:rsid w:val="00962D25"/>
    <w:rsid w:val="00974DD4"/>
    <w:rsid w:val="00976E1E"/>
    <w:rsid w:val="00984B55"/>
    <w:rsid w:val="009D5DC3"/>
    <w:rsid w:val="009F1066"/>
    <w:rsid w:val="00A01EAE"/>
    <w:rsid w:val="00A1572B"/>
    <w:rsid w:val="00A16C08"/>
    <w:rsid w:val="00A201F1"/>
    <w:rsid w:val="00A250E8"/>
    <w:rsid w:val="00A32AA2"/>
    <w:rsid w:val="00A35FE0"/>
    <w:rsid w:val="00A46A30"/>
    <w:rsid w:val="00A5585A"/>
    <w:rsid w:val="00A73CCA"/>
    <w:rsid w:val="00A73FE6"/>
    <w:rsid w:val="00A86CEC"/>
    <w:rsid w:val="00AA287E"/>
    <w:rsid w:val="00AA43C9"/>
    <w:rsid w:val="00AB603A"/>
    <w:rsid w:val="00AC397C"/>
    <w:rsid w:val="00AE28DD"/>
    <w:rsid w:val="00AF287F"/>
    <w:rsid w:val="00B04CAF"/>
    <w:rsid w:val="00B20120"/>
    <w:rsid w:val="00B310D0"/>
    <w:rsid w:val="00B316F3"/>
    <w:rsid w:val="00B457BC"/>
    <w:rsid w:val="00B519EB"/>
    <w:rsid w:val="00B53795"/>
    <w:rsid w:val="00B5634B"/>
    <w:rsid w:val="00B5640E"/>
    <w:rsid w:val="00B57E4B"/>
    <w:rsid w:val="00B65037"/>
    <w:rsid w:val="00B67052"/>
    <w:rsid w:val="00B8380F"/>
    <w:rsid w:val="00B8540F"/>
    <w:rsid w:val="00B91B7F"/>
    <w:rsid w:val="00B91FA6"/>
    <w:rsid w:val="00B9724F"/>
    <w:rsid w:val="00BB0399"/>
    <w:rsid w:val="00BB0DFE"/>
    <w:rsid w:val="00BB45F2"/>
    <w:rsid w:val="00BB5A47"/>
    <w:rsid w:val="00BC0B8A"/>
    <w:rsid w:val="00BC2BBA"/>
    <w:rsid w:val="00BE4F5D"/>
    <w:rsid w:val="00BF43A5"/>
    <w:rsid w:val="00C07126"/>
    <w:rsid w:val="00C278B6"/>
    <w:rsid w:val="00C32586"/>
    <w:rsid w:val="00C351B3"/>
    <w:rsid w:val="00C35D89"/>
    <w:rsid w:val="00C4594F"/>
    <w:rsid w:val="00C540EF"/>
    <w:rsid w:val="00C559FC"/>
    <w:rsid w:val="00C66E44"/>
    <w:rsid w:val="00C67C10"/>
    <w:rsid w:val="00C753CC"/>
    <w:rsid w:val="00C75E56"/>
    <w:rsid w:val="00C93970"/>
    <w:rsid w:val="00CB2B27"/>
    <w:rsid w:val="00CB69A2"/>
    <w:rsid w:val="00CC5D87"/>
    <w:rsid w:val="00CC7F67"/>
    <w:rsid w:val="00CE419C"/>
    <w:rsid w:val="00D038B4"/>
    <w:rsid w:val="00D212EF"/>
    <w:rsid w:val="00D25793"/>
    <w:rsid w:val="00D25DA6"/>
    <w:rsid w:val="00D2672D"/>
    <w:rsid w:val="00D26CFD"/>
    <w:rsid w:val="00D45391"/>
    <w:rsid w:val="00D60765"/>
    <w:rsid w:val="00D66C85"/>
    <w:rsid w:val="00D83CB0"/>
    <w:rsid w:val="00D9509F"/>
    <w:rsid w:val="00D978BB"/>
    <w:rsid w:val="00DA6EC8"/>
    <w:rsid w:val="00DB7BC3"/>
    <w:rsid w:val="00DC128B"/>
    <w:rsid w:val="00DC2974"/>
    <w:rsid w:val="00DC738B"/>
    <w:rsid w:val="00DC7544"/>
    <w:rsid w:val="00DC7AFC"/>
    <w:rsid w:val="00DD21C6"/>
    <w:rsid w:val="00DE72CB"/>
    <w:rsid w:val="00DF40D1"/>
    <w:rsid w:val="00E00910"/>
    <w:rsid w:val="00E039AB"/>
    <w:rsid w:val="00E21545"/>
    <w:rsid w:val="00E225F6"/>
    <w:rsid w:val="00E238F1"/>
    <w:rsid w:val="00E268CA"/>
    <w:rsid w:val="00E376A6"/>
    <w:rsid w:val="00E41C51"/>
    <w:rsid w:val="00E500D5"/>
    <w:rsid w:val="00E624F4"/>
    <w:rsid w:val="00E673A9"/>
    <w:rsid w:val="00E80073"/>
    <w:rsid w:val="00E81636"/>
    <w:rsid w:val="00E84689"/>
    <w:rsid w:val="00E9070E"/>
    <w:rsid w:val="00E95795"/>
    <w:rsid w:val="00E95B5F"/>
    <w:rsid w:val="00EB2465"/>
    <w:rsid w:val="00EC2FA5"/>
    <w:rsid w:val="00ED235A"/>
    <w:rsid w:val="00ED3CCE"/>
    <w:rsid w:val="00ED4B95"/>
    <w:rsid w:val="00EE5508"/>
    <w:rsid w:val="00EE5579"/>
    <w:rsid w:val="00EF2614"/>
    <w:rsid w:val="00EF5D00"/>
    <w:rsid w:val="00EF77C8"/>
    <w:rsid w:val="00F04794"/>
    <w:rsid w:val="00F10C50"/>
    <w:rsid w:val="00F171C9"/>
    <w:rsid w:val="00F25E55"/>
    <w:rsid w:val="00F26830"/>
    <w:rsid w:val="00F33055"/>
    <w:rsid w:val="00F33410"/>
    <w:rsid w:val="00F40353"/>
    <w:rsid w:val="00F40DA9"/>
    <w:rsid w:val="00F44A87"/>
    <w:rsid w:val="00F55EB3"/>
    <w:rsid w:val="00F6630D"/>
    <w:rsid w:val="00F67168"/>
    <w:rsid w:val="00F92C4F"/>
    <w:rsid w:val="00F97E67"/>
    <w:rsid w:val="00FA695D"/>
    <w:rsid w:val="00FA732B"/>
    <w:rsid w:val="00FB2995"/>
    <w:rsid w:val="00FB752F"/>
    <w:rsid w:val="00FC1DB0"/>
    <w:rsid w:val="00FD5ADC"/>
    <w:rsid w:val="00FE33C0"/>
    <w:rsid w:val="00FF630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55"/>
    <w:rPr>
      <w:rFonts w:asciiTheme="minorHAnsi" w:hAnsiTheme="minorHAnsi"/>
      <w:sz w:val="22"/>
    </w:rPr>
  </w:style>
  <w:style w:type="paragraph" w:styleId="Heading3">
    <w:name w:val="heading 3"/>
    <w:basedOn w:val="Normal"/>
    <w:link w:val="Heading3Char"/>
    <w:uiPriority w:val="9"/>
    <w:qFormat/>
    <w:rsid w:val="0058225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255"/>
    <w:rPr>
      <w:rFonts w:eastAsia="Times New Roman" w:cs="Times New Roman"/>
      <w:b/>
      <w:bCs/>
      <w:sz w:val="27"/>
      <w:szCs w:val="27"/>
      <w:lang w:eastAsia="lv-LV"/>
    </w:rPr>
  </w:style>
  <w:style w:type="paragraph" w:customStyle="1" w:styleId="naisf">
    <w:name w:val="naisf"/>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582255"/>
    <w:pPr>
      <w:spacing w:before="400" w:after="0" w:line="360" w:lineRule="auto"/>
      <w:jc w:val="center"/>
    </w:pPr>
    <w:rPr>
      <w:rFonts w:ascii="Verdana" w:eastAsia="Times New Roman" w:hAnsi="Verdana" w:cs="Times New Roman"/>
      <w:b/>
      <w:bCs/>
      <w:sz w:val="20"/>
      <w:szCs w:val="20"/>
      <w:lang w:eastAsia="lv-LV"/>
    </w:rPr>
  </w:style>
  <w:style w:type="paragraph" w:styleId="Header">
    <w:name w:val="header"/>
    <w:basedOn w:val="Normal"/>
    <w:link w:val="HeaderChar"/>
    <w:uiPriority w:val="99"/>
    <w:unhideWhenUsed/>
    <w:rsid w:val="00582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255"/>
    <w:rPr>
      <w:rFonts w:asciiTheme="minorHAnsi" w:hAnsiTheme="minorHAnsi"/>
      <w:sz w:val="22"/>
    </w:rPr>
  </w:style>
  <w:style w:type="paragraph" w:styleId="Footer">
    <w:name w:val="footer"/>
    <w:basedOn w:val="Normal"/>
    <w:link w:val="FooterChar"/>
    <w:uiPriority w:val="99"/>
    <w:unhideWhenUsed/>
    <w:rsid w:val="00582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255"/>
    <w:rPr>
      <w:rFonts w:asciiTheme="minorHAnsi" w:hAnsiTheme="minorHAnsi"/>
      <w:sz w:val="22"/>
    </w:rPr>
  </w:style>
  <w:style w:type="paragraph" w:styleId="BalloonText">
    <w:name w:val="Balloon Text"/>
    <w:basedOn w:val="Normal"/>
    <w:link w:val="BalloonTextChar"/>
    <w:uiPriority w:val="99"/>
    <w:semiHidden/>
    <w:unhideWhenUsed/>
    <w:rsid w:val="0058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55"/>
    <w:rPr>
      <w:rFonts w:ascii="Tahoma" w:hAnsi="Tahoma" w:cs="Tahoma"/>
      <w:sz w:val="16"/>
      <w:szCs w:val="16"/>
    </w:rPr>
  </w:style>
  <w:style w:type="paragraph" w:customStyle="1" w:styleId="naisc">
    <w:name w:val="naisc"/>
    <w:basedOn w:val="Normal"/>
    <w:rsid w:val="00582255"/>
    <w:pPr>
      <w:widowControl w:val="0"/>
      <w:suppressAutoHyphens/>
      <w:spacing w:before="75" w:after="75" w:line="240" w:lineRule="auto"/>
      <w:jc w:val="center"/>
    </w:pPr>
    <w:rPr>
      <w:rFonts w:ascii="Times New Roman" w:eastAsia="Times New Roman" w:hAnsi="Times New Roman" w:cs="Times New Roman"/>
      <w:kern w:val="1"/>
      <w:sz w:val="24"/>
      <w:szCs w:val="24"/>
    </w:rPr>
  </w:style>
  <w:style w:type="paragraph" w:customStyle="1" w:styleId="CM1">
    <w:name w:val="CM1"/>
    <w:basedOn w:val="Normal"/>
    <w:next w:val="Normal"/>
    <w:uiPriority w:val="99"/>
    <w:rsid w:val="00ED235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styleId="Signature">
    <w:name w:val="Signature"/>
    <w:basedOn w:val="Normal"/>
    <w:next w:val="EnvelopeReturn"/>
    <w:link w:val="SignatureChar"/>
    <w:uiPriority w:val="99"/>
    <w:rsid w:val="00BB5A4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kern w:val="1"/>
      <w:sz w:val="24"/>
      <w:szCs w:val="24"/>
    </w:rPr>
  </w:style>
  <w:style w:type="character" w:customStyle="1" w:styleId="SignatureChar">
    <w:name w:val="Signature Char"/>
    <w:basedOn w:val="DefaultParagraphFont"/>
    <w:link w:val="Signature"/>
    <w:uiPriority w:val="99"/>
    <w:rsid w:val="00BB5A47"/>
    <w:rPr>
      <w:rFonts w:eastAsia="Times New Roman" w:cs="Times New Roman"/>
      <w:kern w:val="1"/>
      <w:sz w:val="24"/>
      <w:szCs w:val="24"/>
    </w:rPr>
  </w:style>
  <w:style w:type="paragraph" w:styleId="EnvelopeReturn">
    <w:name w:val="envelope return"/>
    <w:basedOn w:val="Normal"/>
    <w:uiPriority w:val="99"/>
    <w:semiHidden/>
    <w:unhideWhenUsed/>
    <w:rsid w:val="00BB5A47"/>
    <w:pPr>
      <w:spacing w:after="0" w:line="240" w:lineRule="auto"/>
    </w:pPr>
    <w:rPr>
      <w:rFonts w:asciiTheme="majorHAnsi" w:eastAsiaTheme="majorEastAsia" w:hAnsiTheme="majorHAnsi" w:cstheme="majorBidi"/>
      <w:sz w:val="20"/>
      <w:szCs w:val="20"/>
    </w:rPr>
  </w:style>
  <w:style w:type="paragraph" w:customStyle="1" w:styleId="CM3">
    <w:name w:val="CM3"/>
    <w:basedOn w:val="Normal"/>
    <w:next w:val="Normal"/>
    <w:uiPriority w:val="99"/>
    <w:rsid w:val="004310E5"/>
    <w:pPr>
      <w:autoSpaceDE w:val="0"/>
      <w:autoSpaceDN w:val="0"/>
      <w:adjustRightInd w:val="0"/>
      <w:spacing w:after="0" w:line="240" w:lineRule="auto"/>
    </w:pPr>
    <w:rPr>
      <w:rFonts w:ascii="EUAlbertina" w:hAnsi="EUAlbertina"/>
      <w:sz w:val="24"/>
      <w:szCs w:val="24"/>
    </w:rPr>
  </w:style>
  <w:style w:type="paragraph" w:customStyle="1" w:styleId="Default">
    <w:name w:val="Default"/>
    <w:rsid w:val="00B9724F"/>
    <w:pPr>
      <w:autoSpaceDE w:val="0"/>
      <w:autoSpaceDN w:val="0"/>
      <w:adjustRightInd w:val="0"/>
      <w:spacing w:after="0" w:line="240" w:lineRule="auto"/>
    </w:pPr>
    <w:rPr>
      <w:rFonts w:eastAsia="Times New Roman" w:cs="Times New Roman"/>
      <w:color w:val="000000"/>
      <w:sz w:val="24"/>
      <w:szCs w:val="24"/>
      <w:lang w:eastAsia="lv-LV"/>
    </w:rPr>
  </w:style>
  <w:style w:type="character" w:styleId="CommentReference">
    <w:name w:val="annotation reference"/>
    <w:basedOn w:val="DefaultParagraphFont"/>
    <w:uiPriority w:val="99"/>
    <w:semiHidden/>
    <w:unhideWhenUsed/>
    <w:rsid w:val="00323EAF"/>
    <w:rPr>
      <w:sz w:val="16"/>
      <w:szCs w:val="16"/>
    </w:rPr>
  </w:style>
  <w:style w:type="paragraph" w:styleId="CommentText">
    <w:name w:val="annotation text"/>
    <w:basedOn w:val="Normal"/>
    <w:link w:val="CommentTextChar"/>
    <w:uiPriority w:val="99"/>
    <w:semiHidden/>
    <w:unhideWhenUsed/>
    <w:rsid w:val="00323EAF"/>
    <w:pPr>
      <w:spacing w:line="240" w:lineRule="auto"/>
    </w:pPr>
    <w:rPr>
      <w:sz w:val="20"/>
      <w:szCs w:val="20"/>
    </w:rPr>
  </w:style>
  <w:style w:type="character" w:customStyle="1" w:styleId="CommentTextChar">
    <w:name w:val="Comment Text Char"/>
    <w:basedOn w:val="DefaultParagraphFont"/>
    <w:link w:val="CommentText"/>
    <w:uiPriority w:val="99"/>
    <w:semiHidden/>
    <w:rsid w:val="00323EA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23EAF"/>
    <w:rPr>
      <w:b/>
      <w:bCs/>
    </w:rPr>
  </w:style>
  <w:style w:type="character" w:customStyle="1" w:styleId="CommentSubjectChar">
    <w:name w:val="Comment Subject Char"/>
    <w:basedOn w:val="CommentTextChar"/>
    <w:link w:val="CommentSubject"/>
    <w:uiPriority w:val="99"/>
    <w:semiHidden/>
    <w:rsid w:val="00323EAF"/>
    <w:rPr>
      <w:rFonts w:asciiTheme="minorHAnsi" w:hAnsiTheme="minorHAnsi"/>
      <w:b/>
      <w:bCs/>
      <w:sz w:val="20"/>
      <w:szCs w:val="20"/>
    </w:rPr>
  </w:style>
  <w:style w:type="paragraph" w:customStyle="1" w:styleId="paraksti">
    <w:name w:val="paraksti"/>
    <w:basedOn w:val="Normal"/>
    <w:rsid w:val="00054985"/>
    <w:pPr>
      <w:tabs>
        <w:tab w:val="left" w:pos="6804"/>
      </w:tabs>
      <w:spacing w:after="0" w:line="240" w:lineRule="auto"/>
      <w:ind w:firstLine="720"/>
      <w:jc w:val="both"/>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55"/>
    <w:rPr>
      <w:rFonts w:asciiTheme="minorHAnsi" w:hAnsiTheme="minorHAnsi"/>
      <w:sz w:val="22"/>
    </w:rPr>
  </w:style>
  <w:style w:type="paragraph" w:styleId="Heading3">
    <w:name w:val="heading 3"/>
    <w:basedOn w:val="Normal"/>
    <w:link w:val="Heading3Char"/>
    <w:uiPriority w:val="9"/>
    <w:qFormat/>
    <w:rsid w:val="0058225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255"/>
    <w:rPr>
      <w:rFonts w:eastAsia="Times New Roman" w:cs="Times New Roman"/>
      <w:b/>
      <w:bCs/>
      <w:sz w:val="27"/>
      <w:szCs w:val="27"/>
      <w:lang w:eastAsia="lv-LV"/>
    </w:rPr>
  </w:style>
  <w:style w:type="paragraph" w:customStyle="1" w:styleId="naisf">
    <w:name w:val="naisf"/>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5822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582255"/>
    <w:pPr>
      <w:spacing w:before="400" w:after="0" w:line="360" w:lineRule="auto"/>
      <w:jc w:val="center"/>
    </w:pPr>
    <w:rPr>
      <w:rFonts w:ascii="Verdana" w:eastAsia="Times New Roman" w:hAnsi="Verdana" w:cs="Times New Roman"/>
      <w:b/>
      <w:bCs/>
      <w:sz w:val="20"/>
      <w:szCs w:val="20"/>
      <w:lang w:eastAsia="lv-LV"/>
    </w:rPr>
  </w:style>
  <w:style w:type="paragraph" w:styleId="Header">
    <w:name w:val="header"/>
    <w:basedOn w:val="Normal"/>
    <w:link w:val="HeaderChar"/>
    <w:uiPriority w:val="99"/>
    <w:unhideWhenUsed/>
    <w:rsid w:val="00582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255"/>
    <w:rPr>
      <w:rFonts w:asciiTheme="minorHAnsi" w:hAnsiTheme="minorHAnsi"/>
      <w:sz w:val="22"/>
    </w:rPr>
  </w:style>
  <w:style w:type="paragraph" w:styleId="Footer">
    <w:name w:val="footer"/>
    <w:basedOn w:val="Normal"/>
    <w:link w:val="FooterChar"/>
    <w:uiPriority w:val="99"/>
    <w:unhideWhenUsed/>
    <w:rsid w:val="00582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255"/>
    <w:rPr>
      <w:rFonts w:asciiTheme="minorHAnsi" w:hAnsiTheme="minorHAnsi"/>
      <w:sz w:val="22"/>
    </w:rPr>
  </w:style>
  <w:style w:type="paragraph" w:styleId="BalloonText">
    <w:name w:val="Balloon Text"/>
    <w:basedOn w:val="Normal"/>
    <w:link w:val="BalloonTextChar"/>
    <w:uiPriority w:val="99"/>
    <w:semiHidden/>
    <w:unhideWhenUsed/>
    <w:rsid w:val="0058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55"/>
    <w:rPr>
      <w:rFonts w:ascii="Tahoma" w:hAnsi="Tahoma" w:cs="Tahoma"/>
      <w:sz w:val="16"/>
      <w:szCs w:val="16"/>
    </w:rPr>
  </w:style>
  <w:style w:type="paragraph" w:customStyle="1" w:styleId="naisc">
    <w:name w:val="naisc"/>
    <w:basedOn w:val="Normal"/>
    <w:rsid w:val="00582255"/>
    <w:pPr>
      <w:widowControl w:val="0"/>
      <w:suppressAutoHyphens/>
      <w:spacing w:before="75" w:after="75" w:line="240" w:lineRule="auto"/>
      <w:jc w:val="center"/>
    </w:pPr>
    <w:rPr>
      <w:rFonts w:ascii="Times New Roman" w:eastAsia="Times New Roman" w:hAnsi="Times New Roman" w:cs="Times New Roman"/>
      <w:kern w:val="1"/>
      <w:sz w:val="24"/>
      <w:szCs w:val="24"/>
    </w:rPr>
  </w:style>
  <w:style w:type="paragraph" w:customStyle="1" w:styleId="CM1">
    <w:name w:val="CM1"/>
    <w:basedOn w:val="Normal"/>
    <w:next w:val="Normal"/>
    <w:uiPriority w:val="99"/>
    <w:rsid w:val="00ED235A"/>
    <w:pPr>
      <w:autoSpaceDE w:val="0"/>
      <w:autoSpaceDN w:val="0"/>
      <w:adjustRightInd w:val="0"/>
      <w:spacing w:after="0" w:line="240" w:lineRule="auto"/>
    </w:pPr>
    <w:rPr>
      <w:rFonts w:ascii="EUAlbertina" w:eastAsia="Times New Roman" w:hAnsi="EUAlbertina" w:cs="Times New Roman"/>
      <w:sz w:val="24"/>
      <w:szCs w:val="24"/>
      <w:lang w:eastAsia="lv-LV"/>
    </w:rPr>
  </w:style>
  <w:style w:type="paragraph" w:styleId="Signature">
    <w:name w:val="Signature"/>
    <w:basedOn w:val="Normal"/>
    <w:next w:val="EnvelopeReturn"/>
    <w:link w:val="SignatureChar"/>
    <w:uiPriority w:val="99"/>
    <w:rsid w:val="00BB5A4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kern w:val="1"/>
      <w:sz w:val="24"/>
      <w:szCs w:val="24"/>
    </w:rPr>
  </w:style>
  <w:style w:type="character" w:customStyle="1" w:styleId="SignatureChar">
    <w:name w:val="Signature Char"/>
    <w:basedOn w:val="DefaultParagraphFont"/>
    <w:link w:val="Signature"/>
    <w:uiPriority w:val="99"/>
    <w:rsid w:val="00BB5A47"/>
    <w:rPr>
      <w:rFonts w:eastAsia="Times New Roman" w:cs="Times New Roman"/>
      <w:kern w:val="1"/>
      <w:sz w:val="24"/>
      <w:szCs w:val="24"/>
    </w:rPr>
  </w:style>
  <w:style w:type="paragraph" w:styleId="EnvelopeReturn">
    <w:name w:val="envelope return"/>
    <w:basedOn w:val="Normal"/>
    <w:uiPriority w:val="99"/>
    <w:semiHidden/>
    <w:unhideWhenUsed/>
    <w:rsid w:val="00BB5A47"/>
    <w:pPr>
      <w:spacing w:after="0" w:line="240" w:lineRule="auto"/>
    </w:pPr>
    <w:rPr>
      <w:rFonts w:asciiTheme="majorHAnsi" w:eastAsiaTheme="majorEastAsia" w:hAnsiTheme="majorHAnsi" w:cstheme="majorBidi"/>
      <w:sz w:val="20"/>
      <w:szCs w:val="20"/>
    </w:rPr>
  </w:style>
  <w:style w:type="paragraph" w:customStyle="1" w:styleId="CM3">
    <w:name w:val="CM3"/>
    <w:basedOn w:val="Normal"/>
    <w:next w:val="Normal"/>
    <w:uiPriority w:val="99"/>
    <w:rsid w:val="004310E5"/>
    <w:pPr>
      <w:autoSpaceDE w:val="0"/>
      <w:autoSpaceDN w:val="0"/>
      <w:adjustRightInd w:val="0"/>
      <w:spacing w:after="0" w:line="240" w:lineRule="auto"/>
    </w:pPr>
    <w:rPr>
      <w:rFonts w:ascii="EUAlbertina" w:hAnsi="EUAlbertina"/>
      <w:sz w:val="24"/>
      <w:szCs w:val="24"/>
    </w:rPr>
  </w:style>
  <w:style w:type="paragraph" w:customStyle="1" w:styleId="Default">
    <w:name w:val="Default"/>
    <w:rsid w:val="00B9724F"/>
    <w:pPr>
      <w:autoSpaceDE w:val="0"/>
      <w:autoSpaceDN w:val="0"/>
      <w:adjustRightInd w:val="0"/>
      <w:spacing w:after="0" w:line="240" w:lineRule="auto"/>
    </w:pPr>
    <w:rPr>
      <w:rFonts w:eastAsia="Times New Roman" w:cs="Times New Roman"/>
      <w:color w:val="000000"/>
      <w:sz w:val="24"/>
      <w:szCs w:val="24"/>
      <w:lang w:eastAsia="lv-LV"/>
    </w:rPr>
  </w:style>
  <w:style w:type="character" w:styleId="CommentReference">
    <w:name w:val="annotation reference"/>
    <w:basedOn w:val="DefaultParagraphFont"/>
    <w:uiPriority w:val="99"/>
    <w:semiHidden/>
    <w:unhideWhenUsed/>
    <w:rsid w:val="00323EAF"/>
    <w:rPr>
      <w:sz w:val="16"/>
      <w:szCs w:val="16"/>
    </w:rPr>
  </w:style>
  <w:style w:type="paragraph" w:styleId="CommentText">
    <w:name w:val="annotation text"/>
    <w:basedOn w:val="Normal"/>
    <w:link w:val="CommentTextChar"/>
    <w:uiPriority w:val="99"/>
    <w:semiHidden/>
    <w:unhideWhenUsed/>
    <w:rsid w:val="00323EAF"/>
    <w:pPr>
      <w:spacing w:line="240" w:lineRule="auto"/>
    </w:pPr>
    <w:rPr>
      <w:sz w:val="20"/>
      <w:szCs w:val="20"/>
    </w:rPr>
  </w:style>
  <w:style w:type="character" w:customStyle="1" w:styleId="CommentTextChar">
    <w:name w:val="Comment Text Char"/>
    <w:basedOn w:val="DefaultParagraphFont"/>
    <w:link w:val="CommentText"/>
    <w:uiPriority w:val="99"/>
    <w:semiHidden/>
    <w:rsid w:val="00323EA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23EAF"/>
    <w:rPr>
      <w:b/>
      <w:bCs/>
    </w:rPr>
  </w:style>
  <w:style w:type="character" w:customStyle="1" w:styleId="CommentSubjectChar">
    <w:name w:val="Comment Subject Char"/>
    <w:basedOn w:val="CommentTextChar"/>
    <w:link w:val="CommentSubject"/>
    <w:uiPriority w:val="99"/>
    <w:semiHidden/>
    <w:rsid w:val="00323EAF"/>
    <w:rPr>
      <w:rFonts w:asciiTheme="minorHAnsi" w:hAnsiTheme="minorHAnsi"/>
      <w:b/>
      <w:bCs/>
      <w:sz w:val="20"/>
      <w:szCs w:val="20"/>
    </w:rPr>
  </w:style>
  <w:style w:type="paragraph" w:customStyle="1" w:styleId="paraksti">
    <w:name w:val="paraksti"/>
    <w:basedOn w:val="Normal"/>
    <w:rsid w:val="00054985"/>
    <w:pPr>
      <w:tabs>
        <w:tab w:val="left" w:pos="6804"/>
      </w:tabs>
      <w:spacing w:after="0" w:line="240" w:lineRule="auto"/>
      <w:ind w:firstLine="720"/>
      <w:jc w:val="both"/>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1489">
      <w:bodyDiv w:val="1"/>
      <w:marLeft w:val="0"/>
      <w:marRight w:val="0"/>
      <w:marTop w:val="0"/>
      <w:marBottom w:val="0"/>
      <w:divBdr>
        <w:top w:val="none" w:sz="0" w:space="0" w:color="auto"/>
        <w:left w:val="none" w:sz="0" w:space="0" w:color="auto"/>
        <w:bottom w:val="none" w:sz="0" w:space="0" w:color="auto"/>
        <w:right w:val="none" w:sz="0" w:space="0" w:color="auto"/>
      </w:divBdr>
    </w:div>
    <w:div w:id="12604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1763</Words>
  <Characters>12951</Characters>
  <Application>Microsoft Office Word</Application>
  <DocSecurity>0</DocSecurity>
  <Lines>451</Lines>
  <Paragraphs>141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„Sabiedriskas nozīmes pakalpojumu sniegšanas saistību uzlikšanas kārtība valsts nozīmes civilās aviācijas lidlaukam” sākotnējās ietekmes novērtējuma ziņojums (anotācija)</vt:lpstr>
      <vt:lpstr>Ministru kabineta noteikumu projekta „Noteikumi par valsts nozīmes civilās aviācijas lidlaukam uzliekamām sabiedriskas nozīmes pakalpojumu sniegšanas saistībām sabiedriski svarīgu funkciju nodrošināšanai” sākotnējās ietekmes novērtējuma ziņojums (anotācij</vt:lpstr>
    </vt:vector>
  </TitlesOfParts>
  <Company>Satiksmes ministrija</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„Sabiedriskas nozīmes pakalpojumu sniegšanas saistību uzlikšanas kārtība valsts nozīmes civilās aviācijas lidlaukam” sākotnējās ietekmes novērtējuma ziņojums (anotācija)</dc:title>
  <dc:creator>zaneta.Jansone@sam.gov.lv</dc:creator>
  <dc:description>Žaneta Jansone 67028258; zanete.jansone@sam.gov.lv</dc:description>
  <cp:lastModifiedBy>Žanete Jansone</cp:lastModifiedBy>
  <cp:revision>13</cp:revision>
  <cp:lastPrinted>2015-06-17T10:19:00Z</cp:lastPrinted>
  <dcterms:created xsi:type="dcterms:W3CDTF">2015-06-12T04:18:00Z</dcterms:created>
  <dcterms:modified xsi:type="dcterms:W3CDTF">2015-06-25T15:46:00Z</dcterms:modified>
  <cp:category>anotācija</cp:category>
</cp:coreProperties>
</file>