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45" w:rsidRPr="00211D7C" w:rsidRDefault="00C07E5F" w:rsidP="00211D7C">
      <w:pPr>
        <w:autoSpaceDE w:val="0"/>
        <w:autoSpaceDN w:val="0"/>
        <w:adjustRightInd w:val="0"/>
        <w:spacing w:after="120" w:line="240" w:lineRule="auto"/>
        <w:jc w:val="center"/>
        <w:rPr>
          <w:rFonts w:ascii="Times New Roman" w:hAnsi="Times New Roman"/>
          <w:b/>
          <w:sz w:val="26"/>
          <w:szCs w:val="26"/>
        </w:rPr>
      </w:pPr>
      <w:r w:rsidRPr="00211D7C">
        <w:rPr>
          <w:rFonts w:ascii="Times New Roman" w:hAnsi="Times New Roman"/>
          <w:b/>
          <w:sz w:val="26"/>
          <w:szCs w:val="26"/>
        </w:rPr>
        <w:t>Likum</w:t>
      </w:r>
      <w:r w:rsidR="006D3B45" w:rsidRPr="00211D7C">
        <w:rPr>
          <w:rFonts w:ascii="Times New Roman" w:hAnsi="Times New Roman"/>
          <w:b/>
          <w:sz w:val="26"/>
          <w:szCs w:val="26"/>
        </w:rPr>
        <w:t>projekta „</w:t>
      </w:r>
      <w:r w:rsidR="00EF539E" w:rsidRPr="00211D7C">
        <w:rPr>
          <w:rFonts w:ascii="Times New Roman" w:hAnsi="Times New Roman"/>
          <w:b/>
          <w:sz w:val="26"/>
          <w:szCs w:val="26"/>
        </w:rPr>
        <w:t>Par Apvienoto Nāciju Organizācijas Vispārējās konvencijas par klimata pārmaiņām Kioto protokola Dohas grozījumu</w:t>
      </w:r>
      <w:r w:rsidR="006D3B45" w:rsidRPr="00211D7C">
        <w:rPr>
          <w:rFonts w:ascii="Times New Roman" w:hAnsi="Times New Roman"/>
          <w:b/>
          <w:sz w:val="26"/>
          <w:szCs w:val="26"/>
        </w:rPr>
        <w:t>”</w:t>
      </w:r>
      <w:r w:rsidR="006D3B45" w:rsidRPr="00211D7C">
        <w:rPr>
          <w:rFonts w:ascii="Times New Roman" w:hAnsi="Times New Roman"/>
          <w:b/>
          <w:bCs/>
          <w:sz w:val="26"/>
          <w:szCs w:val="26"/>
        </w:rPr>
        <w:t xml:space="preserve"> sākotnējās ietekmes novērtējuma </w:t>
      </w:r>
      <w:smartTag w:uri="schemas-tilde-lv/tildestengine" w:element="veidnes">
        <w:smartTagPr>
          <w:attr w:name="id" w:val="-1"/>
          <w:attr w:name="baseform" w:val="ziņojums"/>
          <w:attr w:name="text" w:val="ziņojums"/>
        </w:smartTagPr>
        <w:r w:rsidR="006D3B45" w:rsidRPr="00211D7C">
          <w:rPr>
            <w:rFonts w:ascii="Times New Roman" w:hAnsi="Times New Roman"/>
            <w:b/>
            <w:bCs/>
            <w:sz w:val="26"/>
            <w:szCs w:val="26"/>
          </w:rPr>
          <w:t>ziņojums</w:t>
        </w:r>
      </w:smartTag>
      <w:r w:rsidR="006D3B45" w:rsidRPr="00211D7C">
        <w:rPr>
          <w:rFonts w:ascii="Times New Roman" w:hAnsi="Times New Roman"/>
          <w:b/>
          <w:bCs/>
          <w:sz w:val="26"/>
          <w:szCs w:val="26"/>
        </w:rPr>
        <w:t xml:space="preserve"> (anotācija)</w:t>
      </w:r>
    </w:p>
    <w:tbl>
      <w:tblPr>
        <w:tblStyle w:val="TableGrid"/>
        <w:tblW w:w="9639" w:type="dxa"/>
        <w:jc w:val="center"/>
        <w:tblLook w:val="04A0" w:firstRow="1" w:lastRow="0" w:firstColumn="1" w:lastColumn="0" w:noHBand="0" w:noVBand="1"/>
      </w:tblPr>
      <w:tblGrid>
        <w:gridCol w:w="559"/>
        <w:gridCol w:w="1304"/>
        <w:gridCol w:w="7776"/>
      </w:tblGrid>
      <w:tr w:rsidR="006D3B45" w:rsidRPr="00211D7C" w:rsidTr="009F5639">
        <w:trPr>
          <w:jc w:val="center"/>
        </w:trPr>
        <w:tc>
          <w:tcPr>
            <w:tcW w:w="9639" w:type="dxa"/>
            <w:gridSpan w:val="3"/>
          </w:tcPr>
          <w:p w:rsidR="006D3B45" w:rsidRPr="00211D7C" w:rsidRDefault="006D3B45" w:rsidP="00211D7C">
            <w:pPr>
              <w:pStyle w:val="BodyText"/>
              <w:spacing w:after="0"/>
              <w:jc w:val="center"/>
              <w:rPr>
                <w:b/>
                <w:sz w:val="22"/>
                <w:szCs w:val="22"/>
                <w:lang w:val="lv-LV"/>
              </w:rPr>
            </w:pPr>
            <w:r w:rsidRPr="00211D7C">
              <w:rPr>
                <w:b/>
                <w:sz w:val="22"/>
                <w:szCs w:val="22"/>
                <w:lang w:val="lv-LV"/>
              </w:rPr>
              <w:t>I. Tiesību akta projekta izstrādes nepieciešamība</w:t>
            </w:r>
          </w:p>
        </w:tc>
      </w:tr>
      <w:tr w:rsidR="006D3B45" w:rsidRPr="00211D7C" w:rsidTr="00B54471">
        <w:trPr>
          <w:jc w:val="center"/>
        </w:trPr>
        <w:tc>
          <w:tcPr>
            <w:tcW w:w="564"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t>1.</w:t>
            </w:r>
          </w:p>
        </w:tc>
        <w:tc>
          <w:tcPr>
            <w:tcW w:w="1138"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t>Pamatojums</w:t>
            </w:r>
          </w:p>
        </w:tc>
        <w:tc>
          <w:tcPr>
            <w:tcW w:w="7937" w:type="dxa"/>
          </w:tcPr>
          <w:p w:rsidR="006D3B45" w:rsidRPr="00211D7C" w:rsidRDefault="00663358" w:rsidP="00211D7C">
            <w:pPr>
              <w:spacing w:after="60" w:line="240" w:lineRule="auto"/>
              <w:ind w:firstLine="227"/>
              <w:jc w:val="both"/>
              <w:rPr>
                <w:rFonts w:ascii="Times New Roman" w:hAnsi="Times New Roman"/>
              </w:rPr>
            </w:pPr>
            <w:r w:rsidRPr="00211D7C">
              <w:rPr>
                <w:rFonts w:ascii="Times New Roman" w:hAnsi="Times New Roman"/>
              </w:rPr>
              <w:t>Likum</w:t>
            </w:r>
            <w:r w:rsidR="00095AD3" w:rsidRPr="00211D7C">
              <w:rPr>
                <w:rFonts w:ascii="Times New Roman" w:hAnsi="Times New Roman"/>
              </w:rPr>
              <w:t>projekts „</w:t>
            </w:r>
            <w:r w:rsidR="00EF539E" w:rsidRPr="00211D7C">
              <w:rPr>
                <w:rFonts w:ascii="Times New Roman" w:hAnsi="Times New Roman"/>
              </w:rPr>
              <w:t>Par Apvienoto Nāciju Organizācijas Vispārējās konvencijas par klimata pārmaiņām Kioto protokola Dohas grozījumu</w:t>
            </w:r>
            <w:r w:rsidR="00095AD3" w:rsidRPr="00211D7C">
              <w:rPr>
                <w:rFonts w:ascii="Times New Roman" w:hAnsi="Times New Roman"/>
              </w:rPr>
              <w:t xml:space="preserve">” (turpmāk – </w:t>
            </w:r>
            <w:r w:rsidR="005A0A8C" w:rsidRPr="00211D7C">
              <w:rPr>
                <w:rFonts w:ascii="Times New Roman" w:hAnsi="Times New Roman"/>
              </w:rPr>
              <w:t>likum</w:t>
            </w:r>
            <w:r w:rsidR="00095AD3" w:rsidRPr="00211D7C">
              <w:rPr>
                <w:rFonts w:ascii="Times New Roman" w:hAnsi="Times New Roman"/>
              </w:rPr>
              <w:t xml:space="preserve">projekts) ir izstrādāts saskaņā ar </w:t>
            </w:r>
            <w:r w:rsidR="005A0A8C" w:rsidRPr="00211D7C">
              <w:rPr>
                <w:rFonts w:ascii="Times New Roman" w:hAnsi="Times New Roman"/>
              </w:rPr>
              <w:t>likuma „Par Latvijas Republikas starptautiskajiem līgumiem” 9.panta 5.punktu</w:t>
            </w:r>
            <w:r w:rsidR="006D3B45" w:rsidRPr="00211D7C">
              <w:rPr>
                <w:rFonts w:ascii="Times New Roman" w:hAnsi="Times New Roman"/>
              </w:rPr>
              <w:t>.</w:t>
            </w:r>
          </w:p>
          <w:p w:rsidR="00F72B9A" w:rsidRPr="00211D7C" w:rsidRDefault="002139AC" w:rsidP="0046254C">
            <w:pPr>
              <w:spacing w:after="60" w:line="240" w:lineRule="auto"/>
              <w:ind w:firstLine="170"/>
              <w:jc w:val="both"/>
              <w:rPr>
                <w:rFonts w:ascii="Times New Roman" w:hAnsi="Times New Roman"/>
              </w:rPr>
            </w:pPr>
            <w:r w:rsidRPr="00211D7C">
              <w:rPr>
                <w:rFonts w:ascii="Times New Roman" w:hAnsi="Times New Roman"/>
              </w:rPr>
              <w:t>Eiropas Savienības (turpmāk – ES) Padome</w:t>
            </w:r>
            <w:r w:rsidR="00982EE3" w:rsidRPr="00211D7C">
              <w:rPr>
                <w:rFonts w:ascii="Times New Roman" w:hAnsi="Times New Roman"/>
              </w:rPr>
              <w:t>s</w:t>
            </w:r>
            <w:r w:rsidRPr="00211D7C">
              <w:rPr>
                <w:rFonts w:ascii="Times New Roman" w:hAnsi="Times New Roman"/>
              </w:rPr>
              <w:t xml:space="preserve"> (turpmāk – Padome) lēmum</w:t>
            </w:r>
            <w:r w:rsidR="00982EE3" w:rsidRPr="00211D7C">
              <w:rPr>
                <w:rFonts w:ascii="Times New Roman" w:hAnsi="Times New Roman"/>
              </w:rPr>
              <w:t>s</w:t>
            </w:r>
            <w:r w:rsidRPr="00211D7C">
              <w:rPr>
                <w:rFonts w:ascii="Times New Roman" w:hAnsi="Times New Roman"/>
              </w:rPr>
              <w:t xml:space="preserve"> Nr.</w:t>
            </w:r>
            <w:r w:rsidR="008A7C16" w:rsidRPr="00211D7C">
              <w:rPr>
                <w:rFonts w:ascii="Times New Roman" w:hAnsi="Times New Roman"/>
              </w:rPr>
              <w:t>2015/1339</w:t>
            </w:r>
            <w:r w:rsidRPr="00211D7C">
              <w:rPr>
                <w:rFonts w:ascii="Times New Roman" w:hAnsi="Times New Roman"/>
              </w:rPr>
              <w:t xml:space="preserve"> </w:t>
            </w:r>
            <w:r w:rsidR="00211D7C" w:rsidRPr="00211D7C">
              <w:rPr>
                <w:rFonts w:ascii="Times New Roman" w:hAnsi="Times New Roman"/>
              </w:rPr>
              <w:t xml:space="preserve">par to, lai Eiropas Savienības vārdā noslēgtu Apvienoto Nāciju Organizācijas Vispārējai konvencijai par klimata pārmaiņām pievienotā Kioto protokola </w:t>
            </w:r>
            <w:proofErr w:type="spellStart"/>
            <w:r w:rsidR="00211D7C" w:rsidRPr="00211D7C">
              <w:rPr>
                <w:rFonts w:ascii="Times New Roman" w:hAnsi="Times New Roman"/>
              </w:rPr>
              <w:t>Dohas</w:t>
            </w:r>
            <w:proofErr w:type="spellEnd"/>
            <w:r w:rsidR="00211D7C" w:rsidRPr="00211D7C">
              <w:rPr>
                <w:rFonts w:ascii="Times New Roman" w:hAnsi="Times New Roman"/>
              </w:rPr>
              <w:t xml:space="preserve"> grozījumu, un no tā izrietošo saistību kopīgu izpildi </w:t>
            </w:r>
            <w:r w:rsidRPr="00211D7C">
              <w:rPr>
                <w:rFonts w:ascii="Times New Roman" w:hAnsi="Times New Roman"/>
              </w:rPr>
              <w:t xml:space="preserve">(turpmāk – </w:t>
            </w:r>
            <w:r w:rsidR="00982EE3" w:rsidRPr="00211D7C">
              <w:rPr>
                <w:rFonts w:ascii="Times New Roman" w:hAnsi="Times New Roman"/>
              </w:rPr>
              <w:t>Padomes lēmums Nr.</w:t>
            </w:r>
            <w:r w:rsidR="00211D7C" w:rsidRPr="00211D7C">
              <w:rPr>
                <w:rFonts w:ascii="Times New Roman" w:hAnsi="Times New Roman"/>
              </w:rPr>
              <w:t>2015/1339</w:t>
            </w:r>
            <w:r w:rsidRPr="00211D7C">
              <w:rPr>
                <w:rFonts w:ascii="Times New Roman" w:hAnsi="Times New Roman"/>
              </w:rPr>
              <w:t>)</w:t>
            </w:r>
            <w:r w:rsidR="00982EE3" w:rsidRPr="00211D7C">
              <w:rPr>
                <w:rFonts w:ascii="Times New Roman" w:hAnsi="Times New Roman"/>
              </w:rPr>
              <w:t xml:space="preserve"> tika pieņemts 2015.gada </w:t>
            </w:r>
            <w:r w:rsidR="00211D7C" w:rsidRPr="00211D7C">
              <w:rPr>
                <w:rFonts w:ascii="Times New Roman" w:hAnsi="Times New Roman"/>
              </w:rPr>
              <w:t>13</w:t>
            </w:r>
            <w:r w:rsidR="00982EE3" w:rsidRPr="00211D7C">
              <w:rPr>
                <w:rFonts w:ascii="Times New Roman" w:hAnsi="Times New Roman"/>
              </w:rPr>
              <w:t>.jūlijā</w:t>
            </w:r>
            <w:r w:rsidRPr="00211D7C">
              <w:rPr>
                <w:rFonts w:ascii="Times New Roman" w:hAnsi="Times New Roman"/>
              </w:rPr>
              <w:t>.</w:t>
            </w:r>
          </w:p>
        </w:tc>
      </w:tr>
      <w:tr w:rsidR="006D3B45" w:rsidRPr="00211D7C" w:rsidTr="00B54471">
        <w:trPr>
          <w:jc w:val="center"/>
        </w:trPr>
        <w:tc>
          <w:tcPr>
            <w:tcW w:w="564"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t>2.</w:t>
            </w:r>
          </w:p>
        </w:tc>
        <w:tc>
          <w:tcPr>
            <w:tcW w:w="1138"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t>Pašreizējā situācija un problēmas, kuru risināšanai tiesību akta projekts izstrādāts, tiesiskā regulējuma mērķis un būtība</w:t>
            </w:r>
          </w:p>
        </w:tc>
        <w:tc>
          <w:tcPr>
            <w:tcW w:w="7937" w:type="dxa"/>
          </w:tcPr>
          <w:p w:rsidR="00095AD3" w:rsidRPr="00211D7C" w:rsidRDefault="00095AD3" w:rsidP="00211D7C">
            <w:pPr>
              <w:pStyle w:val="BodyText"/>
              <w:spacing w:after="60"/>
              <w:ind w:firstLine="170"/>
              <w:jc w:val="both"/>
              <w:rPr>
                <w:rFonts w:eastAsiaTheme="minorHAnsi"/>
                <w:b/>
                <w:bCs/>
                <w:i/>
                <w:color w:val="000000"/>
                <w:sz w:val="22"/>
                <w:szCs w:val="22"/>
                <w:u w:val="single"/>
                <w:lang w:val="lv-LV"/>
              </w:rPr>
            </w:pPr>
            <w:r w:rsidRPr="00211D7C">
              <w:rPr>
                <w:rFonts w:eastAsiaTheme="minorHAnsi"/>
                <w:b/>
                <w:bCs/>
                <w:i/>
                <w:color w:val="000000"/>
                <w:sz w:val="22"/>
                <w:szCs w:val="22"/>
                <w:u w:val="single"/>
                <w:lang w:val="lv-LV"/>
              </w:rPr>
              <w:t>Problēmu, kuras risināšanai nepieciešama projekta izstrāde</w:t>
            </w:r>
          </w:p>
          <w:p w:rsidR="00370479" w:rsidRPr="00211D7C" w:rsidRDefault="00990188" w:rsidP="00211D7C">
            <w:pPr>
              <w:spacing w:after="60" w:line="240" w:lineRule="auto"/>
              <w:ind w:firstLine="170"/>
              <w:jc w:val="both"/>
              <w:rPr>
                <w:rFonts w:ascii="Times New Roman" w:hAnsi="Times New Roman"/>
                <w:b/>
                <w:u w:val="single"/>
              </w:rPr>
            </w:pPr>
            <w:r w:rsidRPr="00211D7C">
              <w:rPr>
                <w:rFonts w:ascii="Times New Roman" w:hAnsi="Times New Roman"/>
                <w:b/>
                <w:u w:val="single"/>
              </w:rPr>
              <w:t xml:space="preserve">Apvienoto Nāciju Organizācijas Vispārējās konvencijas par klimata pārmaiņām Kioto protokola Dohas grozījuma (turpmāk – Dohas grozījums) </w:t>
            </w:r>
            <w:r w:rsidR="00370479" w:rsidRPr="00211D7C">
              <w:rPr>
                <w:rFonts w:ascii="Times New Roman" w:hAnsi="Times New Roman"/>
                <w:b/>
                <w:u w:val="single"/>
              </w:rPr>
              <w:t xml:space="preserve">būtība </w:t>
            </w:r>
          </w:p>
          <w:p w:rsidR="00370479" w:rsidRPr="00211D7C" w:rsidRDefault="0054338A" w:rsidP="00211D7C">
            <w:pPr>
              <w:spacing w:after="60" w:line="240" w:lineRule="auto"/>
              <w:ind w:firstLine="170"/>
              <w:jc w:val="both"/>
              <w:rPr>
                <w:rFonts w:ascii="Times New Roman" w:hAnsi="Times New Roman"/>
              </w:rPr>
            </w:pPr>
            <w:r w:rsidRPr="00211D7C">
              <w:rPr>
                <w:rFonts w:ascii="Times New Roman" w:hAnsi="Times New Roman"/>
              </w:rPr>
              <w:t>Dohas klimata konferencē</w:t>
            </w:r>
            <w:r w:rsidR="000F2BB1" w:rsidRPr="00211D7C">
              <w:rPr>
                <w:rFonts w:ascii="Times New Roman" w:hAnsi="Times New Roman"/>
              </w:rPr>
              <w:t xml:space="preserve"> 2012.gada 8.decembrī Dohā</w:t>
            </w:r>
            <w:r w:rsidR="00370479" w:rsidRPr="00211D7C">
              <w:rPr>
                <w:rFonts w:ascii="Times New Roman" w:hAnsi="Times New Roman"/>
              </w:rPr>
              <w:t xml:space="preserve"> tika panākta</w:t>
            </w:r>
            <w:r w:rsidR="007C0FAC" w:rsidRPr="00211D7C">
              <w:rPr>
                <w:rFonts w:ascii="Times New Roman" w:hAnsi="Times New Roman"/>
              </w:rPr>
              <w:t xml:space="preserve"> </w:t>
            </w:r>
            <w:r w:rsidR="00990188" w:rsidRPr="00211D7C">
              <w:rPr>
                <w:rFonts w:ascii="Times New Roman" w:hAnsi="Times New Roman"/>
              </w:rPr>
              <w:t xml:space="preserve">Apvienoto Nāciju Organizācijas Vispārējās konvencijas par klimata pārmaiņām </w:t>
            </w:r>
            <w:r w:rsidR="007C0FAC" w:rsidRPr="00211D7C">
              <w:rPr>
                <w:rFonts w:ascii="Times New Roman" w:hAnsi="Times New Roman"/>
              </w:rPr>
              <w:t xml:space="preserve">Kioto protokola (turpmāk – Kioto protokols) līgumslēdzēju pušu (turpmāk – Puses) </w:t>
            </w:r>
            <w:r w:rsidR="00370479" w:rsidRPr="00211D7C">
              <w:rPr>
                <w:rFonts w:ascii="Times New Roman" w:hAnsi="Times New Roman"/>
              </w:rPr>
              <w:t>vienošanās</w:t>
            </w:r>
            <w:r w:rsidRPr="00211D7C">
              <w:rPr>
                <w:rFonts w:ascii="Times New Roman" w:hAnsi="Times New Roman"/>
              </w:rPr>
              <w:t xml:space="preserve"> par Kioto protokola </w:t>
            </w:r>
            <w:r w:rsidR="00CB7C28" w:rsidRPr="00211D7C">
              <w:rPr>
                <w:rFonts w:ascii="Times New Roman" w:hAnsi="Times New Roman"/>
              </w:rPr>
              <w:t>grozījumiem</w:t>
            </w:r>
            <w:r w:rsidR="00370479" w:rsidRPr="00211D7C">
              <w:rPr>
                <w:rFonts w:ascii="Times New Roman" w:hAnsi="Times New Roman"/>
              </w:rPr>
              <w:t xml:space="preserve">. </w:t>
            </w:r>
            <w:r w:rsidR="003D7C8C" w:rsidRPr="00211D7C">
              <w:rPr>
                <w:rFonts w:ascii="Times New Roman" w:hAnsi="Times New Roman"/>
              </w:rPr>
              <w:t>Puses vienojās</w:t>
            </w:r>
            <w:r w:rsidR="00370479" w:rsidRPr="00211D7C">
              <w:rPr>
                <w:rFonts w:ascii="Times New Roman" w:hAnsi="Times New Roman"/>
              </w:rPr>
              <w:t xml:space="preserve">, ka </w:t>
            </w:r>
            <w:r w:rsidRPr="00211D7C">
              <w:rPr>
                <w:rFonts w:ascii="Times New Roman" w:hAnsi="Times New Roman"/>
              </w:rPr>
              <w:t xml:space="preserve">Kioto protokola </w:t>
            </w:r>
            <w:r w:rsidR="003D7C8C" w:rsidRPr="00211D7C">
              <w:rPr>
                <w:rFonts w:ascii="Times New Roman" w:hAnsi="Times New Roman"/>
              </w:rPr>
              <w:t>otrais</w:t>
            </w:r>
            <w:r w:rsidR="007C0FAC" w:rsidRPr="00211D7C">
              <w:rPr>
                <w:rFonts w:ascii="Times New Roman" w:hAnsi="Times New Roman"/>
              </w:rPr>
              <w:t xml:space="preserve"> </w:t>
            </w:r>
            <w:r w:rsidR="00370479" w:rsidRPr="00211D7C">
              <w:rPr>
                <w:rFonts w:ascii="Times New Roman" w:hAnsi="Times New Roman"/>
              </w:rPr>
              <w:t>saistību periods ilgs no 2013.gada 1.janvāra līdz 2020.gada 31.decembrim. Citi būtiski Dohas grozījuma elementi:</w:t>
            </w:r>
          </w:p>
          <w:p w:rsidR="00370479" w:rsidRPr="00211D7C" w:rsidRDefault="00370479" w:rsidP="00211D7C">
            <w:pPr>
              <w:pStyle w:val="ListParagraph"/>
              <w:numPr>
                <w:ilvl w:val="0"/>
                <w:numId w:val="11"/>
              </w:numPr>
              <w:suppressAutoHyphens/>
              <w:autoSpaceDN w:val="0"/>
              <w:spacing w:after="60" w:line="240" w:lineRule="auto"/>
              <w:ind w:left="284" w:hanging="284"/>
              <w:contextualSpacing w:val="0"/>
              <w:jc w:val="both"/>
              <w:textAlignment w:val="baseline"/>
              <w:rPr>
                <w:rFonts w:ascii="Times New Roman" w:hAnsi="Times New Roman"/>
                <w:b/>
              </w:rPr>
            </w:pPr>
            <w:r w:rsidRPr="00211D7C">
              <w:rPr>
                <w:rFonts w:ascii="Times New Roman" w:hAnsi="Times New Roman"/>
                <w:b/>
              </w:rPr>
              <w:t>Klimata pārmaiņu samazināšanas saistības</w:t>
            </w:r>
            <w:r w:rsidR="003F2693" w:rsidRPr="00211D7C">
              <w:rPr>
                <w:rFonts w:ascii="Times New Roman" w:hAnsi="Times New Roman"/>
              </w:rPr>
              <w:t>.</w:t>
            </w:r>
            <w:r w:rsidRPr="00211D7C">
              <w:rPr>
                <w:rFonts w:ascii="Times New Roman" w:hAnsi="Times New Roman"/>
                <w:b/>
              </w:rPr>
              <w:t xml:space="preserve"> </w:t>
            </w:r>
            <w:r w:rsidR="003F2693" w:rsidRPr="00211D7C">
              <w:rPr>
                <w:rFonts w:ascii="Times New Roman" w:hAnsi="Times New Roman"/>
              </w:rPr>
              <w:t xml:space="preserve">Kioto protokola </w:t>
            </w:r>
            <w:r w:rsidR="003D7C8C" w:rsidRPr="00211D7C">
              <w:rPr>
                <w:rFonts w:ascii="Times New Roman" w:hAnsi="Times New Roman"/>
              </w:rPr>
              <w:t>otrā</w:t>
            </w:r>
            <w:r w:rsidR="003F2693" w:rsidRPr="00211D7C">
              <w:rPr>
                <w:rFonts w:ascii="Times New Roman" w:hAnsi="Times New Roman"/>
              </w:rPr>
              <w:t xml:space="preserve"> saistību periodā Pusēm tiek noteiktas kvantitatīvas emisiju ierobežošanas vai samazināšanas saistības (</w:t>
            </w:r>
            <w:r w:rsidR="003F2693" w:rsidRPr="00211D7C">
              <w:rPr>
                <w:rFonts w:ascii="Times New Roman" w:hAnsi="Times New Roman"/>
                <w:i/>
              </w:rPr>
              <w:t>QELRC</w:t>
            </w:r>
            <w:r w:rsidRPr="00211D7C">
              <w:rPr>
                <w:rStyle w:val="FootnoteReference"/>
                <w:rFonts w:ascii="Times New Roman" w:hAnsi="Times New Roman"/>
                <w:i/>
              </w:rPr>
              <w:footnoteReference w:id="1"/>
            </w:r>
            <w:r w:rsidR="003F2693" w:rsidRPr="00211D7C">
              <w:rPr>
                <w:rFonts w:ascii="Times New Roman" w:hAnsi="Times New Roman"/>
              </w:rPr>
              <w:t xml:space="preserve">). ES, </w:t>
            </w:r>
            <w:r w:rsidR="003D7C8C" w:rsidRPr="00211D7C">
              <w:rPr>
                <w:rFonts w:ascii="Times New Roman" w:hAnsi="Times New Roman"/>
              </w:rPr>
              <w:t>ES</w:t>
            </w:r>
            <w:r w:rsidR="003F2693" w:rsidRPr="00211D7C">
              <w:rPr>
                <w:rFonts w:ascii="Times New Roman" w:hAnsi="Times New Roman"/>
              </w:rPr>
              <w:t xml:space="preserve"> dalībvalstis un Islande Dohas klimata konferencē paziņoja par saistību kopīgu izpildi – siltumnīcefekta gāzu (turpmāk – SEG) emisiju apjoms tajās 2020.gadā nepārsniegs 80% no kopējām šo valstu bāzes gada SEG emisijām. </w:t>
            </w:r>
          </w:p>
          <w:p w:rsidR="00370479" w:rsidRPr="00211D7C" w:rsidRDefault="00370479" w:rsidP="00211D7C">
            <w:pPr>
              <w:pStyle w:val="ListParagraph"/>
              <w:numPr>
                <w:ilvl w:val="0"/>
                <w:numId w:val="11"/>
              </w:numPr>
              <w:suppressAutoHyphens/>
              <w:autoSpaceDN w:val="0"/>
              <w:spacing w:after="60" w:line="240" w:lineRule="auto"/>
              <w:ind w:left="284" w:hanging="284"/>
              <w:contextualSpacing w:val="0"/>
              <w:jc w:val="both"/>
              <w:textAlignment w:val="baseline"/>
              <w:rPr>
                <w:rFonts w:ascii="Times New Roman" w:hAnsi="Times New Roman"/>
              </w:rPr>
            </w:pPr>
            <w:r w:rsidRPr="00211D7C">
              <w:rPr>
                <w:rFonts w:ascii="Times New Roman" w:hAnsi="Times New Roman"/>
                <w:b/>
              </w:rPr>
              <w:t>Slāpekļa trifluorīda (NF</w:t>
            </w:r>
            <w:r w:rsidRPr="00211D7C">
              <w:rPr>
                <w:rFonts w:ascii="Times New Roman" w:hAnsi="Times New Roman"/>
                <w:b/>
                <w:vertAlign w:val="subscript"/>
              </w:rPr>
              <w:t>3</w:t>
            </w:r>
            <w:r w:rsidRPr="00211D7C">
              <w:rPr>
                <w:rFonts w:ascii="Times New Roman" w:hAnsi="Times New Roman"/>
                <w:b/>
              </w:rPr>
              <w:t>) pievienošana</w:t>
            </w:r>
            <w:r w:rsidRPr="00211D7C">
              <w:rPr>
                <w:rFonts w:ascii="Times New Roman" w:hAnsi="Times New Roman"/>
              </w:rPr>
              <w:t xml:space="preserve">. Kioto protokola A pielikums tiek papildināts ar jaunu </w:t>
            </w:r>
            <w:r w:rsidR="003D7C8C" w:rsidRPr="00211D7C">
              <w:rPr>
                <w:rFonts w:ascii="Times New Roman" w:hAnsi="Times New Roman"/>
              </w:rPr>
              <w:t xml:space="preserve">emisijas vienību: </w:t>
            </w:r>
            <w:r w:rsidRPr="00211D7C">
              <w:rPr>
                <w:rFonts w:ascii="Times New Roman" w:hAnsi="Times New Roman"/>
              </w:rPr>
              <w:t>SEG – NF</w:t>
            </w:r>
            <w:r w:rsidRPr="00211D7C">
              <w:rPr>
                <w:rFonts w:ascii="Times New Roman" w:hAnsi="Times New Roman"/>
                <w:vertAlign w:val="subscript"/>
              </w:rPr>
              <w:t>3</w:t>
            </w:r>
            <w:r w:rsidRPr="00211D7C">
              <w:rPr>
                <w:rFonts w:ascii="Times New Roman" w:hAnsi="Times New Roman"/>
              </w:rPr>
              <w:t>. Lai gan patlaban ES NF</w:t>
            </w:r>
            <w:r w:rsidRPr="00211D7C">
              <w:rPr>
                <w:rFonts w:ascii="Times New Roman" w:hAnsi="Times New Roman"/>
                <w:vertAlign w:val="subscript"/>
              </w:rPr>
              <w:t>3</w:t>
            </w:r>
            <w:r w:rsidRPr="00211D7C">
              <w:rPr>
                <w:rFonts w:ascii="Times New Roman" w:hAnsi="Times New Roman"/>
              </w:rPr>
              <w:t xml:space="preserve"> emisijas ir nelielas, tām ir tendence pieaugt, </w:t>
            </w:r>
            <w:r w:rsidR="0054338A" w:rsidRPr="00211D7C">
              <w:rPr>
                <w:rFonts w:ascii="Times New Roman" w:hAnsi="Times New Roman"/>
              </w:rPr>
              <w:t xml:space="preserve">tomēr </w:t>
            </w:r>
            <w:r w:rsidRPr="00211D7C">
              <w:rPr>
                <w:rFonts w:ascii="Times New Roman" w:hAnsi="Times New Roman"/>
              </w:rPr>
              <w:t>NF</w:t>
            </w:r>
            <w:r w:rsidRPr="00211D7C">
              <w:rPr>
                <w:rFonts w:ascii="Times New Roman" w:hAnsi="Times New Roman"/>
                <w:vertAlign w:val="subscript"/>
              </w:rPr>
              <w:t>3</w:t>
            </w:r>
            <w:r w:rsidRPr="00211D7C">
              <w:rPr>
                <w:rFonts w:ascii="Times New Roman" w:hAnsi="Times New Roman"/>
              </w:rPr>
              <w:t xml:space="preserve"> globālās sasilšanas potenciāls ir </w:t>
            </w:r>
            <w:r w:rsidR="0054338A" w:rsidRPr="00211D7C">
              <w:rPr>
                <w:rFonts w:ascii="Times New Roman" w:hAnsi="Times New Roman"/>
              </w:rPr>
              <w:t>ļoti ievērojams</w:t>
            </w:r>
            <w:r w:rsidRPr="00211D7C">
              <w:rPr>
                <w:rFonts w:ascii="Times New Roman" w:hAnsi="Times New Roman"/>
              </w:rPr>
              <w:t>.</w:t>
            </w:r>
          </w:p>
          <w:p w:rsidR="00000711" w:rsidRPr="00211D7C" w:rsidRDefault="00E822FD" w:rsidP="00211D7C">
            <w:pPr>
              <w:pStyle w:val="ListParagraph"/>
              <w:numPr>
                <w:ilvl w:val="0"/>
                <w:numId w:val="11"/>
              </w:numPr>
              <w:spacing w:after="60" w:line="240" w:lineRule="auto"/>
              <w:ind w:left="284" w:hanging="284"/>
              <w:contextualSpacing w:val="0"/>
              <w:jc w:val="both"/>
              <w:rPr>
                <w:rFonts w:ascii="Times New Roman" w:hAnsi="Times New Roman"/>
              </w:rPr>
            </w:pPr>
            <w:r w:rsidRPr="00211D7C">
              <w:rPr>
                <w:rFonts w:ascii="Times New Roman" w:hAnsi="Times New Roman"/>
              </w:rPr>
              <w:t>Ar Dohas grozījumu Kioto protokola 2.saistību perioda aptvērumā tiek iekļautas arī NF</w:t>
            </w:r>
            <w:r w:rsidRPr="00211D7C">
              <w:rPr>
                <w:rFonts w:ascii="Times New Roman" w:hAnsi="Times New Roman"/>
                <w:vertAlign w:val="subscript"/>
              </w:rPr>
              <w:t>3</w:t>
            </w:r>
            <w:r w:rsidRPr="00211D7C">
              <w:rPr>
                <w:rFonts w:ascii="Times New Roman" w:hAnsi="Times New Roman"/>
              </w:rPr>
              <w:t xml:space="preserve"> emisijas (Saistību pārdales lēmums</w:t>
            </w:r>
            <w:r w:rsidRPr="00211D7C">
              <w:rPr>
                <w:rStyle w:val="FootnoteReference"/>
                <w:rFonts w:ascii="Times New Roman" w:hAnsi="Times New Roman"/>
              </w:rPr>
              <w:footnoteReference w:id="2"/>
            </w:r>
            <w:r w:rsidRPr="00211D7C">
              <w:rPr>
                <w:rFonts w:ascii="Times New Roman" w:hAnsi="Times New Roman"/>
              </w:rPr>
              <w:t xml:space="preserve"> neparedz NF</w:t>
            </w:r>
            <w:r w:rsidRPr="00211D7C">
              <w:rPr>
                <w:rFonts w:ascii="Times New Roman" w:hAnsi="Times New Roman"/>
                <w:vertAlign w:val="subscript"/>
              </w:rPr>
              <w:t>3</w:t>
            </w:r>
            <w:r w:rsidRPr="00211D7C">
              <w:rPr>
                <w:rFonts w:ascii="Times New Roman" w:hAnsi="Times New Roman"/>
              </w:rPr>
              <w:t xml:space="preserve"> emisiju iekļaušanu saistībās). Paredzams, ka NF</w:t>
            </w:r>
            <w:r w:rsidRPr="00211D7C">
              <w:rPr>
                <w:rFonts w:ascii="Times New Roman" w:hAnsi="Times New Roman"/>
                <w:vertAlign w:val="subscript"/>
              </w:rPr>
              <w:t>3</w:t>
            </w:r>
            <w:r w:rsidRPr="00211D7C">
              <w:rPr>
                <w:rFonts w:ascii="Times New Roman" w:hAnsi="Times New Roman"/>
              </w:rPr>
              <w:t xml:space="preserve"> emisiju iekļaušana Latvijai papildus izmaksas neradīs, jo šobrīd valstī nav ražotņu, kas ražošanas procesā emitētu šo gāzi.</w:t>
            </w:r>
            <w:r w:rsidR="00000711" w:rsidRPr="00211D7C">
              <w:rPr>
                <w:rFonts w:ascii="Times New Roman" w:hAnsi="Times New Roman"/>
              </w:rPr>
              <w:t xml:space="preserve"> </w:t>
            </w:r>
            <w:r w:rsidR="00000711" w:rsidRPr="00211D7C">
              <w:rPr>
                <w:rFonts w:ascii="Times New Roman" w:hAnsi="Times New Roman"/>
                <w:noProof/>
              </w:rPr>
              <w:t>NF</w:t>
            </w:r>
            <w:r w:rsidR="00000711" w:rsidRPr="00211D7C">
              <w:rPr>
                <w:rFonts w:ascii="Times New Roman" w:hAnsi="Times New Roman"/>
                <w:noProof/>
                <w:vertAlign w:val="subscript"/>
              </w:rPr>
              <w:t>3</w:t>
            </w:r>
            <w:r w:rsidR="00000711" w:rsidRPr="00211D7C">
              <w:rPr>
                <w:rFonts w:ascii="Times New Roman" w:hAnsi="Times New Roman"/>
                <w:noProof/>
              </w:rPr>
              <w:t xml:space="preserve"> parasti izmanto, ražojot personālos datorus un šķidro kristāla displeja (LCD) platekrāna televizorus. Latvijā šādus produktus neražo, līdz ar to NF</w:t>
            </w:r>
            <w:r w:rsidR="00000711" w:rsidRPr="00211D7C">
              <w:rPr>
                <w:rFonts w:ascii="Times New Roman" w:hAnsi="Times New Roman"/>
                <w:noProof/>
                <w:vertAlign w:val="subscript"/>
              </w:rPr>
              <w:t>3</w:t>
            </w:r>
            <w:r w:rsidR="00000711" w:rsidRPr="00211D7C">
              <w:rPr>
                <w:rFonts w:ascii="Times New Roman" w:hAnsi="Times New Roman"/>
                <w:noProof/>
              </w:rPr>
              <w:t xml:space="preserve"> emisijas valstī tiks aprēķinātas, ņemot vērā importēto produktu apjomus. Tā kā šai gāzei ir ļoti augsts globālās sasilšanas potenciāls (172 000 reižu augstāks kā CO</w:t>
            </w:r>
            <w:r w:rsidR="00000711" w:rsidRPr="00211D7C">
              <w:rPr>
                <w:rFonts w:ascii="Times New Roman" w:hAnsi="Times New Roman"/>
                <w:noProof/>
                <w:vertAlign w:val="subscript"/>
              </w:rPr>
              <w:t>2</w:t>
            </w:r>
            <w:r w:rsidR="00000711" w:rsidRPr="00211D7C">
              <w:rPr>
                <w:rFonts w:ascii="Times New Roman" w:hAnsi="Times New Roman"/>
                <w:noProof/>
              </w:rPr>
              <w:t xml:space="preserve"> emisijām), ir paredzams, ka Latvijas kopējās emisijas palielināsies. Šobrīd ir grūti novērtēt procentuālo emisiju palielinājumu, jo līdz šim nav veikta datu apzināšana. </w:t>
            </w:r>
          </w:p>
          <w:p w:rsidR="00370479" w:rsidRPr="00211D7C" w:rsidRDefault="00370479" w:rsidP="00211D7C">
            <w:pPr>
              <w:pStyle w:val="ListParagraph"/>
              <w:numPr>
                <w:ilvl w:val="0"/>
                <w:numId w:val="11"/>
              </w:numPr>
              <w:suppressAutoHyphens/>
              <w:autoSpaceDN w:val="0"/>
              <w:spacing w:after="60" w:line="240" w:lineRule="auto"/>
              <w:ind w:left="284" w:hanging="284"/>
              <w:contextualSpacing w:val="0"/>
              <w:jc w:val="both"/>
              <w:textAlignment w:val="baseline"/>
              <w:rPr>
                <w:rFonts w:ascii="Times New Roman" w:hAnsi="Times New Roman"/>
                <w:b/>
              </w:rPr>
            </w:pPr>
            <w:r w:rsidRPr="00211D7C">
              <w:rPr>
                <w:rFonts w:ascii="Times New Roman" w:hAnsi="Times New Roman"/>
                <w:b/>
              </w:rPr>
              <w:t>Mehānisms SEG emisiju samazināšanas saistību palielināšanai</w:t>
            </w:r>
            <w:r w:rsidR="003F2693" w:rsidRPr="00211D7C">
              <w:rPr>
                <w:rFonts w:ascii="Times New Roman" w:hAnsi="Times New Roman"/>
              </w:rPr>
              <w:t>.</w:t>
            </w:r>
            <w:r w:rsidRPr="00211D7C">
              <w:rPr>
                <w:rFonts w:ascii="Times New Roman" w:hAnsi="Times New Roman"/>
              </w:rPr>
              <w:t xml:space="preserve"> (</w:t>
            </w:r>
            <w:r w:rsidR="003D7C8C" w:rsidRPr="00211D7C">
              <w:rPr>
                <w:rFonts w:ascii="Times New Roman" w:hAnsi="Times New Roman"/>
              </w:rPr>
              <w:t xml:space="preserve">Dohas grozījumu </w:t>
            </w:r>
            <w:r w:rsidRPr="00211D7C">
              <w:rPr>
                <w:rFonts w:ascii="Times New Roman" w:hAnsi="Times New Roman"/>
              </w:rPr>
              <w:t>3.panta 1.c punkts (</w:t>
            </w:r>
            <w:r w:rsidRPr="00211D7C">
              <w:rPr>
                <w:rFonts w:ascii="Times New Roman" w:hAnsi="Times New Roman"/>
                <w:i/>
              </w:rPr>
              <w:t>1 ter</w:t>
            </w:r>
            <w:r w:rsidRPr="00211D7C">
              <w:rPr>
                <w:rFonts w:ascii="Times New Roman" w:hAnsi="Times New Roman"/>
              </w:rPr>
              <w:t>)) paredz</w:t>
            </w:r>
            <w:r w:rsidR="006E40B2" w:rsidRPr="00211D7C">
              <w:rPr>
                <w:rFonts w:ascii="Times New Roman" w:hAnsi="Times New Roman"/>
              </w:rPr>
              <w:t>ēta</w:t>
            </w:r>
            <w:r w:rsidRPr="00211D7C">
              <w:rPr>
                <w:rFonts w:ascii="Times New Roman" w:hAnsi="Times New Roman"/>
              </w:rPr>
              <w:t xml:space="preserve"> vienkāršot</w:t>
            </w:r>
            <w:r w:rsidR="006E40B2" w:rsidRPr="00211D7C">
              <w:rPr>
                <w:rFonts w:ascii="Times New Roman" w:hAnsi="Times New Roman"/>
              </w:rPr>
              <w:t>a</w:t>
            </w:r>
            <w:r w:rsidRPr="00211D7C">
              <w:rPr>
                <w:rFonts w:ascii="Times New Roman" w:hAnsi="Times New Roman"/>
              </w:rPr>
              <w:t xml:space="preserve"> procedūr</w:t>
            </w:r>
            <w:r w:rsidR="006E40B2" w:rsidRPr="00211D7C">
              <w:rPr>
                <w:rFonts w:ascii="Times New Roman" w:hAnsi="Times New Roman"/>
              </w:rPr>
              <w:t>a</w:t>
            </w:r>
            <w:r w:rsidRPr="00211D7C">
              <w:rPr>
                <w:rFonts w:ascii="Times New Roman" w:hAnsi="Times New Roman"/>
              </w:rPr>
              <w:t xml:space="preserve">, </w:t>
            </w:r>
            <w:r w:rsidR="006E40B2" w:rsidRPr="00211D7C">
              <w:rPr>
                <w:rFonts w:ascii="Times New Roman" w:hAnsi="Times New Roman"/>
              </w:rPr>
              <w:t>atbilstoši kurai</w:t>
            </w:r>
            <w:r w:rsidRPr="00211D7C">
              <w:rPr>
                <w:rFonts w:ascii="Times New Roman" w:hAnsi="Times New Roman"/>
              </w:rPr>
              <w:t xml:space="preserve"> Puse</w:t>
            </w:r>
            <w:r w:rsidR="006E40B2" w:rsidRPr="00211D7C">
              <w:rPr>
                <w:rFonts w:ascii="Times New Roman" w:hAnsi="Times New Roman"/>
              </w:rPr>
              <w:t>s</w:t>
            </w:r>
            <w:r w:rsidRPr="00211D7C">
              <w:rPr>
                <w:rFonts w:ascii="Times New Roman" w:hAnsi="Times New Roman"/>
              </w:rPr>
              <w:t xml:space="preserve"> </w:t>
            </w:r>
            <w:r w:rsidR="006E40B2" w:rsidRPr="00211D7C">
              <w:rPr>
                <w:rFonts w:ascii="Times New Roman" w:hAnsi="Times New Roman"/>
              </w:rPr>
              <w:t xml:space="preserve">var </w:t>
            </w:r>
            <w:r w:rsidRPr="00211D7C">
              <w:rPr>
                <w:rFonts w:ascii="Times New Roman" w:hAnsi="Times New Roman"/>
              </w:rPr>
              <w:t>koriģēt savas SEG emisiju samazināšanas saistības, nosakot</w:t>
            </w:r>
            <w:r w:rsidR="00990188" w:rsidRPr="00211D7C">
              <w:rPr>
                <w:rFonts w:ascii="Times New Roman" w:hAnsi="Times New Roman"/>
              </w:rPr>
              <w:t xml:space="preserve"> sev lielākas un ambiciozākas</w:t>
            </w:r>
            <w:r w:rsidRPr="00211D7C">
              <w:rPr>
                <w:rFonts w:ascii="Times New Roman" w:hAnsi="Times New Roman"/>
              </w:rPr>
              <w:t xml:space="preserve"> saistības.</w:t>
            </w:r>
          </w:p>
          <w:p w:rsidR="00370479" w:rsidRPr="00211D7C" w:rsidRDefault="00370479" w:rsidP="00211D7C">
            <w:pPr>
              <w:pStyle w:val="ManualHeading2"/>
              <w:numPr>
                <w:ilvl w:val="0"/>
                <w:numId w:val="11"/>
              </w:numPr>
              <w:tabs>
                <w:tab w:val="clear" w:pos="850"/>
                <w:tab w:val="left" w:pos="0"/>
              </w:tabs>
              <w:spacing w:before="0" w:after="60"/>
              <w:ind w:left="284" w:hanging="284"/>
              <w:rPr>
                <w:b w:val="0"/>
                <w:sz w:val="22"/>
                <w:szCs w:val="22"/>
              </w:rPr>
            </w:pPr>
            <w:r w:rsidRPr="00211D7C">
              <w:rPr>
                <w:sz w:val="22"/>
                <w:szCs w:val="22"/>
              </w:rPr>
              <w:t>Noteiktā daudzuma korekcija</w:t>
            </w:r>
            <w:r w:rsidR="003F2693" w:rsidRPr="00211D7C">
              <w:rPr>
                <w:b w:val="0"/>
                <w:sz w:val="22"/>
                <w:szCs w:val="22"/>
              </w:rPr>
              <w:t>.</w:t>
            </w:r>
            <w:r w:rsidRPr="00211D7C">
              <w:rPr>
                <w:sz w:val="22"/>
                <w:szCs w:val="22"/>
              </w:rPr>
              <w:t xml:space="preserve"> </w:t>
            </w:r>
            <w:r w:rsidRPr="00211D7C">
              <w:rPr>
                <w:b w:val="0"/>
                <w:sz w:val="22"/>
                <w:szCs w:val="22"/>
              </w:rPr>
              <w:t>(</w:t>
            </w:r>
            <w:r w:rsidR="006E40B2" w:rsidRPr="00211D7C">
              <w:rPr>
                <w:b w:val="0"/>
                <w:sz w:val="22"/>
                <w:szCs w:val="22"/>
              </w:rPr>
              <w:t xml:space="preserve">Dohas grozījumu </w:t>
            </w:r>
            <w:r w:rsidRPr="00211D7C">
              <w:rPr>
                <w:b w:val="0"/>
                <w:sz w:val="22"/>
                <w:szCs w:val="22"/>
              </w:rPr>
              <w:t>3.panta 7.c punkts (</w:t>
            </w:r>
            <w:r w:rsidRPr="00211D7C">
              <w:rPr>
                <w:b w:val="0"/>
                <w:i/>
                <w:sz w:val="22"/>
                <w:szCs w:val="22"/>
              </w:rPr>
              <w:t>7 ter</w:t>
            </w:r>
            <w:r w:rsidRPr="00211D7C">
              <w:rPr>
                <w:b w:val="0"/>
                <w:sz w:val="22"/>
                <w:szCs w:val="22"/>
              </w:rPr>
              <w:t xml:space="preserve">)). </w:t>
            </w:r>
            <w:r w:rsidRPr="00211D7C">
              <w:rPr>
                <w:b w:val="0"/>
                <w:sz w:val="22"/>
                <w:szCs w:val="22"/>
              </w:rPr>
              <w:lastRenderedPageBreak/>
              <w:t xml:space="preserve">Kioto protokola </w:t>
            </w:r>
            <w:r w:rsidR="006E40B2" w:rsidRPr="00211D7C">
              <w:rPr>
                <w:b w:val="0"/>
                <w:sz w:val="22"/>
                <w:szCs w:val="22"/>
              </w:rPr>
              <w:t>otrā</w:t>
            </w:r>
            <w:r w:rsidR="00990188" w:rsidRPr="00211D7C">
              <w:rPr>
                <w:b w:val="0"/>
                <w:sz w:val="22"/>
                <w:szCs w:val="22"/>
              </w:rPr>
              <w:t xml:space="preserve"> </w:t>
            </w:r>
            <w:r w:rsidRPr="00211D7C">
              <w:rPr>
                <w:b w:val="0"/>
                <w:sz w:val="22"/>
                <w:szCs w:val="22"/>
              </w:rPr>
              <w:t>saistību periodā Puses noteiktais daudzums (</w:t>
            </w:r>
            <w:r w:rsidRPr="00211D7C">
              <w:rPr>
                <w:b w:val="0"/>
                <w:i/>
                <w:sz w:val="22"/>
                <w:szCs w:val="22"/>
              </w:rPr>
              <w:t>assigned amount</w:t>
            </w:r>
            <w:r w:rsidR="006E40B2" w:rsidRPr="00211D7C">
              <w:rPr>
                <w:b w:val="0"/>
                <w:sz w:val="22"/>
                <w:szCs w:val="22"/>
              </w:rPr>
              <w:t xml:space="preserve"> jeb</w:t>
            </w:r>
            <w:r w:rsidR="00990188" w:rsidRPr="00211D7C">
              <w:rPr>
                <w:b w:val="0"/>
                <w:sz w:val="22"/>
                <w:szCs w:val="22"/>
              </w:rPr>
              <w:t xml:space="preserve"> </w:t>
            </w:r>
            <w:r w:rsidR="003F2693" w:rsidRPr="00211D7C">
              <w:rPr>
                <w:b w:val="0"/>
                <w:i/>
                <w:sz w:val="22"/>
                <w:szCs w:val="22"/>
              </w:rPr>
              <w:t>AA</w:t>
            </w:r>
            <w:r w:rsidRPr="00211D7C">
              <w:rPr>
                <w:b w:val="0"/>
                <w:sz w:val="22"/>
                <w:szCs w:val="22"/>
              </w:rPr>
              <w:t>) nedrīkst pārsniegt Puses vidējo emisiju apjomu 2008.-2010.gadā, kas reizināts ar astoņi</w:t>
            </w:r>
            <w:r w:rsidRPr="00211D7C">
              <w:rPr>
                <w:rStyle w:val="FootnoteReference"/>
                <w:b w:val="0"/>
                <w:sz w:val="22"/>
                <w:szCs w:val="22"/>
              </w:rPr>
              <w:footnoteReference w:id="3"/>
            </w:r>
            <w:r w:rsidRPr="00211D7C">
              <w:rPr>
                <w:b w:val="0"/>
                <w:sz w:val="22"/>
                <w:szCs w:val="22"/>
              </w:rPr>
              <w:t>. Jebkurš pozitīvs pārsniegums ir jāanulē, Kioto protokola vienības pārskaitot uz t.s. dzēšanas kontu.</w:t>
            </w:r>
          </w:p>
          <w:p w:rsidR="00370479" w:rsidRPr="00211D7C" w:rsidRDefault="00370479" w:rsidP="00211D7C">
            <w:pPr>
              <w:pStyle w:val="ListParagraph"/>
              <w:numPr>
                <w:ilvl w:val="0"/>
                <w:numId w:val="11"/>
              </w:numPr>
              <w:suppressAutoHyphens/>
              <w:autoSpaceDN w:val="0"/>
              <w:spacing w:after="60" w:line="240" w:lineRule="auto"/>
              <w:ind w:left="284" w:hanging="284"/>
              <w:contextualSpacing w:val="0"/>
              <w:jc w:val="both"/>
              <w:textAlignment w:val="baseline"/>
              <w:rPr>
                <w:rFonts w:ascii="Times New Roman" w:hAnsi="Times New Roman"/>
              </w:rPr>
            </w:pPr>
            <w:r w:rsidRPr="00211D7C">
              <w:rPr>
                <w:rFonts w:ascii="Times New Roman" w:hAnsi="Times New Roman"/>
                <w:b/>
              </w:rPr>
              <w:t>Kioto protokola grozījumu spēkā stāšanās</w:t>
            </w:r>
            <w:r w:rsidR="003F2693" w:rsidRPr="00211D7C">
              <w:rPr>
                <w:rFonts w:ascii="Times New Roman" w:hAnsi="Times New Roman"/>
              </w:rPr>
              <w:t>.</w:t>
            </w:r>
            <w:r w:rsidRPr="00211D7C">
              <w:rPr>
                <w:rFonts w:ascii="Times New Roman" w:hAnsi="Times New Roman"/>
                <w:b/>
              </w:rPr>
              <w:t xml:space="preserve"> </w:t>
            </w:r>
            <w:r w:rsidRPr="00211D7C">
              <w:rPr>
                <w:rFonts w:ascii="Times New Roman" w:hAnsi="Times New Roman"/>
              </w:rPr>
              <w:t xml:space="preserve">Atbilstoši Kioto protokola 20. un 21.pantam, Kioto protokola grozījumi </w:t>
            </w:r>
            <w:r w:rsidR="006E40B2" w:rsidRPr="00211D7C">
              <w:rPr>
                <w:rFonts w:ascii="Times New Roman" w:hAnsi="Times New Roman"/>
              </w:rPr>
              <w:t xml:space="preserve">jeb Dohas grozījumi </w:t>
            </w:r>
            <w:r w:rsidRPr="00211D7C">
              <w:rPr>
                <w:rFonts w:ascii="Times New Roman" w:hAnsi="Times New Roman"/>
              </w:rPr>
              <w:t xml:space="preserve">stāsies spēkā </w:t>
            </w:r>
            <w:r w:rsidR="006E40B2" w:rsidRPr="00211D7C">
              <w:rPr>
                <w:rFonts w:ascii="Times New Roman" w:hAnsi="Times New Roman"/>
              </w:rPr>
              <w:t>deviņdesmitajā</w:t>
            </w:r>
            <w:r w:rsidRPr="00211D7C">
              <w:rPr>
                <w:rFonts w:ascii="Times New Roman" w:hAnsi="Times New Roman"/>
              </w:rPr>
              <w:t xml:space="preserve"> dienā pēc tam, kad Konvencijas Depozitārijs būs saņēmis apstiprināšanas dokumentu no vismaz trīs ceturtdaļām Kioto protokola Pušu. Lai Dohas grozījums stātos spēkā, pavisam jābūt saņemtiem 144 apstiprināšanas dokumentiem. Katrai Pusei savā ratifikācijas instrumentā jāapliecina tās individuālie mērķi kopīgo saistību ietvaros.</w:t>
            </w:r>
          </w:p>
          <w:p w:rsidR="00370479" w:rsidRPr="00211D7C" w:rsidRDefault="002139AC" w:rsidP="00211D7C">
            <w:pPr>
              <w:spacing w:after="60" w:line="240" w:lineRule="auto"/>
              <w:ind w:firstLine="170"/>
              <w:jc w:val="both"/>
              <w:rPr>
                <w:rFonts w:ascii="Times New Roman" w:hAnsi="Times New Roman"/>
                <w:b/>
                <w:u w:val="single"/>
              </w:rPr>
            </w:pPr>
            <w:r w:rsidRPr="00211D7C">
              <w:rPr>
                <w:rFonts w:ascii="Times New Roman" w:hAnsi="Times New Roman"/>
                <w:b/>
                <w:u w:val="single"/>
              </w:rPr>
              <w:t>Lēmuma projekta</w:t>
            </w:r>
            <w:r w:rsidR="00990188" w:rsidRPr="00211D7C">
              <w:rPr>
                <w:rFonts w:ascii="Times New Roman" w:hAnsi="Times New Roman"/>
                <w:b/>
                <w:u w:val="single"/>
              </w:rPr>
              <w:t xml:space="preserve"> par Dohas grozījuma noslēgšanu </w:t>
            </w:r>
            <w:r w:rsidR="00370479" w:rsidRPr="00211D7C">
              <w:rPr>
                <w:rFonts w:ascii="Times New Roman" w:hAnsi="Times New Roman"/>
                <w:b/>
                <w:u w:val="single"/>
              </w:rPr>
              <w:t>būtība</w:t>
            </w:r>
          </w:p>
          <w:p w:rsidR="00370479" w:rsidRPr="00211D7C" w:rsidRDefault="00982EE3" w:rsidP="00211D7C">
            <w:pPr>
              <w:spacing w:after="60" w:line="240" w:lineRule="auto"/>
              <w:ind w:firstLine="170"/>
              <w:jc w:val="both"/>
              <w:rPr>
                <w:rFonts w:ascii="Times New Roman" w:hAnsi="Times New Roman"/>
              </w:rPr>
            </w:pPr>
            <w:r w:rsidRPr="00211D7C">
              <w:rPr>
                <w:rFonts w:ascii="Times New Roman" w:hAnsi="Times New Roman"/>
              </w:rPr>
              <w:t>Padomes lēmumā Nr.</w:t>
            </w:r>
            <w:r w:rsidR="00211D7C" w:rsidRPr="00211D7C">
              <w:rPr>
                <w:rFonts w:ascii="Times New Roman" w:hAnsi="Times New Roman"/>
              </w:rPr>
              <w:t>2015/1339</w:t>
            </w:r>
            <w:r w:rsidRPr="00211D7C">
              <w:rPr>
                <w:rFonts w:ascii="Times New Roman" w:hAnsi="Times New Roman"/>
                <w:i/>
              </w:rPr>
              <w:t xml:space="preserve"> </w:t>
            </w:r>
            <w:r w:rsidR="00370479" w:rsidRPr="00211D7C">
              <w:rPr>
                <w:rFonts w:ascii="Times New Roman" w:hAnsi="Times New Roman"/>
              </w:rPr>
              <w:t>noteikta kārtība, kādā notiks kopīgo ES saistību ieviešana</w:t>
            </w:r>
            <w:r w:rsidRPr="00211D7C">
              <w:rPr>
                <w:rFonts w:ascii="Times New Roman" w:hAnsi="Times New Roman"/>
              </w:rPr>
              <w:t xml:space="preserve">, ir </w:t>
            </w:r>
            <w:r w:rsidR="00370479" w:rsidRPr="00211D7C">
              <w:rPr>
                <w:rFonts w:ascii="Times New Roman" w:hAnsi="Times New Roman"/>
              </w:rPr>
              <w:t>precizētas Komisijas un ES dalībvalstu ziņošanas prasības un noteikti termiņi, kad dalībvalstīm jāpabeidz (</w:t>
            </w:r>
            <w:r w:rsidR="00370479" w:rsidRPr="00211D7C">
              <w:rPr>
                <w:rFonts w:ascii="Times New Roman" w:hAnsi="Times New Roman"/>
                <w:i/>
              </w:rPr>
              <w:t>should ratify</w:t>
            </w:r>
            <w:r w:rsidR="00370479" w:rsidRPr="00211D7C">
              <w:rPr>
                <w:rFonts w:ascii="Times New Roman" w:hAnsi="Times New Roman"/>
              </w:rPr>
              <w:t>) Dohas grozījuma ratifikācijas process un savlaicīgi jāinformē Komisija par attiecī</w:t>
            </w:r>
            <w:r w:rsidR="00663805" w:rsidRPr="00211D7C">
              <w:rPr>
                <w:rFonts w:ascii="Times New Roman" w:hAnsi="Times New Roman"/>
              </w:rPr>
              <w:t>go procedūru pabeigšanas datumu.</w:t>
            </w:r>
          </w:p>
          <w:p w:rsidR="00370479" w:rsidRPr="00211D7C" w:rsidRDefault="00982EE3" w:rsidP="00211D7C">
            <w:pPr>
              <w:spacing w:after="60" w:line="240" w:lineRule="auto"/>
              <w:ind w:firstLine="170"/>
              <w:jc w:val="both"/>
              <w:rPr>
                <w:rFonts w:ascii="Times New Roman" w:hAnsi="Times New Roman"/>
              </w:rPr>
            </w:pPr>
            <w:r w:rsidRPr="00211D7C">
              <w:rPr>
                <w:rFonts w:ascii="Times New Roman" w:hAnsi="Times New Roman"/>
              </w:rPr>
              <w:t xml:space="preserve">Padomes lēmumam </w:t>
            </w:r>
            <w:r w:rsidR="00211D7C" w:rsidRPr="00211D7C">
              <w:rPr>
                <w:rFonts w:ascii="Times New Roman" w:hAnsi="Times New Roman"/>
              </w:rPr>
              <w:t xml:space="preserve">Nr.2015/1339 </w:t>
            </w:r>
            <w:r w:rsidR="00663805" w:rsidRPr="00211D7C">
              <w:rPr>
                <w:rFonts w:ascii="Times New Roman" w:hAnsi="Times New Roman"/>
              </w:rPr>
              <w:t>ir 2</w:t>
            </w:r>
            <w:r w:rsidR="00370479" w:rsidRPr="00211D7C">
              <w:rPr>
                <w:rFonts w:ascii="Times New Roman" w:hAnsi="Times New Roman"/>
              </w:rPr>
              <w:t xml:space="preserve"> pielikumi:</w:t>
            </w:r>
          </w:p>
          <w:p w:rsidR="00370479" w:rsidRPr="00211D7C" w:rsidRDefault="00663805" w:rsidP="00211D7C">
            <w:pPr>
              <w:pStyle w:val="ListParagraph"/>
              <w:numPr>
                <w:ilvl w:val="0"/>
                <w:numId w:val="8"/>
              </w:numPr>
              <w:suppressAutoHyphens/>
              <w:autoSpaceDN w:val="0"/>
              <w:spacing w:after="60" w:line="240" w:lineRule="auto"/>
              <w:ind w:left="284" w:hanging="284"/>
              <w:contextualSpacing w:val="0"/>
              <w:jc w:val="both"/>
              <w:textAlignment w:val="baseline"/>
              <w:rPr>
                <w:rFonts w:ascii="Times New Roman" w:hAnsi="Times New Roman"/>
              </w:rPr>
            </w:pPr>
            <w:r w:rsidRPr="00211D7C">
              <w:rPr>
                <w:rFonts w:ascii="Times New Roman" w:hAnsi="Times New Roman"/>
              </w:rPr>
              <w:t xml:space="preserve">1.pielikumā ir </w:t>
            </w:r>
            <w:r w:rsidR="00370479" w:rsidRPr="00211D7C">
              <w:rPr>
                <w:rFonts w:ascii="Times New Roman" w:hAnsi="Times New Roman"/>
              </w:rPr>
              <w:t xml:space="preserve">ietverts paziņojums par ES, tās dalībvalstu un </w:t>
            </w:r>
            <w:r w:rsidR="000F3B80" w:rsidRPr="00211D7C">
              <w:rPr>
                <w:rFonts w:ascii="Times New Roman" w:hAnsi="Times New Roman"/>
              </w:rPr>
              <w:t>I</w:t>
            </w:r>
            <w:r w:rsidR="00370479" w:rsidRPr="00211D7C">
              <w:rPr>
                <w:rFonts w:ascii="Times New Roman" w:hAnsi="Times New Roman"/>
              </w:rPr>
              <w:t xml:space="preserve">slandes vienošanos par emisiju samazināšanas saistību kopīgu izpildi. </w:t>
            </w:r>
            <w:r w:rsidR="00982EE3" w:rsidRPr="00211D7C">
              <w:rPr>
                <w:rFonts w:ascii="Times New Roman" w:hAnsi="Times New Roman"/>
              </w:rPr>
              <w:t xml:space="preserve">Atbilstoši Kioto protokola 4.panta 1.punkta nosacījumiem, Apvienoto Nāciju Organizācijas Vispārējās konvencijas par klimata pārmaiņām I pielikumam jebkuras Puses (tostarp arī ES, tās dalībvalstis un Islande) var vienoties, ka tās kopīgi nodrošinās savu emisiju samazināšanas saistību izpildi. </w:t>
            </w:r>
            <w:r w:rsidR="00370479" w:rsidRPr="00211D7C">
              <w:rPr>
                <w:rFonts w:ascii="Times New Roman" w:hAnsi="Times New Roman"/>
              </w:rPr>
              <w:t xml:space="preserve">Dokumentā ietverti detalizēti vienošanās elementi, tostarp, ES un valstu pienākumi saistību izpildē, uzskaites nosacījumi, bāzes gada emisiju apjoma noteikšanas nosacījumi; </w:t>
            </w:r>
          </w:p>
          <w:p w:rsidR="00370479" w:rsidRPr="00211D7C" w:rsidRDefault="00370479" w:rsidP="00211D7C">
            <w:pPr>
              <w:pStyle w:val="ListParagraph"/>
              <w:numPr>
                <w:ilvl w:val="0"/>
                <w:numId w:val="8"/>
              </w:numPr>
              <w:suppressAutoHyphens/>
              <w:autoSpaceDN w:val="0"/>
              <w:spacing w:after="60" w:line="240" w:lineRule="auto"/>
              <w:ind w:left="284" w:hanging="284"/>
              <w:contextualSpacing w:val="0"/>
              <w:jc w:val="both"/>
              <w:textAlignment w:val="baseline"/>
              <w:rPr>
                <w:rFonts w:ascii="Times New Roman" w:hAnsi="Times New Roman"/>
              </w:rPr>
            </w:pPr>
            <w:r w:rsidRPr="00211D7C">
              <w:rPr>
                <w:rFonts w:ascii="Times New Roman" w:hAnsi="Times New Roman"/>
              </w:rPr>
              <w:t xml:space="preserve">2.pielikumā ir ietverta deklarācija, ar kuru ES paziņo nodomu par ES, tās dalībvalstu un </w:t>
            </w:r>
            <w:r w:rsidR="000F3B80" w:rsidRPr="00211D7C">
              <w:rPr>
                <w:rFonts w:ascii="Times New Roman" w:hAnsi="Times New Roman"/>
              </w:rPr>
              <w:t>I</w:t>
            </w:r>
            <w:r w:rsidRPr="00211D7C">
              <w:rPr>
                <w:rFonts w:ascii="Times New Roman" w:hAnsi="Times New Roman"/>
              </w:rPr>
              <w:t xml:space="preserve">slandes vienošanos kopīgi īstenot emisiju samazināšanas saistības 2013.-2020.gada periodā. Deklarācijas sagatavošanu nosaka Kioto protokola 24.panta 3.punkts; </w:t>
            </w:r>
          </w:p>
          <w:p w:rsidR="00663805" w:rsidRPr="00211D7C" w:rsidRDefault="00982EE3" w:rsidP="00211D7C">
            <w:pPr>
              <w:suppressAutoHyphens/>
              <w:autoSpaceDN w:val="0"/>
              <w:spacing w:after="60" w:line="240" w:lineRule="auto"/>
              <w:ind w:firstLine="170"/>
              <w:jc w:val="both"/>
              <w:textAlignment w:val="baseline"/>
              <w:rPr>
                <w:rFonts w:ascii="Times New Roman" w:hAnsi="Times New Roman"/>
              </w:rPr>
            </w:pPr>
            <w:r w:rsidRPr="00211D7C">
              <w:rPr>
                <w:rFonts w:ascii="Times New Roman" w:hAnsi="Times New Roman"/>
              </w:rPr>
              <w:t xml:space="preserve">Padomes lēmumam </w:t>
            </w:r>
            <w:r w:rsidR="00211D7C" w:rsidRPr="00211D7C">
              <w:rPr>
                <w:rFonts w:ascii="Times New Roman" w:hAnsi="Times New Roman"/>
              </w:rPr>
              <w:t>Nr.2015/1339</w:t>
            </w:r>
            <w:r w:rsidR="00663805" w:rsidRPr="00211D7C">
              <w:rPr>
                <w:rFonts w:ascii="Times New Roman" w:hAnsi="Times New Roman"/>
              </w:rPr>
              <w:t xml:space="preserve"> ir pievienots arī Dohas grozījuma oriģinālais teksts</w:t>
            </w:r>
            <w:r w:rsidR="00663805" w:rsidRPr="00211D7C">
              <w:rPr>
                <w:rStyle w:val="FootnoteReference"/>
                <w:rFonts w:ascii="Times New Roman" w:hAnsi="Times New Roman"/>
              </w:rPr>
              <w:footnoteReference w:id="4"/>
            </w:r>
            <w:r w:rsidR="004F3406" w:rsidRPr="00211D7C">
              <w:rPr>
                <w:rFonts w:ascii="Times New Roman" w:hAnsi="Times New Roman"/>
              </w:rPr>
              <w:t>.</w:t>
            </w:r>
          </w:p>
          <w:p w:rsidR="00E53BCD" w:rsidRPr="00211D7C" w:rsidRDefault="00E53BCD" w:rsidP="00211D7C">
            <w:pPr>
              <w:pStyle w:val="BodyText"/>
              <w:spacing w:after="60"/>
              <w:jc w:val="both"/>
              <w:rPr>
                <w:rFonts w:eastAsiaTheme="minorHAnsi"/>
                <w:b/>
                <w:bCs/>
                <w:i/>
                <w:color w:val="000000"/>
                <w:sz w:val="22"/>
                <w:szCs w:val="22"/>
                <w:u w:val="single"/>
                <w:lang w:val="lv-LV"/>
              </w:rPr>
            </w:pPr>
            <w:r w:rsidRPr="00211D7C">
              <w:rPr>
                <w:rFonts w:eastAsiaTheme="minorHAnsi"/>
                <w:b/>
                <w:bCs/>
                <w:i/>
                <w:color w:val="000000"/>
                <w:sz w:val="22"/>
                <w:szCs w:val="22"/>
                <w:u w:val="single"/>
                <w:lang w:val="lv-LV"/>
              </w:rPr>
              <w:t>Spēkā esošais tiesiskais regulējums un tā būtība</w:t>
            </w:r>
          </w:p>
          <w:p w:rsidR="00C76C09" w:rsidRPr="00211D7C" w:rsidRDefault="00C76C09" w:rsidP="00211D7C">
            <w:pPr>
              <w:pStyle w:val="BodyText"/>
              <w:spacing w:after="60"/>
              <w:ind w:firstLine="170"/>
              <w:jc w:val="both"/>
              <w:rPr>
                <w:rFonts w:eastAsiaTheme="minorHAnsi"/>
                <w:bCs/>
                <w:color w:val="000000"/>
                <w:sz w:val="22"/>
                <w:szCs w:val="22"/>
                <w:lang w:val="lv-LV"/>
              </w:rPr>
            </w:pPr>
            <w:r w:rsidRPr="00211D7C">
              <w:rPr>
                <w:rFonts w:eastAsiaTheme="minorHAnsi"/>
                <w:bCs/>
                <w:color w:val="000000"/>
                <w:sz w:val="22"/>
                <w:szCs w:val="22"/>
                <w:lang w:val="lv-LV"/>
              </w:rPr>
              <w:t>Likuma „Par Latvijas Republikas starptautiskajiem līgumiem” 9.panta 5.punkt</w:t>
            </w:r>
            <w:r w:rsidR="00D42B8B" w:rsidRPr="00211D7C">
              <w:rPr>
                <w:rFonts w:eastAsiaTheme="minorHAnsi"/>
                <w:bCs/>
                <w:color w:val="000000"/>
                <w:sz w:val="22"/>
                <w:szCs w:val="22"/>
                <w:lang w:val="lv-LV"/>
              </w:rPr>
              <w:t>ā</w:t>
            </w:r>
            <w:r w:rsidRPr="00211D7C">
              <w:rPr>
                <w:rFonts w:eastAsiaTheme="minorHAnsi"/>
                <w:bCs/>
                <w:color w:val="000000"/>
                <w:sz w:val="22"/>
                <w:szCs w:val="22"/>
                <w:lang w:val="lv-LV"/>
              </w:rPr>
              <w:t xml:space="preserve"> no</w:t>
            </w:r>
            <w:r w:rsidR="00D42B8B" w:rsidRPr="00211D7C">
              <w:rPr>
                <w:rFonts w:eastAsiaTheme="minorHAnsi"/>
                <w:bCs/>
                <w:color w:val="000000"/>
                <w:sz w:val="22"/>
                <w:szCs w:val="22"/>
                <w:lang w:val="lv-LV"/>
              </w:rPr>
              <w:t>teikts</w:t>
            </w:r>
            <w:r w:rsidRPr="00211D7C">
              <w:rPr>
                <w:rFonts w:eastAsiaTheme="minorHAnsi"/>
                <w:bCs/>
                <w:color w:val="000000"/>
                <w:sz w:val="22"/>
                <w:szCs w:val="22"/>
                <w:lang w:val="lv-LV"/>
              </w:rPr>
              <w:t>, ka</w:t>
            </w:r>
            <w:r w:rsidRPr="00211D7C">
              <w:rPr>
                <w:sz w:val="22"/>
                <w:szCs w:val="22"/>
                <w:lang w:val="lv-LV"/>
              </w:rPr>
              <w:t xml:space="preserve"> </w:t>
            </w:r>
            <w:r w:rsidRPr="00211D7C">
              <w:rPr>
                <w:rFonts w:eastAsiaTheme="minorHAnsi"/>
                <w:bCs/>
                <w:color w:val="000000"/>
                <w:sz w:val="22"/>
                <w:szCs w:val="22"/>
                <w:lang w:val="lv-LV"/>
              </w:rPr>
              <w:t xml:space="preserve">Saeimā ir apstiprināmi arī tādi līgumi, ja ratifikācija tieši paredzēta līguma tekstā (noteikta </w:t>
            </w:r>
            <w:r w:rsidR="00663805" w:rsidRPr="00211D7C">
              <w:rPr>
                <w:rFonts w:eastAsiaTheme="minorHAnsi"/>
                <w:bCs/>
                <w:color w:val="000000"/>
                <w:sz w:val="22"/>
                <w:szCs w:val="22"/>
                <w:lang w:val="lv-LV"/>
              </w:rPr>
              <w:t>Kioto protokola 20.pantā</w:t>
            </w:r>
            <w:r w:rsidRPr="00211D7C">
              <w:rPr>
                <w:rFonts w:eastAsiaTheme="minorHAnsi"/>
                <w:bCs/>
                <w:color w:val="000000"/>
                <w:sz w:val="22"/>
                <w:szCs w:val="22"/>
                <w:lang w:val="lv-LV"/>
              </w:rPr>
              <w:t>)</w:t>
            </w:r>
            <w:r w:rsidR="004F2F6D" w:rsidRPr="00211D7C">
              <w:rPr>
                <w:rFonts w:eastAsiaTheme="minorHAnsi"/>
                <w:bCs/>
                <w:color w:val="000000"/>
                <w:sz w:val="22"/>
                <w:szCs w:val="22"/>
                <w:lang w:val="lv-LV"/>
              </w:rPr>
              <w:t>.</w:t>
            </w:r>
            <w:r w:rsidR="00663805" w:rsidRPr="00211D7C">
              <w:rPr>
                <w:rFonts w:eastAsiaTheme="minorHAnsi"/>
                <w:bCs/>
                <w:color w:val="000000"/>
                <w:sz w:val="22"/>
                <w:szCs w:val="22"/>
                <w:lang w:val="lv-LV"/>
              </w:rPr>
              <w:t xml:space="preserve"> </w:t>
            </w:r>
            <w:r w:rsidR="00786324" w:rsidRPr="00211D7C">
              <w:rPr>
                <w:rFonts w:eastAsiaTheme="minorHAnsi"/>
                <w:bCs/>
                <w:color w:val="000000"/>
                <w:sz w:val="22"/>
                <w:szCs w:val="22"/>
                <w:lang w:val="lv-LV"/>
              </w:rPr>
              <w:t xml:space="preserve">Latvija kā Kioto protokola Puse </w:t>
            </w:r>
            <w:r w:rsidR="00786324" w:rsidRPr="00211D7C">
              <w:rPr>
                <w:sz w:val="22"/>
                <w:szCs w:val="22"/>
                <w:lang w:val="lv-LV"/>
              </w:rPr>
              <w:t>2012.gada 8.decembrī Dohā</w:t>
            </w:r>
            <w:r w:rsidR="00990188" w:rsidRPr="00211D7C">
              <w:rPr>
                <w:sz w:val="22"/>
                <w:szCs w:val="22"/>
                <w:lang w:val="lv-LV"/>
              </w:rPr>
              <w:t xml:space="preserve"> </w:t>
            </w:r>
            <w:r w:rsidR="00786324" w:rsidRPr="00211D7C">
              <w:rPr>
                <w:rFonts w:eastAsiaTheme="minorHAnsi"/>
                <w:bCs/>
                <w:color w:val="000000"/>
                <w:sz w:val="22"/>
                <w:szCs w:val="22"/>
                <w:lang w:val="lv-LV"/>
              </w:rPr>
              <w:t xml:space="preserve">kopā ar citām ES dalībvalstīm ir vienojušās par Kioto protokola Dohas grozījuma noslēgšanu un saistību kopīgu izpildi. </w:t>
            </w:r>
            <w:r w:rsidR="00663805" w:rsidRPr="00211D7C">
              <w:rPr>
                <w:rFonts w:eastAsiaTheme="minorHAnsi"/>
                <w:bCs/>
                <w:color w:val="000000"/>
                <w:sz w:val="22"/>
                <w:szCs w:val="22"/>
                <w:lang w:val="lv-LV"/>
              </w:rPr>
              <w:t xml:space="preserve">Savukārt ar </w:t>
            </w:r>
            <w:r w:rsidR="00982EE3" w:rsidRPr="00211D7C">
              <w:rPr>
                <w:sz w:val="22"/>
                <w:szCs w:val="22"/>
                <w:lang w:val="lv-LV"/>
              </w:rPr>
              <w:t xml:space="preserve">Padomes lēmumu </w:t>
            </w:r>
            <w:r w:rsidR="00211D7C" w:rsidRPr="00211D7C">
              <w:rPr>
                <w:lang w:val="lv-LV"/>
              </w:rPr>
              <w:t xml:space="preserve">Nr.2015/1339 </w:t>
            </w:r>
            <w:r w:rsidR="00663805" w:rsidRPr="00211D7C">
              <w:rPr>
                <w:sz w:val="22"/>
                <w:szCs w:val="22"/>
                <w:lang w:val="lv-LV"/>
              </w:rPr>
              <w:t>ir noteikts, ka Latvijai kopā ar citām ES dalībvalstīm un Islandi ir jāratificē</w:t>
            </w:r>
            <w:r w:rsidR="000F2BB1" w:rsidRPr="00211D7C">
              <w:rPr>
                <w:sz w:val="22"/>
                <w:szCs w:val="22"/>
                <w:lang w:val="lv-LV"/>
              </w:rPr>
              <w:t xml:space="preserve"> </w:t>
            </w:r>
            <w:proofErr w:type="spellStart"/>
            <w:r w:rsidR="00D42B8B" w:rsidRPr="00211D7C">
              <w:rPr>
                <w:sz w:val="22"/>
                <w:szCs w:val="22"/>
                <w:lang w:val="lv-LV"/>
              </w:rPr>
              <w:t>Dohas</w:t>
            </w:r>
            <w:proofErr w:type="spellEnd"/>
            <w:r w:rsidR="00D42B8B" w:rsidRPr="00211D7C">
              <w:rPr>
                <w:sz w:val="22"/>
                <w:szCs w:val="22"/>
                <w:lang w:val="lv-LV"/>
              </w:rPr>
              <w:t xml:space="preserve"> grozījums.</w:t>
            </w:r>
          </w:p>
          <w:p w:rsidR="00095AD3" w:rsidRPr="00211D7C" w:rsidRDefault="00095AD3" w:rsidP="00211D7C">
            <w:pPr>
              <w:pStyle w:val="BodyText"/>
              <w:spacing w:after="60"/>
              <w:ind w:firstLine="170"/>
              <w:jc w:val="both"/>
              <w:rPr>
                <w:rFonts w:eastAsiaTheme="minorHAnsi"/>
                <w:b/>
                <w:bCs/>
                <w:i/>
                <w:color w:val="000000"/>
                <w:sz w:val="22"/>
                <w:szCs w:val="22"/>
                <w:u w:val="single"/>
                <w:lang w:val="lv-LV"/>
              </w:rPr>
            </w:pPr>
            <w:r w:rsidRPr="00211D7C">
              <w:rPr>
                <w:rFonts w:eastAsiaTheme="minorHAnsi"/>
                <w:b/>
                <w:bCs/>
                <w:i/>
                <w:color w:val="000000"/>
                <w:sz w:val="22"/>
                <w:szCs w:val="22"/>
                <w:u w:val="single"/>
                <w:lang w:val="lv-LV"/>
              </w:rPr>
              <w:t>Projekta izdošanas mērķis</w:t>
            </w:r>
          </w:p>
          <w:p w:rsidR="00693BED" w:rsidRPr="00211D7C" w:rsidRDefault="00982EE3" w:rsidP="00211D7C">
            <w:pPr>
              <w:spacing w:after="60" w:line="240" w:lineRule="auto"/>
              <w:ind w:firstLine="170"/>
              <w:jc w:val="both"/>
              <w:rPr>
                <w:rFonts w:ascii="Times New Roman" w:hAnsi="Times New Roman"/>
              </w:rPr>
            </w:pPr>
            <w:r w:rsidRPr="00211D7C">
              <w:rPr>
                <w:rFonts w:ascii="Times New Roman" w:hAnsi="Times New Roman"/>
              </w:rPr>
              <w:t xml:space="preserve">2015.gada </w:t>
            </w:r>
            <w:r w:rsidR="00211D7C" w:rsidRPr="00211D7C">
              <w:rPr>
                <w:rFonts w:ascii="Times New Roman" w:hAnsi="Times New Roman"/>
              </w:rPr>
              <w:t>13</w:t>
            </w:r>
            <w:r w:rsidRPr="00211D7C">
              <w:rPr>
                <w:rFonts w:ascii="Times New Roman" w:hAnsi="Times New Roman"/>
              </w:rPr>
              <w:t xml:space="preserve">.jūlijā stājoties spēkā Padomes lēmumam </w:t>
            </w:r>
            <w:r w:rsidR="00211D7C" w:rsidRPr="00211D7C">
              <w:rPr>
                <w:rFonts w:ascii="Times New Roman" w:hAnsi="Times New Roman"/>
              </w:rPr>
              <w:t>Nr.2015/1339</w:t>
            </w:r>
            <w:r w:rsidR="009F5639" w:rsidRPr="00211D7C">
              <w:rPr>
                <w:rFonts w:ascii="Times New Roman" w:hAnsi="Times New Roman"/>
              </w:rPr>
              <w:t>,</w:t>
            </w:r>
            <w:r w:rsidRPr="00211D7C">
              <w:rPr>
                <w:rFonts w:ascii="Times New Roman" w:hAnsi="Times New Roman"/>
              </w:rPr>
              <w:t xml:space="preserve"> </w:t>
            </w:r>
            <w:r w:rsidR="002139AC" w:rsidRPr="00211D7C">
              <w:rPr>
                <w:rFonts w:ascii="Times New Roman" w:hAnsi="Times New Roman"/>
              </w:rPr>
              <w:t>Padome panāc</w:t>
            </w:r>
            <w:r w:rsidR="00693BED" w:rsidRPr="00211D7C">
              <w:rPr>
                <w:rFonts w:ascii="Times New Roman" w:hAnsi="Times New Roman"/>
              </w:rPr>
              <w:t>a vienošan</w:t>
            </w:r>
            <w:r w:rsidR="002139AC" w:rsidRPr="00211D7C">
              <w:rPr>
                <w:rFonts w:ascii="Times New Roman" w:hAnsi="Times New Roman"/>
              </w:rPr>
              <w:t>o</w:t>
            </w:r>
            <w:r w:rsidR="00693BED" w:rsidRPr="00211D7C">
              <w:rPr>
                <w:rFonts w:ascii="Times New Roman" w:hAnsi="Times New Roman"/>
              </w:rPr>
              <w:t xml:space="preserve">s par </w:t>
            </w:r>
            <w:r w:rsidR="00990188" w:rsidRPr="00211D7C">
              <w:rPr>
                <w:rFonts w:ascii="Times New Roman" w:hAnsi="Times New Roman"/>
              </w:rPr>
              <w:t>Dohas grozījuma</w:t>
            </w:r>
            <w:r w:rsidR="00693BED" w:rsidRPr="00211D7C">
              <w:rPr>
                <w:rFonts w:ascii="Times New Roman" w:hAnsi="Times New Roman"/>
              </w:rPr>
              <w:t xml:space="preserve"> apstiprināšanu. E</w:t>
            </w:r>
            <w:r w:rsidR="002139AC" w:rsidRPr="00211D7C">
              <w:rPr>
                <w:rFonts w:ascii="Times New Roman" w:hAnsi="Times New Roman"/>
              </w:rPr>
              <w:t>S</w:t>
            </w:r>
            <w:r w:rsidR="00693BED" w:rsidRPr="00211D7C">
              <w:rPr>
                <w:rFonts w:ascii="Times New Roman" w:hAnsi="Times New Roman"/>
              </w:rPr>
              <w:t xml:space="preserve"> un tās dalībvalstis Dohas grozījumam piekrita kā daļai no tiesību aktu</w:t>
            </w:r>
            <w:r w:rsidR="002139AC" w:rsidRPr="00211D7C">
              <w:rPr>
                <w:rFonts w:ascii="Times New Roman" w:hAnsi="Times New Roman"/>
              </w:rPr>
              <w:t xml:space="preserve"> pakotnes</w:t>
            </w:r>
            <w:r w:rsidR="00693BED" w:rsidRPr="00211D7C">
              <w:rPr>
                <w:rFonts w:ascii="Times New Roman" w:hAnsi="Times New Roman"/>
              </w:rPr>
              <w:t>, uz</w:t>
            </w:r>
            <w:r w:rsidR="002139AC" w:rsidRPr="00211D7C">
              <w:rPr>
                <w:rFonts w:ascii="Times New Roman" w:hAnsi="Times New Roman"/>
              </w:rPr>
              <w:t xml:space="preserve"> </w:t>
            </w:r>
            <w:r w:rsidR="00693BED" w:rsidRPr="00211D7C">
              <w:rPr>
                <w:rFonts w:ascii="Times New Roman" w:hAnsi="Times New Roman"/>
              </w:rPr>
              <w:t xml:space="preserve">kuras pamata Puses vienojās līdz 2015.gada beigām pieņemt protokolu, citu juridisku instrumentu vai saskaņotu dokumentu ar juridisku spēku saskaņā ar Apvienoto Nāciju Organizācijas Vispārējo konvenciju par klimata pārmaiņām. Izstrādātais un </w:t>
            </w:r>
            <w:r w:rsidR="002139AC" w:rsidRPr="00211D7C">
              <w:rPr>
                <w:rFonts w:ascii="Times New Roman" w:hAnsi="Times New Roman"/>
              </w:rPr>
              <w:t>apstiprinātais</w:t>
            </w:r>
            <w:r w:rsidR="00693BED" w:rsidRPr="00211D7C">
              <w:rPr>
                <w:rFonts w:ascii="Times New Roman" w:hAnsi="Times New Roman"/>
              </w:rPr>
              <w:t xml:space="preserve"> tiesību akts būtu juridiski saistošs visām </w:t>
            </w:r>
            <w:r w:rsidR="001B477E" w:rsidRPr="00211D7C">
              <w:rPr>
                <w:rFonts w:ascii="Times New Roman" w:hAnsi="Times New Roman"/>
              </w:rPr>
              <w:t>P</w:t>
            </w:r>
            <w:r w:rsidR="00693BED" w:rsidRPr="00211D7C">
              <w:rPr>
                <w:rFonts w:ascii="Times New Roman" w:hAnsi="Times New Roman"/>
              </w:rPr>
              <w:t xml:space="preserve">usēm, un tam būtu jāstājas spēkā un jātiek īstenotam no 2020.gada. </w:t>
            </w:r>
          </w:p>
          <w:p w:rsidR="00693BED" w:rsidRPr="00211D7C" w:rsidRDefault="00211D7C" w:rsidP="00211D7C">
            <w:pPr>
              <w:spacing w:after="60" w:line="240" w:lineRule="auto"/>
              <w:ind w:firstLine="170"/>
              <w:jc w:val="both"/>
              <w:rPr>
                <w:rFonts w:ascii="Times New Roman" w:hAnsi="Times New Roman"/>
                <w:b/>
              </w:rPr>
            </w:pPr>
            <w:proofErr w:type="spellStart"/>
            <w:r w:rsidRPr="00211D7C">
              <w:rPr>
                <w:rFonts w:ascii="Times New Roman" w:hAnsi="Times New Roman"/>
                <w:b/>
              </w:rPr>
              <w:t>Dohas</w:t>
            </w:r>
            <w:proofErr w:type="spellEnd"/>
            <w:r w:rsidRPr="00211D7C">
              <w:rPr>
                <w:rFonts w:ascii="Times New Roman" w:hAnsi="Times New Roman"/>
                <w:b/>
              </w:rPr>
              <w:t xml:space="preserve"> grozījuma</w:t>
            </w:r>
            <w:r w:rsidR="00982EE3" w:rsidRPr="00211D7C">
              <w:rPr>
                <w:rFonts w:ascii="Times New Roman" w:hAnsi="Times New Roman"/>
                <w:b/>
              </w:rPr>
              <w:t xml:space="preserve"> </w:t>
            </w:r>
            <w:r w:rsidR="00693BED" w:rsidRPr="00211D7C">
              <w:rPr>
                <w:rFonts w:ascii="Times New Roman" w:hAnsi="Times New Roman"/>
                <w:b/>
              </w:rPr>
              <w:t xml:space="preserve">2.pantā ir noteikts, ka Dohas grozījums stājas spēkā saskaņā ar Kioto protokola 20. un 21.pantu. Saskaņā ar Kioto protokola 20.pantu </w:t>
            </w:r>
            <w:r w:rsidR="00693BED" w:rsidRPr="00211D7C">
              <w:rPr>
                <w:rFonts w:ascii="Times New Roman" w:hAnsi="Times New Roman"/>
                <w:b/>
              </w:rPr>
              <w:lastRenderedPageBreak/>
              <w:t>pieņemtais Dohas grozījums tām Pusēm, kas to apstiprinājušas, stāsies spēkā deviņdesmitajā dienā pēc tā datuma, kurā Depozitārijs (Apvienoto Nāciju Organizācijas Ģenerālsekretariāts ir Kioto protokola Depozitārijs) būs saņēmis apstiprināšanas aktu no vismaz trim ceturtdaļām Pušu.</w:t>
            </w:r>
          </w:p>
          <w:p w:rsidR="00693BED" w:rsidRPr="00211D7C" w:rsidRDefault="00693BED" w:rsidP="00211D7C">
            <w:pPr>
              <w:spacing w:after="60" w:line="240" w:lineRule="auto"/>
              <w:ind w:firstLine="170"/>
              <w:jc w:val="both"/>
              <w:rPr>
                <w:rFonts w:ascii="Times New Roman" w:eastAsiaTheme="minorHAnsi" w:hAnsi="Times New Roman"/>
                <w:bCs/>
                <w:color w:val="000000"/>
              </w:rPr>
            </w:pPr>
            <w:r w:rsidRPr="00211D7C">
              <w:rPr>
                <w:rFonts w:ascii="Times New Roman" w:eastAsiaTheme="minorHAnsi" w:hAnsi="Times New Roman"/>
                <w:bCs/>
                <w:color w:val="000000"/>
              </w:rPr>
              <w:t>Latvija ir Apvienoto Nāciju Organizācijas Vispārējās konvencijas par klimata pārmaiņām, kas ratificēta ar likumu „Par Apvienoto Nāciju Organizācijas Vispārējo konvenciju par klimata pārmaiņām”, Kioto protokola, kas ratificēts ar likumu „Par Apvienoto Nāciju Organizācijas Vispārējās konvencijas par klimata pārmaiņām Kioto protokolu”, 4.pantā minētā Kioto protokola Puse.</w:t>
            </w:r>
          </w:p>
          <w:p w:rsidR="002139AC" w:rsidRPr="00211D7C" w:rsidRDefault="002139AC" w:rsidP="00211D7C">
            <w:pPr>
              <w:spacing w:after="60" w:line="240" w:lineRule="auto"/>
              <w:ind w:firstLine="170"/>
              <w:jc w:val="both"/>
              <w:rPr>
                <w:rFonts w:ascii="Times New Roman" w:hAnsi="Times New Roman"/>
                <w:b/>
              </w:rPr>
            </w:pPr>
            <w:r w:rsidRPr="00211D7C">
              <w:rPr>
                <w:rFonts w:ascii="Times New Roman" w:eastAsiaTheme="minorHAnsi" w:hAnsi="Times New Roman"/>
                <w:bCs/>
                <w:color w:val="000000"/>
              </w:rPr>
              <w:t>Latvija parakstīja Apvienoto Nāciju Organizācijas Vispārējās konvenciju par klimata pārmaiņām</w:t>
            </w:r>
            <w:r w:rsidR="001B477E" w:rsidRPr="00211D7C">
              <w:rPr>
                <w:rFonts w:ascii="Times New Roman" w:eastAsiaTheme="minorHAnsi" w:hAnsi="Times New Roman"/>
                <w:bCs/>
                <w:color w:val="000000"/>
              </w:rPr>
              <w:t xml:space="preserve"> 1992.gadā, un Latvijas Republikas Saeima to ratificēja 1995.gadā. Savukārt Kioto protokolu Latvija parakstīja 1998.gadā un Latvijas Republikas Saeima to ratificēja 2002.gadā.</w:t>
            </w:r>
          </w:p>
          <w:p w:rsidR="00693BED" w:rsidRPr="00211D7C" w:rsidRDefault="00693BED" w:rsidP="00211D7C">
            <w:pPr>
              <w:pStyle w:val="BodyText"/>
              <w:spacing w:after="60"/>
              <w:ind w:firstLine="170"/>
              <w:jc w:val="both"/>
              <w:rPr>
                <w:b/>
                <w:sz w:val="22"/>
                <w:szCs w:val="22"/>
                <w:lang w:val="lv-LV"/>
              </w:rPr>
            </w:pPr>
            <w:r w:rsidRPr="00211D7C">
              <w:rPr>
                <w:b/>
                <w:sz w:val="22"/>
                <w:szCs w:val="22"/>
                <w:lang w:val="lv-LV"/>
              </w:rPr>
              <w:t xml:space="preserve">Saskaņā ar </w:t>
            </w:r>
            <w:r w:rsidR="009F5639" w:rsidRPr="00211D7C">
              <w:rPr>
                <w:b/>
                <w:sz w:val="22"/>
                <w:szCs w:val="22"/>
                <w:lang w:val="lv-LV"/>
              </w:rPr>
              <w:t>Padomes lēmuma Nr.</w:t>
            </w:r>
            <w:r w:rsidR="00211D7C" w:rsidRPr="00211D7C">
              <w:rPr>
                <w:b/>
                <w:sz w:val="22"/>
                <w:szCs w:val="22"/>
                <w:lang w:val="lv-LV"/>
              </w:rPr>
              <w:t>2015/1339</w:t>
            </w:r>
            <w:r w:rsidR="009F5639" w:rsidRPr="00211D7C">
              <w:rPr>
                <w:b/>
                <w:sz w:val="22"/>
                <w:szCs w:val="22"/>
                <w:lang w:val="lv-LV"/>
              </w:rPr>
              <w:t xml:space="preserve"> </w:t>
            </w:r>
            <w:r w:rsidRPr="00211D7C">
              <w:rPr>
                <w:b/>
                <w:sz w:val="22"/>
                <w:szCs w:val="22"/>
                <w:lang w:val="lv-LV"/>
              </w:rPr>
              <w:t xml:space="preserve">6.pantu visām ES </w:t>
            </w:r>
            <w:r w:rsidR="002D48C9" w:rsidRPr="00211D7C">
              <w:rPr>
                <w:b/>
                <w:sz w:val="22"/>
                <w:szCs w:val="22"/>
                <w:lang w:val="lv-LV"/>
              </w:rPr>
              <w:t>dalībvalstīm savi apstiprināšanas dokumenti ir jādeponē līdz 2015.gada 31.augustam</w:t>
            </w:r>
            <w:r w:rsidRPr="00211D7C">
              <w:rPr>
                <w:b/>
                <w:sz w:val="22"/>
                <w:szCs w:val="22"/>
                <w:lang w:val="lv-LV"/>
              </w:rPr>
              <w:t>, kā arī ir noteikts, ka ES dalībvalstis cenšas veikt vajadzīgos pasākumus, lai savus apstiprināšanas dokumentus deponētu reizē ar ES</w:t>
            </w:r>
            <w:r w:rsidR="001B477E" w:rsidRPr="00211D7C">
              <w:rPr>
                <w:b/>
                <w:sz w:val="22"/>
                <w:szCs w:val="22"/>
                <w:lang w:val="lv-LV"/>
              </w:rPr>
              <w:t xml:space="preserve"> apstiprināšanas instrumentu</w:t>
            </w:r>
            <w:r w:rsidRPr="00211D7C">
              <w:rPr>
                <w:b/>
                <w:sz w:val="22"/>
                <w:szCs w:val="22"/>
                <w:lang w:val="lv-LV"/>
              </w:rPr>
              <w:t>, cik vien iespējams, 2015. gada trešajā ceturksnī.</w:t>
            </w:r>
          </w:p>
          <w:p w:rsidR="00C90696" w:rsidRPr="00211D7C" w:rsidRDefault="004F2F6D" w:rsidP="00211D7C">
            <w:pPr>
              <w:pStyle w:val="BodyText"/>
              <w:spacing w:after="60"/>
              <w:ind w:firstLine="170"/>
              <w:jc w:val="both"/>
              <w:rPr>
                <w:rFonts w:eastAsiaTheme="minorHAnsi"/>
                <w:bCs/>
                <w:color w:val="000000"/>
                <w:sz w:val="22"/>
                <w:szCs w:val="22"/>
                <w:lang w:val="lv-LV"/>
              </w:rPr>
            </w:pPr>
            <w:r w:rsidRPr="00211D7C">
              <w:rPr>
                <w:rFonts w:eastAsiaTheme="minorHAnsi"/>
                <w:bCs/>
                <w:color w:val="000000"/>
                <w:sz w:val="22"/>
                <w:szCs w:val="22"/>
                <w:lang w:val="lv-LV"/>
              </w:rPr>
              <w:t xml:space="preserve">Likumprojekts ir izstrādāts, lai pieņemtu un apstiprinātu </w:t>
            </w:r>
            <w:r w:rsidR="0054338A" w:rsidRPr="00211D7C">
              <w:rPr>
                <w:rFonts w:eastAsiaTheme="minorHAnsi"/>
                <w:bCs/>
                <w:color w:val="000000"/>
                <w:sz w:val="22"/>
                <w:szCs w:val="22"/>
                <w:lang w:val="lv-LV"/>
              </w:rPr>
              <w:t>Dohas grozījumu</w:t>
            </w:r>
            <w:r w:rsidRPr="00211D7C">
              <w:rPr>
                <w:rFonts w:eastAsiaTheme="minorHAnsi"/>
                <w:bCs/>
                <w:color w:val="000000"/>
                <w:sz w:val="22"/>
                <w:szCs w:val="22"/>
                <w:lang w:val="lv-LV"/>
              </w:rPr>
              <w:t>, kā arī, lai noteiktu, ka</w:t>
            </w:r>
            <w:r w:rsidR="005A7F00" w:rsidRPr="00211D7C">
              <w:rPr>
                <w:rFonts w:eastAsiaTheme="minorHAnsi"/>
                <w:bCs/>
                <w:color w:val="000000"/>
                <w:sz w:val="22"/>
                <w:szCs w:val="22"/>
                <w:lang w:val="lv-LV"/>
              </w:rPr>
              <w:t xml:space="preserve"> </w:t>
            </w:r>
            <w:r w:rsidR="0054338A" w:rsidRPr="00211D7C">
              <w:rPr>
                <w:rFonts w:eastAsiaTheme="minorHAnsi"/>
                <w:bCs/>
                <w:color w:val="000000"/>
                <w:sz w:val="22"/>
                <w:szCs w:val="22"/>
                <w:lang w:val="lv-LV"/>
              </w:rPr>
              <w:t>Dohas grozījumā</w:t>
            </w:r>
            <w:r w:rsidRPr="00211D7C">
              <w:rPr>
                <w:rFonts w:eastAsiaTheme="minorHAnsi"/>
                <w:bCs/>
                <w:color w:val="000000"/>
                <w:sz w:val="22"/>
                <w:szCs w:val="22"/>
                <w:lang w:val="lv-LV"/>
              </w:rPr>
              <w:t xml:space="preserve"> paredzēto saistību izpildi koordinē Vides aizsardzības un reģionālās attīstības ministrija</w:t>
            </w:r>
            <w:r w:rsidR="00C90696" w:rsidRPr="00211D7C">
              <w:rPr>
                <w:rFonts w:eastAsiaTheme="minorHAnsi"/>
                <w:bCs/>
                <w:color w:val="000000"/>
                <w:sz w:val="22"/>
                <w:szCs w:val="22"/>
                <w:lang w:val="lv-LV"/>
              </w:rPr>
              <w:t>.</w:t>
            </w:r>
          </w:p>
        </w:tc>
      </w:tr>
      <w:tr w:rsidR="006D3B45" w:rsidRPr="00211D7C" w:rsidTr="00B54471">
        <w:trPr>
          <w:jc w:val="center"/>
        </w:trPr>
        <w:tc>
          <w:tcPr>
            <w:tcW w:w="564"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lastRenderedPageBreak/>
              <w:t>3.</w:t>
            </w:r>
          </w:p>
        </w:tc>
        <w:tc>
          <w:tcPr>
            <w:tcW w:w="1138" w:type="dxa"/>
          </w:tcPr>
          <w:p w:rsidR="006D3B45" w:rsidRPr="00211D7C" w:rsidRDefault="006D3B45" w:rsidP="00211D7C">
            <w:pPr>
              <w:spacing w:after="0" w:line="240" w:lineRule="auto"/>
              <w:rPr>
                <w:rFonts w:ascii="Times New Roman" w:hAnsi="Times New Roman"/>
              </w:rPr>
            </w:pPr>
            <w:r w:rsidRPr="00211D7C">
              <w:rPr>
                <w:rFonts w:ascii="Times New Roman" w:hAnsi="Times New Roman"/>
              </w:rPr>
              <w:t>Projekta izstrādē iesaistītās institūcijas</w:t>
            </w:r>
          </w:p>
        </w:tc>
        <w:tc>
          <w:tcPr>
            <w:tcW w:w="7937" w:type="dxa"/>
          </w:tcPr>
          <w:p w:rsidR="00F63F5E" w:rsidRPr="00211D7C" w:rsidRDefault="00F752E3" w:rsidP="00211D7C">
            <w:pPr>
              <w:autoSpaceDE w:val="0"/>
              <w:autoSpaceDN w:val="0"/>
              <w:adjustRightInd w:val="0"/>
              <w:spacing w:after="0" w:line="240" w:lineRule="auto"/>
              <w:jc w:val="both"/>
              <w:rPr>
                <w:rFonts w:ascii="Times New Roman" w:hAnsi="Times New Roman"/>
              </w:rPr>
            </w:pPr>
            <w:r w:rsidRPr="00211D7C">
              <w:rPr>
                <w:rFonts w:ascii="Times New Roman" w:hAnsi="Times New Roman"/>
              </w:rPr>
              <w:t>Vides aizsardzības un reģionālās attīstības ministrija</w:t>
            </w:r>
            <w:r w:rsidR="00D144CC" w:rsidRPr="00211D7C">
              <w:rPr>
                <w:rFonts w:ascii="Times New Roman" w:hAnsi="Times New Roman"/>
              </w:rPr>
              <w:t xml:space="preserve"> (turpmāk – VARAM)</w:t>
            </w:r>
            <w:r w:rsidRPr="00211D7C">
              <w:rPr>
                <w:rFonts w:ascii="Times New Roman" w:hAnsi="Times New Roman"/>
              </w:rPr>
              <w:t>.</w:t>
            </w:r>
          </w:p>
        </w:tc>
      </w:tr>
      <w:tr w:rsidR="006D3B45" w:rsidRPr="00211D7C" w:rsidTr="00B54471">
        <w:trPr>
          <w:jc w:val="center"/>
        </w:trPr>
        <w:tc>
          <w:tcPr>
            <w:tcW w:w="564" w:type="dxa"/>
            <w:tcBorders>
              <w:bottom w:val="single" w:sz="4" w:space="0" w:color="auto"/>
            </w:tcBorders>
          </w:tcPr>
          <w:p w:rsidR="006D3B45" w:rsidRPr="00211D7C" w:rsidRDefault="006D3B45" w:rsidP="00211D7C">
            <w:pPr>
              <w:spacing w:after="0" w:line="240" w:lineRule="auto"/>
              <w:rPr>
                <w:rFonts w:ascii="Times New Roman" w:hAnsi="Times New Roman"/>
              </w:rPr>
            </w:pPr>
            <w:r w:rsidRPr="00211D7C">
              <w:rPr>
                <w:rFonts w:ascii="Times New Roman" w:hAnsi="Times New Roman"/>
              </w:rPr>
              <w:t>4.</w:t>
            </w:r>
          </w:p>
        </w:tc>
        <w:tc>
          <w:tcPr>
            <w:tcW w:w="1138" w:type="dxa"/>
            <w:tcBorders>
              <w:bottom w:val="single" w:sz="4" w:space="0" w:color="auto"/>
            </w:tcBorders>
          </w:tcPr>
          <w:p w:rsidR="006D3B45" w:rsidRPr="00211D7C" w:rsidRDefault="006D3B45" w:rsidP="00211D7C">
            <w:pPr>
              <w:spacing w:after="0" w:line="240" w:lineRule="auto"/>
              <w:rPr>
                <w:rFonts w:ascii="Times New Roman" w:hAnsi="Times New Roman"/>
              </w:rPr>
            </w:pPr>
            <w:r w:rsidRPr="00211D7C">
              <w:rPr>
                <w:rFonts w:ascii="Times New Roman" w:hAnsi="Times New Roman"/>
              </w:rPr>
              <w:t xml:space="preserve">Cita informācija </w:t>
            </w:r>
          </w:p>
        </w:tc>
        <w:tc>
          <w:tcPr>
            <w:tcW w:w="7937" w:type="dxa"/>
            <w:tcBorders>
              <w:bottom w:val="single" w:sz="4" w:space="0" w:color="auto"/>
            </w:tcBorders>
          </w:tcPr>
          <w:p w:rsidR="006D3B45" w:rsidRPr="00211D7C" w:rsidRDefault="00F86FCB" w:rsidP="00211D7C">
            <w:pPr>
              <w:spacing w:after="60" w:line="240" w:lineRule="auto"/>
              <w:ind w:firstLine="170"/>
              <w:jc w:val="both"/>
              <w:rPr>
                <w:rFonts w:ascii="Times New Roman" w:hAnsi="Times New Roman"/>
                <w:color w:val="000000"/>
              </w:rPr>
            </w:pPr>
            <w:bookmarkStart w:id="0" w:name="_GoBack"/>
            <w:r w:rsidRPr="00211D7C">
              <w:rPr>
                <w:rFonts w:ascii="Times New Roman" w:hAnsi="Times New Roman"/>
                <w:color w:val="000000"/>
              </w:rPr>
              <w:t>Eiropas Savienības dalībvalstīm pēc būtības Dohas grozījums papildu saistības nenosaka, jo Eiropas Savienība jau 2009.gadā ar Klimata un enerģētikas pakotni 2020.gadam vienojās par Eiropas Savienības visu dalībvalstu kopējo SEG emisiju samazināšanas mērķi 2020.gadam – kopējās ES dalībvalstu SEG emisijas ir jāsamazina par 20% salīdzinot ar šo ES dalībvalstu kopējām 1990.gada emisijām.</w:t>
            </w:r>
          </w:p>
          <w:p w:rsidR="009F57B2" w:rsidRPr="00211D7C" w:rsidRDefault="009F57B2" w:rsidP="00211D7C">
            <w:pPr>
              <w:spacing w:after="60" w:line="240" w:lineRule="auto"/>
              <w:ind w:firstLine="170"/>
              <w:jc w:val="both"/>
              <w:rPr>
                <w:rFonts w:ascii="Times New Roman" w:eastAsia="Times New Roman" w:hAnsi="Times New Roman"/>
              </w:rPr>
            </w:pPr>
            <w:r w:rsidRPr="00211D7C">
              <w:rPr>
                <w:rFonts w:ascii="Times New Roman" w:eastAsia="Times New Roman" w:hAnsi="Times New Roman"/>
              </w:rPr>
              <w:t>Lai izpildītu šo mērķi pēc iespējas efektīvākā veidā šis mērķis tika pārdalīts atsevišķi ES ETS operatoriem un ETS neiekļautajām nozarēm un darbībām (turpmāk – ne-ETS darbības). Tādā veidā tiek noteikts, ka ETS operatoriem kopīgi ir jāsamazina savs kopējais SEG emisiju apjoms par 21% salīdzinot ar šo ETS operatoru 2005.gada SEG emisiju apjomu. Savukārt to SEG emisiju apjomu, kas tiek radīts ETS neiekļautajās nozarēs un darbībās (turpmāk – ne-ETS darbības), ir jāsamazina par 10% salīdzinot ar šo SEG emisiju apjomu 2005.gadā.</w:t>
            </w:r>
          </w:p>
          <w:p w:rsidR="009F57B2" w:rsidRPr="00211D7C" w:rsidRDefault="009F57B2" w:rsidP="00211D7C">
            <w:pPr>
              <w:spacing w:after="60" w:line="240" w:lineRule="auto"/>
              <w:ind w:firstLine="170"/>
              <w:jc w:val="both"/>
              <w:rPr>
                <w:rFonts w:ascii="Times New Roman" w:eastAsia="Times New Roman" w:hAnsi="Times New Roman"/>
              </w:rPr>
            </w:pPr>
            <w:r w:rsidRPr="00211D7C">
              <w:rPr>
                <w:rFonts w:ascii="Times New Roman" w:eastAsia="Times New Roman" w:hAnsi="Times New Roman"/>
              </w:rPr>
              <w:t>ETS operatoru SEG emisiju apjoma samazināšanas pasākumi tiek noteikti harmonizētā veidā, un šo pasākumu izstrādi un īstenošanu nodrošina Eiropas Komisija kopā ar ES dalībvalstīm, īstenojot ETS direktīvā</w:t>
            </w:r>
            <w:r w:rsidRPr="00211D7C">
              <w:rPr>
                <w:rStyle w:val="FootnoteReference"/>
                <w:rFonts w:ascii="Times New Roman" w:hAnsi="Times New Roman"/>
              </w:rPr>
              <w:footnoteReference w:id="5"/>
            </w:r>
            <w:r w:rsidRPr="00211D7C">
              <w:rPr>
                <w:rFonts w:ascii="Times New Roman" w:eastAsia="Times New Roman" w:hAnsi="Times New Roman"/>
              </w:rPr>
              <w:t xml:space="preserve"> noteiktās prasības un nosacījumus. Ne-ETS darbību SEG emisiju samazināšana ir noteikta kā katras ES dalībvalsts atbildība, un katrai ES DV ir noteikts savs individuālais SEG emisiju samazināšanas mērķis, kur Latvijai laika periodā līdz 2020.gadam ir pieļauts ne-ETS darbību SEG emisiju pieaugums par 17%, salīdzinot ar Latvijas ne-ETS darbību SEG emisiju apjomu 2005.gadā.</w:t>
            </w:r>
          </w:p>
          <w:p w:rsidR="00F86FCB" w:rsidRPr="00211D7C" w:rsidRDefault="009F5639" w:rsidP="00211D7C">
            <w:pPr>
              <w:spacing w:after="60" w:line="240" w:lineRule="auto"/>
              <w:ind w:firstLine="170"/>
              <w:jc w:val="both"/>
              <w:rPr>
                <w:rFonts w:ascii="Times New Roman" w:hAnsi="Times New Roman"/>
              </w:rPr>
            </w:pPr>
            <w:r w:rsidRPr="00211D7C">
              <w:rPr>
                <w:rFonts w:ascii="Times New Roman" w:hAnsi="Times New Roman"/>
              </w:rPr>
              <w:t>Padomes lēmumā Nr.</w:t>
            </w:r>
            <w:r w:rsidR="00211D7C" w:rsidRPr="00211D7C">
              <w:rPr>
                <w:rFonts w:ascii="Times New Roman" w:hAnsi="Times New Roman"/>
              </w:rPr>
              <w:t>2015/1339</w:t>
            </w:r>
            <w:r w:rsidRPr="00211D7C">
              <w:rPr>
                <w:rFonts w:ascii="Times New Roman" w:hAnsi="Times New Roman"/>
              </w:rPr>
              <w:t xml:space="preserve"> </w:t>
            </w:r>
            <w:r w:rsidR="009F57B2" w:rsidRPr="00211D7C">
              <w:rPr>
                <w:rFonts w:ascii="Times New Roman" w:hAnsi="Times New Roman"/>
              </w:rPr>
              <w:t xml:space="preserve">noteiktais emisiju līmenis ne-ETS darbībām – </w:t>
            </w:r>
            <w:r w:rsidR="009F57B2" w:rsidRPr="00211D7C">
              <w:rPr>
                <w:rFonts w:ascii="Times New Roman" w:hAnsi="Times New Roman"/>
                <w:b/>
              </w:rPr>
              <w:t>76 633 439 tonnas siltumnīcefekta gāzu emisiju</w:t>
            </w:r>
            <w:r w:rsidR="009F57B2" w:rsidRPr="00211D7C">
              <w:rPr>
                <w:rFonts w:ascii="Times New Roman" w:hAnsi="Times New Roman"/>
              </w:rPr>
              <w:t>, ko Latvijai ir jānodrošina 2020.gadā ir atbilstošs Saistību pārdales lēmumā noteiktajam Latvijas 2020.gada SEG emisiju samazināšanas mērķim 2020.gadam</w:t>
            </w:r>
            <w:r w:rsidR="00B54471">
              <w:rPr>
                <w:rFonts w:ascii="Times New Roman" w:hAnsi="Times New Roman"/>
              </w:rPr>
              <w:t xml:space="preserve"> - +17% 2020.gadā no 2005.gada ne-ETS darbību SEG emisiju apjoma</w:t>
            </w:r>
            <w:r w:rsidR="009F57B2" w:rsidRPr="00211D7C">
              <w:rPr>
                <w:rFonts w:ascii="Times New Roman" w:hAnsi="Times New Roman"/>
              </w:rPr>
              <w:t>.</w:t>
            </w:r>
          </w:p>
          <w:p w:rsidR="009F57B2" w:rsidRPr="00211D7C" w:rsidRDefault="009F57B2" w:rsidP="00211D7C">
            <w:pPr>
              <w:spacing w:after="60" w:line="240" w:lineRule="auto"/>
              <w:ind w:firstLine="170"/>
              <w:jc w:val="both"/>
              <w:rPr>
                <w:rFonts w:ascii="Times New Roman" w:hAnsi="Times New Roman"/>
              </w:rPr>
            </w:pPr>
            <w:r w:rsidRPr="00211D7C">
              <w:rPr>
                <w:rFonts w:ascii="Times New Roman" w:hAnsi="Times New Roman"/>
              </w:rPr>
              <w:t xml:space="preserve">Saistību pārdales lēmuma nosacījumi tiks pārņemti likumā „Par piesārņojumu”, kā arī tiks izstrādāts politikas plānošanas dokuments par Latvijai noteikto SEG emisiju </w:t>
            </w:r>
            <w:r w:rsidRPr="00211D7C">
              <w:rPr>
                <w:rFonts w:ascii="Times New Roman" w:hAnsi="Times New Roman"/>
              </w:rPr>
              <w:lastRenderedPageBreak/>
              <w:t>samazināšanas saistību izpildi</w:t>
            </w:r>
            <w:r w:rsidR="008578D0" w:rsidRPr="00211D7C">
              <w:rPr>
                <w:rFonts w:ascii="Times New Roman" w:hAnsi="Times New Roman"/>
              </w:rPr>
              <w:t>.</w:t>
            </w:r>
            <w:bookmarkEnd w:id="0"/>
          </w:p>
        </w:tc>
      </w:tr>
    </w:tbl>
    <w:p w:rsidR="00F752E3" w:rsidRPr="00211D7C" w:rsidRDefault="00F752E3" w:rsidP="00211D7C">
      <w:pPr>
        <w:spacing w:after="0" w:line="240" w:lineRule="auto"/>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2"/>
        <w:gridCol w:w="2780"/>
        <w:gridCol w:w="6377"/>
      </w:tblGrid>
      <w:tr w:rsidR="00F752E3" w:rsidRPr="00211D7C" w:rsidTr="00AD4B47">
        <w:trPr>
          <w:trHeight w:val="309"/>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52E3" w:rsidRPr="00211D7C" w:rsidRDefault="00F752E3" w:rsidP="00211D7C">
            <w:pPr>
              <w:spacing w:after="0" w:line="240" w:lineRule="auto"/>
              <w:jc w:val="center"/>
              <w:rPr>
                <w:rFonts w:ascii="Times New Roman" w:eastAsia="Times New Roman" w:hAnsi="Times New Roman"/>
                <w:b/>
                <w:bCs/>
                <w:lang w:eastAsia="lv-LV"/>
              </w:rPr>
            </w:pPr>
            <w:r w:rsidRPr="00211D7C">
              <w:rPr>
                <w:rFonts w:ascii="Times New Roman" w:eastAsia="Times New Roman" w:hAnsi="Times New Roman"/>
                <w:b/>
                <w:bCs/>
                <w:lang w:eastAsia="lv-LV"/>
              </w:rPr>
              <w:t>II. Tiesību akta projekta ietekme uz sabiedrību, tautsaimniecības attīstību un administratīvo slogu</w:t>
            </w:r>
          </w:p>
        </w:tc>
      </w:tr>
      <w:tr w:rsidR="00F752E3" w:rsidRPr="00211D7C" w:rsidTr="00B54471">
        <w:trPr>
          <w:trHeight w:val="465"/>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1.</w:t>
            </w:r>
          </w:p>
        </w:tc>
        <w:tc>
          <w:tcPr>
            <w:tcW w:w="1442"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Sabiedrības mērķgrupas, kuras tiesiskais regulējums ietekmē vai varētu ietekmēt</w:t>
            </w:r>
          </w:p>
        </w:tc>
        <w:tc>
          <w:tcPr>
            <w:tcW w:w="3308" w:type="pct"/>
            <w:tcBorders>
              <w:top w:val="outset" w:sz="6" w:space="0" w:color="414142"/>
              <w:left w:val="outset" w:sz="6" w:space="0" w:color="414142"/>
              <w:bottom w:val="outset" w:sz="6" w:space="0" w:color="414142"/>
              <w:right w:val="outset" w:sz="6" w:space="0" w:color="414142"/>
            </w:tcBorders>
            <w:shd w:val="clear" w:color="auto" w:fill="FFFFFF"/>
            <w:hideMark/>
          </w:tcPr>
          <w:p w:rsidR="001B477E" w:rsidRPr="00211D7C" w:rsidRDefault="001B477E" w:rsidP="00211D7C">
            <w:pPr>
              <w:spacing w:after="0" w:line="240" w:lineRule="auto"/>
              <w:jc w:val="both"/>
              <w:rPr>
                <w:rFonts w:ascii="Times New Roman" w:eastAsia="Times New Roman" w:hAnsi="Times New Roman"/>
                <w:lang w:eastAsia="lv-LV"/>
              </w:rPr>
            </w:pPr>
            <w:r w:rsidRPr="00211D7C">
              <w:rPr>
                <w:rFonts w:ascii="Times New Roman" w:hAnsi="Times New Roman"/>
              </w:rPr>
              <w:t>Tā kā Dohas grozījums nosaka Latvijas siltumnīcefekta gāzu emisiju samazināšanas saistības līdz 2020.gadam, tad šis likumprojekts varētu ietekmēt visu Latvijas sabiedrību.</w:t>
            </w:r>
          </w:p>
        </w:tc>
      </w:tr>
      <w:tr w:rsidR="00F752E3" w:rsidRPr="00211D7C" w:rsidTr="00B54471">
        <w:trPr>
          <w:trHeight w:val="51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2.</w:t>
            </w:r>
          </w:p>
        </w:tc>
        <w:tc>
          <w:tcPr>
            <w:tcW w:w="1442"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Tiesiskā regulējuma ietekme uz tautsaimniecību un administratīvo slogu</w:t>
            </w:r>
          </w:p>
        </w:tc>
        <w:tc>
          <w:tcPr>
            <w:tcW w:w="330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813A6A" w:rsidP="00211D7C">
            <w:pPr>
              <w:spacing w:after="0" w:line="240" w:lineRule="auto"/>
              <w:jc w:val="both"/>
              <w:rPr>
                <w:rFonts w:ascii="Times New Roman" w:eastAsia="Times New Roman" w:hAnsi="Times New Roman"/>
                <w:lang w:eastAsia="lv-LV"/>
              </w:rPr>
            </w:pPr>
            <w:r w:rsidRPr="00211D7C">
              <w:rPr>
                <w:rFonts w:ascii="Times New Roman" w:eastAsia="Times New Roman" w:hAnsi="Times New Roman"/>
                <w:lang w:eastAsia="lv-LV"/>
              </w:rPr>
              <w:t>Nav paredzēta būtiska l</w:t>
            </w:r>
            <w:r w:rsidR="00F63F5E" w:rsidRPr="00211D7C">
              <w:rPr>
                <w:rFonts w:ascii="Times New Roman" w:eastAsia="Times New Roman" w:hAnsi="Times New Roman"/>
                <w:lang w:eastAsia="lv-LV"/>
              </w:rPr>
              <w:t>ikum</w:t>
            </w:r>
            <w:r w:rsidR="00F752E3" w:rsidRPr="00211D7C">
              <w:rPr>
                <w:rFonts w:ascii="Times New Roman" w:eastAsia="Times New Roman" w:hAnsi="Times New Roman"/>
                <w:lang w:eastAsia="lv-LV"/>
              </w:rPr>
              <w:t>projekta ietekme uz uzņēmējdarbības vidi.</w:t>
            </w:r>
          </w:p>
          <w:p w:rsidR="00F752E3" w:rsidRPr="00211D7C" w:rsidRDefault="00813A6A" w:rsidP="00211D7C">
            <w:pPr>
              <w:spacing w:after="0" w:line="240" w:lineRule="auto"/>
              <w:jc w:val="both"/>
              <w:rPr>
                <w:rFonts w:ascii="Times New Roman" w:eastAsia="Times New Roman" w:hAnsi="Times New Roman"/>
                <w:lang w:eastAsia="lv-LV"/>
              </w:rPr>
            </w:pPr>
            <w:r w:rsidRPr="00211D7C">
              <w:rPr>
                <w:rFonts w:ascii="Times New Roman" w:hAnsi="Times New Roman"/>
              </w:rPr>
              <w:t>Nav paredzēta likumprojekta ietekme uz Latvijas iestāžu administratīvo slogu.</w:t>
            </w:r>
          </w:p>
        </w:tc>
      </w:tr>
      <w:tr w:rsidR="00F752E3" w:rsidRPr="00211D7C" w:rsidTr="00B54471">
        <w:trPr>
          <w:trHeight w:val="51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3.</w:t>
            </w:r>
          </w:p>
        </w:tc>
        <w:tc>
          <w:tcPr>
            <w:tcW w:w="1442"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Administratīvo izmaksu monetārs novērtējums</w:t>
            </w:r>
          </w:p>
        </w:tc>
        <w:tc>
          <w:tcPr>
            <w:tcW w:w="330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jc w:val="both"/>
              <w:rPr>
                <w:rFonts w:ascii="Times New Roman" w:eastAsia="Times New Roman" w:hAnsi="Times New Roman"/>
                <w:lang w:eastAsia="lv-LV"/>
              </w:rPr>
            </w:pPr>
            <w:r w:rsidRPr="00211D7C">
              <w:rPr>
                <w:rFonts w:ascii="Times New Roman" w:eastAsia="Times New Roman" w:hAnsi="Times New Roman"/>
                <w:lang w:eastAsia="lv-LV"/>
              </w:rPr>
              <w:t>Projekts šo jomu neskar.</w:t>
            </w:r>
          </w:p>
        </w:tc>
      </w:tr>
      <w:tr w:rsidR="00F752E3" w:rsidRPr="00211D7C" w:rsidTr="00B54471">
        <w:trPr>
          <w:trHeight w:val="345"/>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4.</w:t>
            </w:r>
          </w:p>
        </w:tc>
        <w:tc>
          <w:tcPr>
            <w:tcW w:w="1442"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before="100" w:beforeAutospacing="1" w:after="100" w:afterAutospacing="1" w:line="293" w:lineRule="atLeast"/>
              <w:jc w:val="both"/>
              <w:rPr>
                <w:rFonts w:ascii="Times New Roman" w:eastAsia="Times New Roman" w:hAnsi="Times New Roman"/>
                <w:lang w:eastAsia="lv-LV"/>
              </w:rPr>
            </w:pPr>
            <w:r w:rsidRPr="00211D7C">
              <w:rPr>
                <w:rFonts w:ascii="Times New Roman" w:eastAsia="Times New Roman" w:hAnsi="Times New Roman"/>
                <w:lang w:eastAsia="lv-LV"/>
              </w:rPr>
              <w:t>Nav</w:t>
            </w:r>
          </w:p>
        </w:tc>
      </w:tr>
    </w:tbl>
    <w:p w:rsidR="009C79EB" w:rsidRPr="00211D7C" w:rsidRDefault="009C79EB" w:rsidP="00211D7C">
      <w:pPr>
        <w:spacing w:after="0" w:line="240" w:lineRule="auto"/>
        <w:rPr>
          <w:rFonts w:ascii="Times New Roman" w:eastAsia="Times New Roman" w:hAnsi="Times New Roman"/>
          <w:color w:val="414142"/>
          <w:sz w:val="24"/>
          <w:szCs w:val="24"/>
          <w:lang w:eastAsia="lv-LV"/>
        </w:rPr>
      </w:pPr>
    </w:p>
    <w:tbl>
      <w:tblPr>
        <w:tblW w:w="9719"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0"/>
        <w:gridCol w:w="1724"/>
        <w:gridCol w:w="159"/>
        <w:gridCol w:w="4111"/>
        <w:gridCol w:w="3205"/>
      </w:tblGrid>
      <w:tr w:rsidR="009F5639" w:rsidRPr="00211D7C" w:rsidTr="009F5639">
        <w:trPr>
          <w:trHeight w:val="246"/>
          <w:jc w:val="center"/>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52E3" w:rsidRPr="00211D7C" w:rsidRDefault="00F752E3" w:rsidP="00211D7C">
            <w:pPr>
              <w:spacing w:after="0" w:line="240" w:lineRule="auto"/>
              <w:jc w:val="center"/>
              <w:rPr>
                <w:rFonts w:ascii="Times New Roman" w:eastAsia="Times New Roman" w:hAnsi="Times New Roman"/>
                <w:b/>
                <w:bCs/>
                <w:lang w:eastAsia="lv-LV"/>
              </w:rPr>
            </w:pPr>
            <w:r w:rsidRPr="00211D7C">
              <w:rPr>
                <w:rFonts w:ascii="Times New Roman" w:eastAsia="Times New Roman" w:hAnsi="Times New Roman"/>
                <w:b/>
                <w:bCs/>
                <w:lang w:eastAsia="lv-LV"/>
              </w:rPr>
              <w:t>V. Tiesību akta projekta atbilstība Latvijas Republikas starptautiskajām saistībām</w:t>
            </w:r>
          </w:p>
        </w:tc>
      </w:tr>
      <w:tr w:rsidR="009F5639" w:rsidRPr="00211D7C" w:rsidTr="009F5639">
        <w:trPr>
          <w:jc w:val="center"/>
        </w:trPr>
        <w:tc>
          <w:tcPr>
            <w:tcW w:w="26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1.</w:t>
            </w:r>
          </w:p>
        </w:tc>
        <w:tc>
          <w:tcPr>
            <w:tcW w:w="9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Saistības pret Eiropas Savienību</w:t>
            </w:r>
          </w:p>
        </w:tc>
        <w:tc>
          <w:tcPr>
            <w:tcW w:w="376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F5639" w:rsidRPr="00211D7C" w:rsidRDefault="00982EE3" w:rsidP="00211D7C">
            <w:pPr>
              <w:spacing w:after="0" w:line="240" w:lineRule="auto"/>
              <w:jc w:val="both"/>
              <w:rPr>
                <w:rFonts w:ascii="Times New Roman" w:hAnsi="Times New Roman"/>
              </w:rPr>
            </w:pPr>
            <w:r w:rsidRPr="00211D7C">
              <w:rPr>
                <w:rFonts w:ascii="Times New Roman" w:eastAsia="Times New Roman" w:hAnsi="Times New Roman"/>
                <w:lang w:eastAsia="lv-LV"/>
              </w:rPr>
              <w:t xml:space="preserve">Padomes 2015.gada </w:t>
            </w:r>
            <w:r w:rsidR="00211D7C" w:rsidRPr="00211D7C">
              <w:rPr>
                <w:rFonts w:ascii="Times New Roman" w:eastAsia="Times New Roman" w:hAnsi="Times New Roman"/>
                <w:lang w:eastAsia="lv-LV"/>
              </w:rPr>
              <w:t>13</w:t>
            </w:r>
            <w:r w:rsidRPr="00211D7C">
              <w:rPr>
                <w:rFonts w:ascii="Times New Roman" w:eastAsia="Times New Roman" w:hAnsi="Times New Roman"/>
                <w:lang w:eastAsia="lv-LV"/>
              </w:rPr>
              <w:t>.jūlija lēmums Nr.</w:t>
            </w:r>
            <w:r w:rsidR="00211D7C" w:rsidRPr="00211D7C">
              <w:rPr>
                <w:rFonts w:ascii="Times New Roman" w:eastAsia="Times New Roman" w:hAnsi="Times New Roman"/>
                <w:lang w:eastAsia="lv-LV"/>
              </w:rPr>
              <w:t>2015/1339</w:t>
            </w:r>
            <w:r w:rsidRPr="00211D7C">
              <w:rPr>
                <w:rFonts w:ascii="Times New Roman" w:eastAsia="Times New Roman" w:hAnsi="Times New Roman"/>
                <w:lang w:eastAsia="lv-LV"/>
              </w:rPr>
              <w:t xml:space="preserve"> </w:t>
            </w:r>
            <w:r w:rsidR="00211D7C" w:rsidRPr="00211D7C">
              <w:rPr>
                <w:rFonts w:ascii="Times New Roman" w:hAnsi="Times New Roman"/>
              </w:rPr>
              <w:t xml:space="preserve">par to, lai Eiropas Savienības vārdā noslēgtu Apvienoto Nāciju Organizācijas Vispārējai konvencijai par klimata pārmaiņām pievienotā Kioto protokola </w:t>
            </w:r>
            <w:proofErr w:type="spellStart"/>
            <w:r w:rsidR="00211D7C" w:rsidRPr="00211D7C">
              <w:rPr>
                <w:rFonts w:ascii="Times New Roman" w:hAnsi="Times New Roman"/>
              </w:rPr>
              <w:t>Dohas</w:t>
            </w:r>
            <w:proofErr w:type="spellEnd"/>
            <w:r w:rsidR="00211D7C" w:rsidRPr="00211D7C">
              <w:rPr>
                <w:rFonts w:ascii="Times New Roman" w:hAnsi="Times New Roman"/>
              </w:rPr>
              <w:t xml:space="preserve"> grozījumu, un no tā izrietošo saistību kopīgu izpildi</w:t>
            </w:r>
            <w:r w:rsidR="002F7928" w:rsidRPr="00211D7C">
              <w:rPr>
                <w:rFonts w:ascii="Times New Roman" w:hAnsi="Times New Roman"/>
              </w:rPr>
              <w:t>.</w:t>
            </w:r>
          </w:p>
          <w:p w:rsidR="005B5200" w:rsidRPr="00211D7C" w:rsidRDefault="00982EE3" w:rsidP="00211D7C">
            <w:pPr>
              <w:spacing w:after="0" w:line="240" w:lineRule="auto"/>
              <w:jc w:val="both"/>
              <w:rPr>
                <w:rFonts w:ascii="Times New Roman" w:eastAsia="Times New Roman" w:hAnsi="Times New Roman"/>
                <w:lang w:eastAsia="lv-LV"/>
              </w:rPr>
            </w:pPr>
            <w:r w:rsidRPr="00211D7C">
              <w:rPr>
                <w:rFonts w:ascii="Times New Roman" w:eastAsia="Times New Roman" w:hAnsi="Times New Roman"/>
                <w:lang w:eastAsia="lv-LV"/>
              </w:rPr>
              <w:t>Lēmums nosaka Kioto protokola Dohas grozījuma kopīgo ratifikāciju un kopīgo saistību izpildi. Lēmumā iekļautie nosacījumi attiecas uz dalībvalsti, līdz ar to nav jāpārņem nacionālajā likumdošanā.</w:t>
            </w:r>
          </w:p>
        </w:tc>
      </w:tr>
      <w:tr w:rsidR="009F5639" w:rsidRPr="00211D7C" w:rsidTr="009F5639">
        <w:trPr>
          <w:jc w:val="center"/>
        </w:trPr>
        <w:tc>
          <w:tcPr>
            <w:tcW w:w="26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2.</w:t>
            </w:r>
          </w:p>
        </w:tc>
        <w:tc>
          <w:tcPr>
            <w:tcW w:w="9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Citas starptautiskās saistības</w:t>
            </w:r>
          </w:p>
        </w:tc>
        <w:tc>
          <w:tcPr>
            <w:tcW w:w="376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2F7928" w:rsidP="00211D7C">
            <w:pPr>
              <w:spacing w:after="0" w:line="240" w:lineRule="auto"/>
              <w:rPr>
                <w:rFonts w:ascii="Times New Roman" w:eastAsia="Times New Roman" w:hAnsi="Times New Roman"/>
                <w:lang w:eastAsia="lv-LV"/>
              </w:rPr>
            </w:pPr>
            <w:r w:rsidRPr="00211D7C">
              <w:rPr>
                <w:rFonts w:ascii="Times New Roman" w:hAnsi="Times New Roman"/>
              </w:rPr>
              <w:t>Apvienoto Nāciju Organizācijas Vispārēj</w:t>
            </w:r>
            <w:r w:rsidR="0015430A" w:rsidRPr="00211D7C">
              <w:rPr>
                <w:rFonts w:ascii="Times New Roman" w:hAnsi="Times New Roman"/>
              </w:rPr>
              <w:t>ās</w:t>
            </w:r>
            <w:r w:rsidRPr="00211D7C">
              <w:rPr>
                <w:rFonts w:ascii="Times New Roman" w:hAnsi="Times New Roman"/>
              </w:rPr>
              <w:t xml:space="preserve"> konvencija</w:t>
            </w:r>
            <w:r w:rsidR="0015430A" w:rsidRPr="00211D7C">
              <w:rPr>
                <w:rFonts w:ascii="Times New Roman" w:hAnsi="Times New Roman"/>
              </w:rPr>
              <w:t>s</w:t>
            </w:r>
            <w:r w:rsidRPr="00211D7C">
              <w:rPr>
                <w:rFonts w:ascii="Times New Roman" w:hAnsi="Times New Roman"/>
              </w:rPr>
              <w:t xml:space="preserve"> </w:t>
            </w:r>
            <w:r w:rsidR="0015430A" w:rsidRPr="00211D7C">
              <w:rPr>
                <w:rFonts w:ascii="Times New Roman" w:hAnsi="Times New Roman"/>
              </w:rPr>
              <w:t>par klimata pārmaiņām</w:t>
            </w:r>
            <w:r w:rsidRPr="00211D7C">
              <w:rPr>
                <w:rFonts w:ascii="Times New Roman" w:hAnsi="Times New Roman"/>
              </w:rPr>
              <w:t xml:space="preserve"> Kioto </w:t>
            </w:r>
            <w:r w:rsidR="00D42B8B" w:rsidRPr="00211D7C">
              <w:rPr>
                <w:rFonts w:ascii="Times New Roman" w:hAnsi="Times New Roman"/>
              </w:rPr>
              <w:t>P</w:t>
            </w:r>
            <w:r w:rsidRPr="00211D7C">
              <w:rPr>
                <w:rFonts w:ascii="Times New Roman" w:hAnsi="Times New Roman"/>
              </w:rPr>
              <w:t>rotokola Dohas grozījums.</w:t>
            </w:r>
          </w:p>
        </w:tc>
      </w:tr>
      <w:tr w:rsidR="009F5639" w:rsidRPr="00211D7C" w:rsidTr="009F5639">
        <w:trPr>
          <w:jc w:val="center"/>
        </w:trPr>
        <w:tc>
          <w:tcPr>
            <w:tcW w:w="26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3.</w:t>
            </w:r>
          </w:p>
        </w:tc>
        <w:tc>
          <w:tcPr>
            <w:tcW w:w="9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F752E3"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Cita informācija</w:t>
            </w:r>
          </w:p>
        </w:tc>
        <w:tc>
          <w:tcPr>
            <w:tcW w:w="376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52E3" w:rsidRPr="00211D7C" w:rsidRDefault="00C8071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Nolīguma projekts atbilst Latvijas Republikas starptautiskajām saistībām un saistībām pret Eiropas Savienību.</w:t>
            </w:r>
          </w:p>
        </w:tc>
      </w:tr>
      <w:tr w:rsidR="009F5639" w:rsidRPr="00211D7C" w:rsidTr="009F5639">
        <w:trPr>
          <w:jc w:val="center"/>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79EB" w:rsidRPr="00211D7C" w:rsidRDefault="009C79EB" w:rsidP="00211D7C">
            <w:pPr>
              <w:spacing w:after="0" w:line="240" w:lineRule="auto"/>
              <w:jc w:val="center"/>
              <w:rPr>
                <w:rFonts w:ascii="Times New Roman" w:eastAsia="Times New Roman" w:hAnsi="Times New Roman"/>
                <w:b/>
                <w:bCs/>
                <w:lang w:eastAsia="lv-LV"/>
              </w:rPr>
            </w:pPr>
            <w:r w:rsidRPr="00211D7C">
              <w:rPr>
                <w:rFonts w:ascii="Times New Roman" w:eastAsia="Times New Roman" w:hAnsi="Times New Roman"/>
                <w:b/>
                <w:bCs/>
                <w:lang w:eastAsia="lv-LV"/>
              </w:rPr>
              <w:t>2.tabula</w:t>
            </w:r>
            <w:r w:rsidRPr="00211D7C">
              <w:rPr>
                <w:rFonts w:ascii="Times New Roman" w:eastAsia="Times New Roman" w:hAnsi="Times New Roman"/>
                <w:b/>
                <w:bCs/>
                <w:lang w:eastAsia="lv-LV"/>
              </w:rPr>
              <w:br/>
              <w:t>Ar tiesību akta projektu izpildītās vai uzņemtās saistības, kas izriet no starptautiskajiem tiesību aktiem vai starptautiskas institūcijas vai organizācijas dokumentiem.</w:t>
            </w:r>
            <w:r w:rsidRPr="00211D7C">
              <w:rPr>
                <w:rFonts w:ascii="Times New Roman" w:eastAsia="Times New Roman" w:hAnsi="Times New Roman"/>
                <w:b/>
                <w:bCs/>
                <w:lang w:eastAsia="lv-LV"/>
              </w:rPr>
              <w:br/>
              <w:t>Pasākumi šo saistību izpildei</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Attiecīgā starptautiskā tiesību akta vai starptautiskas institūcijas vai organizācijas dokumenta (turpmāk – starptautiskais dokuments) datums, numurs un nosaukums</w:t>
            </w:r>
          </w:p>
        </w:tc>
        <w:tc>
          <w:tcPr>
            <w:tcW w:w="384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b/>
                <w:lang w:eastAsia="lv-LV"/>
              </w:rPr>
            </w:pPr>
            <w:r w:rsidRPr="00211D7C">
              <w:rPr>
                <w:rFonts w:ascii="Times New Roman" w:hAnsi="Times New Roman"/>
                <w:b/>
              </w:rPr>
              <w:t>Apvienoto Nāciju Organizācijas Vispārējā konvencija par klimata pārmaiņām un tai pievienotā Kioto protokola Dohas grozījums</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79EB" w:rsidRPr="00211D7C" w:rsidRDefault="009C79EB" w:rsidP="00211D7C">
            <w:pPr>
              <w:spacing w:after="0" w:line="240" w:lineRule="auto"/>
              <w:jc w:val="center"/>
              <w:rPr>
                <w:rFonts w:ascii="Times New Roman" w:eastAsia="Times New Roman" w:hAnsi="Times New Roman"/>
                <w:sz w:val="20"/>
                <w:szCs w:val="20"/>
                <w:lang w:eastAsia="lv-LV"/>
              </w:rPr>
            </w:pPr>
            <w:r w:rsidRPr="00211D7C">
              <w:rPr>
                <w:rFonts w:ascii="Times New Roman" w:eastAsia="Times New Roman" w:hAnsi="Times New Roman"/>
                <w:sz w:val="20"/>
                <w:szCs w:val="20"/>
                <w:lang w:eastAsia="lv-LV"/>
              </w:rPr>
              <w:t>A</w:t>
            </w:r>
          </w:p>
        </w:tc>
        <w:tc>
          <w:tcPr>
            <w:tcW w:w="219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79EB" w:rsidRPr="00211D7C" w:rsidRDefault="009C79EB" w:rsidP="00211D7C">
            <w:pPr>
              <w:spacing w:after="0" w:line="240" w:lineRule="auto"/>
              <w:jc w:val="center"/>
              <w:rPr>
                <w:rFonts w:ascii="Times New Roman" w:eastAsia="Times New Roman" w:hAnsi="Times New Roman"/>
                <w:sz w:val="20"/>
                <w:szCs w:val="20"/>
                <w:lang w:eastAsia="lv-LV"/>
              </w:rPr>
            </w:pPr>
            <w:r w:rsidRPr="00211D7C">
              <w:rPr>
                <w:rFonts w:ascii="Times New Roman" w:eastAsia="Times New Roman" w:hAnsi="Times New Roman"/>
                <w:sz w:val="20"/>
                <w:szCs w:val="20"/>
                <w:lang w:eastAsia="lv-LV"/>
              </w:rPr>
              <w:t>B</w:t>
            </w:r>
          </w:p>
        </w:tc>
        <w:tc>
          <w:tcPr>
            <w:tcW w:w="16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79EB" w:rsidRPr="00211D7C" w:rsidRDefault="009C79EB" w:rsidP="00211D7C">
            <w:pPr>
              <w:spacing w:after="0" w:line="240" w:lineRule="auto"/>
              <w:jc w:val="center"/>
              <w:rPr>
                <w:rFonts w:ascii="Times New Roman" w:eastAsia="Times New Roman" w:hAnsi="Times New Roman"/>
                <w:sz w:val="20"/>
                <w:szCs w:val="20"/>
                <w:lang w:eastAsia="lv-LV"/>
              </w:rPr>
            </w:pPr>
            <w:r w:rsidRPr="00211D7C">
              <w:rPr>
                <w:rFonts w:ascii="Times New Roman" w:eastAsia="Times New Roman" w:hAnsi="Times New Roman"/>
                <w:sz w:val="20"/>
                <w:szCs w:val="20"/>
                <w:lang w:eastAsia="lv-LV"/>
              </w:rPr>
              <w:t>C</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Starptautiskās saistības (pēc būtības), kas izriet no norādītā starptautiskā dokumenta.</w:t>
            </w:r>
          </w:p>
          <w:p w:rsidR="009C79EB" w:rsidRPr="00211D7C" w:rsidRDefault="009C79EB" w:rsidP="00211D7C">
            <w:pPr>
              <w:spacing w:after="0" w:line="240" w:lineRule="auto"/>
              <w:rPr>
                <w:rFonts w:ascii="Times New Roman" w:eastAsia="Times New Roman" w:hAnsi="Times New Roman"/>
                <w:lang w:eastAsia="lv-LV"/>
              </w:rPr>
            </w:pPr>
          </w:p>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Konkrēti veicamie pasākumi vai uzdevumi, kas nepieciešami šo starptautisko saistību izpildei</w:t>
            </w:r>
          </w:p>
        </w:tc>
        <w:tc>
          <w:tcPr>
            <w:tcW w:w="21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49" w:type="pct"/>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Informācija par to, vai starptautiskās saistības, kas minētas šīs tabulas A ailē, tiek izpildītas pilnībā vai daļēji.</w:t>
            </w:r>
          </w:p>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Ja attiecīgās starptautiskās saistības tiek izpildītas daļēji, sniedz skaidrojumu, kā arī precīzi norāda, kad un kādā veidā starptautiskās saistības tiks izpildītas pilnībā.</w:t>
            </w:r>
          </w:p>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Norāda institūciju, kas ir atbildīga par šo saistību izpildi pilnībā</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 xml:space="preserve">Kioto protokola Dohas grozījums nosaka </w:t>
            </w:r>
            <w:r w:rsidRPr="00211D7C">
              <w:rPr>
                <w:rFonts w:ascii="Times New Roman" w:eastAsia="Times New Roman" w:hAnsi="Times New Roman"/>
                <w:lang w:eastAsia="lv-LV"/>
              </w:rPr>
              <w:lastRenderedPageBreak/>
              <w:t>kopējo Kioto protokola līgumslēdzēju pušu SEG emisiju samazināšanas saistību izpildi – 20% kopējais Puses SEG emisiju apjoms ir jāsamazina par 20%, salīdzinot ar 1990.gada SEG emisiju apjomu</w:t>
            </w:r>
          </w:p>
        </w:tc>
        <w:tc>
          <w:tcPr>
            <w:tcW w:w="21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lastRenderedPageBreak/>
              <w:t xml:space="preserve">Kioto protokola Dohas grozījumu Eiropas Savienības dalībvalstis saskaņā ar Kioto </w:t>
            </w:r>
            <w:r w:rsidRPr="00211D7C">
              <w:rPr>
                <w:rFonts w:ascii="Times New Roman" w:eastAsia="Times New Roman" w:hAnsi="Times New Roman"/>
                <w:lang w:eastAsia="lv-LV"/>
              </w:rPr>
              <w:lastRenderedPageBreak/>
              <w:t>protokola 4.punktu ir apņēmušās īstenot kopā visās ES 28 dalībvalstīs. Kioto protokola Dohas grozījuma mērķis sakrīt ar ES kopējo SEG emisiju samazināšanas mērķi, kurš tika apstiprināt Eiropadomē 2008.gadā, apstiprinot Klimata un enerģētikas pakotni 2020.gadam.</w:t>
            </w:r>
          </w:p>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Kioto protokola Dohas grozījums papildus saistības uzliks minimālā apjomā (galvenokārt noteiks izmainītās ziņošanas un atskaitīšanās prasības), jo noteikto saistību izpildi jau nosaka vairāki ES tiesību akti, kuri ir vai tiek pārņemti nacionālajā likumdošanā.</w:t>
            </w:r>
          </w:p>
        </w:tc>
        <w:tc>
          <w:tcPr>
            <w:tcW w:w="1649" w:type="pct"/>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lastRenderedPageBreak/>
              <w:t xml:space="preserve">Saskaņā ar likumprojektu Kioto protokola Dohas grozījuma saistību </w:t>
            </w:r>
            <w:r w:rsidRPr="00211D7C">
              <w:rPr>
                <w:rFonts w:ascii="Times New Roman" w:eastAsia="Times New Roman" w:hAnsi="Times New Roman"/>
                <w:lang w:eastAsia="lv-LV"/>
              </w:rPr>
              <w:lastRenderedPageBreak/>
              <w:t>izpildi koordinē VARAM, tomēr Kioto protokola Dohas grozījuma uzlikto saistību izpildi nodrošina visas ministrijas, bet īpaši VARAM, Ekonomikas ministrijas, Zemkopības ministrijas, Satiksmes ministrija.</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lastRenderedPageBreak/>
              <w:t>Vai starptautiskajā dokumentā paredzētās saistības nav pretrunā ar jau esošajām Latvijas Republikas starptautiskajām saistībām</w:t>
            </w:r>
          </w:p>
        </w:tc>
        <w:tc>
          <w:tcPr>
            <w:tcW w:w="384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Nav</w:t>
            </w:r>
          </w:p>
        </w:tc>
      </w:tr>
      <w:tr w:rsidR="009F5639" w:rsidRPr="00211D7C" w:rsidTr="009F5639">
        <w:trPr>
          <w:jc w:val="center"/>
        </w:trPr>
        <w:tc>
          <w:tcPr>
            <w:tcW w:w="115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Cita informācija</w:t>
            </w:r>
          </w:p>
        </w:tc>
        <w:tc>
          <w:tcPr>
            <w:tcW w:w="384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9C79EB" w:rsidRPr="00211D7C" w:rsidRDefault="009C79EB" w:rsidP="00211D7C">
            <w:pPr>
              <w:spacing w:after="0" w:line="240" w:lineRule="auto"/>
              <w:rPr>
                <w:rFonts w:ascii="Times New Roman" w:eastAsia="Times New Roman" w:hAnsi="Times New Roman"/>
                <w:lang w:eastAsia="lv-LV"/>
              </w:rPr>
            </w:pPr>
            <w:r w:rsidRPr="00211D7C">
              <w:rPr>
                <w:rFonts w:ascii="Times New Roman" w:eastAsia="Times New Roman" w:hAnsi="Times New Roman"/>
                <w:lang w:eastAsia="lv-LV"/>
              </w:rPr>
              <w:t>Nav</w:t>
            </w:r>
          </w:p>
        </w:tc>
      </w:tr>
    </w:tbl>
    <w:p w:rsidR="009C79EB" w:rsidRPr="00211D7C" w:rsidRDefault="009C79EB" w:rsidP="00211D7C">
      <w:pPr>
        <w:pStyle w:val="naisf"/>
        <w:spacing w:before="0" w:beforeAutospacing="0" w:after="0" w:afterAutospacing="0"/>
        <w:jc w:val="center"/>
        <w:rPr>
          <w:i/>
          <w:sz w:val="26"/>
          <w:szCs w:val="26"/>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
        <w:gridCol w:w="2903"/>
        <w:gridCol w:w="6287"/>
      </w:tblGrid>
      <w:tr w:rsidR="006D3B45" w:rsidRPr="00211D7C" w:rsidTr="00262364">
        <w:trPr>
          <w:trHeight w:val="421"/>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6D3B45" w:rsidRPr="00211D7C" w:rsidRDefault="006D3B45" w:rsidP="00211D7C">
            <w:pPr>
              <w:pStyle w:val="naisnod"/>
              <w:spacing w:before="0" w:beforeAutospacing="0" w:after="0" w:afterAutospacing="0"/>
              <w:ind w:right="57"/>
              <w:jc w:val="center"/>
              <w:rPr>
                <w:sz w:val="22"/>
                <w:szCs w:val="22"/>
              </w:rPr>
            </w:pPr>
            <w:r w:rsidRPr="00211D7C">
              <w:rPr>
                <w:b/>
                <w:sz w:val="22"/>
                <w:szCs w:val="22"/>
              </w:rPr>
              <w:t>VI. Sabiedrības līdzdalība un komunikācijas aktivitātes</w:t>
            </w:r>
          </w:p>
        </w:tc>
      </w:tr>
      <w:tr w:rsidR="00813A6A" w:rsidRPr="00211D7C" w:rsidTr="00262364">
        <w:trPr>
          <w:trHeight w:val="553"/>
          <w:jc w:val="center"/>
        </w:trPr>
        <w:tc>
          <w:tcPr>
            <w:tcW w:w="449"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spacing w:after="0" w:line="240" w:lineRule="auto"/>
              <w:ind w:right="57"/>
              <w:jc w:val="both"/>
              <w:rPr>
                <w:rFonts w:ascii="Times New Roman" w:hAnsi="Times New Roman"/>
                <w:bCs/>
              </w:rPr>
            </w:pPr>
            <w:r w:rsidRPr="00211D7C">
              <w:rPr>
                <w:rFonts w:ascii="Times New Roman" w:hAnsi="Times New Roman"/>
                <w:bCs/>
              </w:rPr>
              <w:t>1.</w:t>
            </w:r>
          </w:p>
        </w:tc>
        <w:tc>
          <w:tcPr>
            <w:tcW w:w="2903"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tabs>
                <w:tab w:val="left" w:pos="170"/>
              </w:tabs>
              <w:spacing w:after="0" w:line="240" w:lineRule="auto"/>
              <w:ind w:right="57"/>
              <w:rPr>
                <w:rFonts w:ascii="Times New Roman" w:hAnsi="Times New Roman"/>
                <w:lang w:eastAsia="lv-LV"/>
              </w:rPr>
            </w:pPr>
            <w:r w:rsidRPr="00211D7C">
              <w:rPr>
                <w:rFonts w:ascii="Times New Roman" w:hAnsi="Times New Roman"/>
                <w:lang w:eastAsia="lv-LV"/>
              </w:rPr>
              <w:t>Plānotās sabiedrības līdzdalības un komunikācijas aktivitātes saistībā ar projektu</w:t>
            </w:r>
          </w:p>
        </w:tc>
        <w:tc>
          <w:tcPr>
            <w:tcW w:w="6287"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autoSpaceDE w:val="0"/>
              <w:autoSpaceDN w:val="0"/>
              <w:adjustRightInd w:val="0"/>
              <w:spacing w:after="0" w:line="240" w:lineRule="auto"/>
              <w:ind w:firstLine="170"/>
              <w:jc w:val="both"/>
              <w:rPr>
                <w:rFonts w:ascii="Times New Roman" w:hAnsi="Times New Roman"/>
              </w:rPr>
            </w:pPr>
            <w:bookmarkStart w:id="1" w:name="p61"/>
            <w:bookmarkEnd w:id="1"/>
            <w:r w:rsidRPr="00211D7C">
              <w:rPr>
                <w:rFonts w:ascii="Times New Roman" w:hAnsi="Times New Roman"/>
              </w:rPr>
              <w:t xml:space="preserve">Sabiedrība tika informēta par likumprojekta izstrādi, kad likumprojekts tika ievietots publiskai apspriešanai Vides aizsardzības un reģionālās attīstības ministrijas tīmekļa vietnē 2015.gada </w:t>
            </w:r>
            <w:r w:rsidR="00063CB3" w:rsidRPr="00211D7C">
              <w:rPr>
                <w:rFonts w:ascii="Times New Roman" w:hAnsi="Times New Roman"/>
              </w:rPr>
              <w:t>2</w:t>
            </w:r>
            <w:r w:rsidR="00F022DA" w:rsidRPr="00211D7C">
              <w:rPr>
                <w:rFonts w:ascii="Times New Roman" w:hAnsi="Times New Roman"/>
              </w:rPr>
              <w:t>4</w:t>
            </w:r>
            <w:r w:rsidRPr="00211D7C">
              <w:rPr>
                <w:rFonts w:ascii="Times New Roman" w:hAnsi="Times New Roman"/>
              </w:rPr>
              <w:t>.aprīlī.</w:t>
            </w:r>
          </w:p>
        </w:tc>
      </w:tr>
      <w:tr w:rsidR="00813A6A" w:rsidRPr="00211D7C" w:rsidTr="00262364">
        <w:trPr>
          <w:trHeight w:val="339"/>
          <w:jc w:val="center"/>
        </w:trPr>
        <w:tc>
          <w:tcPr>
            <w:tcW w:w="449"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spacing w:after="0" w:line="240" w:lineRule="auto"/>
              <w:ind w:right="57"/>
              <w:jc w:val="both"/>
              <w:rPr>
                <w:rFonts w:ascii="Times New Roman" w:hAnsi="Times New Roman"/>
                <w:bCs/>
              </w:rPr>
            </w:pPr>
            <w:r w:rsidRPr="00211D7C">
              <w:rPr>
                <w:rFonts w:ascii="Times New Roman" w:hAnsi="Times New Roman"/>
                <w:bCs/>
              </w:rPr>
              <w:t>2.</w:t>
            </w:r>
          </w:p>
        </w:tc>
        <w:tc>
          <w:tcPr>
            <w:tcW w:w="2903"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spacing w:after="0" w:line="240" w:lineRule="auto"/>
              <w:ind w:right="57"/>
              <w:rPr>
                <w:rFonts w:ascii="Times New Roman" w:hAnsi="Times New Roman"/>
                <w:lang w:eastAsia="lv-LV"/>
              </w:rPr>
            </w:pPr>
            <w:r w:rsidRPr="00211D7C">
              <w:rPr>
                <w:rFonts w:ascii="Times New Roman" w:hAnsi="Times New Roman"/>
                <w:lang w:eastAsia="lv-LV"/>
              </w:rPr>
              <w:t>Sabiedrības līdzdalība projekta izstrādē</w:t>
            </w:r>
          </w:p>
        </w:tc>
        <w:tc>
          <w:tcPr>
            <w:tcW w:w="6287" w:type="dxa"/>
            <w:tcBorders>
              <w:top w:val="single" w:sz="4" w:space="0" w:color="auto"/>
              <w:left w:val="single" w:sz="4" w:space="0" w:color="auto"/>
              <w:bottom w:val="single" w:sz="4" w:space="0" w:color="auto"/>
              <w:right w:val="single" w:sz="4" w:space="0" w:color="auto"/>
            </w:tcBorders>
            <w:hideMark/>
          </w:tcPr>
          <w:p w:rsidR="00813A6A" w:rsidRPr="00211D7C" w:rsidRDefault="00813A6A" w:rsidP="00211D7C">
            <w:pPr>
              <w:autoSpaceDE w:val="0"/>
              <w:autoSpaceDN w:val="0"/>
              <w:adjustRightInd w:val="0"/>
              <w:spacing w:after="0" w:line="240" w:lineRule="auto"/>
              <w:ind w:firstLine="170"/>
              <w:jc w:val="both"/>
              <w:rPr>
                <w:rFonts w:ascii="Times New Roman" w:hAnsi="Times New Roman"/>
                <w:color w:val="000000"/>
              </w:rPr>
            </w:pPr>
            <w:bookmarkStart w:id="2" w:name="p62"/>
            <w:bookmarkEnd w:id="2"/>
            <w:r w:rsidRPr="00211D7C">
              <w:rPr>
                <w:rFonts w:ascii="Times New Roman" w:hAnsi="Times New Roman"/>
              </w:rPr>
              <w:t>Likumprojekts publicēts Vides aizsardzības un reģionālās attīstības tīmekļa vietnē.</w:t>
            </w:r>
          </w:p>
        </w:tc>
      </w:tr>
      <w:tr w:rsidR="006D3B45" w:rsidRPr="00211D7C" w:rsidTr="00262364">
        <w:trPr>
          <w:trHeight w:val="476"/>
          <w:jc w:val="center"/>
        </w:trPr>
        <w:tc>
          <w:tcPr>
            <w:tcW w:w="449"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spacing w:after="0" w:line="240" w:lineRule="auto"/>
              <w:ind w:right="57"/>
              <w:jc w:val="both"/>
              <w:rPr>
                <w:rFonts w:ascii="Times New Roman" w:hAnsi="Times New Roman"/>
                <w:bCs/>
              </w:rPr>
            </w:pPr>
            <w:r w:rsidRPr="00211D7C">
              <w:rPr>
                <w:rFonts w:ascii="Times New Roman" w:hAnsi="Times New Roman"/>
                <w:bCs/>
              </w:rPr>
              <w:t>3.</w:t>
            </w:r>
          </w:p>
        </w:tc>
        <w:tc>
          <w:tcPr>
            <w:tcW w:w="2903"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spacing w:after="0" w:line="240" w:lineRule="auto"/>
              <w:ind w:right="57"/>
              <w:rPr>
                <w:rFonts w:ascii="Times New Roman" w:hAnsi="Times New Roman"/>
                <w:lang w:eastAsia="lv-LV"/>
              </w:rPr>
            </w:pPr>
            <w:r w:rsidRPr="00211D7C">
              <w:rPr>
                <w:rFonts w:ascii="Times New Roman" w:hAnsi="Times New Roman"/>
                <w:lang w:eastAsia="lv-LV"/>
              </w:rPr>
              <w:t>Sabiedrības līdzdalības rezultāti</w:t>
            </w:r>
          </w:p>
        </w:tc>
        <w:tc>
          <w:tcPr>
            <w:tcW w:w="6287"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oSpacing"/>
              <w:ind w:right="27"/>
              <w:jc w:val="both"/>
              <w:rPr>
                <w:rFonts w:ascii="Times New Roman" w:eastAsia="Times New Roman" w:hAnsi="Times New Roman"/>
                <w:lang w:val="lv-LV"/>
              </w:rPr>
            </w:pPr>
            <w:r w:rsidRPr="00211D7C">
              <w:rPr>
                <w:rFonts w:ascii="Times New Roman" w:hAnsi="Times New Roman"/>
                <w:lang w:val="lv-LV"/>
              </w:rPr>
              <w:t xml:space="preserve">  Projekts šo jomu neskar.</w:t>
            </w:r>
          </w:p>
        </w:tc>
      </w:tr>
      <w:tr w:rsidR="006D3B45" w:rsidRPr="00211D7C" w:rsidTr="00262364">
        <w:trPr>
          <w:trHeight w:val="476"/>
          <w:jc w:val="center"/>
        </w:trPr>
        <w:tc>
          <w:tcPr>
            <w:tcW w:w="449"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spacing w:after="0" w:line="240" w:lineRule="auto"/>
              <w:ind w:right="57"/>
              <w:jc w:val="both"/>
              <w:rPr>
                <w:rFonts w:ascii="Times New Roman" w:hAnsi="Times New Roman"/>
                <w:bCs/>
              </w:rPr>
            </w:pPr>
            <w:r w:rsidRPr="00211D7C">
              <w:rPr>
                <w:rFonts w:ascii="Times New Roman" w:hAnsi="Times New Roman"/>
                <w:bCs/>
              </w:rPr>
              <w:t>4.</w:t>
            </w:r>
          </w:p>
        </w:tc>
        <w:tc>
          <w:tcPr>
            <w:tcW w:w="2903"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spacing w:after="0" w:line="240" w:lineRule="auto"/>
              <w:ind w:right="57"/>
              <w:rPr>
                <w:rFonts w:ascii="Times New Roman" w:hAnsi="Times New Roman"/>
                <w:lang w:eastAsia="lv-LV"/>
              </w:rPr>
            </w:pPr>
            <w:r w:rsidRPr="00211D7C">
              <w:rPr>
                <w:rFonts w:ascii="Times New Roman" w:hAnsi="Times New Roman"/>
                <w:lang w:eastAsia="lv-LV"/>
              </w:rPr>
              <w:t>Cita informācija</w:t>
            </w:r>
          </w:p>
        </w:tc>
        <w:tc>
          <w:tcPr>
            <w:tcW w:w="6287" w:type="dxa"/>
            <w:tcBorders>
              <w:top w:val="single" w:sz="4" w:space="0" w:color="auto"/>
              <w:left w:val="single" w:sz="4" w:space="0" w:color="auto"/>
              <w:bottom w:val="single" w:sz="4" w:space="0" w:color="auto"/>
              <w:right w:val="single" w:sz="4" w:space="0" w:color="auto"/>
            </w:tcBorders>
            <w:hideMark/>
          </w:tcPr>
          <w:p w:rsidR="006D3B45" w:rsidRPr="00211D7C" w:rsidRDefault="002F7928" w:rsidP="00211D7C">
            <w:pPr>
              <w:pStyle w:val="FootnoteText"/>
              <w:ind w:left="57"/>
              <w:jc w:val="both"/>
              <w:rPr>
                <w:color w:val="000000"/>
                <w:sz w:val="22"/>
                <w:szCs w:val="22"/>
              </w:rPr>
            </w:pPr>
            <w:r w:rsidRPr="00211D7C">
              <w:rPr>
                <w:color w:val="000000"/>
                <w:sz w:val="22"/>
                <w:szCs w:val="22"/>
              </w:rPr>
              <w:t>Lēmuma projekts par Dohas grozījuma noslēgšanu</w:t>
            </w:r>
            <w:r w:rsidR="005B5200" w:rsidRPr="00211D7C">
              <w:rPr>
                <w:color w:val="000000"/>
                <w:sz w:val="22"/>
                <w:szCs w:val="22"/>
              </w:rPr>
              <w:t xml:space="preserve"> tā izstrādes gaitā </w:t>
            </w:r>
            <w:r w:rsidRPr="00211D7C">
              <w:rPr>
                <w:color w:val="000000"/>
                <w:sz w:val="22"/>
                <w:szCs w:val="22"/>
              </w:rPr>
              <w:t xml:space="preserve">ir </w:t>
            </w:r>
            <w:r w:rsidR="005B5200" w:rsidRPr="00211D7C">
              <w:rPr>
                <w:color w:val="000000"/>
                <w:sz w:val="22"/>
                <w:szCs w:val="22"/>
              </w:rPr>
              <w:t>noteikts kā dokuments tikai „Dienesta vajadzībām”</w:t>
            </w:r>
            <w:r w:rsidR="00C8071B" w:rsidRPr="00211D7C">
              <w:rPr>
                <w:color w:val="000000"/>
                <w:sz w:val="22"/>
                <w:szCs w:val="22"/>
              </w:rPr>
              <w:t xml:space="preserve"> (</w:t>
            </w:r>
            <w:r w:rsidR="00C8071B" w:rsidRPr="00211D7C">
              <w:rPr>
                <w:i/>
                <w:color w:val="000000"/>
                <w:sz w:val="22"/>
                <w:szCs w:val="22"/>
              </w:rPr>
              <w:t>LIMITE</w:t>
            </w:r>
            <w:r w:rsidR="00C8071B" w:rsidRPr="00211D7C">
              <w:rPr>
                <w:color w:val="000000"/>
                <w:sz w:val="22"/>
                <w:szCs w:val="22"/>
              </w:rPr>
              <w:t>)</w:t>
            </w:r>
            <w:r w:rsidR="005B5200" w:rsidRPr="00211D7C">
              <w:rPr>
                <w:color w:val="000000"/>
                <w:sz w:val="22"/>
                <w:szCs w:val="22"/>
              </w:rPr>
              <w:t>, tāpēc sabiedrības līdzdalība tā izstrādes stadijā nebija iespējama.</w:t>
            </w:r>
          </w:p>
        </w:tc>
      </w:tr>
    </w:tbl>
    <w:p w:rsidR="006D3B45" w:rsidRPr="00211D7C" w:rsidRDefault="006D3B45" w:rsidP="00211D7C">
      <w:pPr>
        <w:spacing w:after="0" w:line="240" w:lineRule="auto"/>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2"/>
        <w:gridCol w:w="5162"/>
        <w:gridCol w:w="4115"/>
      </w:tblGrid>
      <w:tr w:rsidR="006D3B45" w:rsidRPr="00211D7C" w:rsidTr="009C79EB">
        <w:trPr>
          <w:trHeight w:val="381"/>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6D3B45" w:rsidRPr="00211D7C" w:rsidRDefault="006D3B45" w:rsidP="00211D7C">
            <w:pPr>
              <w:pStyle w:val="naisnod"/>
              <w:spacing w:before="60" w:beforeAutospacing="0" w:after="60" w:afterAutospacing="0"/>
              <w:ind w:right="57"/>
              <w:jc w:val="center"/>
              <w:rPr>
                <w:sz w:val="22"/>
                <w:szCs w:val="22"/>
              </w:rPr>
            </w:pPr>
            <w:r w:rsidRPr="00211D7C">
              <w:rPr>
                <w:b/>
                <w:sz w:val="22"/>
                <w:szCs w:val="22"/>
              </w:rPr>
              <w:t>VII. Tiesību akta projekta izpildes nodrošināšana un tās ietekme uz institūcijām</w:t>
            </w:r>
          </w:p>
        </w:tc>
      </w:tr>
      <w:tr w:rsidR="006D3B45" w:rsidRPr="00211D7C" w:rsidTr="009F5639">
        <w:trPr>
          <w:trHeight w:val="427"/>
          <w:jc w:val="center"/>
        </w:trPr>
        <w:tc>
          <w:tcPr>
            <w:tcW w:w="3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nod"/>
              <w:spacing w:before="60" w:beforeAutospacing="0" w:after="60" w:afterAutospacing="0"/>
              <w:ind w:right="57"/>
              <w:jc w:val="both"/>
              <w:rPr>
                <w:sz w:val="22"/>
                <w:szCs w:val="22"/>
              </w:rPr>
            </w:pPr>
            <w:r w:rsidRPr="00211D7C">
              <w:rPr>
                <w:sz w:val="22"/>
                <w:szCs w:val="22"/>
              </w:rPr>
              <w:t>1.</w:t>
            </w:r>
          </w:p>
        </w:tc>
        <w:tc>
          <w:tcPr>
            <w:tcW w:w="51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f"/>
              <w:spacing w:before="60" w:beforeAutospacing="0" w:after="60" w:afterAutospacing="0"/>
              <w:ind w:right="57"/>
              <w:rPr>
                <w:sz w:val="22"/>
                <w:szCs w:val="22"/>
              </w:rPr>
            </w:pPr>
            <w:r w:rsidRPr="00211D7C">
              <w:rPr>
                <w:sz w:val="22"/>
                <w:szCs w:val="22"/>
              </w:rPr>
              <w:t>Projekta izpildē iesaistītās institūcijas</w:t>
            </w:r>
          </w:p>
        </w:tc>
        <w:tc>
          <w:tcPr>
            <w:tcW w:w="4115" w:type="dxa"/>
            <w:tcBorders>
              <w:top w:val="single" w:sz="4" w:space="0" w:color="auto"/>
              <w:left w:val="single" w:sz="4" w:space="0" w:color="auto"/>
              <w:bottom w:val="single" w:sz="4" w:space="0" w:color="auto"/>
              <w:right w:val="single" w:sz="4" w:space="0" w:color="auto"/>
            </w:tcBorders>
          </w:tcPr>
          <w:p w:rsidR="006D3B45" w:rsidRPr="00211D7C" w:rsidRDefault="005B5200" w:rsidP="00211D7C">
            <w:pPr>
              <w:spacing w:before="60" w:after="60" w:line="240" w:lineRule="auto"/>
              <w:jc w:val="both"/>
              <w:rPr>
                <w:rFonts w:ascii="Times New Roman" w:hAnsi="Times New Roman"/>
              </w:rPr>
            </w:pPr>
            <w:bookmarkStart w:id="3" w:name="p69"/>
            <w:bookmarkStart w:id="4" w:name="p68"/>
            <w:bookmarkStart w:id="5" w:name="p67"/>
            <w:bookmarkStart w:id="6" w:name="p66"/>
            <w:bookmarkEnd w:id="3"/>
            <w:bookmarkEnd w:id="4"/>
            <w:bookmarkEnd w:id="5"/>
            <w:bookmarkEnd w:id="6"/>
            <w:r w:rsidRPr="00211D7C">
              <w:rPr>
                <w:rFonts w:ascii="Times New Roman" w:hAnsi="Times New Roman"/>
                <w:color w:val="000000"/>
              </w:rPr>
              <w:t>V</w:t>
            </w:r>
            <w:r w:rsidR="00D144CC" w:rsidRPr="00211D7C">
              <w:rPr>
                <w:rFonts w:ascii="Times New Roman" w:hAnsi="Times New Roman"/>
                <w:color w:val="000000"/>
              </w:rPr>
              <w:t>ARAM</w:t>
            </w:r>
            <w:r w:rsidRPr="00211D7C">
              <w:rPr>
                <w:rFonts w:ascii="Times New Roman" w:hAnsi="Times New Roman"/>
                <w:color w:val="000000"/>
              </w:rPr>
              <w:t>.</w:t>
            </w:r>
          </w:p>
        </w:tc>
      </w:tr>
      <w:tr w:rsidR="006D3B45" w:rsidRPr="00211D7C" w:rsidTr="009F5639">
        <w:trPr>
          <w:trHeight w:val="463"/>
          <w:jc w:val="center"/>
        </w:trPr>
        <w:tc>
          <w:tcPr>
            <w:tcW w:w="3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nod"/>
              <w:spacing w:before="60" w:beforeAutospacing="0" w:after="60" w:afterAutospacing="0"/>
              <w:ind w:right="57"/>
              <w:jc w:val="both"/>
              <w:rPr>
                <w:sz w:val="22"/>
                <w:szCs w:val="22"/>
              </w:rPr>
            </w:pPr>
            <w:r w:rsidRPr="00211D7C">
              <w:rPr>
                <w:sz w:val="22"/>
                <w:szCs w:val="22"/>
              </w:rPr>
              <w:t>2.</w:t>
            </w:r>
          </w:p>
        </w:tc>
        <w:tc>
          <w:tcPr>
            <w:tcW w:w="51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f"/>
              <w:spacing w:before="60" w:beforeAutospacing="0" w:after="60" w:afterAutospacing="0"/>
              <w:ind w:right="57"/>
              <w:rPr>
                <w:sz w:val="22"/>
                <w:szCs w:val="22"/>
                <w:lang w:eastAsia="lv-LV"/>
              </w:rPr>
            </w:pPr>
            <w:r w:rsidRPr="00211D7C">
              <w:rPr>
                <w:sz w:val="22"/>
                <w:szCs w:val="22"/>
              </w:rPr>
              <w:t>Projekta izpildes ietekme uz pār</w:t>
            </w:r>
            <w:r w:rsidRPr="00211D7C">
              <w:rPr>
                <w:sz w:val="22"/>
                <w:szCs w:val="22"/>
              </w:rPr>
              <w:softHyphen/>
              <w:t>valdes funkcijām un institucionālo struktūru.</w:t>
            </w:r>
          </w:p>
          <w:p w:rsidR="006D3B45" w:rsidRPr="00211D7C" w:rsidRDefault="006D3B45" w:rsidP="00211D7C">
            <w:pPr>
              <w:pStyle w:val="naisf"/>
              <w:spacing w:before="60" w:beforeAutospacing="0" w:after="60" w:afterAutospacing="0"/>
              <w:ind w:right="57"/>
              <w:rPr>
                <w:sz w:val="22"/>
                <w:szCs w:val="22"/>
              </w:rPr>
            </w:pPr>
            <w:r w:rsidRPr="00211D7C">
              <w:rPr>
                <w:sz w:val="22"/>
                <w:szCs w:val="22"/>
              </w:rPr>
              <w:t>Jaunu institūciju izveide, esošu institūciju likvidācija vai reorganizācija, to ietekme uz institūcijas cilvēkresursiem</w:t>
            </w:r>
          </w:p>
        </w:tc>
        <w:tc>
          <w:tcPr>
            <w:tcW w:w="4115" w:type="dxa"/>
            <w:tcBorders>
              <w:top w:val="single" w:sz="4" w:space="0" w:color="auto"/>
              <w:left w:val="single" w:sz="4" w:space="0" w:color="auto"/>
              <w:bottom w:val="single" w:sz="4" w:space="0" w:color="auto"/>
              <w:right w:val="single" w:sz="4" w:space="0" w:color="auto"/>
            </w:tcBorders>
          </w:tcPr>
          <w:p w:rsidR="006D3B45" w:rsidRPr="00211D7C" w:rsidRDefault="006D3B45" w:rsidP="00211D7C">
            <w:pPr>
              <w:spacing w:before="60" w:after="60" w:line="240" w:lineRule="auto"/>
              <w:jc w:val="both"/>
              <w:rPr>
                <w:rFonts w:ascii="Times New Roman" w:hAnsi="Times New Roman"/>
              </w:rPr>
            </w:pPr>
            <w:r w:rsidRPr="00211D7C">
              <w:rPr>
                <w:rFonts w:ascii="Times New Roman" w:hAnsi="Times New Roman"/>
                <w:color w:val="000000"/>
              </w:rPr>
              <w:t>Projekts nemaina iesaistīto institūciju kompetenci</w:t>
            </w:r>
            <w:r w:rsidR="005B5200" w:rsidRPr="00211D7C">
              <w:rPr>
                <w:rFonts w:ascii="Times New Roman" w:hAnsi="Times New Roman"/>
              </w:rPr>
              <w:t>.</w:t>
            </w:r>
          </w:p>
        </w:tc>
      </w:tr>
      <w:tr w:rsidR="006D3B45" w:rsidRPr="00211D7C" w:rsidTr="009F5639">
        <w:trPr>
          <w:trHeight w:val="402"/>
          <w:jc w:val="center"/>
        </w:trPr>
        <w:tc>
          <w:tcPr>
            <w:tcW w:w="3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nod"/>
              <w:spacing w:before="60" w:beforeAutospacing="0" w:after="60" w:afterAutospacing="0"/>
              <w:ind w:right="57"/>
              <w:jc w:val="both"/>
              <w:rPr>
                <w:sz w:val="22"/>
                <w:szCs w:val="22"/>
              </w:rPr>
            </w:pPr>
            <w:r w:rsidRPr="00211D7C">
              <w:rPr>
                <w:sz w:val="22"/>
                <w:szCs w:val="22"/>
              </w:rPr>
              <w:t>3.</w:t>
            </w:r>
          </w:p>
        </w:tc>
        <w:tc>
          <w:tcPr>
            <w:tcW w:w="5162"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pStyle w:val="naisf"/>
              <w:spacing w:before="60" w:beforeAutospacing="0" w:after="60" w:afterAutospacing="0"/>
              <w:ind w:right="57"/>
              <w:rPr>
                <w:sz w:val="22"/>
                <w:szCs w:val="22"/>
              </w:rPr>
            </w:pPr>
            <w:r w:rsidRPr="00211D7C">
              <w:rPr>
                <w:sz w:val="22"/>
                <w:szCs w:val="22"/>
              </w:rPr>
              <w:t>Cita informācija</w:t>
            </w:r>
          </w:p>
        </w:tc>
        <w:tc>
          <w:tcPr>
            <w:tcW w:w="4115" w:type="dxa"/>
            <w:tcBorders>
              <w:top w:val="single" w:sz="4" w:space="0" w:color="auto"/>
              <w:left w:val="single" w:sz="4" w:space="0" w:color="auto"/>
              <w:bottom w:val="single" w:sz="4" w:space="0" w:color="auto"/>
              <w:right w:val="single" w:sz="4" w:space="0" w:color="auto"/>
            </w:tcBorders>
            <w:hideMark/>
          </w:tcPr>
          <w:p w:rsidR="006D3B45" w:rsidRPr="00211D7C" w:rsidRDefault="006D3B45" w:rsidP="00211D7C">
            <w:pPr>
              <w:spacing w:before="60" w:after="60" w:line="240" w:lineRule="auto"/>
              <w:ind w:right="57"/>
              <w:jc w:val="both"/>
              <w:rPr>
                <w:rFonts w:ascii="Times New Roman" w:hAnsi="Times New Roman"/>
                <w:lang w:eastAsia="lv-LV"/>
              </w:rPr>
            </w:pPr>
            <w:r w:rsidRPr="00211D7C">
              <w:rPr>
                <w:rFonts w:ascii="Times New Roman" w:hAnsi="Times New Roman"/>
              </w:rPr>
              <w:t>Nav</w:t>
            </w:r>
          </w:p>
        </w:tc>
      </w:tr>
    </w:tbl>
    <w:p w:rsidR="009C79EB" w:rsidRPr="00211D7C" w:rsidRDefault="009C79EB" w:rsidP="00211D7C">
      <w:pPr>
        <w:pStyle w:val="naisf"/>
        <w:tabs>
          <w:tab w:val="left" w:pos="6804"/>
        </w:tabs>
        <w:spacing w:before="120" w:beforeAutospacing="0" w:after="120" w:afterAutospacing="0"/>
        <w:rPr>
          <w:sz w:val="28"/>
          <w:szCs w:val="28"/>
          <w:u w:val="single"/>
        </w:rPr>
      </w:pPr>
      <w:r w:rsidRPr="00211D7C">
        <w:rPr>
          <w:b/>
          <w:u w:val="single"/>
        </w:rPr>
        <w:t xml:space="preserve">Anotācijas  </w:t>
      </w:r>
      <w:r w:rsidR="009F5639" w:rsidRPr="00211D7C">
        <w:rPr>
          <w:b/>
          <w:u w:val="single"/>
        </w:rPr>
        <w:t xml:space="preserve">III un IV sadaļa, </w:t>
      </w:r>
      <w:r w:rsidRPr="00211D7C">
        <w:rPr>
          <w:b/>
          <w:u w:val="single"/>
        </w:rPr>
        <w:t>V sadaļas 1.tabula – projekts šo jomu neskar.</w:t>
      </w:r>
    </w:p>
    <w:p w:rsidR="00A930D5" w:rsidRPr="00211D7C" w:rsidRDefault="00A930D5" w:rsidP="00211D7C">
      <w:pPr>
        <w:spacing w:after="0" w:line="240" w:lineRule="auto"/>
        <w:rPr>
          <w:rFonts w:ascii="Times New Roman" w:hAnsi="Times New Roman"/>
          <w:sz w:val="26"/>
          <w:szCs w:val="26"/>
        </w:rPr>
      </w:pPr>
    </w:p>
    <w:p w:rsidR="0036422A" w:rsidRPr="00211D7C" w:rsidRDefault="0036422A" w:rsidP="00211D7C">
      <w:pPr>
        <w:spacing w:after="0" w:line="240" w:lineRule="auto"/>
        <w:rPr>
          <w:rFonts w:ascii="Times New Roman" w:hAnsi="Times New Roman"/>
          <w:sz w:val="28"/>
          <w:szCs w:val="28"/>
        </w:rPr>
      </w:pPr>
      <w:r w:rsidRPr="00211D7C">
        <w:rPr>
          <w:rFonts w:ascii="Times New Roman" w:hAnsi="Times New Roman"/>
          <w:sz w:val="28"/>
          <w:szCs w:val="28"/>
        </w:rPr>
        <w:t>Vides aizsardzības un reģionālās attīstības ministrs</w:t>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t>K.Gerhards</w:t>
      </w:r>
    </w:p>
    <w:p w:rsidR="009F5639" w:rsidRPr="00211D7C" w:rsidRDefault="009F5639" w:rsidP="00211D7C">
      <w:pPr>
        <w:spacing w:after="0" w:line="240" w:lineRule="auto"/>
        <w:rPr>
          <w:rFonts w:ascii="Times New Roman" w:hAnsi="Times New Roman"/>
          <w:sz w:val="28"/>
          <w:szCs w:val="28"/>
        </w:rPr>
      </w:pPr>
    </w:p>
    <w:p w:rsidR="0036422A" w:rsidRPr="00211D7C" w:rsidRDefault="0036422A" w:rsidP="00211D7C">
      <w:pPr>
        <w:spacing w:after="0" w:line="240" w:lineRule="auto"/>
        <w:rPr>
          <w:rFonts w:ascii="Times New Roman" w:hAnsi="Times New Roman"/>
          <w:sz w:val="28"/>
          <w:szCs w:val="28"/>
        </w:rPr>
      </w:pPr>
      <w:r w:rsidRPr="00211D7C">
        <w:rPr>
          <w:rFonts w:ascii="Times New Roman" w:hAnsi="Times New Roman"/>
          <w:sz w:val="28"/>
          <w:szCs w:val="28"/>
        </w:rPr>
        <w:t>Valsts sekretārs</w:t>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r>
      <w:r w:rsidRPr="00211D7C">
        <w:rPr>
          <w:rFonts w:ascii="Times New Roman" w:hAnsi="Times New Roman"/>
          <w:sz w:val="28"/>
          <w:szCs w:val="28"/>
        </w:rPr>
        <w:tab/>
        <w:t>G.Puķītis</w:t>
      </w:r>
    </w:p>
    <w:p w:rsidR="0036422A" w:rsidRDefault="0036422A" w:rsidP="00211D7C">
      <w:pPr>
        <w:spacing w:after="0" w:line="240" w:lineRule="auto"/>
        <w:rPr>
          <w:rFonts w:ascii="Times New Roman" w:hAnsi="Times New Roman"/>
          <w:sz w:val="8"/>
          <w:szCs w:val="8"/>
        </w:rPr>
      </w:pPr>
    </w:p>
    <w:p w:rsidR="009F5639" w:rsidRPr="00211D7C" w:rsidRDefault="009F5639" w:rsidP="00211D7C">
      <w:pPr>
        <w:spacing w:after="0" w:line="240" w:lineRule="auto"/>
        <w:rPr>
          <w:rFonts w:ascii="Times New Roman" w:hAnsi="Times New Roman"/>
          <w:sz w:val="8"/>
          <w:szCs w:val="8"/>
        </w:rPr>
      </w:pPr>
    </w:p>
    <w:p w:rsidR="00A930D5" w:rsidRPr="00211D7C" w:rsidRDefault="00A930D5" w:rsidP="00211D7C">
      <w:pPr>
        <w:spacing w:after="0" w:line="240" w:lineRule="auto"/>
        <w:rPr>
          <w:rFonts w:ascii="Times New Roman" w:hAnsi="Times New Roman"/>
          <w:sz w:val="8"/>
          <w:szCs w:val="8"/>
        </w:rPr>
      </w:pPr>
    </w:p>
    <w:p w:rsidR="0036422A" w:rsidRPr="00211D7C" w:rsidRDefault="0036422A" w:rsidP="00211D7C">
      <w:pPr>
        <w:spacing w:after="0" w:line="240" w:lineRule="auto"/>
        <w:rPr>
          <w:rFonts w:ascii="Times New Roman" w:hAnsi="Times New Roman"/>
          <w:sz w:val="8"/>
          <w:szCs w:val="8"/>
        </w:rPr>
      </w:pPr>
    </w:p>
    <w:p w:rsidR="0036422A" w:rsidRPr="00211D7C" w:rsidRDefault="00211D7C" w:rsidP="00211D7C">
      <w:pPr>
        <w:spacing w:after="0" w:line="240" w:lineRule="auto"/>
        <w:rPr>
          <w:rFonts w:ascii="Times New Roman" w:hAnsi="Times New Roman"/>
          <w:sz w:val="18"/>
          <w:szCs w:val="18"/>
        </w:rPr>
      </w:pPr>
      <w:r w:rsidRPr="00211D7C">
        <w:rPr>
          <w:rFonts w:ascii="Times New Roman" w:hAnsi="Times New Roman"/>
          <w:sz w:val="18"/>
          <w:szCs w:val="18"/>
        </w:rPr>
        <w:t>04.08</w:t>
      </w:r>
      <w:r w:rsidR="0036422A" w:rsidRPr="00211D7C">
        <w:rPr>
          <w:rFonts w:ascii="Times New Roman" w:hAnsi="Times New Roman"/>
          <w:sz w:val="18"/>
          <w:szCs w:val="18"/>
        </w:rPr>
        <w:t xml:space="preserve">.2015. </w:t>
      </w:r>
      <w:r w:rsidR="00741A0B" w:rsidRPr="00211D7C">
        <w:rPr>
          <w:rFonts w:ascii="Times New Roman" w:hAnsi="Times New Roman"/>
          <w:sz w:val="18"/>
          <w:szCs w:val="18"/>
        </w:rPr>
        <w:t>1</w:t>
      </w:r>
      <w:r w:rsidR="004417F8">
        <w:rPr>
          <w:rFonts w:ascii="Times New Roman" w:hAnsi="Times New Roman"/>
          <w:sz w:val="18"/>
          <w:szCs w:val="18"/>
        </w:rPr>
        <w:t>4</w:t>
      </w:r>
      <w:r w:rsidR="0036422A" w:rsidRPr="00211D7C">
        <w:rPr>
          <w:rFonts w:ascii="Times New Roman" w:hAnsi="Times New Roman"/>
          <w:sz w:val="18"/>
          <w:szCs w:val="18"/>
        </w:rPr>
        <w:t>:00</w:t>
      </w:r>
    </w:p>
    <w:p w:rsidR="005B5200" w:rsidRPr="00211D7C" w:rsidRDefault="004417F8" w:rsidP="00211D7C">
      <w:pPr>
        <w:spacing w:after="0" w:line="240" w:lineRule="auto"/>
        <w:rPr>
          <w:rFonts w:ascii="Times New Roman" w:hAnsi="Times New Roman"/>
          <w:sz w:val="18"/>
          <w:szCs w:val="18"/>
        </w:rPr>
      </w:pPr>
      <w:fldSimple w:instr=" NUMWORDS   \* MERGEFORMAT ">
        <w:r w:rsidR="00B54471" w:rsidRPr="00B54471">
          <w:rPr>
            <w:rFonts w:ascii="Times New Roman" w:hAnsi="Times New Roman"/>
            <w:noProof/>
            <w:sz w:val="18"/>
            <w:szCs w:val="18"/>
          </w:rPr>
          <w:t>2006</w:t>
        </w:r>
      </w:fldSimple>
    </w:p>
    <w:p w:rsidR="0036422A" w:rsidRPr="00211D7C" w:rsidRDefault="0036422A" w:rsidP="00211D7C">
      <w:pPr>
        <w:spacing w:after="0" w:line="240" w:lineRule="auto"/>
        <w:rPr>
          <w:rFonts w:ascii="Times New Roman" w:hAnsi="Times New Roman"/>
          <w:sz w:val="18"/>
          <w:szCs w:val="18"/>
        </w:rPr>
      </w:pPr>
      <w:r w:rsidRPr="00211D7C">
        <w:rPr>
          <w:rFonts w:ascii="Times New Roman" w:hAnsi="Times New Roman"/>
          <w:sz w:val="18"/>
          <w:szCs w:val="18"/>
        </w:rPr>
        <w:t>H. Rimša</w:t>
      </w:r>
      <w:r w:rsidRPr="00211D7C">
        <w:rPr>
          <w:rFonts w:ascii="Times New Roman" w:hAnsi="Times New Roman"/>
          <w:sz w:val="18"/>
          <w:szCs w:val="18"/>
        </w:rPr>
        <w:tab/>
      </w:r>
    </w:p>
    <w:p w:rsidR="00F819BE" w:rsidRPr="000B739C" w:rsidRDefault="0036422A" w:rsidP="00211D7C">
      <w:pPr>
        <w:spacing w:after="0" w:line="240" w:lineRule="auto"/>
        <w:rPr>
          <w:sz w:val="18"/>
          <w:szCs w:val="18"/>
        </w:rPr>
      </w:pPr>
      <w:r w:rsidRPr="00211D7C">
        <w:rPr>
          <w:rFonts w:ascii="Times New Roman" w:hAnsi="Times New Roman"/>
          <w:sz w:val="18"/>
          <w:szCs w:val="18"/>
        </w:rPr>
        <w:t>67026512, Helena.Rimsa@varam.gov.lv</w:t>
      </w:r>
    </w:p>
    <w:sectPr w:rsidR="00F819BE" w:rsidRPr="000B739C" w:rsidSect="00456D6D">
      <w:headerReference w:type="default" r:id="rId9"/>
      <w:footerReference w:type="defaul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B1" w:rsidRDefault="000F2BB1">
      <w:pPr>
        <w:spacing w:after="0" w:line="240" w:lineRule="auto"/>
      </w:pPr>
      <w:r>
        <w:separator/>
      </w:r>
    </w:p>
  </w:endnote>
  <w:endnote w:type="continuationSeparator" w:id="0">
    <w:p w:rsidR="000F2BB1" w:rsidRDefault="000F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B1" w:rsidRPr="005B5200" w:rsidRDefault="000F2BB1" w:rsidP="005B5200">
    <w:pPr>
      <w:pStyle w:val="Footer"/>
      <w:jc w:val="both"/>
      <w:rPr>
        <w:rFonts w:ascii="Times New Roman" w:hAnsi="Times New Roman"/>
        <w:sz w:val="8"/>
        <w:szCs w:val="8"/>
      </w:rPr>
    </w:pPr>
  </w:p>
  <w:p w:rsidR="000F2BB1" w:rsidRPr="00456D6D" w:rsidRDefault="004417F8" w:rsidP="00681ABF">
    <w:pPr>
      <w:pStyle w:val="Footer"/>
      <w:jc w:val="both"/>
      <w:rPr>
        <w:rFonts w:ascii="Times New Roman" w:hAnsi="Times New Roman"/>
        <w:sz w:val="18"/>
        <w:szCs w:val="18"/>
      </w:rPr>
    </w:pPr>
    <w:fldSimple w:instr=" FILENAME   \* MERGEFORMAT ">
      <w:r w:rsidR="00321653" w:rsidRPr="00321653">
        <w:rPr>
          <w:rFonts w:ascii="Times New Roman" w:hAnsi="Times New Roman"/>
          <w:noProof/>
          <w:sz w:val="18"/>
          <w:szCs w:val="18"/>
        </w:rPr>
        <w:t>VARAMAnot_DohasGrozijRatific_040815</w:t>
      </w:r>
    </w:fldSimple>
    <w:r w:rsidR="000F2BB1" w:rsidRPr="00456D6D">
      <w:rPr>
        <w:rFonts w:ascii="Times New Roman" w:hAnsi="Times New Roman"/>
        <w:sz w:val="18"/>
        <w:szCs w:val="18"/>
      </w:rPr>
      <w:t>; Likumprojekta „Par Apvienoto Nāciju Organizācijas Vispārējās konvencijas par klimata pārmaiņām Kioto protokola Dohas grozījumu”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B1" w:rsidRPr="005B5200" w:rsidRDefault="000F2BB1" w:rsidP="00400415">
    <w:pPr>
      <w:pStyle w:val="Footer"/>
      <w:jc w:val="both"/>
      <w:rPr>
        <w:rFonts w:ascii="Times New Roman" w:hAnsi="Times New Roman"/>
        <w:sz w:val="8"/>
        <w:szCs w:val="8"/>
      </w:rPr>
    </w:pPr>
  </w:p>
  <w:p w:rsidR="000F2BB1" w:rsidRPr="00456D6D" w:rsidRDefault="004417F8" w:rsidP="00400415">
    <w:pPr>
      <w:pStyle w:val="Footer"/>
      <w:jc w:val="both"/>
      <w:rPr>
        <w:rFonts w:ascii="Times New Roman" w:hAnsi="Times New Roman"/>
        <w:sz w:val="18"/>
        <w:szCs w:val="18"/>
      </w:rPr>
    </w:pPr>
    <w:fldSimple w:instr=" FILENAME   \* MERGEFORMAT ">
      <w:r w:rsidR="00321653" w:rsidRPr="00321653">
        <w:rPr>
          <w:rFonts w:ascii="Times New Roman" w:hAnsi="Times New Roman"/>
          <w:noProof/>
          <w:sz w:val="18"/>
          <w:szCs w:val="18"/>
        </w:rPr>
        <w:t>VARAMAnot_DohasGrozijRatific_040815</w:t>
      </w:r>
    </w:fldSimple>
    <w:r w:rsidR="000F2BB1" w:rsidRPr="00456D6D">
      <w:rPr>
        <w:rFonts w:ascii="Times New Roman" w:hAnsi="Times New Roman"/>
        <w:sz w:val="18"/>
        <w:szCs w:val="18"/>
      </w:rPr>
      <w:t>; Likumprojekta „Par Apvienoto Nāciju Organizācijas Vispārējās konvencijas par klimata pārmaiņām Kioto protokola Dohas grozījumu”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B1" w:rsidRDefault="000F2BB1">
      <w:pPr>
        <w:spacing w:after="0" w:line="240" w:lineRule="auto"/>
      </w:pPr>
      <w:r>
        <w:separator/>
      </w:r>
    </w:p>
  </w:footnote>
  <w:footnote w:type="continuationSeparator" w:id="0">
    <w:p w:rsidR="000F2BB1" w:rsidRDefault="000F2BB1">
      <w:pPr>
        <w:spacing w:after="0" w:line="240" w:lineRule="auto"/>
      </w:pPr>
      <w:r>
        <w:continuationSeparator/>
      </w:r>
    </w:p>
  </w:footnote>
  <w:footnote w:id="1">
    <w:p w:rsidR="000F2BB1" w:rsidRPr="00AD4B47" w:rsidRDefault="000F2BB1" w:rsidP="00D919B6">
      <w:pPr>
        <w:pStyle w:val="FootnoteText"/>
        <w:jc w:val="both"/>
        <w:rPr>
          <w:sz w:val="18"/>
          <w:szCs w:val="18"/>
        </w:rPr>
      </w:pPr>
      <w:r w:rsidRPr="00AD4B47">
        <w:rPr>
          <w:rStyle w:val="FootnoteReference"/>
          <w:sz w:val="18"/>
          <w:szCs w:val="18"/>
        </w:rPr>
        <w:footnoteRef/>
      </w:r>
      <w:r w:rsidRPr="00AD4B47">
        <w:rPr>
          <w:sz w:val="18"/>
          <w:szCs w:val="18"/>
        </w:rPr>
        <w:t xml:space="preserve"> </w:t>
      </w:r>
      <w:r w:rsidRPr="00AD4B47">
        <w:rPr>
          <w:i/>
          <w:sz w:val="18"/>
          <w:szCs w:val="18"/>
        </w:rPr>
        <w:t>QELRC</w:t>
      </w:r>
      <w:r w:rsidRPr="00AD4B47">
        <w:rPr>
          <w:sz w:val="18"/>
          <w:szCs w:val="18"/>
        </w:rPr>
        <w:t xml:space="preserve"> - kvantitatīvas emisiju ierobežošanas vai samazināšanas saistības;</w:t>
      </w:r>
      <w:r w:rsidRPr="00AD4B47">
        <w:rPr>
          <w:i/>
          <w:sz w:val="18"/>
          <w:szCs w:val="18"/>
        </w:rPr>
        <w:t xml:space="preserve"> quantified emission limitation or reduction commitment</w:t>
      </w:r>
    </w:p>
  </w:footnote>
  <w:footnote w:id="2">
    <w:p w:rsidR="00E822FD" w:rsidRPr="00AD4B47" w:rsidRDefault="00E822FD" w:rsidP="00E822FD">
      <w:pPr>
        <w:pStyle w:val="FootnoteText"/>
        <w:rPr>
          <w:sz w:val="18"/>
          <w:szCs w:val="18"/>
        </w:rPr>
      </w:pPr>
      <w:r w:rsidRPr="00AD4B47">
        <w:rPr>
          <w:rStyle w:val="FootnoteReference"/>
          <w:sz w:val="18"/>
          <w:szCs w:val="18"/>
        </w:rPr>
        <w:footnoteRef/>
      </w:r>
      <w:r w:rsidRPr="00AD4B47">
        <w:rPr>
          <w:sz w:val="18"/>
          <w:szCs w:val="18"/>
        </w:rPr>
        <w:t xml:space="preserve"> Eiropas Parlamenta un Padomes 2009.gada 23.aprīļa lēmums Nr.406/2009/EK par dalībvalstu pasākumiem siltumnīcas efektu izraisošu gāzu emisiju samazināšanai, lai izpildītu Kopienas saistības siltumnīcas efektu izraisošu gāzu emisiju samazināšanas jomā līdz 2020. gadam</w:t>
      </w:r>
    </w:p>
  </w:footnote>
  <w:footnote w:id="3">
    <w:p w:rsidR="000F2BB1" w:rsidRPr="00D919B6" w:rsidRDefault="000F2BB1" w:rsidP="00D919B6">
      <w:pPr>
        <w:pStyle w:val="FootnoteText"/>
        <w:jc w:val="both"/>
        <w:rPr>
          <w:sz w:val="18"/>
          <w:szCs w:val="18"/>
        </w:rPr>
      </w:pPr>
      <w:r w:rsidRPr="00D919B6">
        <w:rPr>
          <w:rStyle w:val="FootnoteReference"/>
          <w:sz w:val="18"/>
          <w:szCs w:val="18"/>
        </w:rPr>
        <w:footnoteRef/>
      </w:r>
      <w:r w:rsidRPr="00D919B6">
        <w:rPr>
          <w:sz w:val="18"/>
          <w:szCs w:val="18"/>
        </w:rPr>
        <w:t xml:space="preserve"> Kioto protokola 2.saistību perioda ilgums ir 8 gadi.</w:t>
      </w:r>
    </w:p>
  </w:footnote>
  <w:footnote w:id="4">
    <w:p w:rsidR="000F2BB1" w:rsidRPr="00D919B6" w:rsidRDefault="000F2BB1" w:rsidP="00D919B6">
      <w:pPr>
        <w:pStyle w:val="FootnoteText"/>
        <w:jc w:val="both"/>
        <w:rPr>
          <w:sz w:val="18"/>
          <w:szCs w:val="18"/>
        </w:rPr>
      </w:pPr>
      <w:r w:rsidRPr="00D919B6">
        <w:rPr>
          <w:sz w:val="18"/>
          <w:szCs w:val="18"/>
          <w:vertAlign w:val="superscript"/>
        </w:rPr>
        <w:footnoteRef/>
      </w:r>
      <w:r w:rsidRPr="00D919B6">
        <w:rPr>
          <w:sz w:val="18"/>
          <w:szCs w:val="18"/>
        </w:rPr>
        <w:t xml:space="preserve"> Apvienoto Nāciju Organizācijas ģenerālsekretāra paziņojums, kas deponēts C.N.718.2012.TREATIES-XXVII.7.c (Depozitārija paziņojums). </w:t>
      </w:r>
    </w:p>
  </w:footnote>
  <w:footnote w:id="5">
    <w:p w:rsidR="009F57B2" w:rsidRPr="009A64D9" w:rsidRDefault="009F57B2" w:rsidP="009F57B2">
      <w:pPr>
        <w:pStyle w:val="FootnoteText"/>
        <w:jc w:val="both"/>
        <w:rPr>
          <w:sz w:val="18"/>
          <w:szCs w:val="18"/>
        </w:rPr>
      </w:pPr>
      <w:r w:rsidRPr="009A64D9">
        <w:rPr>
          <w:rStyle w:val="FootnoteReference"/>
          <w:sz w:val="18"/>
          <w:szCs w:val="18"/>
        </w:rPr>
        <w:footnoteRef/>
      </w:r>
      <w:r w:rsidRPr="009A64D9">
        <w:rPr>
          <w:sz w:val="18"/>
          <w:szCs w:val="18"/>
        </w:rPr>
        <w:t xml:space="preserve"> Eiropas Parlamenta un Padomes 2003.gada 13.oktobra direktīva Nr.2003/87/EK, ar kuru nosaka sistēmu siltumnīcas efektu izraisošo gāzu emisijas kvotu tirdzniecībai Kopienā un groza Padomes Direktīvu 96/61/EK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7355"/>
      <w:docPartObj>
        <w:docPartGallery w:val="Page Numbers (Top of Page)"/>
        <w:docPartUnique/>
      </w:docPartObj>
    </w:sdtPr>
    <w:sdtEndPr>
      <w:rPr>
        <w:rFonts w:ascii="Times New Roman" w:hAnsi="Times New Roman"/>
        <w:noProof/>
        <w:sz w:val="24"/>
        <w:szCs w:val="24"/>
      </w:rPr>
    </w:sdtEndPr>
    <w:sdtContent>
      <w:p w:rsidR="000F2BB1" w:rsidRPr="005B5200" w:rsidRDefault="00F70055">
        <w:pPr>
          <w:pStyle w:val="Header"/>
          <w:jc w:val="center"/>
          <w:rPr>
            <w:rFonts w:ascii="Times New Roman" w:hAnsi="Times New Roman"/>
            <w:sz w:val="24"/>
            <w:szCs w:val="24"/>
          </w:rPr>
        </w:pPr>
        <w:r w:rsidRPr="005B5200">
          <w:rPr>
            <w:rFonts w:ascii="Times New Roman" w:hAnsi="Times New Roman"/>
            <w:sz w:val="24"/>
            <w:szCs w:val="24"/>
          </w:rPr>
          <w:fldChar w:fldCharType="begin"/>
        </w:r>
        <w:r w:rsidR="000F2BB1" w:rsidRPr="005B5200">
          <w:rPr>
            <w:rFonts w:ascii="Times New Roman" w:hAnsi="Times New Roman"/>
            <w:sz w:val="24"/>
            <w:szCs w:val="24"/>
          </w:rPr>
          <w:instrText xml:space="preserve"> PAGE   \* MERGEFORMAT </w:instrText>
        </w:r>
        <w:r w:rsidRPr="005B5200">
          <w:rPr>
            <w:rFonts w:ascii="Times New Roman" w:hAnsi="Times New Roman"/>
            <w:sz w:val="24"/>
            <w:szCs w:val="24"/>
          </w:rPr>
          <w:fldChar w:fldCharType="separate"/>
        </w:r>
        <w:r w:rsidR="00321653">
          <w:rPr>
            <w:rFonts w:ascii="Times New Roman" w:hAnsi="Times New Roman"/>
            <w:noProof/>
            <w:sz w:val="24"/>
            <w:szCs w:val="24"/>
          </w:rPr>
          <w:t>5</w:t>
        </w:r>
        <w:r w:rsidRPr="005B5200">
          <w:rPr>
            <w:rFonts w:ascii="Times New Roman" w:hAnsi="Times New Roman"/>
            <w:noProof/>
            <w:sz w:val="24"/>
            <w:szCs w:val="24"/>
          </w:rPr>
          <w:fldChar w:fldCharType="end"/>
        </w:r>
      </w:p>
    </w:sdtContent>
  </w:sdt>
  <w:p w:rsidR="000F2BB1" w:rsidRDefault="000F2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70C"/>
    <w:multiLevelType w:val="hybridMultilevel"/>
    <w:tmpl w:val="5E18559A"/>
    <w:lvl w:ilvl="0" w:tplc="7DFCB828">
      <w:numFmt w:val="bullet"/>
      <w:lvlText w:val="-"/>
      <w:lvlJc w:val="left"/>
      <w:pPr>
        <w:ind w:left="1004" w:hanging="72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20FF1DCF"/>
    <w:multiLevelType w:val="hybridMultilevel"/>
    <w:tmpl w:val="771260DC"/>
    <w:lvl w:ilvl="0" w:tplc="82545D78">
      <w:numFmt w:val="bullet"/>
      <w:lvlText w:val="–"/>
      <w:lvlJc w:val="left"/>
      <w:pPr>
        <w:ind w:left="890" w:hanging="360"/>
      </w:pPr>
      <w:rPr>
        <w:rFonts w:ascii="Times New Roman" w:eastAsia="Times New Roman"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23093F9C"/>
    <w:multiLevelType w:val="hybridMultilevel"/>
    <w:tmpl w:val="1BBA0510"/>
    <w:lvl w:ilvl="0" w:tplc="44C80102">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3">
    <w:nsid w:val="23D6118F"/>
    <w:multiLevelType w:val="hybridMultilevel"/>
    <w:tmpl w:val="CBB0C9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013885"/>
    <w:multiLevelType w:val="hybridMultilevel"/>
    <w:tmpl w:val="1A3A88CE"/>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5">
    <w:nsid w:val="46527A94"/>
    <w:multiLevelType w:val="hybridMultilevel"/>
    <w:tmpl w:val="BAE6C276"/>
    <w:lvl w:ilvl="0" w:tplc="7AF6BCC0">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6">
    <w:nsid w:val="47BB0439"/>
    <w:multiLevelType w:val="hybridMultilevel"/>
    <w:tmpl w:val="91526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718E23B9"/>
    <w:multiLevelType w:val="hybridMultilevel"/>
    <w:tmpl w:val="72D840E6"/>
    <w:lvl w:ilvl="0" w:tplc="82545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C4A24"/>
    <w:multiLevelType w:val="hybridMultilevel"/>
    <w:tmpl w:val="E586F8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A904171"/>
    <w:multiLevelType w:val="hybridMultilevel"/>
    <w:tmpl w:val="94806652"/>
    <w:lvl w:ilvl="0" w:tplc="44C80102">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3"/>
  </w:num>
  <w:num w:numId="6">
    <w:abstractNumId w:val="9"/>
  </w:num>
  <w:num w:numId="7">
    <w:abstractNumId w:val="6"/>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45"/>
    <w:rsid w:val="00000711"/>
    <w:rsid w:val="000037B9"/>
    <w:rsid w:val="00003B20"/>
    <w:rsid w:val="000062AA"/>
    <w:rsid w:val="00036309"/>
    <w:rsid w:val="00046BFA"/>
    <w:rsid w:val="00063CB3"/>
    <w:rsid w:val="00095AD3"/>
    <w:rsid w:val="000B739C"/>
    <w:rsid w:val="000C0149"/>
    <w:rsid w:val="000D6C0D"/>
    <w:rsid w:val="000F2BB1"/>
    <w:rsid w:val="000F3B80"/>
    <w:rsid w:val="00103F7A"/>
    <w:rsid w:val="00114C49"/>
    <w:rsid w:val="0015430A"/>
    <w:rsid w:val="00174659"/>
    <w:rsid w:val="001B477E"/>
    <w:rsid w:val="001B497D"/>
    <w:rsid w:val="001C3ADF"/>
    <w:rsid w:val="00211D7C"/>
    <w:rsid w:val="002139AC"/>
    <w:rsid w:val="00224177"/>
    <w:rsid w:val="002343EA"/>
    <w:rsid w:val="00262364"/>
    <w:rsid w:val="00267512"/>
    <w:rsid w:val="002D48C9"/>
    <w:rsid w:val="002F1A7B"/>
    <w:rsid w:val="002F7928"/>
    <w:rsid w:val="0031303B"/>
    <w:rsid w:val="00321653"/>
    <w:rsid w:val="00346660"/>
    <w:rsid w:val="0036422A"/>
    <w:rsid w:val="00370479"/>
    <w:rsid w:val="00390858"/>
    <w:rsid w:val="003B4376"/>
    <w:rsid w:val="003D7C8C"/>
    <w:rsid w:val="003F2693"/>
    <w:rsid w:val="00400415"/>
    <w:rsid w:val="004343A5"/>
    <w:rsid w:val="004366A2"/>
    <w:rsid w:val="004417F8"/>
    <w:rsid w:val="00456D6D"/>
    <w:rsid w:val="0046254C"/>
    <w:rsid w:val="00464F72"/>
    <w:rsid w:val="00481211"/>
    <w:rsid w:val="004B6175"/>
    <w:rsid w:val="004D4432"/>
    <w:rsid w:val="004F2F6D"/>
    <w:rsid w:val="004F3406"/>
    <w:rsid w:val="00513469"/>
    <w:rsid w:val="00527062"/>
    <w:rsid w:val="0054338A"/>
    <w:rsid w:val="00565A42"/>
    <w:rsid w:val="005A0A8C"/>
    <w:rsid w:val="005A44F7"/>
    <w:rsid w:val="005A7F00"/>
    <w:rsid w:val="005B5200"/>
    <w:rsid w:val="005C7EBB"/>
    <w:rsid w:val="005D1B3E"/>
    <w:rsid w:val="005E431C"/>
    <w:rsid w:val="005E484B"/>
    <w:rsid w:val="00663358"/>
    <w:rsid w:val="00663805"/>
    <w:rsid w:val="006746EB"/>
    <w:rsid w:val="00677331"/>
    <w:rsid w:val="00681ABF"/>
    <w:rsid w:val="00693BED"/>
    <w:rsid w:val="006D0225"/>
    <w:rsid w:val="006D3B45"/>
    <w:rsid w:val="006E40B2"/>
    <w:rsid w:val="00710615"/>
    <w:rsid w:val="00741A0B"/>
    <w:rsid w:val="007607C5"/>
    <w:rsid w:val="00765280"/>
    <w:rsid w:val="00786324"/>
    <w:rsid w:val="007A7B55"/>
    <w:rsid w:val="007B28E2"/>
    <w:rsid w:val="007C0FAC"/>
    <w:rsid w:val="007C4092"/>
    <w:rsid w:val="007D4D17"/>
    <w:rsid w:val="007E35BF"/>
    <w:rsid w:val="007F417F"/>
    <w:rsid w:val="00807101"/>
    <w:rsid w:val="008138B2"/>
    <w:rsid w:val="00813A6A"/>
    <w:rsid w:val="008578D0"/>
    <w:rsid w:val="008A7C16"/>
    <w:rsid w:val="008B280E"/>
    <w:rsid w:val="0090224A"/>
    <w:rsid w:val="00903D00"/>
    <w:rsid w:val="00905D04"/>
    <w:rsid w:val="009132C0"/>
    <w:rsid w:val="00973E0F"/>
    <w:rsid w:val="00982EE3"/>
    <w:rsid w:val="00990188"/>
    <w:rsid w:val="009C79EB"/>
    <w:rsid w:val="009D6037"/>
    <w:rsid w:val="009E30AC"/>
    <w:rsid w:val="009F0920"/>
    <w:rsid w:val="009F5639"/>
    <w:rsid w:val="009F57B2"/>
    <w:rsid w:val="00A01360"/>
    <w:rsid w:val="00A07C9C"/>
    <w:rsid w:val="00A1516F"/>
    <w:rsid w:val="00A15CC1"/>
    <w:rsid w:val="00A44B56"/>
    <w:rsid w:val="00A510AD"/>
    <w:rsid w:val="00A571AB"/>
    <w:rsid w:val="00A930D5"/>
    <w:rsid w:val="00AA3417"/>
    <w:rsid w:val="00AD4B47"/>
    <w:rsid w:val="00B27AA8"/>
    <w:rsid w:val="00B54471"/>
    <w:rsid w:val="00B65A0A"/>
    <w:rsid w:val="00BA5A96"/>
    <w:rsid w:val="00BB5FE7"/>
    <w:rsid w:val="00C07E5F"/>
    <w:rsid w:val="00C16027"/>
    <w:rsid w:val="00C76C09"/>
    <w:rsid w:val="00C8071B"/>
    <w:rsid w:val="00C90696"/>
    <w:rsid w:val="00CA2A7E"/>
    <w:rsid w:val="00CB7C28"/>
    <w:rsid w:val="00CC53E6"/>
    <w:rsid w:val="00D1089E"/>
    <w:rsid w:val="00D144CC"/>
    <w:rsid w:val="00D16E5C"/>
    <w:rsid w:val="00D42B8B"/>
    <w:rsid w:val="00D913FE"/>
    <w:rsid w:val="00D919B6"/>
    <w:rsid w:val="00DC4FDC"/>
    <w:rsid w:val="00DD7770"/>
    <w:rsid w:val="00E03CBD"/>
    <w:rsid w:val="00E27274"/>
    <w:rsid w:val="00E43798"/>
    <w:rsid w:val="00E53BCD"/>
    <w:rsid w:val="00E777E5"/>
    <w:rsid w:val="00E81E62"/>
    <w:rsid w:val="00E822FD"/>
    <w:rsid w:val="00E920B2"/>
    <w:rsid w:val="00EA2B5A"/>
    <w:rsid w:val="00EF1727"/>
    <w:rsid w:val="00EF539E"/>
    <w:rsid w:val="00EF5A56"/>
    <w:rsid w:val="00EF6E3C"/>
    <w:rsid w:val="00F022DA"/>
    <w:rsid w:val="00F63F5E"/>
    <w:rsid w:val="00F70055"/>
    <w:rsid w:val="00F72B9A"/>
    <w:rsid w:val="00F752E3"/>
    <w:rsid w:val="00F819BE"/>
    <w:rsid w:val="00F86FCB"/>
    <w:rsid w:val="00F92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qFormat/>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ListParagraph">
    <w:name w:val="List Paragraph"/>
    <w:basedOn w:val="Normal"/>
    <w:uiPriority w:val="34"/>
    <w:qFormat/>
    <w:rsid w:val="00EF1727"/>
    <w:pPr>
      <w:ind w:left="720"/>
      <w:contextualSpacing/>
    </w:pPr>
  </w:style>
  <w:style w:type="paragraph" w:customStyle="1" w:styleId="tvhtml">
    <w:name w:val="tv_html"/>
    <w:basedOn w:val="Normal"/>
    <w:rsid w:val="00F752E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63F5E"/>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370479"/>
    <w:rPr>
      <w:rFonts w:cs="Times New Roman"/>
      <w:vertAlign w:val="superscript"/>
    </w:rPr>
  </w:style>
  <w:style w:type="paragraph" w:customStyle="1" w:styleId="ManualHeading2">
    <w:name w:val="Manual Heading 2"/>
    <w:basedOn w:val="Normal"/>
    <w:next w:val="Normal"/>
    <w:rsid w:val="0037047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Tiret0">
    <w:name w:val="Tiret 0"/>
    <w:basedOn w:val="Normal"/>
    <w:rsid w:val="00370479"/>
    <w:pPr>
      <w:numPr>
        <w:numId w:val="4"/>
      </w:numPr>
      <w:spacing w:before="120" w:after="120" w:line="240" w:lineRule="auto"/>
      <w:jc w:val="both"/>
    </w:pPr>
    <w:rPr>
      <w:rFonts w:ascii="Times New Roman" w:eastAsia="Times New Roman" w:hAnsi="Times New Roman"/>
      <w:sz w:val="24"/>
      <w:szCs w:val="20"/>
      <w:lang w:eastAsia="en-GB"/>
    </w:rPr>
  </w:style>
  <w:style w:type="paragraph" w:customStyle="1" w:styleId="ManualHeading3">
    <w:name w:val="Manual Heading 3"/>
    <w:basedOn w:val="Normal"/>
    <w:next w:val="Normal"/>
    <w:rsid w:val="00370479"/>
    <w:pPr>
      <w:keepNext/>
      <w:tabs>
        <w:tab w:val="left" w:pos="850"/>
      </w:tabs>
      <w:spacing w:before="120" w:after="120" w:line="240" w:lineRule="auto"/>
      <w:ind w:left="850" w:hanging="850"/>
      <w:jc w:val="both"/>
      <w:outlineLvl w:val="2"/>
    </w:pPr>
    <w:rPr>
      <w:rFonts w:ascii="Times New Roman" w:eastAsia="Times New Roman" w:hAnsi="Times New Roman"/>
      <w:i/>
      <w:sz w:val="24"/>
      <w:szCs w:val="20"/>
      <w:lang w:eastAsia="en-GB"/>
    </w:rPr>
  </w:style>
  <w:style w:type="paragraph" w:customStyle="1" w:styleId="ManualHeading4">
    <w:name w:val="Manual Heading 4"/>
    <w:basedOn w:val="Normal"/>
    <w:next w:val="Normal"/>
    <w:rsid w:val="00370479"/>
    <w:pPr>
      <w:keepNext/>
      <w:tabs>
        <w:tab w:val="left" w:pos="850"/>
      </w:tabs>
      <w:spacing w:before="120" w:after="120" w:line="240" w:lineRule="auto"/>
      <w:ind w:left="850" w:hanging="850"/>
      <w:jc w:val="both"/>
      <w:outlineLvl w:val="3"/>
    </w:pPr>
    <w:rPr>
      <w:rFonts w:ascii="Times New Roman" w:eastAsia="Times New Roman" w:hAnsi="Times New Roman"/>
      <w:sz w:val="24"/>
      <w:szCs w:val="20"/>
      <w:lang w:eastAsia="en-GB"/>
    </w:rPr>
  </w:style>
  <w:style w:type="character" w:styleId="CommentReference">
    <w:name w:val="annotation reference"/>
    <w:basedOn w:val="DefaultParagraphFont"/>
    <w:uiPriority w:val="99"/>
    <w:semiHidden/>
    <w:unhideWhenUsed/>
    <w:rsid w:val="00E27274"/>
    <w:rPr>
      <w:sz w:val="16"/>
      <w:szCs w:val="16"/>
    </w:rPr>
  </w:style>
  <w:style w:type="paragraph" w:styleId="BalloonText">
    <w:name w:val="Balloon Text"/>
    <w:basedOn w:val="Normal"/>
    <w:link w:val="BalloonTextChar"/>
    <w:uiPriority w:val="99"/>
    <w:semiHidden/>
    <w:unhideWhenUsed/>
    <w:rsid w:val="00E2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qFormat/>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ListParagraph">
    <w:name w:val="List Paragraph"/>
    <w:basedOn w:val="Normal"/>
    <w:uiPriority w:val="34"/>
    <w:qFormat/>
    <w:rsid w:val="00EF1727"/>
    <w:pPr>
      <w:ind w:left="720"/>
      <w:contextualSpacing/>
    </w:pPr>
  </w:style>
  <w:style w:type="paragraph" w:customStyle="1" w:styleId="tvhtml">
    <w:name w:val="tv_html"/>
    <w:basedOn w:val="Normal"/>
    <w:rsid w:val="00F752E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63F5E"/>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370479"/>
    <w:rPr>
      <w:rFonts w:cs="Times New Roman"/>
      <w:vertAlign w:val="superscript"/>
    </w:rPr>
  </w:style>
  <w:style w:type="paragraph" w:customStyle="1" w:styleId="ManualHeading2">
    <w:name w:val="Manual Heading 2"/>
    <w:basedOn w:val="Normal"/>
    <w:next w:val="Normal"/>
    <w:rsid w:val="0037047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Tiret0">
    <w:name w:val="Tiret 0"/>
    <w:basedOn w:val="Normal"/>
    <w:rsid w:val="00370479"/>
    <w:pPr>
      <w:numPr>
        <w:numId w:val="4"/>
      </w:numPr>
      <w:spacing w:before="120" w:after="120" w:line="240" w:lineRule="auto"/>
      <w:jc w:val="both"/>
    </w:pPr>
    <w:rPr>
      <w:rFonts w:ascii="Times New Roman" w:eastAsia="Times New Roman" w:hAnsi="Times New Roman"/>
      <w:sz w:val="24"/>
      <w:szCs w:val="20"/>
      <w:lang w:eastAsia="en-GB"/>
    </w:rPr>
  </w:style>
  <w:style w:type="paragraph" w:customStyle="1" w:styleId="ManualHeading3">
    <w:name w:val="Manual Heading 3"/>
    <w:basedOn w:val="Normal"/>
    <w:next w:val="Normal"/>
    <w:rsid w:val="00370479"/>
    <w:pPr>
      <w:keepNext/>
      <w:tabs>
        <w:tab w:val="left" w:pos="850"/>
      </w:tabs>
      <w:spacing w:before="120" w:after="120" w:line="240" w:lineRule="auto"/>
      <w:ind w:left="850" w:hanging="850"/>
      <w:jc w:val="both"/>
      <w:outlineLvl w:val="2"/>
    </w:pPr>
    <w:rPr>
      <w:rFonts w:ascii="Times New Roman" w:eastAsia="Times New Roman" w:hAnsi="Times New Roman"/>
      <w:i/>
      <w:sz w:val="24"/>
      <w:szCs w:val="20"/>
      <w:lang w:eastAsia="en-GB"/>
    </w:rPr>
  </w:style>
  <w:style w:type="paragraph" w:customStyle="1" w:styleId="ManualHeading4">
    <w:name w:val="Manual Heading 4"/>
    <w:basedOn w:val="Normal"/>
    <w:next w:val="Normal"/>
    <w:rsid w:val="00370479"/>
    <w:pPr>
      <w:keepNext/>
      <w:tabs>
        <w:tab w:val="left" w:pos="850"/>
      </w:tabs>
      <w:spacing w:before="120" w:after="120" w:line="240" w:lineRule="auto"/>
      <w:ind w:left="850" w:hanging="850"/>
      <w:jc w:val="both"/>
      <w:outlineLvl w:val="3"/>
    </w:pPr>
    <w:rPr>
      <w:rFonts w:ascii="Times New Roman" w:eastAsia="Times New Roman" w:hAnsi="Times New Roman"/>
      <w:sz w:val="24"/>
      <w:szCs w:val="20"/>
      <w:lang w:eastAsia="en-GB"/>
    </w:rPr>
  </w:style>
  <w:style w:type="character" w:styleId="CommentReference">
    <w:name w:val="annotation reference"/>
    <w:basedOn w:val="DefaultParagraphFont"/>
    <w:uiPriority w:val="99"/>
    <w:semiHidden/>
    <w:unhideWhenUsed/>
    <w:rsid w:val="00E27274"/>
    <w:rPr>
      <w:sz w:val="16"/>
      <w:szCs w:val="16"/>
    </w:rPr>
  </w:style>
  <w:style w:type="paragraph" w:styleId="BalloonText">
    <w:name w:val="Balloon Text"/>
    <w:basedOn w:val="Normal"/>
    <w:link w:val="BalloonTextChar"/>
    <w:uiPriority w:val="99"/>
    <w:semiHidden/>
    <w:unhideWhenUsed/>
    <w:rsid w:val="00E2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933">
      <w:bodyDiv w:val="1"/>
      <w:marLeft w:val="0"/>
      <w:marRight w:val="0"/>
      <w:marTop w:val="0"/>
      <w:marBottom w:val="0"/>
      <w:divBdr>
        <w:top w:val="none" w:sz="0" w:space="0" w:color="auto"/>
        <w:left w:val="none" w:sz="0" w:space="0" w:color="auto"/>
        <w:bottom w:val="none" w:sz="0" w:space="0" w:color="auto"/>
        <w:right w:val="none" w:sz="0" w:space="0" w:color="auto"/>
      </w:divBdr>
    </w:div>
    <w:div w:id="896236524">
      <w:bodyDiv w:val="1"/>
      <w:marLeft w:val="0"/>
      <w:marRight w:val="0"/>
      <w:marTop w:val="0"/>
      <w:marBottom w:val="0"/>
      <w:divBdr>
        <w:top w:val="none" w:sz="0" w:space="0" w:color="auto"/>
        <w:left w:val="none" w:sz="0" w:space="0" w:color="auto"/>
        <w:bottom w:val="none" w:sz="0" w:space="0" w:color="auto"/>
        <w:right w:val="none" w:sz="0" w:space="0" w:color="auto"/>
      </w:divBdr>
    </w:div>
    <w:div w:id="11124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BA90-F6E2-460B-AEB0-93EBF295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1956</Words>
  <Characters>14105</Characters>
  <Application>Microsoft Office Word</Application>
  <DocSecurity>0</DocSecurity>
  <Lines>361</Lines>
  <Paragraphs>148</Paragraphs>
  <ScaleCrop>false</ScaleCrop>
  <HeadingPairs>
    <vt:vector size="2" baseType="variant">
      <vt:variant>
        <vt:lpstr>Title</vt:lpstr>
      </vt:variant>
      <vt:variant>
        <vt:i4>1</vt:i4>
      </vt:variant>
    </vt:vector>
  </HeadingPairs>
  <TitlesOfParts>
    <vt:vector size="1" baseType="lpstr">
      <vt:lpstr>Likumprojekta anotācija</vt:lpstr>
    </vt:vector>
  </TitlesOfParts>
  <Manager>Helena.Rimsa@varam.gov.lv</Manager>
  <Company>VARAM</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Helena.Rimsa@varam.gov.lv</dc:creator>
  <cp:lastModifiedBy>Helena Rimsa</cp:lastModifiedBy>
  <cp:revision>42</cp:revision>
  <cp:lastPrinted>2015-08-13T07:01:00Z</cp:lastPrinted>
  <dcterms:created xsi:type="dcterms:W3CDTF">2015-04-23T08:32:00Z</dcterms:created>
  <dcterms:modified xsi:type="dcterms:W3CDTF">2015-08-13T07:05:00Z</dcterms:modified>
  <cp:category>Vides politika</cp:category>
</cp:coreProperties>
</file>