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3F" w:rsidRDefault="00ED1E3F" w:rsidP="00760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E3F" w:rsidRPr="00B05919" w:rsidRDefault="00ED1E3F" w:rsidP="00760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E3F" w:rsidRPr="00B05919" w:rsidRDefault="00006964" w:rsidP="00B0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919">
        <w:rPr>
          <w:rFonts w:ascii="Times New Roman" w:hAnsi="Times New Roman" w:cs="Times New Roman"/>
          <w:b/>
          <w:bCs/>
          <w:sz w:val="24"/>
          <w:szCs w:val="28"/>
        </w:rPr>
        <w:t xml:space="preserve">Ministru kabineta noteikumu projekta </w:t>
      </w:r>
      <w:r w:rsidR="00C82DA5" w:rsidRPr="00B05919">
        <w:rPr>
          <w:rFonts w:ascii="Times New Roman" w:hAnsi="Times New Roman" w:cs="Times New Roman"/>
          <w:b/>
          <w:bCs/>
          <w:sz w:val="24"/>
          <w:szCs w:val="28"/>
        </w:rPr>
        <w:t>„</w:t>
      </w:r>
      <w:r w:rsidR="00095788" w:rsidRPr="00B05919">
        <w:rPr>
          <w:rFonts w:ascii="Times New Roman" w:hAnsi="Times New Roman" w:cs="Times New Roman"/>
          <w:b/>
          <w:bCs/>
          <w:sz w:val="24"/>
          <w:szCs w:val="28"/>
        </w:rPr>
        <w:t xml:space="preserve">Grozījumi Ministru kabineta </w:t>
      </w:r>
      <w:proofErr w:type="gramStart"/>
      <w:r w:rsidR="00095788" w:rsidRPr="00B05919">
        <w:rPr>
          <w:rFonts w:ascii="Times New Roman" w:hAnsi="Times New Roman" w:cs="Times New Roman"/>
          <w:b/>
          <w:bCs/>
          <w:sz w:val="24"/>
          <w:szCs w:val="28"/>
        </w:rPr>
        <w:t>2014.gada</w:t>
      </w:r>
      <w:proofErr w:type="gramEnd"/>
      <w:r w:rsidR="00095788" w:rsidRPr="00B05919">
        <w:rPr>
          <w:rFonts w:ascii="Times New Roman" w:hAnsi="Times New Roman" w:cs="Times New Roman"/>
          <w:b/>
          <w:bCs/>
          <w:sz w:val="24"/>
          <w:szCs w:val="28"/>
        </w:rPr>
        <w:t xml:space="preserve"> 26.augusta noteikumos Nr.511 „Valsts atbalsta piešķiršanas kārtība piena šķirņu slaucamo govju produktivitātes datu izvērtēšanai”</w:t>
      </w:r>
      <w:r w:rsidR="00C82DA5" w:rsidRPr="00B05919">
        <w:rPr>
          <w:rFonts w:ascii="Times New Roman" w:hAnsi="Times New Roman" w:cs="Times New Roman"/>
          <w:b/>
          <w:bCs/>
          <w:sz w:val="24"/>
          <w:szCs w:val="28"/>
        </w:rPr>
        <w:t>”</w:t>
      </w:r>
      <w:r w:rsidRPr="00B05919">
        <w:rPr>
          <w:rFonts w:ascii="Times New Roman" w:hAnsi="Times New Roman" w:cs="Times New Roman"/>
          <w:b/>
          <w:bCs/>
          <w:sz w:val="24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B05919">
          <w:rPr>
            <w:rFonts w:ascii="Times New Roman" w:hAnsi="Times New Roman" w:cs="Times New Roman"/>
            <w:b/>
            <w:bCs/>
            <w:sz w:val="24"/>
            <w:szCs w:val="28"/>
          </w:rPr>
          <w:t>ziņojums</w:t>
        </w:r>
      </w:smartTag>
      <w:r w:rsidRPr="00B05919">
        <w:rPr>
          <w:rFonts w:ascii="Times New Roman" w:hAnsi="Times New Roman" w:cs="Times New Roman"/>
          <w:b/>
          <w:sz w:val="24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884"/>
        <w:gridCol w:w="5912"/>
      </w:tblGrid>
      <w:tr w:rsidR="000330A2" w:rsidRPr="00EA2DF9" w:rsidTr="00B84678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I. Tiesību akta projekta izstrādes nepieciešamība</w:t>
            </w:r>
          </w:p>
        </w:tc>
      </w:tr>
      <w:tr w:rsidR="000330A2" w:rsidRPr="00EA2DF9" w:rsidTr="00422589">
        <w:trPr>
          <w:trHeight w:val="415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1.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Pamatojums</w:t>
            </w:r>
          </w:p>
        </w:tc>
        <w:tc>
          <w:tcPr>
            <w:tcW w:w="3208" w:type="pct"/>
          </w:tcPr>
          <w:p w:rsidR="000330A2" w:rsidRPr="00EA2DF9" w:rsidRDefault="00006964" w:rsidP="009354DC">
            <w:pPr>
              <w:spacing w:after="0" w:line="240" w:lineRule="auto"/>
              <w:ind w:left="57" w:right="57" w:firstLine="1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="00C82DA5" w:rsidRPr="00C82DA5">
              <w:rPr>
                <w:rFonts w:ascii="Times New Roman" w:hAnsi="Times New Roman"/>
                <w:sz w:val="24"/>
                <w:szCs w:val="24"/>
              </w:rPr>
              <w:t>„</w:t>
            </w:r>
            <w:r w:rsidR="00095788" w:rsidRPr="00095788">
              <w:rPr>
                <w:rFonts w:ascii="Times New Roman" w:hAnsi="Times New Roman"/>
                <w:sz w:val="24"/>
                <w:szCs w:val="24"/>
              </w:rPr>
              <w:t>Grozījumi Ministru kabineta 2014.gada 26.augusta noteikumos Nr.511 „Valsts atbalsta piešķiršanas kārtība piena šķirņu slaucamo govju produktivitātes datu izvērtēšanai”</w:t>
            </w:r>
            <w:r w:rsidR="00C82DA5" w:rsidRPr="00C82DA5">
              <w:rPr>
                <w:rFonts w:ascii="Times New Roman" w:hAnsi="Times New Roman"/>
                <w:sz w:val="24"/>
                <w:szCs w:val="24"/>
              </w:rPr>
              <w:t>”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(turpmāk – noteikumu projekts) ir sagatavots, pamatojoties uz Lauksaimniecības un lauku attīstības likuma 5.panta </w:t>
            </w:r>
            <w:r w:rsidR="00552A61">
              <w:rPr>
                <w:rFonts w:ascii="Times New Roman" w:hAnsi="Times New Roman"/>
                <w:sz w:val="24"/>
                <w:szCs w:val="24"/>
              </w:rPr>
              <w:t>3.</w:t>
            </w:r>
            <w:r w:rsidR="00552A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552A61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953C15">
              <w:rPr>
                <w:rFonts w:ascii="Times New Roman" w:hAnsi="Times New Roman"/>
                <w:sz w:val="24"/>
                <w:szCs w:val="24"/>
              </w:rPr>
              <w:t>ceturto daļu</w:t>
            </w:r>
            <w:r w:rsidR="00095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0A2" w:rsidRPr="00EA2DF9" w:rsidTr="00422589">
        <w:trPr>
          <w:trHeight w:val="472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2.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A2DF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552A61" w:rsidRDefault="00006964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attiecas uz dabas resursu, lauksaimnieciskās ražošanas un pārstrādes politikas jomu.</w:t>
            </w:r>
          </w:p>
          <w:p w:rsidR="00953C15" w:rsidRDefault="00006964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eikumu projekts sagatavots, lai </w:t>
            </w:r>
            <w:r w:rsidR="00953C15"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mazinātu Krievijas Federācijas noteiktā preču importa aizlieguma seku radīto </w:t>
            </w:r>
            <w:r w:rsidR="00C17DC8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finansiālo slogu</w:t>
            </w:r>
            <w:r w:rsid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piensaimniecības nozarē.</w:t>
            </w:r>
          </w:p>
          <w:p w:rsidR="00E42BC4" w:rsidRPr="00E42BC4" w:rsidRDefault="00E42BC4" w:rsidP="00E42BC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Krievijas 2014.gada 6.augusta lēmuma no 2014.gada 7.augusta uz vienu gadu aizliegt importu noteiktai lauksaimniecības produkcijai, izejvielām un pārtikai radītie eksporta zaudējumi Latvijai ir apmēram 140 milj. </w:t>
            </w:r>
            <w:r w:rsidR="0063755B" w:rsidRPr="00637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zaudējumi piena ražotājiem </w:t>
            </w:r>
            <w:r w:rsidR="00641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78F">
              <w:rPr>
                <w:rFonts w:ascii="Times New Roman" w:eastAsia="Times New Roman" w:hAnsi="Times New Roman" w:cs="Times New Roman"/>
                <w:sz w:val="24"/>
                <w:szCs w:val="24"/>
              </w:rPr>
              <w:t>pārsniedz</w:t>
            </w:r>
            <w:r w:rsidR="00E0678F"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milj. </w:t>
            </w:r>
            <w:r w:rsidR="0063755B" w:rsidRPr="00637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42BC4" w:rsidRDefault="00E42BC4" w:rsidP="00E42BC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 kā Krievijas ieviestās sankcijas būs spēkā arī turpmāk (līdz 2016. gada 5. augustam), tad var prognozēt, ka eksporta samazinājums un tā radītie zaudējumi lauksaimniecības un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piena</w:t>
            </w:r>
            <w:r w:rsidRPr="00E4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produktu ražošanas nozarei būs vairākas reizes lielāki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3C15" w:rsidRDefault="00953C15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ar piena produktu importa aizliegumu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piena pārstrādes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uzņēmumos </w:t>
            </w:r>
            <w:r w:rsidR="00935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joprojām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veidojas gatavās produkcijas pārpalikums, </w:t>
            </w:r>
            <w:r w:rsidR="006416A0">
              <w:rPr>
                <w:rFonts w:ascii="Times New Roman" w:eastAsia="Times New Roman" w:hAnsi="Times New Roman" w:cs="Times New Roman"/>
                <w:sz w:val="24"/>
                <w:szCs w:val="24"/>
              </w:rPr>
              <w:t>un tas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uzņēmum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iem liek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samazināt piena iepirkuma cenu. 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Lauksaimniecības datu centra sniegt</w:t>
            </w:r>
            <w:r w:rsid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informācijas, piena iepirkuma cena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2014.gada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jū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ijā bija 29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/t un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2015.gada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jūlijā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F57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/t. Lauksaimniecības datu centra veiktās operatīvās aptaujas rezultāti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liecina, ka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vidējā iepirkuma cena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augustā varētu samazināties līdz 2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5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/t</w:t>
            </w:r>
            <w:r w:rsidR="006416A0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="006416A0">
              <w:rPr>
                <w:rFonts w:ascii="Times New Roman" w:eastAsia="Times New Roman" w:hAnsi="Times New Roman" w:cs="Times New Roman"/>
                <w:sz w:val="24"/>
                <w:szCs w:val="24"/>
              </w:rPr>
              <w:t>mazāk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nekā iepriekšēj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ā gada jūlija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vidējā iepirkuma cena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iena iepirkuma cena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noslīdē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jusi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zem piena ražošanas pašizmaksas, kas atbilstoši Latvijas Lauku konsultāciju un izglītības centra rīcībā esošajiem un apkopotajiem datiem Latvijā</w:t>
            </w:r>
            <w:r w:rsidR="00D31630"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vidēji 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>ir 0,2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9B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9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/kg. </w:t>
            </w:r>
          </w:p>
          <w:p w:rsidR="000F432F" w:rsidRDefault="000F432F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ganāmpulku īpašnieki, kas </w:t>
            </w:r>
            <w:r w:rsidR="00F8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regulāri katru mēnesi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pienu pārdod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55B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neciestu vēl lielākus zaudējumus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nepieciešams tūlītējs finansiāls atbalsts. </w:t>
            </w:r>
          </w:p>
          <w:p w:rsidR="00BB4E1C" w:rsidRDefault="00D31630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</w:t>
            </w:r>
            <w:r w:rsid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>a 1.punktā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="00B6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ciltsdarbam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nepieciešamā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r w:rsidR="0054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maksājuma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  <w:r w:rsidR="001D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7,6 milj. </w:t>
            </w:r>
            <w:r w:rsidR="001D52C8" w:rsidRPr="001D52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lai nodrošinātu </w:t>
            </w:r>
            <w:r w:rsidR="000F432F">
              <w:rPr>
                <w:rFonts w:ascii="Times New Roman" w:eastAsia="Times New Roman" w:hAnsi="Times New Roman" w:cs="Times New Roman"/>
                <w:sz w:val="24"/>
                <w:szCs w:val="24"/>
              </w:rPr>
              <w:t>piena šķirņu slaucamo govju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produktivitātes datu</w:t>
            </w:r>
            <w:r w:rsidR="002A3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noteikšanas un</w:t>
            </w:r>
            <w:r w:rsidR="00241421"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izvērtēšanas pakalpojumu.</w:t>
            </w:r>
            <w:r w:rsidR="00D4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Minēto atbalstu izmaksās 2015.gadā.</w:t>
            </w:r>
          </w:p>
          <w:p w:rsidR="00D40569" w:rsidRDefault="00D40569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Tā kā atbalsts ir paredzēts primārajiem piena ražotājiem, noteikumu projekta 2.punktā ir noteikts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atbalsttiesīgā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ganāmpulka atlases kritērijs</w:t>
            </w:r>
            <w:r w:rsidR="0012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ganāmpulka īpašnieks regulāri nodod pienu pārstrādei.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2969" w:rsidRDefault="00792969" w:rsidP="00792969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Pārraudzības gadā augstražīgos ganāmpulkos vidējais izslaukums no vienas piena šķirņu slaucamās govs sasniedz pat </w:t>
            </w:r>
            <w:r w:rsidR="001D52C8" w:rsidRPr="001D52C8">
              <w:rPr>
                <w:rFonts w:ascii="Times New Roman" w:hAnsi="Times New Roman"/>
                <w:sz w:val="24"/>
                <w:szCs w:val="24"/>
              </w:rPr>
              <w:t>13</w:t>
            </w:r>
            <w:r w:rsidR="001D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C8" w:rsidRPr="001D52C8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kg, kas ir par 5</w:t>
            </w:r>
            <w:r w:rsidR="001D52C8">
              <w:rPr>
                <w:rFonts w:ascii="Times New Roman" w:hAnsi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vairāk </w:t>
            </w:r>
            <w:r w:rsidR="006416A0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 vidējais izslaukums </w:t>
            </w:r>
            <w:r w:rsidR="006416A0">
              <w:rPr>
                <w:rFonts w:ascii="Times New Roman" w:hAnsi="Times New Roman"/>
                <w:sz w:val="24"/>
                <w:szCs w:val="24"/>
              </w:rPr>
              <w:t xml:space="preserve">valstī </w:t>
            </w:r>
            <w:r>
              <w:rPr>
                <w:rFonts w:ascii="Times New Roman" w:hAnsi="Times New Roman"/>
                <w:sz w:val="24"/>
                <w:szCs w:val="24"/>
              </w:rPr>
              <w:t>– 6</w:t>
            </w:r>
            <w:r w:rsidR="001D52C8">
              <w:rPr>
                <w:rFonts w:ascii="Times New Roman" w:hAnsi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kg. Lai būtu ievērots taisnīguma princips, noteikumu projekta </w:t>
            </w:r>
            <w:r w:rsidR="00124E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.punktā ir paredzēta ciltsdarba maksājuma diferenciācija – par govīm ar izslaukumu līdz 6999 kg, pirmpienēm un govīm ar vēl nenoteiktu produktivitāti ir paredzēts vienreizējs maksājums 50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bet par augstražīgām govīm – 60 vai </w:t>
            </w:r>
            <w:r w:rsidR="00325FD4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565" w:rsidRDefault="006053C7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4.</w:t>
            </w:r>
            <w:r w:rsidR="00622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punktā ir noteikti iesnieguma iesniegšanas un atbalsta izmaksas termiņi.</w:t>
            </w:r>
          </w:p>
          <w:p w:rsidR="006053C7" w:rsidRDefault="00BC2565" w:rsidP="00241421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6.punktā ir svītrota 2014.gadā piešķirtā atbalsta izmaksas kārtība, bet 7.punktā ir noteikumu pielikumā precizēts gada skaitlis.</w:t>
            </w:r>
          </w:p>
          <w:p w:rsidR="00520086" w:rsidRDefault="004E3403" w:rsidP="00CB49EC">
            <w:pPr>
              <w:spacing w:after="0" w:line="240" w:lineRule="auto"/>
              <w:ind w:left="102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paredzēts</w:t>
            </w: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</w:t>
            </w: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saskaņā ar Komisijas 2014.gada 25.jūnija Regulu (EK) Nr.702/2014</w:t>
            </w:r>
            <w:r w:rsidR="00D316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kuru konkrētas atbalsta kategorijas lauksaimniecības un mežsaimniecības nozarē un lauku apvidos atzīst par saderīgām ar iekšējo tirgu, piemērojot Līguma par Eiropas Savienības darbību 107. un 108.pantu</w:t>
            </w:r>
            <w:r w:rsidR="0052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Komisijas Regula Nr.702/2014)</w:t>
            </w:r>
            <w:r w:rsid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>, pamatojoties uz Eiropas Komisijas lēmumu</w:t>
            </w:r>
            <w:r w:rsidR="00095788" w:rsidRP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SA.39407(2014/XA) </w:t>
            </w:r>
            <w:r w:rsidR="00641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95788" w:rsidRPr="0009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Atbalsts lopkopības sektoram un atbalsts par kritušiem dzīvniekiem</w:t>
            </w:r>
            <w:r w:rsidR="00CB4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71C6" w:rsidRPr="00EA2DF9" w:rsidRDefault="00CB7071" w:rsidP="00CB7071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</w:t>
            </w:r>
            <w:r w:rsidR="00621FAE" w:rsidRPr="00EA2DF9">
              <w:rPr>
                <w:b w:val="0"/>
                <w:bCs w:val="0"/>
                <w:sz w:val="24"/>
                <w:szCs w:val="24"/>
              </w:rPr>
              <w:t>alsts atbalsts</w:t>
            </w:r>
            <w:r w:rsidR="00241421" w:rsidRPr="00EA2DF9">
              <w:rPr>
                <w:b w:val="0"/>
                <w:bCs w:val="0"/>
                <w:sz w:val="24"/>
                <w:szCs w:val="24"/>
              </w:rPr>
              <w:t xml:space="preserve"> ļaus saglabāt ražošanas apjomu un nodrošinās augstvērtīgu </w:t>
            </w:r>
            <w:r>
              <w:rPr>
                <w:b w:val="0"/>
                <w:bCs w:val="0"/>
                <w:sz w:val="24"/>
                <w:szCs w:val="24"/>
              </w:rPr>
              <w:t xml:space="preserve">piena šķirņu slaucamo govju </w:t>
            </w:r>
            <w:r w:rsidR="00241421" w:rsidRPr="00EA2DF9">
              <w:rPr>
                <w:b w:val="0"/>
                <w:bCs w:val="0"/>
                <w:sz w:val="24"/>
                <w:szCs w:val="24"/>
              </w:rPr>
              <w:t xml:space="preserve">saglabāšanu ganāmpulka </w:t>
            </w:r>
            <w:proofErr w:type="spellStart"/>
            <w:r w:rsidR="00241421" w:rsidRPr="00EA2DF9">
              <w:rPr>
                <w:b w:val="0"/>
                <w:bCs w:val="0"/>
                <w:sz w:val="24"/>
                <w:szCs w:val="24"/>
              </w:rPr>
              <w:t>ciltskodolā</w:t>
            </w:r>
            <w:proofErr w:type="spellEnd"/>
            <w:r w:rsidR="00241421" w:rsidRPr="00EA2DF9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330A2" w:rsidRPr="00EA2DF9" w:rsidTr="00422589">
        <w:trPr>
          <w:trHeight w:val="476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lastRenderedPageBreak/>
              <w:t>3.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Projekta izstrādē iesaistītās institūcijas</w:t>
            </w:r>
          </w:p>
        </w:tc>
        <w:tc>
          <w:tcPr>
            <w:tcW w:w="3208" w:type="pct"/>
          </w:tcPr>
          <w:p w:rsidR="000330A2" w:rsidRPr="00EA2DF9" w:rsidRDefault="007F0225" w:rsidP="00621FAE">
            <w:pPr>
              <w:spacing w:after="0" w:line="240" w:lineRule="auto"/>
              <w:ind w:left="57" w:right="57" w:firstLine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Zemkopības ministrija, Lauku atbalsta dienests un Lauksaimniecības datu centrs</w:t>
            </w:r>
          </w:p>
        </w:tc>
      </w:tr>
      <w:tr w:rsidR="000330A2" w:rsidRPr="00EA2DF9" w:rsidTr="00422589"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4.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3208" w:type="pct"/>
          </w:tcPr>
          <w:p w:rsidR="000330A2" w:rsidRPr="00EA2DF9" w:rsidRDefault="00617EBD" w:rsidP="00006964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330A2" w:rsidRPr="00EA2DF9" w:rsidTr="00B84678">
        <w:trPr>
          <w:trHeight w:val="556"/>
        </w:trPr>
        <w:tc>
          <w:tcPr>
            <w:tcW w:w="9503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II. Tiesību akta projekta ietekme uz sabiedrību, tautsaimniecības attīstību</w:t>
            </w:r>
          </w:p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un administratīvo slogu</w:t>
            </w:r>
          </w:p>
        </w:tc>
      </w:tr>
      <w:tr w:rsidR="000330A2" w:rsidRPr="00EA2DF9" w:rsidTr="00B84678">
        <w:trPr>
          <w:trHeight w:val="46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330A2" w:rsidRPr="00EA2DF9" w:rsidRDefault="00617EBD" w:rsidP="001A43B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"/>
            <w:bookmarkEnd w:id="0"/>
            <w:r w:rsidRPr="00EA2DF9">
              <w:rPr>
                <w:rFonts w:ascii="Times New Roman" w:hAnsi="Times New Roman"/>
                <w:sz w:val="24"/>
                <w:szCs w:val="24"/>
              </w:rPr>
              <w:t xml:space="preserve">Fiziskas un juridiskas personas, kas nodarbojas ar lauksaimniecisko ražošanu piensaimniecības </w:t>
            </w:r>
            <w:r w:rsidR="00CB7071">
              <w:rPr>
                <w:rFonts w:ascii="Times New Roman" w:hAnsi="Times New Roman"/>
                <w:sz w:val="24"/>
                <w:szCs w:val="24"/>
              </w:rPr>
              <w:t>nozarē</w:t>
            </w:r>
            <w:r w:rsidR="00D31630">
              <w:rPr>
                <w:rFonts w:ascii="Times New Roman" w:hAnsi="Times New Roman"/>
                <w:sz w:val="24"/>
                <w:szCs w:val="24"/>
              </w:rPr>
              <w:t>,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– aptuveni </w:t>
            </w:r>
            <w:r w:rsidR="00CB7071">
              <w:rPr>
                <w:rFonts w:ascii="Times New Roman" w:hAnsi="Times New Roman"/>
                <w:sz w:val="24"/>
                <w:szCs w:val="24"/>
              </w:rPr>
              <w:t>9</w:t>
            </w:r>
            <w:r w:rsidR="001A43B2">
              <w:rPr>
                <w:rFonts w:ascii="Times New Roman" w:hAnsi="Times New Roman"/>
                <w:sz w:val="24"/>
                <w:szCs w:val="24"/>
              </w:rPr>
              <w:t>48</w:t>
            </w:r>
            <w:r w:rsidR="00CB7071">
              <w:rPr>
                <w:rFonts w:ascii="Times New Roman" w:hAnsi="Times New Roman"/>
                <w:sz w:val="24"/>
                <w:szCs w:val="24"/>
              </w:rPr>
              <w:t>0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atbalsta saņēmēju.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Administratīvo izmaksu monetārs novērtējums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EA2DF9" w:rsidTr="00B84678">
        <w:trPr>
          <w:trHeight w:val="35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4.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6096" w:type="dxa"/>
          </w:tcPr>
          <w:p w:rsidR="000330A2" w:rsidRPr="00EA2DF9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EA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7ED" w:rsidRDefault="00B617ED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7ED" w:rsidRPr="00EA2DF9" w:rsidRDefault="00B617ED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462"/>
        <w:gridCol w:w="1511"/>
        <w:gridCol w:w="45"/>
        <w:gridCol w:w="1279"/>
        <w:gridCol w:w="30"/>
        <w:gridCol w:w="1294"/>
        <w:gridCol w:w="15"/>
        <w:gridCol w:w="1309"/>
      </w:tblGrid>
      <w:tr w:rsidR="000330A2" w:rsidRPr="00EA2DF9" w:rsidTr="00D813EB">
        <w:trPr>
          <w:trHeight w:val="361"/>
          <w:jc w:val="center"/>
        </w:trPr>
        <w:tc>
          <w:tcPr>
            <w:tcW w:w="9838" w:type="dxa"/>
            <w:gridSpan w:val="9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lastRenderedPageBreak/>
              <w:br w:type="page"/>
            </w:r>
            <w:r w:rsidRPr="00EA2DF9">
              <w:rPr>
                <w:b/>
              </w:rPr>
              <w:t>III. Tiesību akta projekta ietekme uz valsts budžetu un pašvaldību budžetiem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Merge w:val="restart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A2DF9">
              <w:rPr>
                <w:b/>
              </w:rPr>
              <w:t>Rādītāji</w:t>
            </w:r>
          </w:p>
        </w:tc>
        <w:tc>
          <w:tcPr>
            <w:tcW w:w="3018" w:type="dxa"/>
            <w:gridSpan w:val="3"/>
            <w:vMerge w:val="restart"/>
            <w:vAlign w:val="center"/>
          </w:tcPr>
          <w:p w:rsidR="000330A2" w:rsidRPr="00EA2DF9" w:rsidRDefault="00B617ED" w:rsidP="003665A2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3665A2" w:rsidRPr="00EA2DF9">
              <w:rPr>
                <w:b/>
              </w:rPr>
              <w:t>.</w:t>
            </w:r>
            <w:r w:rsidR="000330A2" w:rsidRPr="00EA2DF9">
              <w:rPr>
                <w:b/>
              </w:rPr>
              <w:t>gads</w:t>
            </w:r>
          </w:p>
        </w:tc>
        <w:tc>
          <w:tcPr>
            <w:tcW w:w="3927" w:type="dxa"/>
            <w:gridSpan w:val="5"/>
            <w:vAlign w:val="center"/>
          </w:tcPr>
          <w:p w:rsidR="000330A2" w:rsidRPr="00EA2DF9" w:rsidRDefault="000330A2" w:rsidP="00487C57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Turpmākie trīs gadi (</w:t>
            </w:r>
            <w:r w:rsidR="00487C57" w:rsidRPr="00EA2DF9">
              <w:rPr>
                <w:i/>
              </w:rPr>
              <w:t>euro</w:t>
            </w:r>
            <w:r w:rsidRPr="00EA2DF9">
              <w:t>)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Merge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018" w:type="dxa"/>
            <w:gridSpan w:val="3"/>
            <w:vMerge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330A2" w:rsidRPr="00EA2DF9" w:rsidRDefault="003665A2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rPr>
                <w:b/>
                <w:bCs/>
              </w:rPr>
              <w:t>201</w:t>
            </w:r>
            <w:r w:rsidR="00B617ED">
              <w:rPr>
                <w:b/>
                <w:bCs/>
              </w:rPr>
              <w:t>6</w:t>
            </w:r>
          </w:p>
        </w:tc>
        <w:tc>
          <w:tcPr>
            <w:tcW w:w="1309" w:type="dxa"/>
            <w:gridSpan w:val="2"/>
            <w:vAlign w:val="center"/>
          </w:tcPr>
          <w:p w:rsidR="000330A2" w:rsidRPr="00EA2DF9" w:rsidRDefault="003665A2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rPr>
                <w:b/>
                <w:bCs/>
              </w:rPr>
              <w:t>201</w:t>
            </w:r>
            <w:r w:rsidR="00B617ED">
              <w:rPr>
                <w:b/>
                <w:bCs/>
              </w:rPr>
              <w:t>7</w:t>
            </w:r>
          </w:p>
        </w:tc>
        <w:tc>
          <w:tcPr>
            <w:tcW w:w="1309" w:type="dxa"/>
            <w:vAlign w:val="center"/>
          </w:tcPr>
          <w:p w:rsidR="000330A2" w:rsidRPr="00EA2DF9" w:rsidRDefault="003665A2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rPr>
                <w:b/>
                <w:bCs/>
              </w:rPr>
              <w:t>201</w:t>
            </w:r>
            <w:r w:rsidR="00B617ED">
              <w:rPr>
                <w:b/>
                <w:bCs/>
              </w:rPr>
              <w:t>8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Merge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462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saskaņā ar valsts budžetu kārtējam gadam</w:t>
            </w:r>
          </w:p>
        </w:tc>
        <w:tc>
          <w:tcPr>
            <w:tcW w:w="1511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 kārtējā gadā, salīdzinot ar budžetu kārtējam gadam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izmaiņas, salīdzinot ar kārtējo (n) gadu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izmaiņas, salīdzinot ar kārtējo (n) gadu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izmaiņas, salīdzinot ar kārtējo (n) gadu</w:t>
            </w:r>
          </w:p>
        </w:tc>
      </w:tr>
      <w:tr w:rsidR="000330A2" w:rsidRPr="00EA2DF9" w:rsidTr="00D813EB">
        <w:trPr>
          <w:jc w:val="center"/>
        </w:trPr>
        <w:tc>
          <w:tcPr>
            <w:tcW w:w="2893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1</w:t>
            </w:r>
          </w:p>
        </w:tc>
        <w:tc>
          <w:tcPr>
            <w:tcW w:w="1462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2</w:t>
            </w:r>
          </w:p>
        </w:tc>
        <w:tc>
          <w:tcPr>
            <w:tcW w:w="1511" w:type="dxa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3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4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5</w:t>
            </w:r>
          </w:p>
        </w:tc>
        <w:tc>
          <w:tcPr>
            <w:tcW w:w="1324" w:type="dxa"/>
            <w:gridSpan w:val="2"/>
            <w:vAlign w:val="center"/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EA2DF9">
              <w:rPr>
                <w:bCs/>
              </w:rPr>
              <w:t>6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 Budžeta ieņēmumi:</w:t>
            </w:r>
          </w:p>
        </w:tc>
        <w:tc>
          <w:tcPr>
            <w:tcW w:w="1462" w:type="dxa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1.1. valsts pamatbudžets, tai skaitā ieņēmumi no maksas pakalpojumiem un citi pašu ieņēmumi</w:t>
            </w:r>
          </w:p>
        </w:tc>
        <w:tc>
          <w:tcPr>
            <w:tcW w:w="1462" w:type="dxa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1.2. valsts speciālais budžets</w:t>
            </w:r>
          </w:p>
        </w:tc>
        <w:tc>
          <w:tcPr>
            <w:tcW w:w="1462" w:type="dxa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EA2DF9">
              <w:t>1.3. pašvaldību budžets</w:t>
            </w:r>
          </w:p>
        </w:tc>
        <w:tc>
          <w:tcPr>
            <w:tcW w:w="1462" w:type="dxa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462" w:type="dxa"/>
            <w:vAlign w:val="center"/>
          </w:tcPr>
          <w:p w:rsidR="00CB7071" w:rsidRPr="00D25E38" w:rsidRDefault="001A43B2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ED1E3F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4E1C">
              <w:rPr>
                <w:rFonts w:ascii="Times New Roman" w:hAnsi="Times New Roman"/>
                <w:sz w:val="24"/>
                <w:szCs w:val="24"/>
              </w:rPr>
              <w:t> </w:t>
            </w:r>
            <w:r w:rsidR="00124E5E">
              <w:rPr>
                <w:rFonts w:ascii="Times New Roman" w:hAnsi="Times New Roman"/>
                <w:sz w:val="24"/>
                <w:szCs w:val="24"/>
              </w:rPr>
              <w:t>600</w:t>
            </w:r>
            <w:r w:rsidR="00BB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5E">
              <w:rPr>
                <w:rFonts w:ascii="Times New Roman" w:hAnsi="Times New Roman"/>
                <w:sz w:val="24"/>
                <w:szCs w:val="24"/>
              </w:rPr>
              <w:t>00</w:t>
            </w:r>
            <w:r w:rsidR="00BB4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462" w:type="dxa"/>
            <w:vAlign w:val="center"/>
          </w:tcPr>
          <w:p w:rsidR="00CB7071" w:rsidRPr="00D25E38" w:rsidRDefault="00BB4E1C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ED1E3F" w:rsidP="00B617ED">
            <w:pPr>
              <w:spacing w:after="0" w:line="240" w:lineRule="auto"/>
              <w:ind w:left="-108" w:right="-60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4E1C">
              <w:rPr>
                <w:rFonts w:ascii="Times New Roman" w:hAnsi="Times New Roman"/>
                <w:sz w:val="24"/>
                <w:szCs w:val="24"/>
              </w:rPr>
              <w:t> </w:t>
            </w:r>
            <w:r w:rsidR="00124E5E">
              <w:rPr>
                <w:rFonts w:ascii="Times New Roman" w:hAnsi="Times New Roman"/>
                <w:sz w:val="24"/>
                <w:szCs w:val="24"/>
              </w:rPr>
              <w:t>600</w:t>
            </w:r>
            <w:r w:rsidR="00BB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462" w:type="dxa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1462" w:type="dxa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B7071" w:rsidRPr="00815F63" w:rsidRDefault="00BB4E1C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D813EB" w:rsidP="00B617ED">
            <w:pPr>
              <w:spacing w:after="0" w:line="240" w:lineRule="auto"/>
              <w:ind w:right="-155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4E1C">
              <w:rPr>
                <w:rFonts w:ascii="Times New Roman" w:hAnsi="Times New Roman"/>
                <w:sz w:val="24"/>
                <w:szCs w:val="24"/>
              </w:rPr>
              <w:t>7 </w:t>
            </w:r>
            <w:r w:rsidR="00124E5E">
              <w:rPr>
                <w:rFonts w:ascii="Times New Roman" w:hAnsi="Times New Roman"/>
                <w:sz w:val="24"/>
                <w:szCs w:val="24"/>
              </w:rPr>
              <w:t>600</w:t>
            </w:r>
            <w:r w:rsidR="00BB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B7071" w:rsidRPr="00D25E38" w:rsidRDefault="00BB4E1C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B7071" w:rsidRPr="00EA2DF9" w:rsidRDefault="00D813EB" w:rsidP="00B617ED">
            <w:pPr>
              <w:spacing w:after="0" w:line="240" w:lineRule="auto"/>
              <w:ind w:right="-155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4E1C">
              <w:rPr>
                <w:rFonts w:ascii="Times New Roman" w:hAnsi="Times New Roman"/>
                <w:sz w:val="24"/>
                <w:szCs w:val="24"/>
              </w:rPr>
              <w:t>7</w:t>
            </w:r>
            <w:r w:rsidR="00124E5E">
              <w:rPr>
                <w:rFonts w:ascii="Times New Roman" w:hAnsi="Times New Roman"/>
                <w:sz w:val="24"/>
                <w:szCs w:val="24"/>
              </w:rPr>
              <w:t> 600 000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462" w:type="dxa"/>
            <w:shd w:val="clear" w:color="auto" w:fill="auto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8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1462" w:type="dxa"/>
            <w:shd w:val="clear" w:color="auto" w:fill="auto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  <w:vMerge w:val="restart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462" w:type="dxa"/>
            <w:vMerge w:val="restart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1" w:type="dxa"/>
          </w:tcPr>
          <w:p w:rsidR="00CB7071" w:rsidRPr="00EA2DF9" w:rsidRDefault="0083054C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B4E1C">
              <w:rPr>
                <w:rFonts w:ascii="Times New Roman" w:hAnsi="Times New Roman"/>
                <w:sz w:val="24"/>
                <w:szCs w:val="24"/>
              </w:rPr>
              <w:t>7 </w:t>
            </w:r>
            <w:r w:rsidR="00124E5E">
              <w:rPr>
                <w:rFonts w:ascii="Times New Roman" w:hAnsi="Times New Roman"/>
                <w:sz w:val="24"/>
                <w:szCs w:val="24"/>
              </w:rPr>
              <w:t>600</w:t>
            </w:r>
            <w:r w:rsidR="00BB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5E">
              <w:rPr>
                <w:rFonts w:ascii="Times New Roman" w:hAnsi="Times New Roman"/>
                <w:sz w:val="24"/>
                <w:szCs w:val="24"/>
              </w:rPr>
              <w:t>00</w:t>
            </w:r>
            <w:r w:rsidR="00BB4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  <w:vMerge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  <w:vMerge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462" w:type="dxa"/>
            <w:vMerge w:val="restart"/>
          </w:tcPr>
          <w:p w:rsidR="00CB7071" w:rsidRPr="00D25E38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1" w:type="dxa"/>
          </w:tcPr>
          <w:p w:rsidR="00CB7071" w:rsidRPr="00EA2DF9" w:rsidRDefault="00CB7071" w:rsidP="00B6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speciālais budžets</w:t>
            </w: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1462" w:type="dxa"/>
            <w:vMerge/>
            <w:vAlign w:val="center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0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  <w:tc>
          <w:tcPr>
            <w:tcW w:w="1324" w:type="dxa"/>
            <w:gridSpan w:val="2"/>
          </w:tcPr>
          <w:p w:rsidR="00CB7071" w:rsidRPr="00EA2DF9" w:rsidRDefault="00CB7071" w:rsidP="00B617ED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A2DF9">
              <w:t>Nav attiecināms</w:t>
            </w:r>
          </w:p>
        </w:tc>
      </w:tr>
      <w:tr w:rsidR="00CB7071" w:rsidRPr="00EA2DF9" w:rsidTr="00B617ED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ciešams, detalizētu ieņēmumu un izdevumu aprēķinu var pie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vienot anotācijas pielikumā):</w:t>
            </w:r>
          </w:p>
        </w:tc>
        <w:tc>
          <w:tcPr>
            <w:tcW w:w="6945" w:type="dxa"/>
            <w:gridSpan w:val="8"/>
            <w:vMerge w:val="restart"/>
          </w:tcPr>
          <w:p w:rsidR="00CB7071" w:rsidRPr="00EA2DF9" w:rsidRDefault="00CB7071" w:rsidP="00B6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945" w:type="dxa"/>
            <w:gridSpan w:val="8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CB7071" w:rsidRPr="00EA2DF9" w:rsidTr="00D813EB">
        <w:trPr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945" w:type="dxa"/>
            <w:gridSpan w:val="8"/>
            <w:vMerge/>
            <w:vAlign w:val="center"/>
          </w:tcPr>
          <w:p w:rsidR="00CB7071" w:rsidRPr="00EA2DF9" w:rsidRDefault="00CB7071" w:rsidP="00B84678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CB7071" w:rsidRPr="00EA2DF9" w:rsidTr="008040C9">
        <w:trPr>
          <w:trHeight w:val="556"/>
          <w:jc w:val="center"/>
        </w:trPr>
        <w:tc>
          <w:tcPr>
            <w:tcW w:w="2893" w:type="dxa"/>
          </w:tcPr>
          <w:p w:rsidR="00CB7071" w:rsidRPr="00EA2DF9" w:rsidRDefault="00CB7071" w:rsidP="00B8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617ED" w:rsidRPr="008040C9" w:rsidRDefault="006416A0" w:rsidP="00B61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B617ED" w:rsidRPr="008040C9">
              <w:rPr>
                <w:rFonts w:ascii="Times New Roman" w:hAnsi="Times New Roman"/>
                <w:sz w:val="24"/>
                <w:szCs w:val="24"/>
              </w:rPr>
              <w:t xml:space="preserve"> Ekonomikas ministrija ir apliecinājusi, ka 2015.gadā </w:t>
            </w:r>
            <w:r>
              <w:rPr>
                <w:rFonts w:ascii="Times New Roman" w:hAnsi="Times New Roman"/>
                <w:sz w:val="24"/>
                <w:szCs w:val="24"/>
              </w:rPr>
              <w:t>tās</w:t>
            </w:r>
            <w:r w:rsidR="00B617ED" w:rsidRPr="008040C9">
              <w:rPr>
                <w:rFonts w:ascii="Times New Roman" w:hAnsi="Times New Roman"/>
                <w:sz w:val="24"/>
                <w:szCs w:val="24"/>
              </w:rPr>
              <w:t xml:space="preserve"> budžetā netiks apgūti 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 xml:space="preserve">7,6 milj. </w:t>
            </w:r>
            <w:r w:rsidR="008040C9" w:rsidRPr="008040C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 xml:space="preserve"> Subsidētās elektroenerģijas programmā</w:t>
            </w:r>
            <w:r w:rsidR="00B617ED" w:rsidRPr="008040C9">
              <w:rPr>
                <w:rFonts w:ascii="Times New Roman" w:hAnsi="Times New Roman"/>
                <w:sz w:val="24"/>
                <w:szCs w:val="24"/>
              </w:rPr>
              <w:t>, Zemkopības ministrijai ir iespējams savus Eiropas Lauksaimniecības garantiju fonda pasākumos ietaupītos līdzekļus novirzīt piena sektora atbalstam, tā nepalielinot 2015.gada valsts budžeta deficītu.</w:t>
            </w:r>
          </w:p>
          <w:p w:rsidR="00B617ED" w:rsidRPr="008040C9" w:rsidRDefault="00B617ED" w:rsidP="00B61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C9">
              <w:rPr>
                <w:rFonts w:ascii="Times New Roman" w:hAnsi="Times New Roman"/>
                <w:sz w:val="24"/>
                <w:szCs w:val="24"/>
              </w:rPr>
              <w:t>Zemkopības ministrijas programmā 64.00.00. “Eiropas Lauksaimniecības garantiju fonda (ELGF) projektu un pasākumu īstenošana” 2015.gadā tiek prognozēta līdzekļu ekonomija 7,6 milj.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0C9" w:rsidRPr="008040C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 xml:space="preserve"> apmērā. </w:t>
            </w:r>
            <w:r w:rsidR="006416A0">
              <w:rPr>
                <w:rFonts w:ascii="Times New Roman" w:hAnsi="Times New Roman"/>
                <w:sz w:val="24"/>
                <w:szCs w:val="24"/>
              </w:rPr>
              <w:t>Tā kā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 xml:space="preserve"> sākotnēji pavasarī plānotā piena produktu intervence ir aizkavējusies, tā šogad netiks īstenota pilnā apjomā, tād</w:t>
            </w:r>
            <w:r w:rsidR="006416A0">
              <w:rPr>
                <w:rFonts w:ascii="Times New Roman" w:hAnsi="Times New Roman"/>
                <w:sz w:val="24"/>
                <w:szCs w:val="24"/>
              </w:rPr>
              <w:t>ē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>jādi veidojot ekonomiju apmēram 2 milj.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0C9" w:rsidRPr="008040C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Savukārt vienotā platības maksājumu jomā ar 2015.gadu stājas spēkā jaunas atbalsta saņemšanas prasības, t</w:t>
            </w:r>
            <w:r w:rsidR="006416A0">
              <w:rPr>
                <w:rFonts w:ascii="Times New Roman" w:hAnsi="Times New Roman"/>
                <w:sz w:val="24"/>
                <w:szCs w:val="24"/>
              </w:rPr>
              <w:t>ostarp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133" w:rsidRPr="008040C9">
              <w:rPr>
                <w:rFonts w:ascii="Times New Roman" w:hAnsi="Times New Roman"/>
                <w:sz w:val="24"/>
                <w:szCs w:val="24"/>
              </w:rPr>
              <w:t>zaļināšanas</w:t>
            </w:r>
            <w:proofErr w:type="spellEnd"/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nosacījumi, un tie </w:t>
            </w:r>
            <w:r w:rsidR="006416A0">
              <w:rPr>
                <w:rFonts w:ascii="Times New Roman" w:hAnsi="Times New Roman"/>
                <w:sz w:val="24"/>
                <w:szCs w:val="24"/>
              </w:rPr>
              <w:t xml:space="preserve">paredz 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>papildu kontroles, IT sistēmu izmaiņas un cit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>us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pielāgojum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>us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>, kas</w:t>
            </w:r>
            <w:r w:rsidR="006416A0">
              <w:rPr>
                <w:rFonts w:ascii="Times New Roman" w:hAnsi="Times New Roman"/>
                <w:sz w:val="24"/>
                <w:szCs w:val="24"/>
              </w:rPr>
              <w:t>,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visticamāk</w:t>
            </w:r>
            <w:r w:rsidR="006416A0">
              <w:rPr>
                <w:rFonts w:ascii="Times New Roman" w:hAnsi="Times New Roman"/>
                <w:sz w:val="24"/>
                <w:szCs w:val="24"/>
              </w:rPr>
              <w:t>,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aizkavēs vienotā platības maksājuma avansu izmaksāšanu tādā ap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>mērā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kā citus gadus, tād</w:t>
            </w:r>
            <w:r w:rsidR="006416A0">
              <w:rPr>
                <w:rFonts w:ascii="Times New Roman" w:hAnsi="Times New Roman"/>
                <w:sz w:val="24"/>
                <w:szCs w:val="24"/>
              </w:rPr>
              <w:t>ē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>jādi veidojot līdzekļu ekonomiju 5,6 milj.</w:t>
            </w:r>
            <w:r w:rsidR="008040C9" w:rsidRPr="0080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0C9" w:rsidRPr="008040C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16133" w:rsidRPr="008040C9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</w:p>
          <w:p w:rsidR="00CB7071" w:rsidRPr="008040C9" w:rsidRDefault="00316133" w:rsidP="0064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C9">
              <w:rPr>
                <w:rFonts w:ascii="Times New Roman" w:hAnsi="Times New Roman"/>
                <w:sz w:val="24"/>
                <w:szCs w:val="24"/>
              </w:rPr>
              <w:t>Ciltsdarba maksājumi</w:t>
            </w:r>
            <w:r w:rsidR="006416A0">
              <w:rPr>
                <w:rFonts w:ascii="Times New Roman" w:hAnsi="Times New Roman"/>
                <w:sz w:val="24"/>
                <w:szCs w:val="24"/>
              </w:rPr>
              <w:t>em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 xml:space="preserve"> tiks </w:t>
            </w:r>
            <w:r w:rsidR="006416A0">
              <w:rPr>
                <w:rFonts w:ascii="Times New Roman" w:hAnsi="Times New Roman"/>
                <w:sz w:val="24"/>
                <w:szCs w:val="24"/>
              </w:rPr>
              <w:t xml:space="preserve">izmantoti 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>Zemkopības ministrijas programmas 64.00.00. “Eiropas Lauksaimniecības garantiju fonda (ELGF) projektu un pasākumu īstenošana” līdzekļ</w:t>
            </w:r>
            <w:r w:rsidR="006416A0">
              <w:rPr>
                <w:rFonts w:ascii="Times New Roman" w:hAnsi="Times New Roman"/>
                <w:sz w:val="24"/>
                <w:szCs w:val="24"/>
              </w:rPr>
              <w:t>i</w:t>
            </w:r>
            <w:r w:rsidRPr="00804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EB" w:rsidRPr="00D813EB" w:rsidRDefault="00D813EB" w:rsidP="00D813EB">
      <w:pPr>
        <w:spacing w:after="0" w:line="240" w:lineRule="auto"/>
        <w:rPr>
          <w:rFonts w:ascii="Times New Roman" w:hAnsi="Times New Roman"/>
          <w:i/>
        </w:rPr>
      </w:pPr>
      <w:r w:rsidRPr="00D813EB">
        <w:rPr>
          <w:rFonts w:ascii="Times New Roman" w:hAnsi="Times New Roman"/>
          <w:i/>
        </w:rPr>
        <w:t>Anotācijas IV</w:t>
      </w:r>
      <w:r w:rsidR="00415A12">
        <w:rPr>
          <w:rFonts w:ascii="Times New Roman" w:hAnsi="Times New Roman"/>
          <w:i/>
        </w:rPr>
        <w:t xml:space="preserve"> un V</w:t>
      </w:r>
      <w:r w:rsidRPr="00D813EB">
        <w:rPr>
          <w:rFonts w:ascii="Times New Roman" w:hAnsi="Times New Roman"/>
          <w:i/>
        </w:rPr>
        <w:t xml:space="preserve"> sadaļa – noteikumu projekts šo jomu neskar.</w:t>
      </w:r>
    </w:p>
    <w:p w:rsidR="00694794" w:rsidRDefault="00694794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Del="009D1634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0330A2" w:rsidRPr="00EA2DF9" w:rsidTr="00B84678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EA2DF9">
              <w:rPr>
                <w:b/>
              </w:rPr>
              <w:t>VI. Sabiedrības līdzdalība un komunikācijas aktivitātes</w:t>
            </w:r>
          </w:p>
        </w:tc>
      </w:tr>
      <w:tr w:rsidR="000330A2" w:rsidRPr="00EA2DF9" w:rsidTr="00B84678">
        <w:trPr>
          <w:trHeight w:val="553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0330A2" w:rsidRPr="00EA2DF9" w:rsidRDefault="00A2430A" w:rsidP="00A61A33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"/>
            <w:bookmarkEnd w:id="1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>Par noteikumu projektu lauksaimnieku nevalstiskās organizācijas un šķirnes lauksaimniecības dzīvnieku audzētāju organizācijas –</w:t>
            </w:r>
            <w:r w:rsidR="00FD2F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SIA “Latvijas šķirnes dzīvnieku audzētāju savienība”, s/o “Latvijas </w:t>
            </w:r>
            <w:proofErr w:type="spellStart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>Holšteinas</w:t>
            </w:r>
            <w:proofErr w:type="spellEnd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šķirnes lopu audzētāju asociācija”</w:t>
            </w:r>
            <w:r w:rsidR="006416A0">
              <w:rPr>
                <w:rFonts w:ascii="Times New Roman" w:hAnsi="Times New Roman"/>
                <w:iCs/>
                <w:sz w:val="24"/>
                <w:szCs w:val="24"/>
              </w:rPr>
              <w:t xml:space="preserve"> un</w:t>
            </w:r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lauksaimniecības pakalpojumu kooper</w:t>
            </w:r>
            <w:r w:rsidR="00A61A33">
              <w:rPr>
                <w:rFonts w:ascii="Times New Roman" w:hAnsi="Times New Roman"/>
                <w:iCs/>
                <w:sz w:val="24"/>
                <w:szCs w:val="24"/>
              </w:rPr>
              <w:t xml:space="preserve">atīvā sabiedrība „ABC Projekts” </w:t>
            </w:r>
            <w:r w:rsidR="006416A0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="00FD2FAA">
              <w:rPr>
                <w:rFonts w:ascii="Times New Roman" w:hAnsi="Times New Roman"/>
                <w:iCs/>
                <w:sz w:val="24"/>
                <w:szCs w:val="24"/>
              </w:rPr>
              <w:t>ir informētas</w:t>
            </w:r>
            <w:r w:rsidR="00415A12">
              <w:rPr>
                <w:rFonts w:ascii="Times New Roman" w:hAnsi="Times New Roman"/>
                <w:iCs/>
                <w:sz w:val="24"/>
                <w:szCs w:val="24"/>
              </w:rPr>
              <w:t>, nosūtot noteikumu projektu uz to e-pasta adresēm.</w:t>
            </w:r>
          </w:p>
        </w:tc>
      </w:tr>
      <w:tr w:rsidR="000330A2" w:rsidRPr="00EA2DF9" w:rsidTr="00B84678">
        <w:trPr>
          <w:trHeight w:val="339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0330A2" w:rsidRPr="00EA2DF9" w:rsidRDefault="00FD2FAA" w:rsidP="00B84678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D2FAA">
              <w:rPr>
                <w:rFonts w:ascii="Times New Roman" w:hAnsi="Times New Roman" w:cs="Times New Roman"/>
                <w:sz w:val="24"/>
                <w:szCs w:val="24"/>
              </w:rPr>
              <w:t>auksaimnieku nevalstiskās organizācijas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atbalsta noteikumu projektu.</w:t>
            </w:r>
          </w:p>
        </w:tc>
      </w:tr>
      <w:tr w:rsidR="000330A2" w:rsidRPr="00EA2DF9" w:rsidTr="00B84678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0330A2" w:rsidRPr="00EA2DF9" w:rsidRDefault="00487C57" w:rsidP="00294943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Tiks izvērtēti visi lauksaimnieku nevalstisko organizāciju izteiktie iebildumi un iesniegtie priekšlikumi.</w:t>
            </w:r>
            <w:r w:rsidR="00B223E3" w:rsidRPr="00E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EA2DF9" w:rsidTr="00B84678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0330A2" w:rsidRPr="00EA2DF9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Pr="00EA2DF9" w:rsidRDefault="00ED1E3F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0330A2" w:rsidRPr="00EA2DF9" w:rsidTr="00B8467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2DF9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EA2DF9" w:rsidTr="00B84678">
        <w:trPr>
          <w:trHeight w:val="427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izpildē iesaistītās institūcijas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EA2DF9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EA2DF9" w:rsidTr="00B84678">
        <w:trPr>
          <w:trHeight w:val="463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izpildes ietekme uz pār</w:t>
            </w:r>
            <w:r w:rsidRPr="00EA2DF9">
              <w:softHyphen/>
              <w:t>valdes funkcijām un institucionālo struktūru.</w:t>
            </w:r>
          </w:p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Jaunu institūciju izveide, esošu institūciju likvidācija vai reorga</w:t>
            </w:r>
            <w:r w:rsidRPr="00EA2DF9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r w:rsidRPr="00EA2DF9">
              <w:t>Projekts šo jomu neskar.</w:t>
            </w:r>
          </w:p>
        </w:tc>
      </w:tr>
      <w:tr w:rsidR="000330A2" w:rsidRPr="00EA2DF9" w:rsidTr="00B8467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60B61" w:rsidRPr="00EA2DF9" w:rsidRDefault="00760B61" w:rsidP="00760B6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87C57" w:rsidRPr="00EA2DF9" w:rsidRDefault="00487C57" w:rsidP="00487C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C57" w:rsidRPr="00EA2DF9" w:rsidRDefault="00487C57" w:rsidP="00487C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A12" w:rsidRPr="00B05919" w:rsidRDefault="00415A12" w:rsidP="00303E6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Zemkopības ministra </w:t>
      </w:r>
      <w:proofErr w:type="spellStart"/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>p.i</w:t>
      </w:r>
      <w:proofErr w:type="spellEnd"/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 w:rsidR="00D008DC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335CC6" w:rsidRPr="00B05919" w:rsidRDefault="00415A12" w:rsidP="00303E6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>veselības ministrs</w:t>
      </w: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G.Belēvičs</w:t>
      </w:r>
      <w:r w:rsidR="00D008DC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D008DC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D008DC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D008DC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D008DC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335CC6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335CC6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335CC6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335CC6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335CC6" w:rsidRPr="00B0591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1C" w:rsidRDefault="00BB4E1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2" w:rsidRDefault="00415A12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2" w:rsidRDefault="00415A12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2" w:rsidRDefault="00415A12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2" w:rsidRDefault="00415A12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2" w:rsidRDefault="00415A12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3F" w:rsidRDefault="00ED1E3F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6C" w:rsidRPr="00EA2DF9" w:rsidRDefault="00303E6C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F1B" w:rsidRDefault="008B5F1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14.08.2015. 13:35</w:t>
      </w:r>
    </w:p>
    <w:p w:rsidR="008B5F1B" w:rsidRDefault="008B5F1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1244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60B61" w:rsidRPr="00EA2DF9" w:rsidRDefault="0076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 w:rsidRPr="00EA2DF9">
        <w:rPr>
          <w:rFonts w:ascii="Times New Roman" w:hAnsi="Times New Roman" w:cs="Times New Roman"/>
          <w:sz w:val="20"/>
          <w:szCs w:val="20"/>
        </w:rPr>
        <w:t>B.Ingiļāvičute</w:t>
      </w:r>
    </w:p>
    <w:p w:rsidR="000330A2" w:rsidRDefault="00760B61" w:rsidP="00760B61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EA2DF9">
        <w:rPr>
          <w:rFonts w:ascii="Times New Roman" w:hAnsi="Times New Roman" w:cs="Times New Roman"/>
          <w:sz w:val="20"/>
          <w:szCs w:val="20"/>
        </w:rPr>
        <w:t xml:space="preserve">67027661, </w:t>
      </w:r>
      <w:hyperlink r:id="rId7" w:history="1">
        <w:r w:rsidR="006B417C" w:rsidRPr="00C8162C">
          <w:rPr>
            <w:rStyle w:val="Hipersaite"/>
            <w:rFonts w:ascii="Times New Roman" w:hAnsi="Times New Roman" w:cs="Times New Roman"/>
            <w:sz w:val="20"/>
            <w:szCs w:val="20"/>
          </w:rPr>
          <w:t>Biruta.Ingilavicute@zm.gov.lv</w:t>
        </w:r>
      </w:hyperlink>
    </w:p>
    <w:sectPr w:rsidR="000330A2" w:rsidSect="00760B6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52" w:rsidRDefault="004C6452" w:rsidP="00B43E45">
      <w:pPr>
        <w:spacing w:after="0" w:line="240" w:lineRule="auto"/>
      </w:pPr>
      <w:r>
        <w:separator/>
      </w:r>
    </w:p>
  </w:endnote>
  <w:endnote w:type="continuationSeparator" w:id="0">
    <w:p w:rsidR="004C6452" w:rsidRDefault="004C6452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>
    <w:pPr>
      <w:pStyle w:val="Kjene"/>
      <w:jc w:val="center"/>
    </w:pPr>
  </w:p>
  <w:p w:rsidR="00006964" w:rsidRPr="0068244A" w:rsidRDefault="0000696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415A12">
      <w:rPr>
        <w:rFonts w:ascii="Times New Roman" w:hAnsi="Times New Roman" w:cs="Times New Roman"/>
        <w:sz w:val="20"/>
        <w:szCs w:val="20"/>
      </w:rPr>
      <w:t>130815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 w:rsidP="00760B61">
    <w:pPr>
      <w:pStyle w:val="Kjene"/>
      <w:jc w:val="center"/>
    </w:pPr>
  </w:p>
  <w:p w:rsidR="00006964" w:rsidRPr="0068244A" w:rsidRDefault="00006964" w:rsidP="00760B6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74073A">
      <w:rPr>
        <w:rFonts w:ascii="Times New Roman" w:hAnsi="Times New Roman" w:cs="Times New Roman"/>
        <w:sz w:val="20"/>
        <w:szCs w:val="20"/>
      </w:rPr>
      <w:t>130815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52" w:rsidRDefault="004C6452" w:rsidP="00B43E45">
      <w:pPr>
        <w:spacing w:after="0" w:line="240" w:lineRule="auto"/>
      </w:pPr>
      <w:r>
        <w:separator/>
      </w:r>
    </w:p>
  </w:footnote>
  <w:footnote w:type="continuationSeparator" w:id="0">
    <w:p w:rsidR="004C6452" w:rsidRDefault="004C6452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006964" w:rsidRPr="00760B61" w:rsidRDefault="003E4479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="00006964"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8B5F1B">
          <w:rPr>
            <w:rFonts w:ascii="Times New Roman" w:hAnsi="Times New Roman" w:cs="Times New Roman"/>
            <w:noProof/>
            <w:sz w:val="24"/>
          </w:rPr>
          <w:t>4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964" w:rsidRPr="00760B61" w:rsidRDefault="00006964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6964"/>
    <w:rsid w:val="000330A2"/>
    <w:rsid w:val="00087483"/>
    <w:rsid w:val="00095788"/>
    <w:rsid w:val="0009671E"/>
    <w:rsid w:val="000A3C5F"/>
    <w:rsid w:val="000B0068"/>
    <w:rsid w:val="000B76DF"/>
    <w:rsid w:val="000F432F"/>
    <w:rsid w:val="001022EF"/>
    <w:rsid w:val="0010792A"/>
    <w:rsid w:val="00123517"/>
    <w:rsid w:val="00124E5E"/>
    <w:rsid w:val="00130FCE"/>
    <w:rsid w:val="00136054"/>
    <w:rsid w:val="00166EFF"/>
    <w:rsid w:val="001671C6"/>
    <w:rsid w:val="00190B7B"/>
    <w:rsid w:val="001961A6"/>
    <w:rsid w:val="001A43B2"/>
    <w:rsid w:val="001A5B01"/>
    <w:rsid w:val="001B7FD9"/>
    <w:rsid w:val="001C749C"/>
    <w:rsid w:val="001D52C8"/>
    <w:rsid w:val="001E0FFF"/>
    <w:rsid w:val="001F0690"/>
    <w:rsid w:val="002073EA"/>
    <w:rsid w:val="00213DC8"/>
    <w:rsid w:val="00215855"/>
    <w:rsid w:val="00223FB1"/>
    <w:rsid w:val="00241421"/>
    <w:rsid w:val="002453D6"/>
    <w:rsid w:val="0026478C"/>
    <w:rsid w:val="00272762"/>
    <w:rsid w:val="0029473F"/>
    <w:rsid w:val="00294943"/>
    <w:rsid w:val="002A37FC"/>
    <w:rsid w:val="002D6FFE"/>
    <w:rsid w:val="002F10A0"/>
    <w:rsid w:val="002F3A45"/>
    <w:rsid w:val="00303E6C"/>
    <w:rsid w:val="00312DC4"/>
    <w:rsid w:val="00316133"/>
    <w:rsid w:val="00316173"/>
    <w:rsid w:val="00316A48"/>
    <w:rsid w:val="003201E3"/>
    <w:rsid w:val="00325FD4"/>
    <w:rsid w:val="00335CC6"/>
    <w:rsid w:val="003665A2"/>
    <w:rsid w:val="003679CF"/>
    <w:rsid w:val="00370BF4"/>
    <w:rsid w:val="00374DA2"/>
    <w:rsid w:val="00374E0B"/>
    <w:rsid w:val="00377940"/>
    <w:rsid w:val="003C7A64"/>
    <w:rsid w:val="003D01F4"/>
    <w:rsid w:val="003E4479"/>
    <w:rsid w:val="0041150B"/>
    <w:rsid w:val="00415A12"/>
    <w:rsid w:val="00422589"/>
    <w:rsid w:val="00427773"/>
    <w:rsid w:val="00444CA2"/>
    <w:rsid w:val="004501F4"/>
    <w:rsid w:val="00475D41"/>
    <w:rsid w:val="00483B7A"/>
    <w:rsid w:val="00487C57"/>
    <w:rsid w:val="004C6452"/>
    <w:rsid w:val="004E0136"/>
    <w:rsid w:val="004E3403"/>
    <w:rsid w:val="004E6931"/>
    <w:rsid w:val="00504190"/>
    <w:rsid w:val="00520086"/>
    <w:rsid w:val="005206FF"/>
    <w:rsid w:val="00523895"/>
    <w:rsid w:val="00532397"/>
    <w:rsid w:val="00546325"/>
    <w:rsid w:val="00552A61"/>
    <w:rsid w:val="00583D4F"/>
    <w:rsid w:val="005A2113"/>
    <w:rsid w:val="005A3F40"/>
    <w:rsid w:val="005A4C64"/>
    <w:rsid w:val="005E4F2C"/>
    <w:rsid w:val="005E6159"/>
    <w:rsid w:val="0060046A"/>
    <w:rsid w:val="006053C7"/>
    <w:rsid w:val="00617EBD"/>
    <w:rsid w:val="006212F3"/>
    <w:rsid w:val="00621FAE"/>
    <w:rsid w:val="00622666"/>
    <w:rsid w:val="006250FB"/>
    <w:rsid w:val="0063755B"/>
    <w:rsid w:val="006416A0"/>
    <w:rsid w:val="00647ACC"/>
    <w:rsid w:val="0065021F"/>
    <w:rsid w:val="0067349C"/>
    <w:rsid w:val="0068244A"/>
    <w:rsid w:val="00684952"/>
    <w:rsid w:val="00694794"/>
    <w:rsid w:val="006A4D02"/>
    <w:rsid w:val="006B3F2F"/>
    <w:rsid w:val="006B417C"/>
    <w:rsid w:val="00703F24"/>
    <w:rsid w:val="0072567C"/>
    <w:rsid w:val="0074073A"/>
    <w:rsid w:val="00753F17"/>
    <w:rsid w:val="00760B61"/>
    <w:rsid w:val="00775B9E"/>
    <w:rsid w:val="007816A7"/>
    <w:rsid w:val="007826A8"/>
    <w:rsid w:val="007845F1"/>
    <w:rsid w:val="00792969"/>
    <w:rsid w:val="007A7F37"/>
    <w:rsid w:val="007C1159"/>
    <w:rsid w:val="007F0225"/>
    <w:rsid w:val="008040C9"/>
    <w:rsid w:val="0083054C"/>
    <w:rsid w:val="008305B1"/>
    <w:rsid w:val="00852FAD"/>
    <w:rsid w:val="0088353A"/>
    <w:rsid w:val="008839D4"/>
    <w:rsid w:val="00883CE9"/>
    <w:rsid w:val="00886CAD"/>
    <w:rsid w:val="00897834"/>
    <w:rsid w:val="008A0580"/>
    <w:rsid w:val="008B4DF4"/>
    <w:rsid w:val="008B5F1B"/>
    <w:rsid w:val="008E5E00"/>
    <w:rsid w:val="00910456"/>
    <w:rsid w:val="00920CA7"/>
    <w:rsid w:val="009215D8"/>
    <w:rsid w:val="009354DC"/>
    <w:rsid w:val="00945E3B"/>
    <w:rsid w:val="00953C15"/>
    <w:rsid w:val="0096039C"/>
    <w:rsid w:val="009704F7"/>
    <w:rsid w:val="009831EE"/>
    <w:rsid w:val="0098336F"/>
    <w:rsid w:val="00985388"/>
    <w:rsid w:val="009B08B3"/>
    <w:rsid w:val="009B37B3"/>
    <w:rsid w:val="00A153D1"/>
    <w:rsid w:val="00A16BF8"/>
    <w:rsid w:val="00A2430A"/>
    <w:rsid w:val="00A32C1B"/>
    <w:rsid w:val="00A370F3"/>
    <w:rsid w:val="00A406A0"/>
    <w:rsid w:val="00A54EC8"/>
    <w:rsid w:val="00A61A33"/>
    <w:rsid w:val="00A673F3"/>
    <w:rsid w:val="00A8487D"/>
    <w:rsid w:val="00A94195"/>
    <w:rsid w:val="00AA2D09"/>
    <w:rsid w:val="00AA5504"/>
    <w:rsid w:val="00AD0996"/>
    <w:rsid w:val="00AF1AC7"/>
    <w:rsid w:val="00B05919"/>
    <w:rsid w:val="00B223E3"/>
    <w:rsid w:val="00B409FC"/>
    <w:rsid w:val="00B418A9"/>
    <w:rsid w:val="00B43E45"/>
    <w:rsid w:val="00B617ED"/>
    <w:rsid w:val="00B628B6"/>
    <w:rsid w:val="00B84678"/>
    <w:rsid w:val="00BB4E1C"/>
    <w:rsid w:val="00BC2565"/>
    <w:rsid w:val="00BC5224"/>
    <w:rsid w:val="00BD7262"/>
    <w:rsid w:val="00BE6D9B"/>
    <w:rsid w:val="00BF23E4"/>
    <w:rsid w:val="00BF5750"/>
    <w:rsid w:val="00C17DC8"/>
    <w:rsid w:val="00C27215"/>
    <w:rsid w:val="00C54405"/>
    <w:rsid w:val="00C82DA5"/>
    <w:rsid w:val="00CA0A47"/>
    <w:rsid w:val="00CA4C24"/>
    <w:rsid w:val="00CB22D3"/>
    <w:rsid w:val="00CB49EC"/>
    <w:rsid w:val="00CB7071"/>
    <w:rsid w:val="00CC4FD7"/>
    <w:rsid w:val="00CE262F"/>
    <w:rsid w:val="00CE64E7"/>
    <w:rsid w:val="00CE6EAF"/>
    <w:rsid w:val="00CE7727"/>
    <w:rsid w:val="00D008DC"/>
    <w:rsid w:val="00D26751"/>
    <w:rsid w:val="00D31630"/>
    <w:rsid w:val="00D40569"/>
    <w:rsid w:val="00D4226B"/>
    <w:rsid w:val="00D432BF"/>
    <w:rsid w:val="00D518F3"/>
    <w:rsid w:val="00D77583"/>
    <w:rsid w:val="00D813EB"/>
    <w:rsid w:val="00D85F1A"/>
    <w:rsid w:val="00D92432"/>
    <w:rsid w:val="00DC2734"/>
    <w:rsid w:val="00DE0DE2"/>
    <w:rsid w:val="00DF1F97"/>
    <w:rsid w:val="00E0182D"/>
    <w:rsid w:val="00E01F43"/>
    <w:rsid w:val="00E0319C"/>
    <w:rsid w:val="00E0678F"/>
    <w:rsid w:val="00E179C6"/>
    <w:rsid w:val="00E277A8"/>
    <w:rsid w:val="00E323E5"/>
    <w:rsid w:val="00E42BC4"/>
    <w:rsid w:val="00E43FCD"/>
    <w:rsid w:val="00E46804"/>
    <w:rsid w:val="00E5143B"/>
    <w:rsid w:val="00E5607A"/>
    <w:rsid w:val="00E744DB"/>
    <w:rsid w:val="00EA2C82"/>
    <w:rsid w:val="00EA2DF9"/>
    <w:rsid w:val="00EC04DB"/>
    <w:rsid w:val="00ED1E3F"/>
    <w:rsid w:val="00EF11FA"/>
    <w:rsid w:val="00EF59D4"/>
    <w:rsid w:val="00F03FC1"/>
    <w:rsid w:val="00F11CA3"/>
    <w:rsid w:val="00F276B1"/>
    <w:rsid w:val="00F31253"/>
    <w:rsid w:val="00F570CE"/>
    <w:rsid w:val="00F64807"/>
    <w:rsid w:val="00F72FB9"/>
    <w:rsid w:val="00F8127F"/>
    <w:rsid w:val="00F86709"/>
    <w:rsid w:val="00F87A9A"/>
    <w:rsid w:val="00FB32CA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D2F43BE4-DB10-4E81-8A5B-8E33634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uta.Ingilavicut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EB92-C5C1-426E-83D6-57128AB3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1272</Words>
  <Characters>8768</Characters>
  <Application>Microsoft Office Word</Application>
  <DocSecurity>0</DocSecurity>
  <Lines>487</Lines>
  <Paragraphs>233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Alise Apalupa</cp:lastModifiedBy>
  <cp:revision>8</cp:revision>
  <cp:lastPrinted>2015-08-12T06:30:00Z</cp:lastPrinted>
  <dcterms:created xsi:type="dcterms:W3CDTF">2015-08-13T08:47:00Z</dcterms:created>
  <dcterms:modified xsi:type="dcterms:W3CDTF">2015-08-14T10:35:00Z</dcterms:modified>
</cp:coreProperties>
</file>