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Default="00BB09C5" w:rsidP="00F22471">
      <w:pPr>
        <w:pStyle w:val="BodyText"/>
        <w:jc w:val="center"/>
        <w:rPr>
          <w:b/>
          <w:sz w:val="26"/>
          <w:szCs w:val="26"/>
        </w:rPr>
      </w:pPr>
      <w:bookmarkStart w:id="0" w:name="OLE_LINK3"/>
      <w:bookmarkStart w:id="1" w:name="OLE_LINK1"/>
      <w:bookmarkStart w:id="2" w:name="OLE_LINK2"/>
      <w:r w:rsidRPr="005A7B9C">
        <w:rPr>
          <w:b/>
          <w:sz w:val="26"/>
          <w:szCs w:val="26"/>
        </w:rPr>
        <w:t xml:space="preserve">Ministru kabineta </w:t>
      </w:r>
      <w:r w:rsidR="00C83591" w:rsidRPr="005A7B9C">
        <w:rPr>
          <w:b/>
          <w:sz w:val="26"/>
          <w:szCs w:val="26"/>
        </w:rPr>
        <w:t>noteikumu</w:t>
      </w:r>
      <w:r w:rsidR="00747779">
        <w:rPr>
          <w:b/>
          <w:sz w:val="26"/>
          <w:szCs w:val="26"/>
        </w:rPr>
        <w:t xml:space="preserve"> </w:t>
      </w:r>
      <w:r w:rsidRPr="005A7B9C">
        <w:rPr>
          <w:b/>
          <w:sz w:val="26"/>
          <w:szCs w:val="26"/>
        </w:rPr>
        <w:t xml:space="preserve">projekta </w:t>
      </w:r>
      <w:r w:rsidR="0040578F" w:rsidRPr="005A7B9C">
        <w:rPr>
          <w:b/>
          <w:sz w:val="26"/>
          <w:szCs w:val="26"/>
        </w:rPr>
        <w:t>„</w:t>
      </w:r>
      <w:r w:rsidR="006D2FD8">
        <w:rPr>
          <w:b/>
          <w:sz w:val="26"/>
          <w:szCs w:val="26"/>
        </w:rPr>
        <w:t xml:space="preserve">Grozījumi </w:t>
      </w:r>
      <w:r w:rsidR="00747779">
        <w:rPr>
          <w:b/>
          <w:sz w:val="26"/>
          <w:szCs w:val="26"/>
        </w:rPr>
        <w:t>Ministru kabineta 2008.gada 25.novembr</w:t>
      </w:r>
      <w:r w:rsidR="0050440A" w:rsidRPr="005A7B9C">
        <w:rPr>
          <w:b/>
          <w:sz w:val="26"/>
          <w:szCs w:val="26"/>
        </w:rPr>
        <w:t>a noteikumos Nr.</w:t>
      </w:r>
      <w:r w:rsidR="00747779">
        <w:rPr>
          <w:b/>
          <w:sz w:val="26"/>
          <w:szCs w:val="26"/>
        </w:rPr>
        <w:t>983</w:t>
      </w:r>
      <w:r w:rsidR="0050440A" w:rsidRPr="005A7B9C">
        <w:rPr>
          <w:b/>
          <w:sz w:val="26"/>
          <w:szCs w:val="26"/>
        </w:rPr>
        <w:t xml:space="preserve"> „Noteikumi par </w:t>
      </w:r>
      <w:r w:rsidR="00747779">
        <w:rPr>
          <w:b/>
          <w:sz w:val="26"/>
          <w:szCs w:val="26"/>
        </w:rPr>
        <w:t>atbalsta piešķiršanu tehnoloģiju pārneses un riska kapitāla jomā</w:t>
      </w:r>
      <w:r w:rsidR="00EF5FA2" w:rsidRPr="005A7B9C">
        <w:rPr>
          <w:b/>
          <w:sz w:val="26"/>
          <w:szCs w:val="26"/>
        </w:rPr>
        <w:t>”</w:t>
      </w:r>
      <w:r w:rsidR="008F230C" w:rsidRPr="005A7B9C">
        <w:rPr>
          <w:b/>
          <w:sz w:val="26"/>
          <w:szCs w:val="26"/>
        </w:rPr>
        <w:t>”</w:t>
      </w:r>
      <w:r w:rsidR="00747779">
        <w:rPr>
          <w:b/>
          <w:sz w:val="26"/>
          <w:szCs w:val="26"/>
        </w:rPr>
        <w:t xml:space="preserve"> </w:t>
      </w:r>
      <w:r w:rsidR="003000F0" w:rsidRPr="005A7B9C">
        <w:rPr>
          <w:b/>
          <w:sz w:val="26"/>
          <w:szCs w:val="26"/>
        </w:rPr>
        <w:t>sākotnējās ietekmes novērtējuma ziņojums</w:t>
      </w:r>
      <w:r w:rsidR="00747779">
        <w:rPr>
          <w:b/>
          <w:sz w:val="26"/>
          <w:szCs w:val="26"/>
        </w:rPr>
        <w:t xml:space="preserve"> </w:t>
      </w:r>
      <w:r w:rsidR="003000F0" w:rsidRPr="005A7B9C">
        <w:rPr>
          <w:b/>
          <w:sz w:val="26"/>
          <w:szCs w:val="26"/>
        </w:rPr>
        <w:t>(</w:t>
      </w:r>
      <w:r w:rsidR="00E73425" w:rsidRPr="005A7B9C">
        <w:rPr>
          <w:b/>
          <w:sz w:val="26"/>
          <w:szCs w:val="26"/>
        </w:rPr>
        <w:t>anotācija</w:t>
      </w:r>
      <w:r w:rsidR="003000F0" w:rsidRPr="005A7B9C">
        <w:rPr>
          <w:b/>
          <w:sz w:val="26"/>
          <w:szCs w:val="26"/>
        </w:rPr>
        <w:t>)</w:t>
      </w:r>
    </w:p>
    <w:p w:rsidR="00944C30" w:rsidRPr="005A7B9C" w:rsidRDefault="00944C30" w:rsidP="00F22471">
      <w:pPr>
        <w:pStyle w:val="BodyText"/>
        <w:jc w:val="center"/>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2B5151"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5A7B9C" w:rsidRDefault="00A31FDC" w:rsidP="00517993">
            <w:pPr>
              <w:ind w:firstLine="720"/>
              <w:jc w:val="center"/>
              <w:rPr>
                <w:rFonts w:eastAsia="Times New Roman"/>
                <w:b/>
                <w:sz w:val="26"/>
                <w:szCs w:val="26"/>
                <w:lang w:val="lv-LV" w:eastAsia="lv-LV"/>
              </w:rPr>
            </w:pPr>
            <w:r w:rsidRPr="005A7B9C">
              <w:rPr>
                <w:rFonts w:eastAsia="Times New Roman"/>
                <w:b/>
                <w:sz w:val="26"/>
                <w:szCs w:val="26"/>
                <w:lang w:val="lv-LV" w:eastAsia="lv-LV"/>
              </w:rPr>
              <w:t>I.Tiesību akta projekta izstrādes nepieciešamība</w:t>
            </w:r>
          </w:p>
        </w:tc>
      </w:tr>
      <w:tr w:rsidR="00A31FDC" w:rsidRPr="002B5151" w:rsidTr="00A4363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47779" w:rsidRDefault="00F4308E" w:rsidP="00892C9E">
            <w:pPr>
              <w:ind w:firstLine="709"/>
              <w:jc w:val="both"/>
              <w:rPr>
                <w:sz w:val="26"/>
                <w:szCs w:val="26"/>
                <w:lang w:val="lv-LV"/>
              </w:rPr>
            </w:pPr>
            <w:r w:rsidRPr="00F4308E">
              <w:rPr>
                <w:sz w:val="26"/>
                <w:szCs w:val="26"/>
                <w:lang w:val="lv-LV"/>
              </w:rPr>
              <w:t>Noteikumu proj</w:t>
            </w:r>
            <w:r w:rsidR="00747779">
              <w:rPr>
                <w:sz w:val="26"/>
                <w:szCs w:val="26"/>
                <w:lang w:val="lv-LV"/>
              </w:rPr>
              <w:t xml:space="preserve">ekts sagatavots, pamatojoties </w:t>
            </w:r>
            <w:r w:rsidR="00CC04C6">
              <w:rPr>
                <w:sz w:val="26"/>
                <w:szCs w:val="26"/>
                <w:lang w:val="lv-LV"/>
              </w:rPr>
              <w:t xml:space="preserve">uz </w:t>
            </w:r>
            <w:r w:rsidR="00517993" w:rsidRPr="00517993">
              <w:rPr>
                <w:sz w:val="26"/>
                <w:szCs w:val="26"/>
                <w:lang w:val="lv-LV"/>
              </w:rPr>
              <w:t>Ministru kabineta iekārtas likuma 31.panta pirmās daļas 3.punktu</w:t>
            </w:r>
            <w:r w:rsidR="00C96450">
              <w:rPr>
                <w:sz w:val="26"/>
                <w:szCs w:val="26"/>
                <w:lang w:val="lv-LV"/>
              </w:rPr>
              <w:t>.</w:t>
            </w:r>
          </w:p>
          <w:p w:rsidR="008E59B3" w:rsidRPr="00CC04C6" w:rsidRDefault="008E59B3" w:rsidP="00371112">
            <w:pPr>
              <w:ind w:firstLine="709"/>
              <w:jc w:val="both"/>
              <w:rPr>
                <w:sz w:val="26"/>
                <w:szCs w:val="26"/>
                <w:lang w:val="lv-LV"/>
              </w:rPr>
            </w:pPr>
            <w:r>
              <w:rPr>
                <w:sz w:val="26"/>
                <w:szCs w:val="26"/>
                <w:lang w:val="lv-LV"/>
              </w:rPr>
              <w:t xml:space="preserve">Noteikumu projekts izstrādāts atbilstoši </w:t>
            </w:r>
            <w:r w:rsidR="00371112" w:rsidRPr="00371112">
              <w:rPr>
                <w:sz w:val="26"/>
                <w:szCs w:val="26"/>
                <w:lang w:val="lv-LV"/>
              </w:rPr>
              <w:t>Ministru kabineta 201</w:t>
            </w:r>
            <w:r w:rsidR="00371112">
              <w:rPr>
                <w:sz w:val="26"/>
                <w:szCs w:val="26"/>
                <w:lang w:val="lv-LV"/>
              </w:rPr>
              <w:t>5</w:t>
            </w:r>
            <w:r w:rsidR="00371112" w:rsidRPr="00371112">
              <w:rPr>
                <w:sz w:val="26"/>
                <w:szCs w:val="26"/>
                <w:lang w:val="lv-LV"/>
              </w:rPr>
              <w:t xml:space="preserve">.gada </w:t>
            </w:r>
            <w:r w:rsidR="00371112">
              <w:rPr>
                <w:sz w:val="26"/>
                <w:szCs w:val="26"/>
                <w:lang w:val="lv-LV"/>
              </w:rPr>
              <w:t>7.jūlija</w:t>
            </w:r>
            <w:r w:rsidR="00371112" w:rsidRPr="00371112">
              <w:rPr>
                <w:sz w:val="26"/>
                <w:szCs w:val="26"/>
                <w:lang w:val="lv-LV"/>
              </w:rPr>
              <w:t xml:space="preserve"> sēdes protokollēmuma Nr.65 </w:t>
            </w:r>
            <w:r w:rsidR="00371112">
              <w:rPr>
                <w:sz w:val="26"/>
                <w:szCs w:val="26"/>
                <w:lang w:val="lv-LV"/>
              </w:rPr>
              <w:t>38.§ 2</w:t>
            </w:r>
            <w:r w:rsidR="00371112" w:rsidRPr="00371112">
              <w:rPr>
                <w:sz w:val="26"/>
                <w:szCs w:val="26"/>
                <w:lang w:val="lv-LV"/>
              </w:rPr>
              <w:t>.punkt</w:t>
            </w:r>
            <w:r w:rsidR="00371112">
              <w:rPr>
                <w:sz w:val="26"/>
                <w:szCs w:val="26"/>
                <w:lang w:val="lv-LV"/>
              </w:rPr>
              <w:t>am</w:t>
            </w:r>
            <w:r w:rsidR="00371112" w:rsidRPr="00371112">
              <w:rPr>
                <w:sz w:val="26"/>
                <w:szCs w:val="26"/>
                <w:lang w:val="lv-LV"/>
              </w:rPr>
              <w:t>.</w:t>
            </w:r>
          </w:p>
        </w:tc>
      </w:tr>
      <w:tr w:rsidR="00A31FDC" w:rsidRPr="002B5151" w:rsidTr="00A4363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765EB" w:rsidRDefault="00A31FDC" w:rsidP="00F22471">
            <w:pPr>
              <w:jc w:val="both"/>
              <w:rPr>
                <w:rFonts w:eastAsia="Times New Roman"/>
                <w:sz w:val="26"/>
                <w:szCs w:val="26"/>
                <w:lang w:val="lv-LV" w:eastAsia="lv-LV"/>
              </w:rPr>
            </w:pPr>
            <w:r w:rsidRPr="005765EB">
              <w:rPr>
                <w:rFonts w:eastAsia="Times New Roman"/>
                <w:sz w:val="26"/>
                <w:szCs w:val="26"/>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765EB" w:rsidRDefault="00BB13F4" w:rsidP="00F22471">
            <w:pPr>
              <w:jc w:val="both"/>
              <w:rPr>
                <w:rFonts w:eastAsia="Times New Roman"/>
                <w:sz w:val="26"/>
                <w:szCs w:val="26"/>
                <w:lang w:val="lv-LV" w:eastAsia="lv-LV"/>
              </w:rPr>
            </w:pPr>
            <w:r w:rsidRPr="005765EB">
              <w:rPr>
                <w:rFonts w:eastAsia="Times New Roman"/>
                <w:sz w:val="26"/>
                <w:szCs w:val="26"/>
                <w:lang w:val="lv-LV" w:eastAsia="lv-LV"/>
              </w:rPr>
              <w:t>Pašreizējā situācija un problēmas, kuru risināšanai tiesību akta projekts izstrādāts, 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385FA1" w:rsidRDefault="00DB7AF5" w:rsidP="00892C9E">
            <w:pPr>
              <w:spacing w:after="240"/>
              <w:ind w:firstLine="709"/>
              <w:jc w:val="both"/>
              <w:rPr>
                <w:sz w:val="26"/>
                <w:szCs w:val="26"/>
                <w:lang w:val="lv-LV"/>
              </w:rPr>
            </w:pPr>
            <w:r>
              <w:rPr>
                <w:sz w:val="26"/>
                <w:szCs w:val="26"/>
                <w:lang w:val="lv-LV"/>
              </w:rPr>
              <w:t>Ministru</w:t>
            </w:r>
            <w:r w:rsidRPr="005765EB">
              <w:rPr>
                <w:sz w:val="26"/>
                <w:szCs w:val="26"/>
                <w:lang w:val="lv-LV"/>
              </w:rPr>
              <w:t xml:space="preserve"> kabineta 2008.gada 25.novembra noteikumi Nr.983 </w:t>
            </w:r>
            <w:r w:rsidRPr="001E511B">
              <w:rPr>
                <w:sz w:val="26"/>
                <w:szCs w:val="26"/>
                <w:lang w:val="lv-LV"/>
              </w:rPr>
              <w:t>„Noteikumi par atbalsta piešķiršanu tehnoloģiju pārneses un riska kapitāla jomā” (turpm</w:t>
            </w:r>
            <w:r w:rsidRPr="005765EB">
              <w:rPr>
                <w:sz w:val="26"/>
                <w:szCs w:val="26"/>
                <w:lang w:val="lv-LV"/>
              </w:rPr>
              <w:t xml:space="preserve">āk </w:t>
            </w:r>
            <w:r w:rsidR="00475C4B">
              <w:rPr>
                <w:sz w:val="26"/>
                <w:szCs w:val="26"/>
                <w:lang w:val="lv-LV"/>
              </w:rPr>
              <w:t>–</w:t>
            </w:r>
            <w:r w:rsidRPr="005765EB">
              <w:rPr>
                <w:sz w:val="26"/>
                <w:szCs w:val="26"/>
                <w:lang w:val="lv-LV"/>
              </w:rPr>
              <w:t xml:space="preserve"> MK noteikumi Nr.983)</w:t>
            </w:r>
            <w:r>
              <w:rPr>
                <w:sz w:val="26"/>
                <w:szCs w:val="26"/>
                <w:lang w:val="lv-LV"/>
              </w:rPr>
              <w:t xml:space="preserve"> nosaka nosacījumus</w:t>
            </w:r>
            <w:r w:rsidR="00475C4B">
              <w:rPr>
                <w:sz w:val="26"/>
                <w:szCs w:val="26"/>
                <w:lang w:val="lv-LV"/>
              </w:rPr>
              <w:t>,</w:t>
            </w:r>
            <w:r>
              <w:rPr>
                <w:sz w:val="26"/>
                <w:szCs w:val="26"/>
                <w:lang w:val="lv-LV"/>
              </w:rPr>
              <w:t xml:space="preserve"> </w:t>
            </w:r>
            <w:r w:rsidR="00475C4B">
              <w:rPr>
                <w:sz w:val="26"/>
                <w:szCs w:val="26"/>
                <w:lang w:val="lv-LV"/>
              </w:rPr>
              <w:t xml:space="preserve">atbilstoši kādiem </w:t>
            </w:r>
            <w:r>
              <w:rPr>
                <w:sz w:val="26"/>
                <w:szCs w:val="26"/>
                <w:lang w:val="lv-LV"/>
              </w:rPr>
              <w:t>sagatavošanas kapitāla</w:t>
            </w:r>
            <w:r w:rsidR="008E59B3">
              <w:rPr>
                <w:sz w:val="26"/>
                <w:szCs w:val="26"/>
                <w:lang w:val="lv-LV"/>
              </w:rPr>
              <w:t xml:space="preserve"> fonds un sākuma kapitāla fonds (fondu pārvaldnieks SIA „AIFP Imprimatur Capital Fund”),</w:t>
            </w:r>
            <w:r>
              <w:rPr>
                <w:sz w:val="26"/>
                <w:szCs w:val="26"/>
                <w:lang w:val="lv-LV"/>
              </w:rPr>
              <w:t xml:space="preserve"> izaugsmes kapitāla</w:t>
            </w:r>
            <w:r w:rsidR="008E59B3">
              <w:rPr>
                <w:sz w:val="26"/>
                <w:szCs w:val="26"/>
                <w:lang w:val="lv-LV"/>
              </w:rPr>
              <w:t xml:space="preserve"> fondi</w:t>
            </w:r>
            <w:r>
              <w:rPr>
                <w:sz w:val="26"/>
                <w:szCs w:val="26"/>
                <w:lang w:val="lv-LV"/>
              </w:rPr>
              <w:t xml:space="preserve"> </w:t>
            </w:r>
            <w:r w:rsidR="008E59B3">
              <w:rPr>
                <w:sz w:val="26"/>
                <w:szCs w:val="26"/>
                <w:lang w:val="lv-LV"/>
              </w:rPr>
              <w:t xml:space="preserve">(fondu pārvaldnieki SIA „ZGI Capital”, SIA „FlyCap AIFP”, SIA „Expansion Capital”) </w:t>
            </w:r>
            <w:r>
              <w:rPr>
                <w:sz w:val="26"/>
                <w:szCs w:val="26"/>
                <w:lang w:val="lv-LV"/>
              </w:rPr>
              <w:t>un riska kapitāla</w:t>
            </w:r>
            <w:r w:rsidR="008E59B3">
              <w:rPr>
                <w:sz w:val="26"/>
                <w:szCs w:val="26"/>
                <w:lang w:val="lv-LV"/>
              </w:rPr>
              <w:t xml:space="preserve"> fonds</w:t>
            </w:r>
            <w:r w:rsidRPr="005765EB">
              <w:rPr>
                <w:sz w:val="26"/>
                <w:szCs w:val="26"/>
                <w:lang w:val="lv-LV"/>
              </w:rPr>
              <w:t xml:space="preserve"> </w:t>
            </w:r>
            <w:r w:rsidR="008E59B3">
              <w:rPr>
                <w:sz w:val="26"/>
                <w:szCs w:val="26"/>
                <w:lang w:val="lv-LV"/>
              </w:rPr>
              <w:t xml:space="preserve">(fonda pārvaldnieks SIA „BaltCap AIFP”) </w:t>
            </w:r>
            <w:r w:rsidR="00475C4B">
              <w:rPr>
                <w:sz w:val="26"/>
                <w:szCs w:val="26"/>
                <w:lang w:val="lv-LV"/>
              </w:rPr>
              <w:t>veic investīcijas</w:t>
            </w:r>
            <w:r w:rsidR="008E59B3">
              <w:rPr>
                <w:sz w:val="26"/>
                <w:szCs w:val="26"/>
                <w:lang w:val="lv-LV"/>
              </w:rPr>
              <w:t>, tostarp pēc-investīcijas,</w:t>
            </w:r>
            <w:r w:rsidR="00475C4B">
              <w:rPr>
                <w:sz w:val="26"/>
                <w:szCs w:val="26"/>
                <w:lang w:val="lv-LV"/>
              </w:rPr>
              <w:t xml:space="preserve"> komersantos </w:t>
            </w:r>
            <w:r w:rsidR="002A4317">
              <w:rPr>
                <w:sz w:val="26"/>
                <w:szCs w:val="26"/>
                <w:lang w:val="lv-LV"/>
              </w:rPr>
              <w:t xml:space="preserve">darbības programmas „Uzņēmējdarbība un inovācijas” papildinājuma </w:t>
            </w:r>
            <w:r w:rsidR="00475C4B">
              <w:rPr>
                <w:sz w:val="26"/>
                <w:szCs w:val="26"/>
                <w:lang w:val="lv-LV"/>
              </w:rPr>
              <w:t>2.2.1.1.aktivitātes „</w:t>
            </w:r>
            <w:r w:rsidR="00475C4B" w:rsidRPr="00475C4B">
              <w:rPr>
                <w:sz w:val="26"/>
                <w:szCs w:val="26"/>
                <w:lang w:val="lv-LV"/>
              </w:rPr>
              <w:t xml:space="preserve">Ieguldījumu fonds investīcijām garantijās, paaugstināta riska aizdevumos, riska kapitāla fondos un </w:t>
            </w:r>
            <w:r w:rsidR="00475C4B">
              <w:rPr>
                <w:sz w:val="26"/>
                <w:szCs w:val="26"/>
                <w:lang w:val="lv-LV"/>
              </w:rPr>
              <w:t xml:space="preserve">cita veida finanšu instrumentos” </w:t>
            </w:r>
            <w:r w:rsidR="00BC63A1">
              <w:rPr>
                <w:sz w:val="26"/>
                <w:szCs w:val="26"/>
                <w:lang w:val="lv-LV"/>
              </w:rPr>
              <w:t xml:space="preserve">(turpmāk – 2.2.1.1.aktivitāte) </w:t>
            </w:r>
            <w:r w:rsidR="00475C4B">
              <w:rPr>
                <w:sz w:val="26"/>
                <w:szCs w:val="26"/>
                <w:lang w:val="lv-LV"/>
              </w:rPr>
              <w:t xml:space="preserve">ietvaros. </w:t>
            </w:r>
          </w:p>
          <w:p w:rsidR="00E71375" w:rsidRDefault="00385FA1" w:rsidP="00892C9E">
            <w:pPr>
              <w:spacing w:after="240"/>
              <w:ind w:firstLine="709"/>
              <w:jc w:val="both"/>
              <w:rPr>
                <w:sz w:val="26"/>
                <w:szCs w:val="26"/>
                <w:lang w:val="lv-LV"/>
              </w:rPr>
            </w:pPr>
            <w:r>
              <w:rPr>
                <w:sz w:val="26"/>
                <w:szCs w:val="26"/>
                <w:lang w:val="lv-LV"/>
              </w:rPr>
              <w:t>Latvijā riska kapitāla nozares attīstība, jaunu un dzīvotspējīgu riska kapitāla fondu, jo</w:t>
            </w:r>
            <w:r w:rsidR="00E71375">
              <w:rPr>
                <w:sz w:val="26"/>
                <w:szCs w:val="26"/>
                <w:lang w:val="lv-LV"/>
              </w:rPr>
              <w:t xml:space="preserve"> īpaši fondu, kas sniedz investīcijas uzņēmumiem to agrīnajā </w:t>
            </w:r>
            <w:r w:rsidR="002A4317">
              <w:rPr>
                <w:sz w:val="26"/>
                <w:szCs w:val="26"/>
                <w:lang w:val="lv-LV"/>
              </w:rPr>
              <w:t>izaugsmes</w:t>
            </w:r>
            <w:r w:rsidR="00E71375">
              <w:rPr>
                <w:sz w:val="26"/>
                <w:szCs w:val="26"/>
                <w:lang w:val="lv-LV"/>
              </w:rPr>
              <w:t xml:space="preserve"> stadijā,</w:t>
            </w:r>
            <w:r>
              <w:rPr>
                <w:sz w:val="26"/>
                <w:szCs w:val="26"/>
                <w:lang w:val="lv-LV"/>
              </w:rPr>
              <w:t xml:space="preserve"> attīstība ir atkarīga no valsts intervences. </w:t>
            </w:r>
            <w:r w:rsidR="00E71375">
              <w:rPr>
                <w:sz w:val="26"/>
                <w:szCs w:val="26"/>
                <w:lang w:val="lv-LV"/>
              </w:rPr>
              <w:t>Pieejamība investīcijām uzņēmumiem 2.2.1.1.aktivitātē īstenotajos sagatavošanas kapitāla, sākuma kapitāla, izaugsmes kapitāla un riska kapitāla fondos sniedz iespēju mikro, maziem un vidējiem komersantiem saņemt finansējumu ekonomiski pamatotu un perspektīvu biznesa projektu īstenošanai situācijās, kad paaugstinātu darījumu risku,</w:t>
            </w:r>
            <w:r w:rsidR="005B4563">
              <w:rPr>
                <w:sz w:val="26"/>
                <w:szCs w:val="26"/>
                <w:lang w:val="lv-LV"/>
              </w:rPr>
              <w:t xml:space="preserve"> neesošas kredītvēstures, nepietiekamas s</w:t>
            </w:r>
            <w:r w:rsidR="00CE6894">
              <w:rPr>
                <w:sz w:val="26"/>
                <w:szCs w:val="26"/>
                <w:lang w:val="lv-LV"/>
              </w:rPr>
              <w:t>aimnieciskās darbības vēstures,</w:t>
            </w:r>
            <w:r w:rsidR="00E71375">
              <w:rPr>
                <w:sz w:val="26"/>
                <w:szCs w:val="26"/>
                <w:lang w:val="lv-LV"/>
              </w:rPr>
              <w:t xml:space="preserve"> nodrošinājuma, </w:t>
            </w:r>
            <w:r w:rsidR="005B4563">
              <w:rPr>
                <w:sz w:val="26"/>
                <w:szCs w:val="26"/>
                <w:lang w:val="lv-LV"/>
              </w:rPr>
              <w:t xml:space="preserve">pašu kapitāla vai </w:t>
            </w:r>
            <w:r w:rsidR="00E71375">
              <w:rPr>
                <w:sz w:val="26"/>
                <w:szCs w:val="26"/>
                <w:lang w:val="lv-LV"/>
              </w:rPr>
              <w:t xml:space="preserve">komercbanku kreditēšanas politikai neatbilstošu </w:t>
            </w:r>
            <w:r w:rsidR="005B4563">
              <w:rPr>
                <w:sz w:val="26"/>
                <w:szCs w:val="26"/>
                <w:lang w:val="lv-LV"/>
              </w:rPr>
              <w:t xml:space="preserve">finanšu rādītāju dēļ nav iespējams saņemt finansējumu </w:t>
            </w:r>
            <w:r w:rsidR="00A9439F">
              <w:rPr>
                <w:sz w:val="26"/>
                <w:szCs w:val="26"/>
                <w:lang w:val="lv-LV"/>
              </w:rPr>
              <w:t xml:space="preserve">no tirgus dalībniekiem </w:t>
            </w:r>
            <w:r w:rsidR="005B4563">
              <w:rPr>
                <w:sz w:val="26"/>
                <w:szCs w:val="26"/>
                <w:lang w:val="lv-LV"/>
              </w:rPr>
              <w:t xml:space="preserve">nepieciešamajā apmērā biznesa projekta realizēšanai. </w:t>
            </w:r>
            <w:r w:rsidR="002A4317">
              <w:rPr>
                <w:sz w:val="26"/>
                <w:szCs w:val="26"/>
                <w:lang w:val="lv-LV"/>
              </w:rPr>
              <w:t>Minēto instrumentu īstenošanas nepieciešamību pamato tirgus nepilnību izvērtējums (apstiprināts 2015.gada 30.aprīļa Uzraudzības komitejā).</w:t>
            </w:r>
          </w:p>
          <w:p w:rsidR="009F235D" w:rsidRDefault="005B4563" w:rsidP="009F235D">
            <w:pPr>
              <w:spacing w:after="240"/>
              <w:ind w:firstLine="709"/>
              <w:jc w:val="both"/>
              <w:rPr>
                <w:sz w:val="26"/>
                <w:szCs w:val="26"/>
                <w:lang w:val="lv-LV"/>
              </w:rPr>
            </w:pPr>
            <w:r w:rsidRPr="005B4563">
              <w:rPr>
                <w:sz w:val="26"/>
                <w:szCs w:val="26"/>
                <w:lang w:val="lv-LV"/>
              </w:rPr>
              <w:t>Saskaņā ar MK noteikum</w:t>
            </w:r>
            <w:r>
              <w:rPr>
                <w:sz w:val="26"/>
                <w:szCs w:val="26"/>
                <w:lang w:val="lv-LV"/>
              </w:rPr>
              <w:t>u</w:t>
            </w:r>
            <w:r w:rsidRPr="005B4563">
              <w:rPr>
                <w:sz w:val="26"/>
                <w:szCs w:val="26"/>
                <w:lang w:val="lv-LV"/>
              </w:rPr>
              <w:t xml:space="preserve"> Nr.983 9.</w:t>
            </w:r>
            <w:r>
              <w:rPr>
                <w:sz w:val="26"/>
                <w:szCs w:val="26"/>
                <w:lang w:val="lv-LV"/>
              </w:rPr>
              <w:t>punktu</w:t>
            </w:r>
            <w:r w:rsidRPr="005B4563">
              <w:rPr>
                <w:sz w:val="26"/>
                <w:szCs w:val="26"/>
                <w:lang w:val="lv-LV"/>
              </w:rPr>
              <w:t xml:space="preserve"> investīcijas fondos</w:t>
            </w:r>
            <w:r>
              <w:rPr>
                <w:sz w:val="26"/>
                <w:szCs w:val="26"/>
                <w:lang w:val="lv-LV"/>
              </w:rPr>
              <w:t>,</w:t>
            </w:r>
            <w:r w:rsidRPr="005B4563">
              <w:rPr>
                <w:sz w:val="26"/>
                <w:szCs w:val="26"/>
                <w:lang w:val="lv-LV"/>
              </w:rPr>
              <w:t xml:space="preserve"> sīkos (mikro), mazos un vidējos k</w:t>
            </w:r>
            <w:r w:rsidR="006D2681">
              <w:rPr>
                <w:sz w:val="26"/>
                <w:szCs w:val="26"/>
                <w:lang w:val="lv-LV"/>
              </w:rPr>
              <w:t>omersantos var veikt līdz 2020.</w:t>
            </w:r>
            <w:r w:rsidRPr="005B4563">
              <w:rPr>
                <w:sz w:val="26"/>
                <w:szCs w:val="26"/>
                <w:lang w:val="lv-LV"/>
              </w:rPr>
              <w:t>gada 31.</w:t>
            </w:r>
            <w:r>
              <w:rPr>
                <w:sz w:val="26"/>
                <w:szCs w:val="26"/>
                <w:lang w:val="lv-LV"/>
              </w:rPr>
              <w:t>d</w:t>
            </w:r>
            <w:r w:rsidRPr="005B4563">
              <w:rPr>
                <w:sz w:val="26"/>
                <w:szCs w:val="26"/>
                <w:lang w:val="lv-LV"/>
              </w:rPr>
              <w:t>ecembrim</w:t>
            </w:r>
            <w:r>
              <w:rPr>
                <w:sz w:val="26"/>
                <w:szCs w:val="26"/>
                <w:lang w:val="lv-LV"/>
              </w:rPr>
              <w:t xml:space="preserve">, savukārt </w:t>
            </w:r>
            <w:r w:rsidRPr="006D2681">
              <w:rPr>
                <w:sz w:val="26"/>
                <w:szCs w:val="26"/>
                <w:u w:val="single"/>
                <w:lang w:val="lv-LV"/>
              </w:rPr>
              <w:t>Eiropas Reģionālā</w:t>
            </w:r>
            <w:r w:rsidR="0011071C">
              <w:rPr>
                <w:sz w:val="26"/>
                <w:szCs w:val="26"/>
                <w:u w:val="single"/>
                <w:lang w:val="lv-LV"/>
              </w:rPr>
              <w:t>s</w:t>
            </w:r>
            <w:r w:rsidRPr="006D2681">
              <w:rPr>
                <w:sz w:val="26"/>
                <w:szCs w:val="26"/>
                <w:u w:val="single"/>
                <w:lang w:val="lv-LV"/>
              </w:rPr>
              <w:t xml:space="preserve"> </w:t>
            </w:r>
            <w:r w:rsidRPr="006D2681">
              <w:rPr>
                <w:sz w:val="26"/>
                <w:szCs w:val="26"/>
                <w:u w:val="single"/>
                <w:lang w:val="lv-LV"/>
              </w:rPr>
              <w:lastRenderedPageBreak/>
              <w:t xml:space="preserve">attīstības fonda </w:t>
            </w:r>
            <w:r w:rsidR="00621B53">
              <w:rPr>
                <w:sz w:val="26"/>
                <w:szCs w:val="26"/>
                <w:u w:val="single"/>
                <w:lang w:val="lv-LV"/>
              </w:rPr>
              <w:t xml:space="preserve">(turpmāk – ERAF) </w:t>
            </w:r>
            <w:r w:rsidRPr="006D2681">
              <w:rPr>
                <w:sz w:val="26"/>
                <w:szCs w:val="26"/>
                <w:u w:val="single"/>
                <w:lang w:val="lv-LV"/>
              </w:rPr>
              <w:t>finansējuma izmantošanas termiņš ir</w:t>
            </w:r>
            <w:r w:rsidR="00621B53">
              <w:rPr>
                <w:sz w:val="26"/>
                <w:szCs w:val="26"/>
                <w:u w:val="single"/>
                <w:lang w:val="lv-LV"/>
              </w:rPr>
              <w:t xml:space="preserve"> 2015.</w:t>
            </w:r>
            <w:r w:rsidR="007B24C9">
              <w:rPr>
                <w:sz w:val="26"/>
                <w:szCs w:val="26"/>
                <w:u w:val="single"/>
                <w:lang w:val="lv-LV"/>
              </w:rPr>
              <w:t>gada 31.</w:t>
            </w:r>
            <w:r w:rsidRPr="006D2681">
              <w:rPr>
                <w:sz w:val="26"/>
                <w:szCs w:val="26"/>
                <w:u w:val="single"/>
                <w:lang w:val="lv-LV"/>
              </w:rPr>
              <w:t>august</w:t>
            </w:r>
            <w:r w:rsidR="006D2681">
              <w:rPr>
                <w:sz w:val="26"/>
                <w:szCs w:val="26"/>
                <w:u w:val="single"/>
                <w:lang w:val="lv-LV"/>
              </w:rPr>
              <w:t>s</w:t>
            </w:r>
            <w:r w:rsidRPr="006D2681">
              <w:rPr>
                <w:sz w:val="26"/>
                <w:szCs w:val="26"/>
                <w:lang w:val="lv-LV"/>
              </w:rPr>
              <w:t>.</w:t>
            </w:r>
            <w:r w:rsidR="006D2681" w:rsidRPr="006D2681">
              <w:rPr>
                <w:sz w:val="26"/>
                <w:szCs w:val="26"/>
                <w:lang w:val="lv-LV"/>
              </w:rPr>
              <w:t xml:space="preserve"> 2011.gada </w:t>
            </w:r>
            <w:r w:rsidR="006D2681">
              <w:rPr>
                <w:sz w:val="26"/>
                <w:szCs w:val="26"/>
                <w:lang w:val="lv-LV"/>
              </w:rPr>
              <w:t>19.oktobra Ministru kabineta noteikumi Nr.</w:t>
            </w:r>
            <w:r w:rsidR="00BA5804">
              <w:rPr>
                <w:sz w:val="26"/>
                <w:szCs w:val="26"/>
                <w:lang w:val="lv-LV"/>
              </w:rPr>
              <w:t xml:space="preserve">818 </w:t>
            </w:r>
            <w:r w:rsidR="006D2681">
              <w:rPr>
                <w:sz w:val="26"/>
                <w:szCs w:val="26"/>
                <w:lang w:val="lv-LV"/>
              </w:rPr>
              <w:t>„Noteikumi par darbības programmas „Uzņēmējdarbība un inovācijas” papildinājuma 2.2.1.1.aktivitāti „Ieguldījumu fonds investīcijām garantijās, paaugstināta riska aizdevumos, riska kapitāla fondos un cita veida finanšu instrumentos””</w:t>
            </w:r>
            <w:r w:rsidR="00892C9E">
              <w:rPr>
                <w:sz w:val="26"/>
                <w:szCs w:val="26"/>
                <w:lang w:val="lv-LV"/>
              </w:rPr>
              <w:t xml:space="preserve"> (turpmāk – MK noteikumi Nr.818)</w:t>
            </w:r>
            <w:r w:rsidR="00BA5804">
              <w:rPr>
                <w:sz w:val="26"/>
                <w:szCs w:val="26"/>
                <w:lang w:val="lv-LV"/>
              </w:rPr>
              <w:t xml:space="preserve">, </w:t>
            </w:r>
            <w:r w:rsidR="00B5099C">
              <w:rPr>
                <w:sz w:val="26"/>
                <w:szCs w:val="26"/>
                <w:lang w:val="lv-LV"/>
              </w:rPr>
              <w:t xml:space="preserve">kā arī </w:t>
            </w:r>
            <w:r w:rsidR="007B24C9">
              <w:rPr>
                <w:sz w:val="26"/>
                <w:szCs w:val="26"/>
                <w:lang w:val="lv-LV"/>
              </w:rPr>
              <w:t>darbības programmas „Uzņēmējdarbība un inovācijas” papildinājums</w:t>
            </w:r>
            <w:r w:rsidR="00BA5804">
              <w:rPr>
                <w:sz w:val="26"/>
                <w:szCs w:val="26"/>
                <w:lang w:val="lv-LV"/>
              </w:rPr>
              <w:t xml:space="preserve"> paredz, ka 2.2.1.1.aktivitātē līdzšinēji ir pieejams publiskais finansējums </w:t>
            </w:r>
            <w:r w:rsidR="007B24C9">
              <w:rPr>
                <w:sz w:val="26"/>
                <w:szCs w:val="26"/>
                <w:lang w:val="lv-LV"/>
              </w:rPr>
              <w:t xml:space="preserve">65 265 196 </w:t>
            </w:r>
            <w:r w:rsidR="007B24C9" w:rsidRPr="007B24C9">
              <w:rPr>
                <w:i/>
                <w:sz w:val="26"/>
                <w:szCs w:val="26"/>
                <w:lang w:val="lv-LV"/>
              </w:rPr>
              <w:t>euro</w:t>
            </w:r>
            <w:r w:rsidR="007B24C9">
              <w:rPr>
                <w:sz w:val="26"/>
                <w:szCs w:val="26"/>
                <w:lang w:val="lv-LV"/>
              </w:rPr>
              <w:t>,</w:t>
            </w:r>
            <w:r w:rsidR="0037256E">
              <w:rPr>
                <w:sz w:val="26"/>
                <w:szCs w:val="26"/>
                <w:lang w:val="lv-LV"/>
              </w:rPr>
              <w:t xml:space="preserve"> tajā skaitā</w:t>
            </w:r>
            <w:r w:rsidR="007B24C9">
              <w:rPr>
                <w:sz w:val="26"/>
                <w:szCs w:val="26"/>
                <w:lang w:val="lv-LV"/>
              </w:rPr>
              <w:t xml:space="preserve"> </w:t>
            </w:r>
            <w:r w:rsidR="001B6C79">
              <w:rPr>
                <w:sz w:val="26"/>
                <w:szCs w:val="26"/>
                <w:lang w:val="lv-LV"/>
              </w:rPr>
              <w:t>ERAF</w:t>
            </w:r>
            <w:r w:rsidR="007B24C9">
              <w:rPr>
                <w:sz w:val="26"/>
                <w:szCs w:val="26"/>
                <w:lang w:val="lv-LV"/>
              </w:rPr>
              <w:t xml:space="preserve"> finansējums 60 173 796 </w:t>
            </w:r>
            <w:r w:rsidR="007B24C9" w:rsidRPr="007B24C9">
              <w:rPr>
                <w:i/>
                <w:sz w:val="26"/>
                <w:szCs w:val="26"/>
                <w:lang w:val="lv-LV"/>
              </w:rPr>
              <w:t>euro</w:t>
            </w:r>
            <w:r w:rsidR="007B24C9">
              <w:rPr>
                <w:sz w:val="26"/>
                <w:szCs w:val="26"/>
                <w:lang w:val="lv-LV"/>
              </w:rPr>
              <w:t xml:space="preserve"> un valsts budžeta finansējums 5 091 400 </w:t>
            </w:r>
            <w:r w:rsidR="007B24C9" w:rsidRPr="007B24C9">
              <w:rPr>
                <w:i/>
                <w:sz w:val="26"/>
                <w:szCs w:val="26"/>
                <w:lang w:val="lv-LV"/>
              </w:rPr>
              <w:t>euro</w:t>
            </w:r>
            <w:r w:rsidR="007B24C9">
              <w:rPr>
                <w:sz w:val="26"/>
                <w:szCs w:val="26"/>
                <w:lang w:val="lv-LV"/>
              </w:rPr>
              <w:t xml:space="preserve">. </w:t>
            </w:r>
            <w:r w:rsidR="00B5099C">
              <w:rPr>
                <w:sz w:val="26"/>
                <w:szCs w:val="26"/>
                <w:lang w:val="lv-LV"/>
              </w:rPr>
              <w:t xml:space="preserve">Laika periodā līdz 2015.gada </w:t>
            </w:r>
            <w:r w:rsidR="00EF0E88">
              <w:rPr>
                <w:sz w:val="26"/>
                <w:szCs w:val="26"/>
                <w:lang w:val="lv-LV"/>
              </w:rPr>
              <w:t xml:space="preserve">31.maijam ir noslēgti 171 aizdevumu un investīciju darījumu līgumi ar komersantiem par kopējo publisko finansējumu 35 736 615 </w:t>
            </w:r>
            <w:r w:rsidR="00EF0E88" w:rsidRPr="00EF0E88">
              <w:rPr>
                <w:i/>
                <w:sz w:val="26"/>
                <w:szCs w:val="26"/>
                <w:lang w:val="lv-LV"/>
              </w:rPr>
              <w:t>euro</w:t>
            </w:r>
            <w:r w:rsidR="00EF0E88">
              <w:rPr>
                <w:sz w:val="26"/>
                <w:szCs w:val="26"/>
                <w:lang w:val="lv-LV"/>
              </w:rPr>
              <w:t xml:space="preserve"> (tajā skaitā ERAF finansējuma daļa </w:t>
            </w:r>
            <w:r w:rsidR="00EF0E88" w:rsidRPr="00EF0E88">
              <w:rPr>
                <w:sz w:val="26"/>
                <w:szCs w:val="26"/>
                <w:lang w:val="lv-LV"/>
              </w:rPr>
              <w:t>32 948</w:t>
            </w:r>
            <w:r w:rsidR="00EF0E88">
              <w:rPr>
                <w:sz w:val="26"/>
                <w:szCs w:val="26"/>
                <w:lang w:val="lv-LV"/>
              </w:rPr>
              <w:t> </w:t>
            </w:r>
            <w:r w:rsidR="00EF0E88" w:rsidRPr="00EF0E88">
              <w:rPr>
                <w:sz w:val="26"/>
                <w:szCs w:val="26"/>
                <w:lang w:val="lv-LV"/>
              </w:rPr>
              <w:t>768</w:t>
            </w:r>
            <w:r w:rsidR="00EF0E88">
              <w:rPr>
                <w:sz w:val="26"/>
                <w:szCs w:val="26"/>
                <w:lang w:val="lv-LV"/>
              </w:rPr>
              <w:t xml:space="preserve"> </w:t>
            </w:r>
            <w:r w:rsidR="00EF0E88" w:rsidRPr="00EF0E88">
              <w:rPr>
                <w:i/>
                <w:sz w:val="26"/>
                <w:szCs w:val="26"/>
                <w:lang w:val="lv-LV"/>
              </w:rPr>
              <w:t>euro</w:t>
            </w:r>
            <w:r w:rsidR="00EF0E88">
              <w:rPr>
                <w:sz w:val="26"/>
                <w:szCs w:val="26"/>
                <w:lang w:val="lv-LV"/>
              </w:rPr>
              <w:t xml:space="preserve">), savukārt veikto maksājumu apmērs komersantiem par publiskā finansējuma daļu sastāda 30 620 814 </w:t>
            </w:r>
            <w:r w:rsidR="00EF0E88" w:rsidRPr="00EF0E88">
              <w:rPr>
                <w:i/>
                <w:sz w:val="26"/>
                <w:szCs w:val="26"/>
                <w:lang w:val="lv-LV"/>
              </w:rPr>
              <w:t>euro</w:t>
            </w:r>
            <w:r w:rsidR="00EF0E88">
              <w:rPr>
                <w:i/>
                <w:sz w:val="26"/>
                <w:szCs w:val="26"/>
                <w:lang w:val="lv-LV"/>
              </w:rPr>
              <w:t xml:space="preserve"> </w:t>
            </w:r>
            <w:r w:rsidR="00EF0E88">
              <w:rPr>
                <w:sz w:val="26"/>
                <w:szCs w:val="26"/>
                <w:lang w:val="lv-LV"/>
              </w:rPr>
              <w:t xml:space="preserve">(ERAF finansējums </w:t>
            </w:r>
            <w:r w:rsidR="00EF0E88" w:rsidRPr="00EF0E88">
              <w:rPr>
                <w:sz w:val="26"/>
                <w:szCs w:val="26"/>
                <w:lang w:val="lv-LV"/>
              </w:rPr>
              <w:t>28 232</w:t>
            </w:r>
            <w:r w:rsidR="00EF0E88">
              <w:rPr>
                <w:sz w:val="26"/>
                <w:szCs w:val="26"/>
                <w:lang w:val="lv-LV"/>
              </w:rPr>
              <w:t> </w:t>
            </w:r>
            <w:r w:rsidR="00EF0E88" w:rsidRPr="00EF0E88">
              <w:rPr>
                <w:sz w:val="26"/>
                <w:szCs w:val="26"/>
                <w:lang w:val="lv-LV"/>
              </w:rPr>
              <w:t>055</w:t>
            </w:r>
            <w:r w:rsidR="00EF0E88">
              <w:rPr>
                <w:sz w:val="26"/>
                <w:szCs w:val="26"/>
                <w:lang w:val="lv-LV"/>
              </w:rPr>
              <w:t xml:space="preserve"> </w:t>
            </w:r>
            <w:r w:rsidR="00EF0E88" w:rsidRPr="00EF0E88">
              <w:rPr>
                <w:i/>
                <w:sz w:val="26"/>
                <w:szCs w:val="26"/>
                <w:lang w:val="lv-LV"/>
              </w:rPr>
              <w:t>euro</w:t>
            </w:r>
            <w:r w:rsidR="00EF0E88">
              <w:rPr>
                <w:sz w:val="26"/>
                <w:szCs w:val="26"/>
                <w:lang w:val="lv-LV"/>
              </w:rPr>
              <w:t xml:space="preserve">). </w:t>
            </w:r>
            <w:r w:rsidR="001068F9">
              <w:rPr>
                <w:sz w:val="26"/>
                <w:szCs w:val="26"/>
                <w:lang w:val="lv-LV"/>
              </w:rPr>
              <w:t xml:space="preserve">Ņemot vērā vadības izmaksas finanšu starpniekiem un AS „Attīstības finanšu institūcija </w:t>
            </w:r>
            <w:proofErr w:type="spellStart"/>
            <w:r w:rsidR="001068F9">
              <w:rPr>
                <w:sz w:val="26"/>
                <w:szCs w:val="26"/>
                <w:lang w:val="lv-LV"/>
              </w:rPr>
              <w:t>Altum</w:t>
            </w:r>
            <w:proofErr w:type="spellEnd"/>
            <w:r w:rsidR="001068F9">
              <w:rPr>
                <w:sz w:val="26"/>
                <w:szCs w:val="26"/>
                <w:lang w:val="lv-LV"/>
              </w:rPr>
              <w:t xml:space="preserve">” (turpmāk – </w:t>
            </w:r>
            <w:proofErr w:type="spellStart"/>
            <w:r w:rsidR="001068F9">
              <w:rPr>
                <w:sz w:val="26"/>
                <w:szCs w:val="26"/>
                <w:lang w:val="lv-LV"/>
              </w:rPr>
              <w:t>Altum</w:t>
            </w:r>
            <w:proofErr w:type="spellEnd"/>
            <w:r w:rsidR="001068F9">
              <w:rPr>
                <w:sz w:val="26"/>
                <w:szCs w:val="26"/>
                <w:lang w:val="lv-LV"/>
              </w:rPr>
              <w:t xml:space="preserve">), kas radušās periodā līdz </w:t>
            </w:r>
            <w:r w:rsidR="00EF0E88">
              <w:rPr>
                <w:sz w:val="26"/>
                <w:szCs w:val="26"/>
                <w:lang w:val="lv-LV"/>
              </w:rPr>
              <w:t xml:space="preserve">2015.gada </w:t>
            </w:r>
            <w:r w:rsidR="001068F9">
              <w:rPr>
                <w:sz w:val="26"/>
                <w:szCs w:val="26"/>
                <w:lang w:val="lv-LV"/>
              </w:rPr>
              <w:t xml:space="preserve">31.martam un sastāda 9 463 083 </w:t>
            </w:r>
            <w:r w:rsidR="001068F9" w:rsidRPr="001068F9">
              <w:rPr>
                <w:i/>
                <w:sz w:val="26"/>
                <w:szCs w:val="26"/>
                <w:lang w:val="lv-LV"/>
              </w:rPr>
              <w:t>euro</w:t>
            </w:r>
            <w:r w:rsidR="00EF0E88">
              <w:rPr>
                <w:sz w:val="26"/>
                <w:szCs w:val="26"/>
                <w:lang w:val="lv-LV"/>
              </w:rPr>
              <w:t xml:space="preserve">, </w:t>
            </w:r>
            <w:r w:rsidR="0053606B">
              <w:rPr>
                <w:sz w:val="26"/>
                <w:szCs w:val="26"/>
                <w:lang w:val="lv-LV"/>
              </w:rPr>
              <w:t xml:space="preserve">2.2.1.1.aktivitātē līdzšinēji pieejamais ERAF un valsts budžeta finansējums ir apgūts </w:t>
            </w:r>
            <w:r w:rsidR="001068F9">
              <w:rPr>
                <w:sz w:val="26"/>
                <w:szCs w:val="26"/>
                <w:lang w:val="lv-LV"/>
              </w:rPr>
              <w:t xml:space="preserve">40 083 897 </w:t>
            </w:r>
            <w:r w:rsidR="001068F9" w:rsidRPr="001068F9">
              <w:rPr>
                <w:i/>
                <w:sz w:val="26"/>
                <w:szCs w:val="26"/>
                <w:lang w:val="lv-LV"/>
              </w:rPr>
              <w:t>euro</w:t>
            </w:r>
            <w:r w:rsidR="001068F9">
              <w:rPr>
                <w:sz w:val="26"/>
                <w:szCs w:val="26"/>
                <w:lang w:val="lv-LV"/>
              </w:rPr>
              <w:t xml:space="preserve"> apmērā jeb par 61 %.</w:t>
            </w:r>
          </w:p>
          <w:p w:rsidR="009A2DC3" w:rsidRDefault="00E072E2" w:rsidP="009A2DC3">
            <w:pPr>
              <w:spacing w:after="240"/>
              <w:ind w:firstLine="709"/>
              <w:jc w:val="both"/>
              <w:rPr>
                <w:sz w:val="26"/>
                <w:szCs w:val="26"/>
                <w:lang w:val="lv-LV"/>
              </w:rPr>
            </w:pPr>
            <w:r w:rsidRPr="00910D99">
              <w:rPr>
                <w:sz w:val="26"/>
                <w:szCs w:val="26"/>
                <w:lang w:val="lv-LV"/>
              </w:rPr>
              <w:t xml:space="preserve">Atbilstoši Altum </w:t>
            </w:r>
            <w:r w:rsidR="00D83B26" w:rsidRPr="00910D99">
              <w:rPr>
                <w:sz w:val="26"/>
                <w:szCs w:val="26"/>
                <w:lang w:val="lv-LV"/>
              </w:rPr>
              <w:t>2.2.1.1.aktivitātē ar finanšu starpniekiem</w:t>
            </w:r>
            <w:r w:rsidRPr="00910D99">
              <w:rPr>
                <w:sz w:val="26"/>
                <w:szCs w:val="26"/>
                <w:lang w:val="lv-LV"/>
              </w:rPr>
              <w:t xml:space="preserve"> </w:t>
            </w:r>
            <w:r w:rsidRPr="00910D99">
              <w:rPr>
                <w:sz w:val="26"/>
                <w:szCs w:val="26"/>
                <w:u w:val="single"/>
                <w:lang w:val="lv-LV"/>
              </w:rPr>
              <w:t>noslēgtajiem līgumiem</w:t>
            </w:r>
            <w:r w:rsidR="005E1E1F" w:rsidRPr="00910D99">
              <w:rPr>
                <w:rStyle w:val="FootnoteReference"/>
                <w:sz w:val="26"/>
                <w:szCs w:val="26"/>
                <w:u w:val="single"/>
                <w:lang w:val="lv-LV"/>
              </w:rPr>
              <w:footnoteReference w:id="1"/>
            </w:r>
            <w:r w:rsidRPr="00910D99">
              <w:rPr>
                <w:sz w:val="26"/>
                <w:szCs w:val="26"/>
                <w:lang w:val="lv-LV"/>
              </w:rPr>
              <w:t xml:space="preserve">, </w:t>
            </w:r>
            <w:r w:rsidR="00E578F4" w:rsidRPr="00910D99">
              <w:rPr>
                <w:sz w:val="26"/>
                <w:szCs w:val="26"/>
                <w:lang w:val="lv-LV"/>
              </w:rPr>
              <w:t>un</w:t>
            </w:r>
            <w:r w:rsidRPr="00910D99">
              <w:rPr>
                <w:sz w:val="26"/>
                <w:szCs w:val="26"/>
                <w:lang w:val="lv-LV"/>
              </w:rPr>
              <w:t>, ņemot vērā 2007.-2013.gada plānošanas periodā līdzšinēji radušās un</w:t>
            </w:r>
            <w:r>
              <w:rPr>
                <w:sz w:val="26"/>
                <w:szCs w:val="26"/>
                <w:lang w:val="lv-LV"/>
              </w:rPr>
              <w:t xml:space="preserve"> vēl paredzētās vadības izmaksas Altum par 2.2.1.1.aktivitātes administrēšanu (tostarp ņemot vērā Eiropas Investīciju fondam periodā no 2008.gada 16.jūlija līdz 2011.gada 31.decembrim attiecinātās vadības izmaksas), 2.2.1.1.aktivitātē ir uzņemtas saistības par lielāku pieejamā </w:t>
            </w:r>
            <w:r w:rsidR="009A2DC3">
              <w:rPr>
                <w:sz w:val="26"/>
                <w:szCs w:val="26"/>
                <w:lang w:val="lv-LV"/>
              </w:rPr>
              <w:t xml:space="preserve">publiskā – </w:t>
            </w:r>
            <w:r w:rsidR="00E578F4">
              <w:rPr>
                <w:sz w:val="26"/>
                <w:szCs w:val="26"/>
                <w:lang w:val="lv-LV"/>
              </w:rPr>
              <w:t>ERAF un valsts budžeta</w:t>
            </w:r>
            <w:r w:rsidR="009A2DC3">
              <w:rPr>
                <w:sz w:val="26"/>
                <w:szCs w:val="26"/>
                <w:lang w:val="lv-LV"/>
              </w:rPr>
              <w:t xml:space="preserve"> –</w:t>
            </w:r>
            <w:r w:rsidR="00E578F4">
              <w:rPr>
                <w:sz w:val="26"/>
                <w:szCs w:val="26"/>
                <w:lang w:val="lv-LV"/>
              </w:rPr>
              <w:t xml:space="preserve"> </w:t>
            </w:r>
            <w:r>
              <w:rPr>
                <w:sz w:val="26"/>
                <w:szCs w:val="26"/>
                <w:lang w:val="lv-LV"/>
              </w:rPr>
              <w:t xml:space="preserve">finansējuma apmēru, nekā noteikts MK noteikumos Nr.818. </w:t>
            </w:r>
            <w:r w:rsidR="00833F20">
              <w:rPr>
                <w:sz w:val="26"/>
                <w:szCs w:val="26"/>
                <w:lang w:val="lv-LV"/>
              </w:rPr>
              <w:t xml:space="preserve">2.2.1.1.aktivitātē līgumu ietvaros uzņemtās saistības ar finanšu starpniekiem, kā arī indikatīvās </w:t>
            </w:r>
            <w:proofErr w:type="spellStart"/>
            <w:r w:rsidR="00833F20">
              <w:rPr>
                <w:sz w:val="26"/>
                <w:szCs w:val="26"/>
                <w:lang w:val="lv-LV"/>
              </w:rPr>
              <w:t>Altum</w:t>
            </w:r>
            <w:proofErr w:type="spellEnd"/>
            <w:r w:rsidR="00833F20">
              <w:rPr>
                <w:sz w:val="26"/>
                <w:szCs w:val="26"/>
                <w:lang w:val="lv-LV"/>
              </w:rPr>
              <w:t xml:space="preserve"> vadības izmaksas par 2.2.1.1.aktivitātes </w:t>
            </w:r>
            <w:r w:rsidR="00833F20">
              <w:rPr>
                <w:sz w:val="26"/>
                <w:szCs w:val="26"/>
                <w:lang w:val="lv-LV"/>
              </w:rPr>
              <w:lastRenderedPageBreak/>
              <w:t>administrēšanu 2007.-2013.gada plānošanas periodā veido 72 </w:t>
            </w:r>
            <w:r w:rsidR="00C92BBB">
              <w:rPr>
                <w:sz w:val="26"/>
                <w:szCs w:val="26"/>
                <w:lang w:val="lv-LV"/>
              </w:rPr>
              <w:t xml:space="preserve">912 </w:t>
            </w:r>
            <w:r w:rsidR="00C92BBB" w:rsidRPr="004B0B90">
              <w:rPr>
                <w:sz w:val="26"/>
                <w:szCs w:val="26"/>
                <w:lang w:val="lv-LV"/>
              </w:rPr>
              <w:t>192</w:t>
            </w:r>
            <w:r w:rsidR="00833F20" w:rsidRPr="004B0B90">
              <w:rPr>
                <w:sz w:val="26"/>
                <w:szCs w:val="26"/>
                <w:lang w:val="lv-LV"/>
              </w:rPr>
              <w:t xml:space="preserve"> </w:t>
            </w:r>
            <w:r w:rsidR="00833F20" w:rsidRPr="004B0B90">
              <w:rPr>
                <w:i/>
                <w:sz w:val="26"/>
                <w:szCs w:val="26"/>
                <w:lang w:val="lv-LV"/>
              </w:rPr>
              <w:t>euro</w:t>
            </w:r>
            <w:r w:rsidR="00833F20" w:rsidRPr="004B0B90">
              <w:rPr>
                <w:sz w:val="26"/>
                <w:szCs w:val="26"/>
                <w:lang w:val="lv-LV"/>
              </w:rPr>
              <w:t>, savukārt MK noteikumu Nr.818 ietvaros 2.2.1.1.aktivitātē ir pieejams publiskais finansējums 65 265 196</w:t>
            </w:r>
            <w:r w:rsidR="00833F20" w:rsidRPr="004B0B90">
              <w:rPr>
                <w:i/>
                <w:sz w:val="26"/>
                <w:szCs w:val="26"/>
                <w:lang w:val="lv-LV"/>
              </w:rPr>
              <w:t xml:space="preserve"> </w:t>
            </w:r>
            <w:proofErr w:type="spellStart"/>
            <w:r w:rsidR="00833F20" w:rsidRPr="004B0B90">
              <w:rPr>
                <w:i/>
                <w:sz w:val="26"/>
                <w:szCs w:val="26"/>
                <w:lang w:val="lv-LV"/>
              </w:rPr>
              <w:t>euro</w:t>
            </w:r>
            <w:proofErr w:type="spellEnd"/>
            <w:r w:rsidR="00833F20" w:rsidRPr="004B0B90">
              <w:rPr>
                <w:sz w:val="26"/>
                <w:szCs w:val="26"/>
                <w:lang w:val="lv-LV"/>
              </w:rPr>
              <w:t xml:space="preserve">. </w:t>
            </w:r>
            <w:r w:rsidR="00D14DB3" w:rsidRPr="004B0B90">
              <w:rPr>
                <w:sz w:val="26"/>
                <w:szCs w:val="26"/>
                <w:lang w:val="lv-LV"/>
              </w:rPr>
              <w:t>Atbilstoši ar finanšu starpniekiem noslēgtajiem līgumiem un, ņemot vērā Altum vadības izmaksas periodā līdz 2016.gada 31.oktobrim, š</w:t>
            </w:r>
            <w:r w:rsidR="00C92BBB" w:rsidRPr="004B0B90">
              <w:rPr>
                <w:sz w:val="26"/>
                <w:szCs w:val="26"/>
                <w:lang w:val="lv-LV"/>
              </w:rPr>
              <w:t xml:space="preserve">obrīd </w:t>
            </w:r>
            <w:r w:rsidR="00D14DB3" w:rsidRPr="004B0B90">
              <w:rPr>
                <w:sz w:val="26"/>
                <w:szCs w:val="26"/>
                <w:lang w:val="lv-LV"/>
              </w:rPr>
              <w:t xml:space="preserve">2.2.1.1.aktivitātē </w:t>
            </w:r>
            <w:r w:rsidR="00C92BBB" w:rsidRPr="004B0B90">
              <w:rPr>
                <w:sz w:val="26"/>
                <w:szCs w:val="26"/>
                <w:lang w:val="lv-LV"/>
              </w:rPr>
              <w:t>s</w:t>
            </w:r>
            <w:r w:rsidR="00833F20" w:rsidRPr="004B0B90">
              <w:rPr>
                <w:sz w:val="26"/>
                <w:szCs w:val="26"/>
                <w:lang w:val="lv-LV"/>
              </w:rPr>
              <w:t>aistības ir uzņemts par</w:t>
            </w:r>
            <w:r w:rsidR="00C92BBB" w:rsidRPr="004B0B90">
              <w:rPr>
                <w:sz w:val="26"/>
                <w:szCs w:val="26"/>
                <w:lang w:val="lv-LV"/>
              </w:rPr>
              <w:t xml:space="preserve"> 7 646 996 </w:t>
            </w:r>
            <w:r w:rsidR="00C92BBB" w:rsidRPr="004B0B90">
              <w:rPr>
                <w:i/>
                <w:sz w:val="26"/>
                <w:szCs w:val="26"/>
                <w:lang w:val="lv-LV"/>
              </w:rPr>
              <w:t>euro</w:t>
            </w:r>
            <w:r w:rsidR="00833F20" w:rsidRPr="004B0B90">
              <w:rPr>
                <w:sz w:val="26"/>
                <w:szCs w:val="26"/>
                <w:lang w:val="lv-LV"/>
              </w:rPr>
              <w:t xml:space="preserve"> lielāku pieejamā publiskā </w:t>
            </w:r>
            <w:r w:rsidR="00C92BBB" w:rsidRPr="004B0B90">
              <w:rPr>
                <w:sz w:val="26"/>
                <w:szCs w:val="26"/>
                <w:lang w:val="lv-LV"/>
              </w:rPr>
              <w:t xml:space="preserve">(ERAF un valsts budžeta) </w:t>
            </w:r>
            <w:r w:rsidR="00833F20" w:rsidRPr="004B0B90">
              <w:rPr>
                <w:sz w:val="26"/>
                <w:szCs w:val="26"/>
                <w:lang w:val="lv-LV"/>
              </w:rPr>
              <w:t xml:space="preserve">finansējuma apmēru, lai </w:t>
            </w:r>
            <w:r w:rsidR="00C92BBB" w:rsidRPr="004B0B90">
              <w:rPr>
                <w:sz w:val="26"/>
                <w:szCs w:val="26"/>
                <w:lang w:val="lv-LV"/>
              </w:rPr>
              <w:t xml:space="preserve">nodrošinātu riska kapitāla fondu darbību atbilstoši tirgus praksei (pēc-investīcijas), </w:t>
            </w:r>
            <w:r w:rsidR="00833F20" w:rsidRPr="004B0B90">
              <w:rPr>
                <w:sz w:val="26"/>
                <w:szCs w:val="26"/>
                <w:lang w:val="lv-LV"/>
              </w:rPr>
              <w:t>sekmētu 2007.-2013.gada plānošanas peri</w:t>
            </w:r>
            <w:r w:rsidR="00054112" w:rsidRPr="004B0B90">
              <w:rPr>
                <w:sz w:val="26"/>
                <w:szCs w:val="26"/>
                <w:lang w:val="lv-LV"/>
              </w:rPr>
              <w:t>oda publiskā finansējuma apguvi</w:t>
            </w:r>
            <w:r w:rsidR="00442C46" w:rsidRPr="004B0B90">
              <w:rPr>
                <w:sz w:val="26"/>
                <w:szCs w:val="26"/>
                <w:lang w:val="lv-LV"/>
              </w:rPr>
              <w:t xml:space="preserve"> un veicinātu investīcijas Latvijas ekonomikā</w:t>
            </w:r>
            <w:r w:rsidR="00054112" w:rsidRPr="004B0B90">
              <w:rPr>
                <w:sz w:val="26"/>
                <w:szCs w:val="26"/>
                <w:lang w:val="lv-LV"/>
              </w:rPr>
              <w:t>.</w:t>
            </w:r>
            <w:r w:rsidR="00054112">
              <w:rPr>
                <w:sz w:val="26"/>
                <w:szCs w:val="26"/>
                <w:lang w:val="lv-LV"/>
              </w:rPr>
              <w:t xml:space="preserve"> </w:t>
            </w:r>
          </w:p>
          <w:p w:rsidR="00AD30BB" w:rsidRDefault="00833F20" w:rsidP="00054112">
            <w:pPr>
              <w:pStyle w:val="CommentText"/>
              <w:spacing w:after="240"/>
              <w:ind w:firstLine="708"/>
              <w:jc w:val="both"/>
              <w:rPr>
                <w:sz w:val="26"/>
                <w:szCs w:val="26"/>
                <w:lang w:val="lv-LV"/>
              </w:rPr>
            </w:pPr>
            <w:r>
              <w:rPr>
                <w:sz w:val="26"/>
                <w:szCs w:val="26"/>
                <w:lang w:val="lv-LV"/>
              </w:rPr>
              <w:t xml:space="preserve"> </w:t>
            </w:r>
            <w:r w:rsidR="00054112">
              <w:rPr>
                <w:sz w:val="26"/>
                <w:szCs w:val="26"/>
                <w:lang w:val="lv-LV"/>
              </w:rPr>
              <w:t xml:space="preserve">Saskaņā ar MK noteikumu Nr.983 </w:t>
            </w:r>
            <w:r w:rsidR="00054112" w:rsidRPr="0068053F">
              <w:rPr>
                <w:sz w:val="26"/>
                <w:szCs w:val="26"/>
                <w:lang w:val="lv-LV"/>
              </w:rPr>
              <w:t>6.</w:t>
            </w:r>
            <w:r w:rsidR="00054112" w:rsidRPr="0068053F">
              <w:rPr>
                <w:sz w:val="26"/>
                <w:szCs w:val="26"/>
                <w:vertAlign w:val="superscript"/>
                <w:lang w:val="lv-LV"/>
              </w:rPr>
              <w:t>1</w:t>
            </w:r>
            <w:r w:rsidR="00054112" w:rsidRPr="0068053F">
              <w:rPr>
                <w:sz w:val="26"/>
                <w:szCs w:val="26"/>
                <w:lang w:val="lv-LV"/>
              </w:rPr>
              <w:t xml:space="preserve"> </w:t>
            </w:r>
            <w:r w:rsidR="00054112">
              <w:rPr>
                <w:sz w:val="26"/>
                <w:szCs w:val="26"/>
                <w:lang w:val="lv-LV"/>
              </w:rPr>
              <w:t>punktu izaugsmes kapitāla fond</w:t>
            </w:r>
            <w:r w:rsidR="00170091">
              <w:rPr>
                <w:sz w:val="26"/>
                <w:szCs w:val="26"/>
                <w:lang w:val="lv-LV"/>
              </w:rPr>
              <w:t>u pārvaldniekiem</w:t>
            </w:r>
            <w:r w:rsidR="00054112">
              <w:rPr>
                <w:sz w:val="26"/>
                <w:szCs w:val="26"/>
                <w:lang w:val="lv-LV"/>
              </w:rPr>
              <w:t xml:space="preserve"> investīcijām un </w:t>
            </w:r>
            <w:r w:rsidR="00170091">
              <w:rPr>
                <w:sz w:val="26"/>
                <w:szCs w:val="26"/>
                <w:lang w:val="lv-LV"/>
              </w:rPr>
              <w:t>administratīvajām izmaksām</w:t>
            </w:r>
            <w:r w:rsidR="00054112">
              <w:rPr>
                <w:sz w:val="26"/>
                <w:szCs w:val="26"/>
                <w:lang w:val="lv-LV"/>
              </w:rPr>
              <w:t xml:space="preserve"> </w:t>
            </w:r>
            <w:r w:rsidR="00442C46">
              <w:rPr>
                <w:sz w:val="26"/>
                <w:szCs w:val="26"/>
                <w:lang w:val="lv-LV"/>
              </w:rPr>
              <w:t xml:space="preserve">līdzšinēji </w:t>
            </w:r>
            <w:r w:rsidR="00054112">
              <w:rPr>
                <w:sz w:val="26"/>
                <w:szCs w:val="26"/>
                <w:lang w:val="lv-LV"/>
              </w:rPr>
              <w:t xml:space="preserve">ir pieejams </w:t>
            </w:r>
            <w:r w:rsidR="00170091">
              <w:rPr>
                <w:sz w:val="26"/>
                <w:szCs w:val="26"/>
                <w:lang w:val="lv-LV"/>
              </w:rPr>
              <w:t xml:space="preserve">publiskais </w:t>
            </w:r>
            <w:r w:rsidR="00054112">
              <w:rPr>
                <w:sz w:val="26"/>
                <w:szCs w:val="26"/>
                <w:lang w:val="lv-LV"/>
              </w:rPr>
              <w:t xml:space="preserve">finansējums </w:t>
            </w:r>
            <w:r w:rsidR="00054112" w:rsidRPr="0068053F">
              <w:rPr>
                <w:sz w:val="26"/>
                <w:szCs w:val="26"/>
                <w:lang w:val="lv-LV"/>
              </w:rPr>
              <w:t xml:space="preserve">30 000 000 </w:t>
            </w:r>
            <w:proofErr w:type="spellStart"/>
            <w:r w:rsidR="00054112" w:rsidRPr="0068053F">
              <w:rPr>
                <w:i/>
                <w:sz w:val="26"/>
                <w:szCs w:val="26"/>
                <w:lang w:val="lv-LV"/>
              </w:rPr>
              <w:t>euro</w:t>
            </w:r>
            <w:proofErr w:type="spellEnd"/>
            <w:r w:rsidR="00054112" w:rsidRPr="0068053F">
              <w:rPr>
                <w:sz w:val="26"/>
                <w:szCs w:val="26"/>
                <w:lang w:val="lv-LV"/>
              </w:rPr>
              <w:t>.</w:t>
            </w:r>
            <w:r w:rsidR="00054112">
              <w:rPr>
                <w:sz w:val="26"/>
                <w:szCs w:val="26"/>
                <w:lang w:val="lv-LV"/>
              </w:rPr>
              <w:t xml:space="preserve"> </w:t>
            </w:r>
            <w:r w:rsidR="00054112" w:rsidRPr="00276682">
              <w:rPr>
                <w:sz w:val="26"/>
                <w:szCs w:val="26"/>
                <w:u w:val="single"/>
                <w:lang w:val="lv-LV"/>
              </w:rPr>
              <w:t>Iepirkuma procedūras dokumentos – Sarunu procedūras kandidātu atlases nolikumā, Tehniskajā specifikācijā (2.pielikums) un Uzaicinājumā iesniegt piedāvājumus – ir noteikt</w:t>
            </w:r>
            <w:r w:rsidR="00170091" w:rsidRPr="00276682">
              <w:rPr>
                <w:sz w:val="26"/>
                <w:szCs w:val="26"/>
                <w:u w:val="single"/>
                <w:lang w:val="lv-LV"/>
              </w:rPr>
              <w:t xml:space="preserve">as tiesības Altum </w:t>
            </w:r>
            <w:r w:rsidR="00054112" w:rsidRPr="00276682">
              <w:rPr>
                <w:sz w:val="26"/>
                <w:szCs w:val="26"/>
                <w:u w:val="single"/>
                <w:lang w:val="lv-LV"/>
              </w:rPr>
              <w:t xml:space="preserve">palielināt </w:t>
            </w:r>
            <w:r w:rsidR="00170091" w:rsidRPr="00276682">
              <w:rPr>
                <w:sz w:val="26"/>
                <w:szCs w:val="26"/>
                <w:u w:val="single"/>
                <w:lang w:val="lv-LV"/>
              </w:rPr>
              <w:t>publiskā finansējuma piešķīrumu</w:t>
            </w:r>
            <w:r w:rsidR="00054112" w:rsidRPr="00276682">
              <w:rPr>
                <w:sz w:val="26"/>
                <w:szCs w:val="26"/>
                <w:u w:val="single"/>
                <w:lang w:val="lv-LV"/>
              </w:rPr>
              <w:t xml:space="preserve"> katrā izaugsmes kapitāla fondā</w:t>
            </w:r>
            <w:r w:rsidR="00170091" w:rsidRPr="00276682">
              <w:rPr>
                <w:sz w:val="26"/>
                <w:szCs w:val="26"/>
                <w:u w:val="single"/>
                <w:lang w:val="lv-LV"/>
              </w:rPr>
              <w:t xml:space="preserve"> </w:t>
            </w:r>
            <w:r w:rsidR="00054112" w:rsidRPr="00276682">
              <w:rPr>
                <w:sz w:val="26"/>
                <w:szCs w:val="26"/>
                <w:u w:val="single"/>
                <w:lang w:val="lv-LV"/>
              </w:rPr>
              <w:t xml:space="preserve">līdz 15 000 000 </w:t>
            </w:r>
            <w:r w:rsidR="00170091" w:rsidRPr="00276682">
              <w:rPr>
                <w:i/>
                <w:sz w:val="26"/>
                <w:szCs w:val="26"/>
                <w:u w:val="single"/>
                <w:lang w:val="lv-LV"/>
              </w:rPr>
              <w:t>eur</w:t>
            </w:r>
            <w:r w:rsidR="00442C46" w:rsidRPr="00276682">
              <w:rPr>
                <w:i/>
                <w:sz w:val="26"/>
                <w:szCs w:val="26"/>
                <w:u w:val="single"/>
                <w:lang w:val="lv-LV"/>
              </w:rPr>
              <w:t>o</w:t>
            </w:r>
            <w:r w:rsidR="00170091" w:rsidRPr="00276682">
              <w:rPr>
                <w:i/>
                <w:sz w:val="26"/>
                <w:szCs w:val="26"/>
                <w:u w:val="single"/>
                <w:lang w:val="lv-LV"/>
              </w:rPr>
              <w:t xml:space="preserve"> </w:t>
            </w:r>
            <w:r w:rsidR="002011C0" w:rsidRPr="00276682">
              <w:rPr>
                <w:sz w:val="26"/>
                <w:szCs w:val="26"/>
                <w:u w:val="single"/>
                <w:lang w:val="lv-LV"/>
              </w:rPr>
              <w:t>(l</w:t>
            </w:r>
            <w:r w:rsidR="00170091" w:rsidRPr="00276682">
              <w:rPr>
                <w:sz w:val="26"/>
                <w:szCs w:val="26"/>
                <w:u w:val="single"/>
                <w:lang w:val="lv-LV"/>
              </w:rPr>
              <w:t xml:space="preserve">īdzšinēji katram izaugsmes kapitāla fonda pārvaldniekam ir piešķirti publiskie līdzekļi 10 000 0000 </w:t>
            </w:r>
            <w:r w:rsidR="00170091" w:rsidRPr="00276682">
              <w:rPr>
                <w:i/>
                <w:sz w:val="26"/>
                <w:szCs w:val="26"/>
                <w:u w:val="single"/>
                <w:lang w:val="lv-LV"/>
              </w:rPr>
              <w:t xml:space="preserve">euro </w:t>
            </w:r>
            <w:r w:rsidR="00170091" w:rsidRPr="00276682">
              <w:rPr>
                <w:sz w:val="26"/>
                <w:szCs w:val="26"/>
                <w:u w:val="single"/>
                <w:lang w:val="lv-LV"/>
              </w:rPr>
              <w:t>apmērā</w:t>
            </w:r>
            <w:r w:rsidR="002011C0" w:rsidRPr="00276682">
              <w:rPr>
                <w:sz w:val="26"/>
                <w:szCs w:val="26"/>
                <w:u w:val="single"/>
                <w:lang w:val="lv-LV"/>
              </w:rPr>
              <w:t>)</w:t>
            </w:r>
            <w:r w:rsidR="002011C0">
              <w:rPr>
                <w:sz w:val="26"/>
                <w:szCs w:val="26"/>
                <w:lang w:val="lv-LV"/>
              </w:rPr>
              <w:t>. Saskaņā ar izaugsmes kapitāla fondu pārvaldniek</w:t>
            </w:r>
            <w:r w:rsidR="00442C46">
              <w:rPr>
                <w:sz w:val="26"/>
                <w:szCs w:val="26"/>
                <w:lang w:val="lv-LV"/>
              </w:rPr>
              <w:t>u</w:t>
            </w:r>
            <w:r w:rsidR="002011C0">
              <w:rPr>
                <w:sz w:val="26"/>
                <w:szCs w:val="26"/>
                <w:lang w:val="lv-LV"/>
              </w:rPr>
              <w:t xml:space="preserve"> </w:t>
            </w:r>
            <w:r w:rsidR="00442C46">
              <w:rPr>
                <w:sz w:val="26"/>
                <w:szCs w:val="26"/>
                <w:lang w:val="lv-LV"/>
              </w:rPr>
              <w:t xml:space="preserve">un </w:t>
            </w:r>
            <w:proofErr w:type="spellStart"/>
            <w:r w:rsidR="00442C46">
              <w:rPr>
                <w:sz w:val="26"/>
                <w:szCs w:val="26"/>
                <w:lang w:val="lv-LV"/>
              </w:rPr>
              <w:t>Altum</w:t>
            </w:r>
            <w:proofErr w:type="spellEnd"/>
            <w:r w:rsidR="00442C46">
              <w:rPr>
                <w:sz w:val="26"/>
                <w:szCs w:val="26"/>
                <w:lang w:val="lv-LV"/>
              </w:rPr>
              <w:t xml:space="preserve"> </w:t>
            </w:r>
            <w:r w:rsidR="002011C0">
              <w:rPr>
                <w:sz w:val="26"/>
                <w:szCs w:val="26"/>
                <w:lang w:val="lv-LV"/>
              </w:rPr>
              <w:t>sniegto informāciju</w:t>
            </w:r>
            <w:r w:rsidR="00D577E0">
              <w:rPr>
                <w:sz w:val="26"/>
                <w:szCs w:val="26"/>
                <w:lang w:val="lv-LV"/>
              </w:rPr>
              <w:t xml:space="preserve"> Ekonomikas ministrijai (turpmāk – EM)</w:t>
            </w:r>
            <w:r w:rsidR="002011C0">
              <w:rPr>
                <w:sz w:val="26"/>
                <w:szCs w:val="26"/>
                <w:lang w:val="lv-LV"/>
              </w:rPr>
              <w:t>,</w:t>
            </w:r>
            <w:r w:rsidR="004367AD">
              <w:rPr>
                <w:sz w:val="26"/>
                <w:szCs w:val="26"/>
                <w:lang w:val="lv-LV"/>
              </w:rPr>
              <w:t xml:space="preserve"> kas, cita starpā, </w:t>
            </w:r>
            <w:r w:rsidR="00442C46">
              <w:rPr>
                <w:sz w:val="26"/>
                <w:szCs w:val="26"/>
                <w:lang w:val="lv-LV"/>
              </w:rPr>
              <w:t xml:space="preserve">ir </w:t>
            </w:r>
            <w:r w:rsidR="004367AD">
              <w:rPr>
                <w:sz w:val="26"/>
                <w:szCs w:val="26"/>
                <w:lang w:val="lv-LV"/>
              </w:rPr>
              <w:t xml:space="preserve">ietverta </w:t>
            </w:r>
            <w:r w:rsidR="00D577E0">
              <w:rPr>
                <w:sz w:val="26"/>
                <w:szCs w:val="26"/>
                <w:lang w:val="lv-LV"/>
              </w:rPr>
              <w:t>EM</w:t>
            </w:r>
            <w:r w:rsidR="00CC67C1">
              <w:rPr>
                <w:sz w:val="26"/>
                <w:szCs w:val="26"/>
                <w:lang w:val="lv-LV"/>
              </w:rPr>
              <w:t xml:space="preserve"> izstrādātaj</w:t>
            </w:r>
            <w:r w:rsidR="00C96450">
              <w:rPr>
                <w:sz w:val="26"/>
                <w:szCs w:val="26"/>
                <w:lang w:val="lv-LV"/>
              </w:rPr>
              <w:t>ā</w:t>
            </w:r>
            <w:r w:rsidR="00CC67C1">
              <w:rPr>
                <w:sz w:val="26"/>
                <w:szCs w:val="26"/>
                <w:lang w:val="lv-LV"/>
              </w:rPr>
              <w:t xml:space="preserve"> un 2015.gada 7.jūlija Ministru kabineta sēdē izskatīt</w:t>
            </w:r>
            <w:r w:rsidR="00C96450">
              <w:rPr>
                <w:sz w:val="26"/>
                <w:szCs w:val="26"/>
                <w:lang w:val="lv-LV"/>
              </w:rPr>
              <w:t>ajā</w:t>
            </w:r>
            <w:r w:rsidR="00CC67C1">
              <w:rPr>
                <w:sz w:val="26"/>
                <w:szCs w:val="26"/>
                <w:lang w:val="lv-LV"/>
              </w:rPr>
              <w:t xml:space="preserve"> informatīvaj</w:t>
            </w:r>
            <w:r w:rsidR="00C96450">
              <w:rPr>
                <w:sz w:val="26"/>
                <w:szCs w:val="26"/>
                <w:lang w:val="lv-LV"/>
              </w:rPr>
              <w:t>ā</w:t>
            </w:r>
            <w:r w:rsidR="00CC67C1">
              <w:rPr>
                <w:sz w:val="26"/>
                <w:szCs w:val="26"/>
                <w:lang w:val="lv-LV"/>
              </w:rPr>
              <w:t xml:space="preserve"> ziņojum</w:t>
            </w:r>
            <w:r w:rsidR="00C96450">
              <w:rPr>
                <w:sz w:val="26"/>
                <w:szCs w:val="26"/>
                <w:lang w:val="lv-LV"/>
              </w:rPr>
              <w:t>ā</w:t>
            </w:r>
            <w:r w:rsidR="00CC67C1">
              <w:rPr>
                <w:sz w:val="26"/>
                <w:szCs w:val="26"/>
                <w:lang w:val="lv-LV"/>
              </w:rPr>
              <w:t xml:space="preserve"> „Par publiskā finansējuma izmantošanu 2007.-2013.gada plānošanas perioda Ekonomikas ministrijas kompetencē esošo finanšu instrumentu ietvaros” (turpmāk – Ziņojums)</w:t>
            </w:r>
            <w:r w:rsidR="004367AD">
              <w:rPr>
                <w:sz w:val="26"/>
                <w:szCs w:val="26"/>
                <w:lang w:val="lv-LV"/>
              </w:rPr>
              <w:t>,</w:t>
            </w:r>
            <w:r w:rsidR="002011C0">
              <w:rPr>
                <w:sz w:val="26"/>
                <w:szCs w:val="26"/>
                <w:lang w:val="lv-LV"/>
              </w:rPr>
              <w:t xml:space="preserve"> </w:t>
            </w:r>
            <w:r w:rsidR="004367AD">
              <w:rPr>
                <w:sz w:val="26"/>
                <w:szCs w:val="26"/>
                <w:lang w:val="lv-LV"/>
              </w:rPr>
              <w:t>šobrīd izvērtēšanā esošie</w:t>
            </w:r>
            <w:r w:rsidR="00442C46">
              <w:rPr>
                <w:sz w:val="26"/>
                <w:szCs w:val="26"/>
                <w:lang w:val="lv-LV"/>
              </w:rPr>
              <w:t xml:space="preserve"> un jau veiktie</w:t>
            </w:r>
            <w:r w:rsidR="004367AD">
              <w:rPr>
                <w:sz w:val="26"/>
                <w:szCs w:val="26"/>
                <w:lang w:val="lv-LV"/>
              </w:rPr>
              <w:t xml:space="preserve"> investīciju darījumi nodrošina</w:t>
            </w:r>
            <w:r w:rsidR="00442C46">
              <w:rPr>
                <w:sz w:val="26"/>
                <w:szCs w:val="26"/>
                <w:lang w:val="lv-LV"/>
              </w:rPr>
              <w:t xml:space="preserve"> saistību uzņemšanos par visu</w:t>
            </w:r>
            <w:r w:rsidR="004367AD">
              <w:rPr>
                <w:sz w:val="26"/>
                <w:szCs w:val="26"/>
                <w:lang w:val="lv-LV"/>
              </w:rPr>
              <w:t xml:space="preserve"> </w:t>
            </w:r>
            <w:r w:rsidR="00442C46">
              <w:rPr>
                <w:sz w:val="26"/>
                <w:szCs w:val="26"/>
                <w:lang w:val="lv-LV"/>
              </w:rPr>
              <w:t>investīcijām pieejamā publiskā finansējuma apmēru (ņemot vērā administratīvajiem izdevumiem paredzēto finansējumu, katram fondam investīcijām</w:t>
            </w:r>
            <w:r w:rsidR="00932AF7">
              <w:rPr>
                <w:sz w:val="26"/>
                <w:szCs w:val="26"/>
                <w:lang w:val="lv-LV"/>
              </w:rPr>
              <w:t xml:space="preserve"> komersantos</w:t>
            </w:r>
            <w:r w:rsidR="00442C46">
              <w:rPr>
                <w:sz w:val="26"/>
                <w:szCs w:val="26"/>
                <w:lang w:val="lv-LV"/>
              </w:rPr>
              <w:t xml:space="preserve"> indikatīvi ir pieejami 8 000 000 </w:t>
            </w:r>
            <w:proofErr w:type="spellStart"/>
            <w:r w:rsidR="00442C46" w:rsidRPr="00442C46">
              <w:rPr>
                <w:i/>
                <w:sz w:val="26"/>
                <w:szCs w:val="26"/>
                <w:lang w:val="lv-LV"/>
              </w:rPr>
              <w:t>euro</w:t>
            </w:r>
            <w:proofErr w:type="spellEnd"/>
            <w:r w:rsidR="00442C46">
              <w:rPr>
                <w:sz w:val="26"/>
                <w:szCs w:val="26"/>
                <w:lang w:val="lv-LV"/>
              </w:rPr>
              <w:t xml:space="preserve">). </w:t>
            </w:r>
            <w:r w:rsidR="00932AF7">
              <w:rPr>
                <w:sz w:val="26"/>
                <w:szCs w:val="26"/>
                <w:lang w:val="lv-LV"/>
              </w:rPr>
              <w:t>V</w:t>
            </w:r>
            <w:r w:rsidR="004367AD">
              <w:rPr>
                <w:sz w:val="26"/>
                <w:szCs w:val="26"/>
                <w:lang w:val="lv-LV"/>
              </w:rPr>
              <w:t>airākkārtēju tikšanās</w:t>
            </w:r>
            <w:r w:rsidR="00932AF7">
              <w:rPr>
                <w:sz w:val="26"/>
                <w:szCs w:val="26"/>
                <w:lang w:val="lv-LV"/>
              </w:rPr>
              <w:t xml:space="preserve"> ar izaugsmes kapitāla fondu pārvaldniekiem</w:t>
            </w:r>
            <w:r w:rsidR="004367AD">
              <w:rPr>
                <w:sz w:val="26"/>
                <w:szCs w:val="26"/>
                <w:lang w:val="lv-LV"/>
              </w:rPr>
              <w:t xml:space="preserve"> laikā</w:t>
            </w:r>
            <w:r w:rsidR="00C96450">
              <w:rPr>
                <w:sz w:val="26"/>
                <w:szCs w:val="26"/>
                <w:lang w:val="lv-LV"/>
              </w:rPr>
              <w:t xml:space="preserve"> š.g. ietvaros</w:t>
            </w:r>
            <w:r w:rsidR="00932AF7">
              <w:rPr>
                <w:sz w:val="26"/>
                <w:szCs w:val="26"/>
                <w:lang w:val="lv-LV"/>
              </w:rPr>
              <w:t xml:space="preserve"> </w:t>
            </w:r>
            <w:r w:rsidR="004367AD">
              <w:rPr>
                <w:sz w:val="26"/>
                <w:szCs w:val="26"/>
                <w:lang w:val="lv-LV"/>
              </w:rPr>
              <w:t>EM ir guvusi pārliecību par pietiekošu un kvalitatīvu darījumu plūsmu fondos</w:t>
            </w:r>
            <w:r w:rsidR="00932AF7">
              <w:rPr>
                <w:sz w:val="26"/>
                <w:szCs w:val="26"/>
                <w:lang w:val="lv-LV"/>
              </w:rPr>
              <w:t xml:space="preserve">. Bez papildus publiskā </w:t>
            </w:r>
            <w:r w:rsidR="00153FB0">
              <w:rPr>
                <w:sz w:val="26"/>
                <w:szCs w:val="26"/>
                <w:lang w:val="lv-LV"/>
              </w:rPr>
              <w:t xml:space="preserve">finansējuma </w:t>
            </w:r>
            <w:r w:rsidR="00932AF7">
              <w:rPr>
                <w:sz w:val="26"/>
                <w:szCs w:val="26"/>
                <w:lang w:val="lv-LV"/>
              </w:rPr>
              <w:t>piešķīruma jaunu darījumu vērtēšana un investīciju darīju</w:t>
            </w:r>
            <w:r w:rsidR="00CA4214">
              <w:rPr>
                <w:sz w:val="26"/>
                <w:szCs w:val="26"/>
                <w:lang w:val="lv-LV"/>
              </w:rPr>
              <w:t>mu strukturēšana nav iespējama.</w:t>
            </w:r>
            <w:r w:rsidR="00932AF7">
              <w:rPr>
                <w:sz w:val="26"/>
                <w:szCs w:val="26"/>
                <w:lang w:val="lv-LV"/>
              </w:rPr>
              <w:t xml:space="preserve"> Ņemot vērā minēto, un, lai veicinātu investīcijas Latvijas tautsaimniecībā, nodrošinātu investīciju pieejamības nepārtrauktību komersantiem līdz jaunu riska kapitāla instrumentu ieviešanai 2014.-2020.gada plānošanas periodā</w:t>
            </w:r>
            <w:r w:rsidR="004778D0">
              <w:rPr>
                <w:sz w:val="26"/>
                <w:szCs w:val="26"/>
                <w:lang w:val="lv-LV"/>
              </w:rPr>
              <w:t xml:space="preserve">, nodrošinātu </w:t>
            </w:r>
            <w:r w:rsidR="004B0B90">
              <w:rPr>
                <w:sz w:val="26"/>
                <w:szCs w:val="26"/>
                <w:lang w:val="lv-LV"/>
              </w:rPr>
              <w:t>izaugsmes</w:t>
            </w:r>
            <w:r w:rsidR="004778D0">
              <w:rPr>
                <w:sz w:val="26"/>
                <w:szCs w:val="26"/>
                <w:lang w:val="lv-LV"/>
              </w:rPr>
              <w:t xml:space="preserve"> kapitāla fondu darbību atbilstoši tirgus praksei (</w:t>
            </w:r>
            <w:r w:rsidR="004B0B90">
              <w:rPr>
                <w:sz w:val="26"/>
                <w:szCs w:val="26"/>
                <w:lang w:val="lv-LV"/>
              </w:rPr>
              <w:t xml:space="preserve">pietiekošu </w:t>
            </w:r>
            <w:r w:rsidR="004778D0">
              <w:rPr>
                <w:sz w:val="26"/>
                <w:szCs w:val="26"/>
                <w:lang w:val="lv-LV"/>
              </w:rPr>
              <w:t>finansējumu investīcijām</w:t>
            </w:r>
            <w:r w:rsidR="004B0B90">
              <w:rPr>
                <w:sz w:val="26"/>
                <w:szCs w:val="26"/>
                <w:lang w:val="lv-LV"/>
              </w:rPr>
              <w:t>, tostarp</w:t>
            </w:r>
            <w:r w:rsidR="004778D0">
              <w:rPr>
                <w:sz w:val="26"/>
                <w:szCs w:val="26"/>
                <w:lang w:val="lv-LV"/>
              </w:rPr>
              <w:t xml:space="preserve"> </w:t>
            </w:r>
            <w:r w:rsidR="00153FB0">
              <w:rPr>
                <w:sz w:val="26"/>
                <w:szCs w:val="26"/>
                <w:lang w:val="lv-LV"/>
              </w:rPr>
              <w:t xml:space="preserve">portfelī esošajos komersantos), </w:t>
            </w:r>
            <w:r w:rsidR="00932AF7">
              <w:rPr>
                <w:sz w:val="26"/>
                <w:szCs w:val="26"/>
                <w:lang w:val="lv-LV"/>
              </w:rPr>
              <w:t>noteikumu projekts paredz veikt attiecīgos grozījumus MK noteikum</w:t>
            </w:r>
            <w:r w:rsidR="004778D0">
              <w:rPr>
                <w:sz w:val="26"/>
                <w:szCs w:val="26"/>
                <w:lang w:val="lv-LV"/>
              </w:rPr>
              <w:t>u Nr.983 6.</w:t>
            </w:r>
            <w:r w:rsidR="004778D0" w:rsidRPr="004778D0">
              <w:rPr>
                <w:sz w:val="26"/>
                <w:szCs w:val="26"/>
                <w:vertAlign w:val="superscript"/>
                <w:lang w:val="lv-LV"/>
              </w:rPr>
              <w:t>1</w:t>
            </w:r>
            <w:r w:rsidR="004778D0">
              <w:rPr>
                <w:sz w:val="26"/>
                <w:szCs w:val="26"/>
                <w:lang w:val="lv-LV"/>
              </w:rPr>
              <w:t xml:space="preserve"> punktā</w:t>
            </w:r>
            <w:r w:rsidR="00932AF7">
              <w:rPr>
                <w:sz w:val="26"/>
                <w:szCs w:val="26"/>
                <w:lang w:val="lv-LV"/>
              </w:rPr>
              <w:t xml:space="preserve">, palielinot </w:t>
            </w:r>
            <w:r w:rsidR="004778D0">
              <w:rPr>
                <w:sz w:val="26"/>
                <w:szCs w:val="26"/>
                <w:lang w:val="lv-LV"/>
              </w:rPr>
              <w:t>publisko</w:t>
            </w:r>
            <w:r w:rsidR="00932AF7">
              <w:rPr>
                <w:sz w:val="26"/>
                <w:szCs w:val="26"/>
                <w:lang w:val="lv-LV"/>
              </w:rPr>
              <w:t xml:space="preserve"> </w:t>
            </w:r>
            <w:r w:rsidR="00932AF7">
              <w:rPr>
                <w:sz w:val="26"/>
                <w:szCs w:val="26"/>
                <w:lang w:val="lv-LV"/>
              </w:rPr>
              <w:lastRenderedPageBreak/>
              <w:t xml:space="preserve">finansējumu izaugsmes kapitāla fondos </w:t>
            </w:r>
            <w:r w:rsidR="004778D0">
              <w:rPr>
                <w:sz w:val="26"/>
                <w:szCs w:val="26"/>
                <w:lang w:val="lv-LV"/>
              </w:rPr>
              <w:t>līdz</w:t>
            </w:r>
            <w:r w:rsidR="00932AF7">
              <w:rPr>
                <w:sz w:val="26"/>
                <w:szCs w:val="26"/>
                <w:lang w:val="lv-LV"/>
              </w:rPr>
              <w:t xml:space="preserve"> </w:t>
            </w:r>
            <w:r w:rsidR="004778D0">
              <w:rPr>
                <w:sz w:val="26"/>
                <w:szCs w:val="26"/>
                <w:lang w:val="lv-LV"/>
              </w:rPr>
              <w:t>4</w:t>
            </w:r>
            <w:r w:rsidR="00932AF7">
              <w:rPr>
                <w:sz w:val="26"/>
                <w:szCs w:val="26"/>
                <w:lang w:val="lv-LV"/>
              </w:rPr>
              <w:t xml:space="preserve">5 000 000 </w:t>
            </w:r>
            <w:r w:rsidR="00932AF7" w:rsidRPr="00932AF7">
              <w:rPr>
                <w:i/>
                <w:sz w:val="26"/>
                <w:szCs w:val="26"/>
                <w:lang w:val="lv-LV"/>
              </w:rPr>
              <w:t>euro</w:t>
            </w:r>
            <w:r w:rsidR="00932AF7">
              <w:rPr>
                <w:sz w:val="26"/>
                <w:szCs w:val="26"/>
                <w:lang w:val="lv-LV"/>
              </w:rPr>
              <w:t xml:space="preserve">. </w:t>
            </w:r>
            <w:r w:rsidR="0001015E">
              <w:rPr>
                <w:sz w:val="26"/>
                <w:szCs w:val="26"/>
                <w:lang w:val="lv-LV"/>
              </w:rPr>
              <w:t xml:space="preserve">     </w:t>
            </w:r>
          </w:p>
          <w:p w:rsidR="004367AD" w:rsidRDefault="0059511B" w:rsidP="00054112">
            <w:pPr>
              <w:pStyle w:val="CommentText"/>
              <w:spacing w:after="240"/>
              <w:ind w:firstLine="708"/>
              <w:jc w:val="both"/>
              <w:rPr>
                <w:sz w:val="26"/>
                <w:szCs w:val="26"/>
                <w:lang w:val="lv-LV"/>
              </w:rPr>
            </w:pPr>
            <w:r w:rsidRPr="004B0B90">
              <w:rPr>
                <w:sz w:val="26"/>
                <w:szCs w:val="26"/>
                <w:lang w:val="lv-LV"/>
              </w:rPr>
              <w:t xml:space="preserve">Publiskā finansējuma piešķīrums 45 000 000 </w:t>
            </w:r>
            <w:r w:rsidRPr="004B0B90">
              <w:rPr>
                <w:i/>
                <w:sz w:val="26"/>
                <w:szCs w:val="26"/>
                <w:lang w:val="lv-LV"/>
              </w:rPr>
              <w:t>euro</w:t>
            </w:r>
            <w:r w:rsidRPr="004B0B90">
              <w:rPr>
                <w:sz w:val="26"/>
                <w:szCs w:val="26"/>
                <w:lang w:val="lv-LV"/>
              </w:rPr>
              <w:t xml:space="preserve"> apmērā izaugsmes kapitāla fondiem jau sākotnēji tika noteikts iepirkuma procedūras dokumentos</w:t>
            </w:r>
            <w:r w:rsidR="0001015E" w:rsidRPr="004B0B90">
              <w:rPr>
                <w:sz w:val="26"/>
                <w:szCs w:val="26"/>
                <w:lang w:val="lv-LV"/>
              </w:rPr>
              <w:t>, un n</w:t>
            </w:r>
            <w:r w:rsidRPr="004B0B90">
              <w:rPr>
                <w:sz w:val="26"/>
                <w:szCs w:val="26"/>
                <w:lang w:val="lv-LV"/>
              </w:rPr>
              <w:t>oteikumu projekts neparedz ietekmi uz sākuma kapitāla un riska kapitāla fondu publiskā finansējuma piešķīruma apmēru. Ņemot vērā minēto, noteikumu projekt</w:t>
            </w:r>
            <w:r w:rsidR="0001015E" w:rsidRPr="004B0B90">
              <w:rPr>
                <w:sz w:val="26"/>
                <w:szCs w:val="26"/>
                <w:lang w:val="lv-LV"/>
              </w:rPr>
              <w:t>s</w:t>
            </w:r>
            <w:r w:rsidRPr="004B0B90">
              <w:rPr>
                <w:sz w:val="26"/>
                <w:szCs w:val="26"/>
                <w:lang w:val="lv-LV"/>
              </w:rPr>
              <w:t xml:space="preserve"> </w:t>
            </w:r>
            <w:r w:rsidR="0001015E" w:rsidRPr="004B0B90">
              <w:rPr>
                <w:sz w:val="26"/>
                <w:szCs w:val="26"/>
                <w:lang w:val="lv-LV"/>
              </w:rPr>
              <w:t>nodrošina</w:t>
            </w:r>
            <w:r w:rsidRPr="004B0B90">
              <w:rPr>
                <w:sz w:val="26"/>
                <w:szCs w:val="26"/>
                <w:lang w:val="lv-LV"/>
              </w:rPr>
              <w:t xml:space="preserve"> </w:t>
            </w:r>
            <w:r w:rsidR="0001015E" w:rsidRPr="004B0B90">
              <w:rPr>
                <w:sz w:val="26"/>
                <w:szCs w:val="26"/>
                <w:lang w:val="lv-LV"/>
              </w:rPr>
              <w:t xml:space="preserve">Komisijas 2014.gada 17.jūnija Regulas (ES) Nr. </w:t>
            </w:r>
            <w:hyperlink r:id="rId9" w:tgtFrame="_blank" w:history="1">
              <w:r w:rsidR="0001015E" w:rsidRPr="004B0B90">
                <w:rPr>
                  <w:sz w:val="26"/>
                  <w:szCs w:val="26"/>
                  <w:lang w:val="lv-LV"/>
                </w:rPr>
                <w:t>651/2014</w:t>
              </w:r>
            </w:hyperlink>
            <w:r w:rsidR="0001015E" w:rsidRPr="004B0B90">
              <w:rPr>
                <w:sz w:val="26"/>
                <w:szCs w:val="26"/>
                <w:lang w:val="lv-LV"/>
              </w:rPr>
              <w:t xml:space="preserve">, ar ko noteiktas atbalsta kategorijas atzīst par saderīgām ar iekšējo tirgu, piemērojot Līguma 107. un 108. pantu (turpmāk – Komisijas Regula Nr. </w:t>
            </w:r>
            <w:hyperlink r:id="rId10" w:tgtFrame="_blank" w:history="1">
              <w:r w:rsidR="0001015E" w:rsidRPr="004B0B90">
                <w:rPr>
                  <w:sz w:val="26"/>
                  <w:szCs w:val="26"/>
                  <w:lang w:val="lv-LV"/>
                </w:rPr>
                <w:t>651/2014</w:t>
              </w:r>
            </w:hyperlink>
            <w:r w:rsidR="0001015E" w:rsidRPr="004B0B90">
              <w:rPr>
                <w:sz w:val="26"/>
                <w:szCs w:val="26"/>
                <w:lang w:val="lv-LV"/>
              </w:rPr>
              <w:t>) (Eiropas Savienības Oficiālais Vēstnesis, 2014. gada 26. jūnijs, Nr. L 187) 58.panta 3.punktā noteikto nosacījumu ievērošanu.</w:t>
            </w:r>
            <w:r w:rsidRPr="004B0B90">
              <w:rPr>
                <w:sz w:val="26"/>
                <w:szCs w:val="26"/>
                <w:lang w:val="lv-LV"/>
              </w:rPr>
              <w:t xml:space="preserve"> </w:t>
            </w:r>
            <w:r w:rsidR="0001015E" w:rsidRPr="004B0B90">
              <w:rPr>
                <w:sz w:val="26"/>
                <w:szCs w:val="26"/>
                <w:lang w:val="lv-LV"/>
              </w:rPr>
              <w:t>2.2.1.1.aktivitātē īstenotais sākuma kapitāla fonds un riska kapitāla fonds finansējumu sniedz atbilstoši noslēgtajiem līgumiem par fondu pārvaldī</w:t>
            </w:r>
            <w:r w:rsidR="00AD30BB" w:rsidRPr="004B0B90">
              <w:rPr>
                <w:sz w:val="26"/>
                <w:szCs w:val="26"/>
                <w:lang w:val="lv-LV"/>
              </w:rPr>
              <w:t>šanu, vienlaikus</w:t>
            </w:r>
            <w:r w:rsidR="0001015E" w:rsidRPr="004B0B90">
              <w:rPr>
                <w:sz w:val="26"/>
                <w:szCs w:val="26"/>
                <w:lang w:val="lv-LV"/>
              </w:rPr>
              <w:t xml:space="preserve"> ievērojot Komisijas Regulā Nr.651/2014 58.panta 3.punktā noteikto. MK noteikumu</w:t>
            </w:r>
            <w:r w:rsidR="00AD30BB" w:rsidRPr="004B0B90">
              <w:rPr>
                <w:sz w:val="26"/>
                <w:szCs w:val="26"/>
                <w:lang w:val="lv-LV"/>
              </w:rPr>
              <w:t xml:space="preserve"> Nr.983</w:t>
            </w:r>
            <w:r w:rsidR="0001015E" w:rsidRPr="004B0B90">
              <w:rPr>
                <w:sz w:val="26"/>
                <w:szCs w:val="26"/>
                <w:lang w:val="lv-LV"/>
              </w:rPr>
              <w:t xml:space="preserve"> 3.punktā </w:t>
            </w:r>
            <w:r w:rsidR="000939C7" w:rsidRPr="004B0B90">
              <w:rPr>
                <w:sz w:val="26"/>
                <w:szCs w:val="26"/>
                <w:lang w:val="lv-LV"/>
              </w:rPr>
              <w:t>ietvertā</w:t>
            </w:r>
            <w:r w:rsidR="0001015E" w:rsidRPr="004B0B90">
              <w:rPr>
                <w:sz w:val="26"/>
                <w:szCs w:val="26"/>
                <w:lang w:val="lv-LV"/>
              </w:rPr>
              <w:t xml:space="preserve"> atsauce uz Komisijas Regulas Nr.651/2014 58.panta 4.punktu ir </w:t>
            </w:r>
            <w:r w:rsidR="00AD30BB" w:rsidRPr="004B0B90">
              <w:rPr>
                <w:sz w:val="26"/>
                <w:szCs w:val="26"/>
                <w:lang w:val="lv-LV"/>
              </w:rPr>
              <w:t>nep</w:t>
            </w:r>
            <w:r w:rsidR="000939C7" w:rsidRPr="004B0B90">
              <w:rPr>
                <w:sz w:val="26"/>
                <w:szCs w:val="26"/>
                <w:lang w:val="lv-LV"/>
              </w:rPr>
              <w:t>recīza</w:t>
            </w:r>
            <w:r w:rsidR="0001015E" w:rsidRPr="004B0B90">
              <w:rPr>
                <w:sz w:val="26"/>
                <w:szCs w:val="26"/>
                <w:lang w:val="lv-LV"/>
              </w:rPr>
              <w:t xml:space="preserve">, attiecīgi noteikumu projekts paredz veikt </w:t>
            </w:r>
            <w:r w:rsidR="00AD30BB" w:rsidRPr="004B0B90">
              <w:rPr>
                <w:sz w:val="26"/>
                <w:szCs w:val="26"/>
                <w:lang w:val="lv-LV"/>
              </w:rPr>
              <w:t xml:space="preserve">tehniskus </w:t>
            </w:r>
            <w:r w:rsidR="0001015E" w:rsidRPr="004B0B90">
              <w:rPr>
                <w:sz w:val="26"/>
                <w:szCs w:val="26"/>
                <w:lang w:val="lv-LV"/>
              </w:rPr>
              <w:t>precizējumus MK noteikumu Nr.983 3.punktā, nosakot, ka sākuma kapitāla un riska kapitāla fondi finansējumu sniedz, ievērojot Komisijas Regulas Nr.651/2014 58.panta 3.punkt</w:t>
            </w:r>
            <w:r w:rsidR="00AD30BB" w:rsidRPr="004B0B90">
              <w:rPr>
                <w:sz w:val="26"/>
                <w:szCs w:val="26"/>
                <w:lang w:val="lv-LV"/>
              </w:rPr>
              <w:t xml:space="preserve">ā </w:t>
            </w:r>
            <w:r w:rsidR="000939C7" w:rsidRPr="004B0B90">
              <w:rPr>
                <w:sz w:val="26"/>
                <w:szCs w:val="26"/>
                <w:lang w:val="lv-LV"/>
              </w:rPr>
              <w:t>minēto</w:t>
            </w:r>
            <w:r w:rsidR="0001015E" w:rsidRPr="004B0B90">
              <w:rPr>
                <w:sz w:val="26"/>
                <w:szCs w:val="26"/>
                <w:lang w:val="lv-LV"/>
              </w:rPr>
              <w:t>.</w:t>
            </w:r>
          </w:p>
          <w:p w:rsidR="00AC57A1" w:rsidRDefault="009A2DC3" w:rsidP="00153FB0">
            <w:pPr>
              <w:spacing w:after="240"/>
              <w:ind w:firstLine="709"/>
              <w:jc w:val="both"/>
              <w:rPr>
                <w:sz w:val="26"/>
                <w:szCs w:val="26"/>
                <w:lang w:val="lv-LV"/>
              </w:rPr>
            </w:pPr>
            <w:r w:rsidRPr="006A0A5D">
              <w:rPr>
                <w:sz w:val="26"/>
                <w:szCs w:val="26"/>
                <w:lang w:val="lv-LV"/>
              </w:rPr>
              <w:t>Lai nodrošinātu</w:t>
            </w:r>
            <w:r w:rsidR="00C92BBB" w:rsidRPr="006A0A5D">
              <w:rPr>
                <w:sz w:val="26"/>
                <w:szCs w:val="26"/>
                <w:lang w:val="lv-LV"/>
              </w:rPr>
              <w:t>, ka finansējums 2.2.1.1.aktivitātē ir pietiekošs</w:t>
            </w:r>
            <w:r w:rsidRPr="006A0A5D">
              <w:rPr>
                <w:sz w:val="26"/>
                <w:szCs w:val="26"/>
                <w:lang w:val="lv-LV"/>
              </w:rPr>
              <w:t xml:space="preserve"> </w:t>
            </w:r>
            <w:r w:rsidR="007705C2" w:rsidRPr="006A0A5D">
              <w:rPr>
                <w:sz w:val="26"/>
                <w:szCs w:val="26"/>
                <w:lang w:val="lv-LV"/>
              </w:rPr>
              <w:t xml:space="preserve">noslēgto līgumu ar finanšu starpniekiem ietvaros </w:t>
            </w:r>
            <w:r w:rsidR="00C92BBB" w:rsidRPr="006A0A5D">
              <w:rPr>
                <w:sz w:val="26"/>
                <w:szCs w:val="26"/>
                <w:lang w:val="lv-LV"/>
              </w:rPr>
              <w:t>uzņemto saistību izpildei</w:t>
            </w:r>
            <w:r w:rsidR="003E2744" w:rsidRPr="006A0A5D">
              <w:rPr>
                <w:sz w:val="26"/>
                <w:szCs w:val="26"/>
                <w:lang w:val="lv-LV"/>
              </w:rPr>
              <w:t xml:space="preserve">, tostarp </w:t>
            </w:r>
            <w:r w:rsidR="00C92BBB" w:rsidRPr="006A0A5D">
              <w:rPr>
                <w:sz w:val="26"/>
                <w:szCs w:val="26"/>
                <w:lang w:val="lv-LV"/>
              </w:rPr>
              <w:t xml:space="preserve"> </w:t>
            </w:r>
            <w:r w:rsidR="007705C2" w:rsidRPr="006A0A5D">
              <w:rPr>
                <w:sz w:val="26"/>
                <w:szCs w:val="26"/>
                <w:lang w:val="lv-LV"/>
              </w:rPr>
              <w:t xml:space="preserve">noteikumu projektā paredzētajam </w:t>
            </w:r>
            <w:r w:rsidR="00C92BBB" w:rsidRPr="006A0A5D">
              <w:rPr>
                <w:sz w:val="26"/>
                <w:szCs w:val="26"/>
                <w:lang w:val="lv-LV"/>
              </w:rPr>
              <w:t xml:space="preserve">izaugsmes kapitāla fondu </w:t>
            </w:r>
            <w:r w:rsidR="007705C2" w:rsidRPr="006A0A5D">
              <w:rPr>
                <w:sz w:val="26"/>
                <w:szCs w:val="26"/>
                <w:lang w:val="lv-LV"/>
              </w:rPr>
              <w:t xml:space="preserve">publiskā finansējuma piešķīruma </w:t>
            </w:r>
            <w:r w:rsidR="00C92BBB" w:rsidRPr="006A0A5D">
              <w:rPr>
                <w:sz w:val="26"/>
                <w:szCs w:val="26"/>
                <w:lang w:val="lv-LV"/>
              </w:rPr>
              <w:t>palielinājum</w:t>
            </w:r>
            <w:r w:rsidR="003E2744" w:rsidRPr="006A0A5D">
              <w:rPr>
                <w:sz w:val="26"/>
                <w:szCs w:val="26"/>
                <w:lang w:val="lv-LV"/>
              </w:rPr>
              <w:t>am</w:t>
            </w:r>
            <w:r w:rsidR="007705C2" w:rsidRPr="006A0A5D">
              <w:rPr>
                <w:sz w:val="26"/>
                <w:szCs w:val="26"/>
                <w:lang w:val="lv-LV"/>
              </w:rPr>
              <w:t>, un Altum vadības izmaksu segšanai</w:t>
            </w:r>
            <w:r w:rsidR="00C92BBB" w:rsidRPr="006A0A5D">
              <w:rPr>
                <w:sz w:val="26"/>
                <w:szCs w:val="26"/>
                <w:lang w:val="lv-LV"/>
              </w:rPr>
              <w:t xml:space="preserve"> </w:t>
            </w:r>
            <w:r w:rsidR="003E2744" w:rsidRPr="006A0A5D">
              <w:rPr>
                <w:sz w:val="26"/>
                <w:szCs w:val="26"/>
                <w:lang w:val="lv-LV"/>
              </w:rPr>
              <w:t>(</w:t>
            </w:r>
            <w:r w:rsidR="00C92BBB" w:rsidRPr="006A0A5D">
              <w:rPr>
                <w:sz w:val="26"/>
                <w:szCs w:val="26"/>
                <w:lang w:val="lv-LV"/>
              </w:rPr>
              <w:t xml:space="preserve">uzņemto saistību apmērs </w:t>
            </w:r>
            <w:r w:rsidR="003E2744" w:rsidRPr="006A0A5D">
              <w:rPr>
                <w:sz w:val="26"/>
                <w:szCs w:val="26"/>
                <w:lang w:val="lv-LV"/>
              </w:rPr>
              <w:t xml:space="preserve">2.2.1.1.aktivitātē kopumā </w:t>
            </w:r>
            <w:r w:rsidR="00C92BBB" w:rsidRPr="006A0A5D">
              <w:rPr>
                <w:sz w:val="26"/>
                <w:szCs w:val="26"/>
                <w:lang w:val="lv-LV"/>
              </w:rPr>
              <w:t>sastād</w:t>
            </w:r>
            <w:r w:rsidR="003E2744" w:rsidRPr="006A0A5D">
              <w:rPr>
                <w:sz w:val="26"/>
                <w:szCs w:val="26"/>
                <w:lang w:val="lv-LV"/>
              </w:rPr>
              <w:t>īs</w:t>
            </w:r>
            <w:r w:rsidR="00C92BBB" w:rsidRPr="006A0A5D">
              <w:rPr>
                <w:sz w:val="26"/>
                <w:szCs w:val="26"/>
                <w:lang w:val="lv-LV"/>
              </w:rPr>
              <w:t xml:space="preserve"> </w:t>
            </w:r>
            <w:r w:rsidR="003E2744" w:rsidRPr="006A0A5D">
              <w:rPr>
                <w:sz w:val="26"/>
                <w:szCs w:val="26"/>
                <w:lang w:val="lv-LV"/>
              </w:rPr>
              <w:t xml:space="preserve">87 912 192 </w:t>
            </w:r>
            <w:r w:rsidR="003E2744" w:rsidRPr="006A0A5D">
              <w:rPr>
                <w:i/>
                <w:sz w:val="26"/>
                <w:szCs w:val="26"/>
                <w:lang w:val="lv-LV"/>
              </w:rPr>
              <w:t>euro</w:t>
            </w:r>
            <w:r w:rsidR="006A0A5D">
              <w:rPr>
                <w:sz w:val="26"/>
                <w:szCs w:val="26"/>
                <w:lang w:val="lv-LV"/>
              </w:rPr>
              <w:t>),</w:t>
            </w:r>
            <w:r w:rsidRPr="006A0A5D">
              <w:rPr>
                <w:sz w:val="26"/>
                <w:szCs w:val="26"/>
                <w:lang w:val="lv-LV"/>
              </w:rPr>
              <w:t xml:space="preserve"> </w:t>
            </w:r>
            <w:r w:rsidR="004778D0" w:rsidRPr="006A0A5D">
              <w:rPr>
                <w:sz w:val="26"/>
                <w:szCs w:val="26"/>
                <w:lang w:val="lv-LV"/>
              </w:rPr>
              <w:t xml:space="preserve">EM paredz 2.2.1.1.aktivitātes īstenošanai </w:t>
            </w:r>
            <w:r w:rsidR="009B7D5B" w:rsidRPr="006A0A5D">
              <w:rPr>
                <w:sz w:val="26"/>
                <w:szCs w:val="26"/>
                <w:lang w:val="lv-LV"/>
              </w:rPr>
              <w:t xml:space="preserve">papildus ERAF un </w:t>
            </w:r>
            <w:r w:rsidR="00D577E0" w:rsidRPr="006A0A5D">
              <w:rPr>
                <w:sz w:val="26"/>
                <w:szCs w:val="26"/>
                <w:lang w:val="lv-LV"/>
              </w:rPr>
              <w:t xml:space="preserve">valsts budžeta </w:t>
            </w:r>
            <w:r w:rsidR="009B7D5B" w:rsidRPr="006A0A5D">
              <w:rPr>
                <w:sz w:val="26"/>
                <w:szCs w:val="26"/>
                <w:lang w:val="lv-LV"/>
              </w:rPr>
              <w:t>finansējumam novirzīt</w:t>
            </w:r>
            <w:r w:rsidR="002244A1" w:rsidRPr="006A0A5D">
              <w:rPr>
                <w:sz w:val="26"/>
                <w:szCs w:val="26"/>
                <w:lang w:val="lv-LV"/>
              </w:rPr>
              <w:t xml:space="preserve"> finanšu resursus</w:t>
            </w:r>
            <w:r w:rsidR="007705C2" w:rsidRPr="006A0A5D">
              <w:rPr>
                <w:sz w:val="26"/>
                <w:szCs w:val="26"/>
                <w:lang w:val="lv-LV"/>
              </w:rPr>
              <w:t xml:space="preserve"> 22 646 996 </w:t>
            </w:r>
            <w:r w:rsidR="007705C2" w:rsidRPr="006A0A5D">
              <w:rPr>
                <w:i/>
                <w:sz w:val="26"/>
                <w:szCs w:val="26"/>
                <w:lang w:val="lv-LV"/>
              </w:rPr>
              <w:t>euro</w:t>
            </w:r>
            <w:r w:rsidR="004778D0" w:rsidRPr="006A0A5D">
              <w:rPr>
                <w:sz w:val="26"/>
                <w:szCs w:val="26"/>
                <w:lang w:val="lv-LV"/>
              </w:rPr>
              <w:t xml:space="preserve"> </w:t>
            </w:r>
            <w:r w:rsidR="007705C2" w:rsidRPr="006A0A5D">
              <w:rPr>
                <w:sz w:val="26"/>
                <w:szCs w:val="26"/>
                <w:lang w:val="lv-LV"/>
              </w:rPr>
              <w:t xml:space="preserve">apmērā </w:t>
            </w:r>
            <w:r w:rsidR="004778D0" w:rsidRPr="006A0A5D">
              <w:rPr>
                <w:sz w:val="26"/>
                <w:szCs w:val="26"/>
                <w:lang w:val="lv-LV"/>
              </w:rPr>
              <w:t xml:space="preserve">no šādiem </w:t>
            </w:r>
            <w:r w:rsidR="00153FB0" w:rsidRPr="006A0A5D">
              <w:rPr>
                <w:sz w:val="26"/>
                <w:szCs w:val="26"/>
                <w:lang w:val="lv-LV"/>
              </w:rPr>
              <w:t xml:space="preserve">finanšu </w:t>
            </w:r>
            <w:r w:rsidR="004778D0" w:rsidRPr="006A0A5D">
              <w:rPr>
                <w:sz w:val="26"/>
                <w:szCs w:val="26"/>
                <w:lang w:val="lv-LV"/>
              </w:rPr>
              <w:t>avotiem – 2.2.1.1.aktivitātē gūtajiem ieņēmumiem no brīvo publisko līdzekļu noguldījumiem</w:t>
            </w:r>
            <w:r w:rsidR="003E2744" w:rsidRPr="006A0A5D">
              <w:rPr>
                <w:sz w:val="26"/>
                <w:szCs w:val="26"/>
                <w:lang w:val="lv-LV"/>
              </w:rPr>
              <w:t xml:space="preserve"> 3 566 237 </w:t>
            </w:r>
            <w:r w:rsidR="003E2744" w:rsidRPr="006A0A5D">
              <w:rPr>
                <w:i/>
                <w:sz w:val="26"/>
                <w:szCs w:val="26"/>
                <w:lang w:val="lv-LV"/>
              </w:rPr>
              <w:t>euro</w:t>
            </w:r>
            <w:r w:rsidR="003E2744" w:rsidRPr="006A0A5D">
              <w:rPr>
                <w:sz w:val="26"/>
                <w:szCs w:val="26"/>
                <w:lang w:val="lv-LV"/>
              </w:rPr>
              <w:t xml:space="preserve"> apmērā</w:t>
            </w:r>
            <w:r w:rsidR="006A0A5D">
              <w:rPr>
                <w:sz w:val="26"/>
                <w:szCs w:val="26"/>
                <w:lang w:val="lv-LV"/>
              </w:rPr>
              <w:t xml:space="preserve"> un atmaksātā publiskā f</w:t>
            </w:r>
            <w:r w:rsidR="004778D0" w:rsidRPr="006A0A5D">
              <w:rPr>
                <w:sz w:val="26"/>
                <w:szCs w:val="26"/>
                <w:lang w:val="lv-LV"/>
              </w:rPr>
              <w:t xml:space="preserve">inansējuma 2.2.1.3.aktivitātē „Garantijas komersantu konkurētspējas uzlabošanai” </w:t>
            </w:r>
            <w:r w:rsidR="009B7D5B" w:rsidRPr="006A0A5D">
              <w:rPr>
                <w:sz w:val="26"/>
                <w:szCs w:val="26"/>
                <w:lang w:val="lv-LV"/>
              </w:rPr>
              <w:t>(turpmāk – 2.2.1.3.aktivitāte)</w:t>
            </w:r>
            <w:r w:rsidR="00495168" w:rsidRPr="006A0A5D">
              <w:rPr>
                <w:sz w:val="26"/>
                <w:szCs w:val="26"/>
                <w:lang w:val="lv-LV"/>
              </w:rPr>
              <w:t xml:space="preserve"> 14 066 540 </w:t>
            </w:r>
            <w:r w:rsidR="00495168" w:rsidRPr="006A0A5D">
              <w:rPr>
                <w:i/>
                <w:sz w:val="26"/>
                <w:szCs w:val="26"/>
                <w:lang w:val="lv-LV"/>
              </w:rPr>
              <w:t>euro</w:t>
            </w:r>
            <w:r w:rsidR="00495168" w:rsidRPr="006A0A5D">
              <w:rPr>
                <w:sz w:val="26"/>
                <w:szCs w:val="26"/>
                <w:lang w:val="lv-LV"/>
              </w:rPr>
              <w:t xml:space="preserve"> apmērā un</w:t>
            </w:r>
            <w:r w:rsidR="009B7D5B" w:rsidRPr="006A0A5D">
              <w:rPr>
                <w:sz w:val="26"/>
                <w:szCs w:val="26"/>
                <w:lang w:val="lv-LV"/>
              </w:rPr>
              <w:t xml:space="preserve"> </w:t>
            </w:r>
            <w:r w:rsidR="00495168" w:rsidRPr="006A0A5D">
              <w:rPr>
                <w:sz w:val="26"/>
                <w:szCs w:val="26"/>
                <w:lang w:val="lv-LV"/>
              </w:rPr>
              <w:t xml:space="preserve">2.2.1.4.1.apakšaktivitātē „Atbalsts aizdevumu veidā komersantu konkurētspējas uzlabošanai” (turpmāk – 2.2.1.4.1.apakšaktivitāte) 5 014 219 </w:t>
            </w:r>
            <w:r w:rsidR="003E2744" w:rsidRPr="006A0A5D">
              <w:rPr>
                <w:i/>
                <w:sz w:val="26"/>
                <w:szCs w:val="26"/>
                <w:lang w:val="lv-LV"/>
              </w:rPr>
              <w:t xml:space="preserve">euro </w:t>
            </w:r>
            <w:r w:rsidR="003E2744" w:rsidRPr="006A0A5D">
              <w:rPr>
                <w:sz w:val="26"/>
                <w:szCs w:val="26"/>
                <w:lang w:val="lv-LV"/>
              </w:rPr>
              <w:t>apmērā.</w:t>
            </w:r>
          </w:p>
          <w:p w:rsidR="00AC57A1" w:rsidRPr="0054353F" w:rsidRDefault="00AC57A1" w:rsidP="00AB6857">
            <w:pPr>
              <w:spacing w:after="240"/>
              <w:ind w:firstLine="709"/>
              <w:jc w:val="both"/>
              <w:rPr>
                <w:sz w:val="26"/>
                <w:szCs w:val="26"/>
                <w:lang w:val="lv-LV"/>
              </w:rPr>
            </w:pPr>
            <w:r w:rsidRPr="0054353F">
              <w:rPr>
                <w:sz w:val="26"/>
                <w:szCs w:val="26"/>
                <w:lang w:val="lv-LV"/>
              </w:rPr>
              <w:t xml:space="preserve">Atbilstoši </w:t>
            </w:r>
            <w:r w:rsidR="00593721" w:rsidRPr="0054353F">
              <w:rPr>
                <w:sz w:val="26"/>
                <w:szCs w:val="26"/>
                <w:lang w:val="lv-LV"/>
              </w:rPr>
              <w:t xml:space="preserve">EM izstrādātajam </w:t>
            </w:r>
            <w:r w:rsidR="00D44154" w:rsidRPr="0054353F">
              <w:rPr>
                <w:sz w:val="26"/>
                <w:szCs w:val="26"/>
                <w:lang w:val="lv-LV"/>
              </w:rPr>
              <w:t xml:space="preserve">un 2015.gada 30.aprīļa Uzraudzības komitejā apstiprinātajam </w:t>
            </w:r>
            <w:r w:rsidRPr="0054353F">
              <w:rPr>
                <w:sz w:val="26"/>
                <w:szCs w:val="26"/>
                <w:lang w:val="lv-LV"/>
              </w:rPr>
              <w:t>tirgus nepilnību izvērtējumam</w:t>
            </w:r>
            <w:r w:rsidR="000F126E" w:rsidRPr="0054353F">
              <w:rPr>
                <w:sz w:val="26"/>
                <w:szCs w:val="26"/>
                <w:lang w:val="lv-LV"/>
              </w:rPr>
              <w:t xml:space="preserve"> un</w:t>
            </w:r>
            <w:r w:rsidR="00593721" w:rsidRPr="0054353F">
              <w:rPr>
                <w:sz w:val="26"/>
                <w:szCs w:val="26"/>
                <w:lang w:val="lv-LV"/>
              </w:rPr>
              <w:t xml:space="preserve"> </w:t>
            </w:r>
            <w:r w:rsidR="00AB6857" w:rsidRPr="0054353F">
              <w:rPr>
                <w:sz w:val="26"/>
                <w:szCs w:val="26"/>
                <w:lang w:val="lv-LV"/>
              </w:rPr>
              <w:t>2015.gada 30.jūnija</w:t>
            </w:r>
            <w:r w:rsidR="00593721" w:rsidRPr="0054353F">
              <w:rPr>
                <w:sz w:val="26"/>
                <w:szCs w:val="26"/>
                <w:lang w:val="lv-LV"/>
              </w:rPr>
              <w:t xml:space="preserve"> Ministru kabineta sēdes protokollēmuma 72.§ 6.punktam</w:t>
            </w:r>
            <w:r w:rsidR="00D44154" w:rsidRPr="0054353F">
              <w:rPr>
                <w:sz w:val="26"/>
                <w:szCs w:val="26"/>
                <w:lang w:val="lv-LV"/>
              </w:rPr>
              <w:t xml:space="preserve"> </w:t>
            </w:r>
            <w:r w:rsidR="00AB6857" w:rsidRPr="0054353F">
              <w:rPr>
                <w:sz w:val="26"/>
                <w:szCs w:val="26"/>
                <w:lang w:val="lv-LV"/>
              </w:rPr>
              <w:t xml:space="preserve">daļu no </w:t>
            </w:r>
            <w:r w:rsidR="00593721" w:rsidRPr="0054353F">
              <w:rPr>
                <w:sz w:val="26"/>
                <w:szCs w:val="26"/>
                <w:lang w:val="lv-LV"/>
              </w:rPr>
              <w:t>2007.-2013.gada plānošanas perioda finanšu instrume</w:t>
            </w:r>
            <w:r w:rsidR="000F126E" w:rsidRPr="0054353F">
              <w:rPr>
                <w:sz w:val="26"/>
                <w:szCs w:val="26"/>
                <w:lang w:val="lv-LV"/>
              </w:rPr>
              <w:t xml:space="preserve">ntos atmaksātā publiskā finansējuma ir </w:t>
            </w:r>
            <w:r w:rsidR="00593721" w:rsidRPr="0054353F">
              <w:rPr>
                <w:sz w:val="26"/>
                <w:szCs w:val="26"/>
                <w:lang w:val="lv-LV"/>
              </w:rPr>
              <w:t xml:space="preserve">paredzēts izmantot, lai </w:t>
            </w:r>
            <w:r w:rsidR="0054353F" w:rsidRPr="0054353F">
              <w:rPr>
                <w:sz w:val="26"/>
                <w:szCs w:val="26"/>
                <w:lang w:val="lv-LV"/>
              </w:rPr>
              <w:t xml:space="preserve">Altum </w:t>
            </w:r>
            <w:r w:rsidR="000F126E" w:rsidRPr="0054353F">
              <w:rPr>
                <w:sz w:val="26"/>
                <w:szCs w:val="26"/>
                <w:lang w:val="lv-LV"/>
              </w:rPr>
              <w:t>veiktu</w:t>
            </w:r>
            <w:r w:rsidR="00593721" w:rsidRPr="0054353F">
              <w:rPr>
                <w:sz w:val="26"/>
                <w:szCs w:val="26"/>
                <w:lang w:val="lv-LV"/>
              </w:rPr>
              <w:t xml:space="preserve"> i</w:t>
            </w:r>
            <w:r w:rsidR="0054353F" w:rsidRPr="0054353F">
              <w:rPr>
                <w:sz w:val="26"/>
                <w:szCs w:val="26"/>
                <w:lang w:val="lv-LV"/>
              </w:rPr>
              <w:t>emaksas</w:t>
            </w:r>
            <w:r w:rsidR="00593721" w:rsidRPr="0054353F">
              <w:rPr>
                <w:sz w:val="26"/>
                <w:szCs w:val="26"/>
                <w:lang w:val="lv-LV"/>
              </w:rPr>
              <w:t xml:space="preserve"> </w:t>
            </w:r>
            <w:r w:rsidR="00593721" w:rsidRPr="0054353F">
              <w:rPr>
                <w:sz w:val="26"/>
                <w:szCs w:val="26"/>
                <w:lang w:val="lv-LV"/>
              </w:rPr>
              <w:lastRenderedPageBreak/>
              <w:t>Baltijas Inovāciju fondā</w:t>
            </w:r>
            <w:r w:rsidR="000F126E" w:rsidRPr="0054353F">
              <w:rPr>
                <w:sz w:val="26"/>
                <w:szCs w:val="26"/>
                <w:lang w:val="lv-LV"/>
              </w:rPr>
              <w:t xml:space="preserve"> un lai</w:t>
            </w:r>
            <w:r w:rsidR="00D44154" w:rsidRPr="0054353F">
              <w:rPr>
                <w:sz w:val="26"/>
                <w:szCs w:val="26"/>
                <w:lang w:val="lv-LV"/>
              </w:rPr>
              <w:t xml:space="preserve"> </w:t>
            </w:r>
            <w:r w:rsidR="0054353F" w:rsidRPr="0054353F">
              <w:rPr>
                <w:sz w:val="26"/>
                <w:szCs w:val="26"/>
                <w:lang w:val="lv-LV"/>
              </w:rPr>
              <w:t>līdz</w:t>
            </w:r>
            <w:r w:rsidR="00AB6857" w:rsidRPr="0054353F">
              <w:rPr>
                <w:sz w:val="26"/>
                <w:szCs w:val="26"/>
                <w:lang w:val="lv-LV"/>
              </w:rPr>
              <w:t>finansētu 2014.-2020.gada plānošanas perioda finanšu instrumentus. Saskaņā ar</w:t>
            </w:r>
            <w:r w:rsidR="00593721" w:rsidRPr="0054353F">
              <w:rPr>
                <w:sz w:val="26"/>
                <w:szCs w:val="26"/>
                <w:lang w:val="lv-LV"/>
              </w:rPr>
              <w:t xml:space="preserve"> 2015.gada 30.jūnijā Ministru kabineta sēdē apstiprināt</w:t>
            </w:r>
            <w:r w:rsidR="00AB6857" w:rsidRPr="0054353F">
              <w:rPr>
                <w:sz w:val="26"/>
                <w:szCs w:val="26"/>
                <w:lang w:val="lv-LV"/>
              </w:rPr>
              <w:t>o</w:t>
            </w:r>
            <w:r w:rsidR="00593721" w:rsidRPr="0054353F">
              <w:rPr>
                <w:sz w:val="26"/>
                <w:szCs w:val="26"/>
                <w:lang w:val="lv-LV"/>
              </w:rPr>
              <w:t xml:space="preserve"> informat</w:t>
            </w:r>
            <w:r w:rsidR="00AB6857" w:rsidRPr="0054353F">
              <w:rPr>
                <w:sz w:val="26"/>
                <w:szCs w:val="26"/>
                <w:lang w:val="lv-LV"/>
              </w:rPr>
              <w:t>īvo</w:t>
            </w:r>
            <w:r w:rsidR="00593721" w:rsidRPr="0054353F">
              <w:rPr>
                <w:sz w:val="26"/>
                <w:szCs w:val="26"/>
                <w:lang w:val="lv-LV"/>
              </w:rPr>
              <w:t xml:space="preserve"> zi</w:t>
            </w:r>
            <w:r w:rsidR="00D44154" w:rsidRPr="0054353F">
              <w:rPr>
                <w:sz w:val="26"/>
                <w:szCs w:val="26"/>
                <w:lang w:val="lv-LV"/>
              </w:rPr>
              <w:t>ņojum</w:t>
            </w:r>
            <w:r w:rsidR="00AB6857" w:rsidRPr="0054353F">
              <w:rPr>
                <w:sz w:val="26"/>
                <w:szCs w:val="26"/>
                <w:lang w:val="lv-LV"/>
              </w:rPr>
              <w:t>u</w:t>
            </w:r>
            <w:r w:rsidR="00D44154" w:rsidRPr="0054353F">
              <w:rPr>
                <w:sz w:val="26"/>
                <w:szCs w:val="26"/>
                <w:lang w:val="lv-LV"/>
              </w:rPr>
              <w:t xml:space="preserve"> „Par Baltijas Inovāciju fondu un finansējuma palielinājumu”</w:t>
            </w:r>
            <w:r w:rsidRPr="0054353F">
              <w:rPr>
                <w:sz w:val="26"/>
                <w:szCs w:val="26"/>
                <w:lang w:val="lv-LV"/>
              </w:rPr>
              <w:t xml:space="preserve"> </w:t>
            </w:r>
            <w:r w:rsidR="00AB6857" w:rsidRPr="0054353F">
              <w:rPr>
                <w:sz w:val="26"/>
                <w:szCs w:val="26"/>
                <w:lang w:val="lv-LV"/>
              </w:rPr>
              <w:t xml:space="preserve">periodā līdz 2028.gadam </w:t>
            </w:r>
            <w:r w:rsidRPr="0054353F">
              <w:rPr>
                <w:sz w:val="26"/>
                <w:szCs w:val="26"/>
                <w:lang w:val="lv-LV"/>
              </w:rPr>
              <w:t>iemaksām B</w:t>
            </w:r>
            <w:r w:rsidR="000F126E" w:rsidRPr="0054353F">
              <w:rPr>
                <w:sz w:val="26"/>
                <w:szCs w:val="26"/>
                <w:lang w:val="lv-LV"/>
              </w:rPr>
              <w:t>altijas Inovāciju fondā vēl ir</w:t>
            </w:r>
            <w:r w:rsidRPr="0054353F">
              <w:rPr>
                <w:sz w:val="26"/>
                <w:szCs w:val="26"/>
                <w:lang w:val="lv-LV"/>
              </w:rPr>
              <w:t xml:space="preserve"> </w:t>
            </w:r>
            <w:r w:rsidR="00AB6857" w:rsidRPr="0054353F">
              <w:rPr>
                <w:sz w:val="26"/>
                <w:szCs w:val="26"/>
                <w:lang w:val="lv-LV"/>
              </w:rPr>
              <w:t xml:space="preserve">nepieciešams novirzīt atmaksāto finansējumu 24 407 100 </w:t>
            </w:r>
            <w:r w:rsidR="00AB6857" w:rsidRPr="00276682">
              <w:rPr>
                <w:i/>
                <w:sz w:val="26"/>
                <w:szCs w:val="26"/>
                <w:lang w:val="lv-LV"/>
              </w:rPr>
              <w:t>euro</w:t>
            </w:r>
            <w:r w:rsidR="00AB6857" w:rsidRPr="0054353F">
              <w:rPr>
                <w:sz w:val="26"/>
                <w:szCs w:val="26"/>
                <w:lang w:val="lv-LV"/>
              </w:rPr>
              <w:t xml:space="preserve"> apmērā.</w:t>
            </w:r>
            <w:r w:rsidR="00CB0E3D" w:rsidRPr="0054353F">
              <w:rPr>
                <w:sz w:val="26"/>
                <w:szCs w:val="26"/>
                <w:lang w:val="lv-LV"/>
              </w:rPr>
              <w:t xml:space="preserve"> Savukārt</w:t>
            </w:r>
            <w:r w:rsidR="00AB6857" w:rsidRPr="0054353F">
              <w:rPr>
                <w:sz w:val="26"/>
                <w:szCs w:val="26"/>
                <w:lang w:val="lv-LV"/>
              </w:rPr>
              <w:t xml:space="preserve"> </w:t>
            </w:r>
            <w:r w:rsidR="00CB0E3D" w:rsidRPr="0054353F">
              <w:rPr>
                <w:sz w:val="26"/>
                <w:szCs w:val="26"/>
                <w:lang w:val="lv-LV"/>
              </w:rPr>
              <w:t>t</w:t>
            </w:r>
            <w:r w:rsidR="00AB6857" w:rsidRPr="0054353F">
              <w:rPr>
                <w:sz w:val="26"/>
                <w:szCs w:val="26"/>
                <w:lang w:val="lv-LV"/>
              </w:rPr>
              <w:t xml:space="preserve">irgus nepilnību izvērtējums paredz </w:t>
            </w:r>
            <w:r w:rsidR="000F126E" w:rsidRPr="0054353F">
              <w:rPr>
                <w:sz w:val="26"/>
                <w:szCs w:val="26"/>
                <w:lang w:val="lv-LV"/>
              </w:rPr>
              <w:t>2007.-2013.gada plānošanas perioda finanšu instrumentos atmaksā publiskā finansējuma daļu</w:t>
            </w:r>
            <w:r w:rsidR="00AB6857" w:rsidRPr="0054353F">
              <w:rPr>
                <w:sz w:val="26"/>
                <w:szCs w:val="26"/>
                <w:lang w:val="lv-LV"/>
              </w:rPr>
              <w:t xml:space="preserve"> 23 000 000 </w:t>
            </w:r>
            <w:r w:rsidR="00AB6857" w:rsidRPr="00276682">
              <w:rPr>
                <w:i/>
                <w:sz w:val="26"/>
                <w:szCs w:val="26"/>
                <w:lang w:val="lv-LV"/>
              </w:rPr>
              <w:t>euro</w:t>
            </w:r>
            <w:r w:rsidR="00CB0E3D" w:rsidRPr="0054353F">
              <w:rPr>
                <w:sz w:val="26"/>
                <w:szCs w:val="26"/>
                <w:lang w:val="lv-LV"/>
              </w:rPr>
              <w:t xml:space="preserve"> novirzīt</w:t>
            </w:r>
            <w:r w:rsidR="000F126E" w:rsidRPr="0054353F">
              <w:rPr>
                <w:sz w:val="26"/>
                <w:szCs w:val="26"/>
                <w:lang w:val="lv-LV"/>
              </w:rPr>
              <w:t xml:space="preserve"> </w:t>
            </w:r>
            <w:r w:rsidR="00CB0E3D" w:rsidRPr="0054353F">
              <w:rPr>
                <w:sz w:val="26"/>
                <w:szCs w:val="26"/>
                <w:lang w:val="lv-LV"/>
              </w:rPr>
              <w:t xml:space="preserve">finanšu instrumentu finansēšanai 2014.-2020.gada plānošanas periodā. </w:t>
            </w:r>
            <w:r w:rsidR="000F126E" w:rsidRPr="0054353F">
              <w:rPr>
                <w:sz w:val="26"/>
                <w:szCs w:val="26"/>
                <w:lang w:val="lv-LV"/>
              </w:rPr>
              <w:t>EM</w:t>
            </w:r>
            <w:r w:rsidRPr="0054353F">
              <w:rPr>
                <w:sz w:val="26"/>
                <w:szCs w:val="26"/>
                <w:lang w:val="lv-LV"/>
              </w:rPr>
              <w:t xml:space="preserve"> apliecina, ka noteikumu projekts nerada risku</w:t>
            </w:r>
            <w:r w:rsidR="00AB6857" w:rsidRPr="0054353F">
              <w:rPr>
                <w:sz w:val="26"/>
                <w:szCs w:val="26"/>
                <w:lang w:val="lv-LV"/>
              </w:rPr>
              <w:t>s</w:t>
            </w:r>
            <w:r w:rsidRPr="0054353F">
              <w:rPr>
                <w:sz w:val="26"/>
                <w:szCs w:val="26"/>
                <w:lang w:val="lv-LV"/>
              </w:rPr>
              <w:t xml:space="preserve"> </w:t>
            </w:r>
            <w:r w:rsidR="00AB6857" w:rsidRPr="0054353F">
              <w:rPr>
                <w:sz w:val="26"/>
                <w:szCs w:val="26"/>
                <w:lang w:val="lv-LV"/>
              </w:rPr>
              <w:t>iemaksu</w:t>
            </w:r>
            <w:r w:rsidRPr="0054353F">
              <w:rPr>
                <w:sz w:val="26"/>
                <w:szCs w:val="26"/>
                <w:lang w:val="lv-LV"/>
              </w:rPr>
              <w:t xml:space="preserve"> B</w:t>
            </w:r>
            <w:r w:rsidR="00AB6857" w:rsidRPr="0054353F">
              <w:rPr>
                <w:sz w:val="26"/>
                <w:szCs w:val="26"/>
                <w:lang w:val="lv-LV"/>
              </w:rPr>
              <w:t>a</w:t>
            </w:r>
            <w:r w:rsidR="000F126E" w:rsidRPr="0054353F">
              <w:rPr>
                <w:sz w:val="26"/>
                <w:szCs w:val="26"/>
                <w:lang w:val="lv-LV"/>
              </w:rPr>
              <w:t>ltijas</w:t>
            </w:r>
            <w:r w:rsidR="00AB6857" w:rsidRPr="0054353F">
              <w:rPr>
                <w:sz w:val="26"/>
                <w:szCs w:val="26"/>
                <w:lang w:val="lv-LV"/>
              </w:rPr>
              <w:t xml:space="preserve"> Inovā</w:t>
            </w:r>
            <w:r w:rsidR="000F126E" w:rsidRPr="0054353F">
              <w:rPr>
                <w:sz w:val="26"/>
                <w:szCs w:val="26"/>
                <w:lang w:val="lv-LV"/>
              </w:rPr>
              <w:t>ciju</w:t>
            </w:r>
            <w:r w:rsidR="00AB6857" w:rsidRPr="0054353F">
              <w:rPr>
                <w:sz w:val="26"/>
                <w:szCs w:val="26"/>
                <w:lang w:val="lv-LV"/>
              </w:rPr>
              <w:t xml:space="preserve"> fondā veikšanai </w:t>
            </w:r>
            <w:r w:rsidR="000F126E" w:rsidRPr="0054353F">
              <w:rPr>
                <w:sz w:val="26"/>
                <w:szCs w:val="26"/>
                <w:lang w:val="lv-LV"/>
              </w:rPr>
              <w:t xml:space="preserve">līdz 2028.gadam </w:t>
            </w:r>
            <w:r w:rsidR="00AB6857" w:rsidRPr="0054353F">
              <w:rPr>
                <w:sz w:val="26"/>
                <w:szCs w:val="26"/>
                <w:lang w:val="lv-LV"/>
              </w:rPr>
              <w:t xml:space="preserve">un 2014.-2020.gada plānošanas perioda finanšu instrumentu </w:t>
            </w:r>
            <w:r w:rsidR="000F126E" w:rsidRPr="0054353F">
              <w:rPr>
                <w:sz w:val="26"/>
                <w:szCs w:val="26"/>
                <w:lang w:val="lv-LV"/>
              </w:rPr>
              <w:t>līdz</w:t>
            </w:r>
            <w:r w:rsidR="00AB6857" w:rsidRPr="0054353F">
              <w:rPr>
                <w:sz w:val="26"/>
                <w:szCs w:val="26"/>
                <w:lang w:val="lv-LV"/>
              </w:rPr>
              <w:t xml:space="preserve">finansēšanai minētajā apmērā. </w:t>
            </w:r>
            <w:r w:rsidRPr="0054353F">
              <w:rPr>
                <w:sz w:val="26"/>
                <w:szCs w:val="26"/>
                <w:lang w:val="lv-LV"/>
              </w:rPr>
              <w:t xml:space="preserve"> </w:t>
            </w:r>
          </w:p>
          <w:p w:rsidR="00896FBF" w:rsidRDefault="003E2744" w:rsidP="00326013">
            <w:pPr>
              <w:spacing w:after="240"/>
              <w:ind w:firstLine="709"/>
              <w:jc w:val="both"/>
              <w:rPr>
                <w:sz w:val="26"/>
                <w:szCs w:val="26"/>
                <w:lang w:val="lv-LV"/>
              </w:rPr>
            </w:pPr>
            <w:r>
              <w:rPr>
                <w:sz w:val="26"/>
                <w:szCs w:val="26"/>
                <w:lang w:val="lv-LV"/>
              </w:rPr>
              <w:t xml:space="preserve"> </w:t>
            </w:r>
            <w:r w:rsidR="002244A1">
              <w:rPr>
                <w:sz w:val="26"/>
                <w:szCs w:val="26"/>
                <w:lang w:val="lv-LV"/>
              </w:rPr>
              <w:t xml:space="preserve">Atbilstoši </w:t>
            </w:r>
            <w:r w:rsidR="00896FBF">
              <w:rPr>
                <w:sz w:val="26"/>
                <w:szCs w:val="26"/>
                <w:lang w:val="lv-LV"/>
              </w:rPr>
              <w:t>nozares praksei</w:t>
            </w:r>
            <w:r w:rsidR="002244A1">
              <w:rPr>
                <w:sz w:val="26"/>
                <w:szCs w:val="26"/>
                <w:lang w:val="lv-LV"/>
              </w:rPr>
              <w:t xml:space="preserve"> </w:t>
            </w:r>
            <w:r w:rsidR="00153FB0">
              <w:rPr>
                <w:sz w:val="26"/>
                <w:szCs w:val="26"/>
                <w:lang w:val="lv-LV"/>
              </w:rPr>
              <w:t xml:space="preserve">vadības izmaksas </w:t>
            </w:r>
            <w:r w:rsidR="001E2682">
              <w:rPr>
                <w:sz w:val="26"/>
                <w:szCs w:val="26"/>
                <w:lang w:val="lv-LV"/>
              </w:rPr>
              <w:t xml:space="preserve">fondu pārvaldniekiem </w:t>
            </w:r>
            <w:r w:rsidR="00153FB0">
              <w:rPr>
                <w:sz w:val="26"/>
                <w:szCs w:val="26"/>
                <w:lang w:val="lv-LV"/>
              </w:rPr>
              <w:t xml:space="preserve">rodas </w:t>
            </w:r>
            <w:r w:rsidR="001E2682">
              <w:rPr>
                <w:sz w:val="26"/>
                <w:szCs w:val="26"/>
                <w:lang w:val="lv-LV"/>
              </w:rPr>
              <w:t>gan</w:t>
            </w:r>
            <w:r w:rsidR="00153FB0">
              <w:rPr>
                <w:sz w:val="26"/>
                <w:szCs w:val="26"/>
                <w:lang w:val="lv-LV"/>
              </w:rPr>
              <w:t xml:space="preserve"> investīciju periodā, </w:t>
            </w:r>
            <w:r w:rsidR="001E2682">
              <w:rPr>
                <w:sz w:val="26"/>
                <w:szCs w:val="26"/>
                <w:lang w:val="lv-LV"/>
              </w:rPr>
              <w:t>gan</w:t>
            </w:r>
            <w:r w:rsidR="00153FB0">
              <w:rPr>
                <w:sz w:val="26"/>
                <w:szCs w:val="26"/>
                <w:lang w:val="lv-LV"/>
              </w:rPr>
              <w:t xml:space="preserve"> arī pēc investīciju perioda beigām</w:t>
            </w:r>
            <w:r w:rsidR="001E2682">
              <w:rPr>
                <w:sz w:val="26"/>
                <w:szCs w:val="26"/>
                <w:lang w:val="lv-LV"/>
              </w:rPr>
              <w:t xml:space="preserve"> dēļ nepieciešamības nodrošināt</w:t>
            </w:r>
            <w:r w:rsidR="00153FB0">
              <w:rPr>
                <w:sz w:val="26"/>
                <w:szCs w:val="26"/>
                <w:lang w:val="lv-LV"/>
              </w:rPr>
              <w:t xml:space="preserve"> portfeļa pārvaldīšan</w:t>
            </w:r>
            <w:r w:rsidR="001E2682">
              <w:rPr>
                <w:sz w:val="26"/>
                <w:szCs w:val="26"/>
                <w:lang w:val="lv-LV"/>
              </w:rPr>
              <w:t>u</w:t>
            </w:r>
            <w:r w:rsidR="00153FB0">
              <w:rPr>
                <w:sz w:val="26"/>
                <w:szCs w:val="26"/>
                <w:lang w:val="lv-LV"/>
              </w:rPr>
              <w:t xml:space="preserve"> līdz </w:t>
            </w:r>
            <w:r w:rsidR="001E2682">
              <w:rPr>
                <w:sz w:val="26"/>
                <w:szCs w:val="26"/>
                <w:lang w:val="lv-LV"/>
              </w:rPr>
              <w:t xml:space="preserve">attiecīgā </w:t>
            </w:r>
            <w:r w:rsidR="00153FB0">
              <w:rPr>
                <w:sz w:val="26"/>
                <w:szCs w:val="26"/>
                <w:lang w:val="lv-LV"/>
              </w:rPr>
              <w:t>fonda slēgšanai</w:t>
            </w:r>
            <w:r w:rsidR="00B1118A">
              <w:rPr>
                <w:sz w:val="26"/>
                <w:szCs w:val="26"/>
                <w:lang w:val="lv-LV"/>
              </w:rPr>
              <w:t>.</w:t>
            </w:r>
            <w:r w:rsidR="00153FB0">
              <w:rPr>
                <w:sz w:val="26"/>
                <w:szCs w:val="26"/>
                <w:lang w:val="lv-LV"/>
              </w:rPr>
              <w:t xml:space="preserve"> </w:t>
            </w:r>
            <w:r w:rsidR="001E2682">
              <w:rPr>
                <w:sz w:val="26"/>
                <w:szCs w:val="26"/>
                <w:lang w:val="lv-LV"/>
              </w:rPr>
              <w:t>Eiropas Savienības un nacionālā līmeņa tiesību akti neierobežo finanšu instrumentos a</w:t>
            </w:r>
            <w:r w:rsidR="002244A1">
              <w:rPr>
                <w:sz w:val="26"/>
                <w:szCs w:val="26"/>
                <w:lang w:val="lv-LV"/>
              </w:rPr>
              <w:t>tmaksāt</w:t>
            </w:r>
            <w:r w:rsidR="001E2682">
              <w:rPr>
                <w:sz w:val="26"/>
                <w:szCs w:val="26"/>
                <w:lang w:val="lv-LV"/>
              </w:rPr>
              <w:t>ā</w:t>
            </w:r>
            <w:r w:rsidR="002244A1">
              <w:rPr>
                <w:sz w:val="26"/>
                <w:szCs w:val="26"/>
                <w:lang w:val="lv-LV"/>
              </w:rPr>
              <w:t xml:space="preserve"> </w:t>
            </w:r>
            <w:r w:rsidR="00B1118A">
              <w:rPr>
                <w:sz w:val="26"/>
                <w:szCs w:val="26"/>
                <w:lang w:val="lv-LV"/>
              </w:rPr>
              <w:t xml:space="preserve">publiskā </w:t>
            </w:r>
            <w:r w:rsidR="002244A1">
              <w:rPr>
                <w:sz w:val="26"/>
                <w:szCs w:val="26"/>
                <w:lang w:val="lv-LV"/>
              </w:rPr>
              <w:t xml:space="preserve">finansējuma </w:t>
            </w:r>
            <w:r w:rsidR="001E2682">
              <w:rPr>
                <w:sz w:val="26"/>
                <w:szCs w:val="26"/>
                <w:lang w:val="lv-LV"/>
              </w:rPr>
              <w:t xml:space="preserve">izmantošanas termiņu, attiecīgi </w:t>
            </w:r>
            <w:r w:rsidR="002244A1">
              <w:rPr>
                <w:sz w:val="26"/>
                <w:szCs w:val="26"/>
                <w:lang w:val="lv-LV"/>
              </w:rPr>
              <w:t xml:space="preserve">šāda papildus finanšu resursu pieejamība </w:t>
            </w:r>
            <w:r w:rsidR="009B7D5B">
              <w:rPr>
                <w:sz w:val="26"/>
                <w:szCs w:val="26"/>
                <w:lang w:val="lv-LV"/>
              </w:rPr>
              <w:t xml:space="preserve">no </w:t>
            </w:r>
            <w:r w:rsidR="00896FBF">
              <w:rPr>
                <w:sz w:val="26"/>
                <w:szCs w:val="26"/>
                <w:lang w:val="lv-LV"/>
              </w:rPr>
              <w:t xml:space="preserve">atmaksātā finansējuma </w:t>
            </w:r>
            <w:r w:rsidR="001E2682">
              <w:rPr>
                <w:sz w:val="26"/>
                <w:szCs w:val="26"/>
                <w:lang w:val="lv-LV"/>
              </w:rPr>
              <w:t>2.2.1.3.aktivitātē un 2.2.1.4.1.</w:t>
            </w:r>
            <w:r w:rsidR="001022A6">
              <w:rPr>
                <w:sz w:val="26"/>
                <w:szCs w:val="26"/>
                <w:lang w:val="lv-LV"/>
              </w:rPr>
              <w:t>apakš</w:t>
            </w:r>
            <w:r w:rsidR="001E2682">
              <w:rPr>
                <w:sz w:val="26"/>
                <w:szCs w:val="26"/>
                <w:lang w:val="lv-LV"/>
              </w:rPr>
              <w:t xml:space="preserve">aktivitātē </w:t>
            </w:r>
            <w:r w:rsidR="002244A1">
              <w:rPr>
                <w:sz w:val="26"/>
                <w:szCs w:val="26"/>
                <w:lang w:val="lv-LV"/>
              </w:rPr>
              <w:t xml:space="preserve">ir būtiska, lai nodrošinātu </w:t>
            </w:r>
            <w:r w:rsidR="001E2682">
              <w:rPr>
                <w:sz w:val="26"/>
                <w:szCs w:val="26"/>
                <w:lang w:val="lv-LV"/>
              </w:rPr>
              <w:t xml:space="preserve">iespējas EM attiecināt un Altum apmaksāt vadības izdevumus </w:t>
            </w:r>
            <w:r w:rsidR="00684B86" w:rsidRPr="00684B86">
              <w:rPr>
                <w:sz w:val="26"/>
                <w:szCs w:val="26"/>
                <w:lang w:val="lv-LV"/>
              </w:rPr>
              <w:t>sagatavošanas kapitāla, sākuma kapitāla, riska kapitāla un izaugsmes kapitāla fondiem</w:t>
            </w:r>
            <w:r w:rsidR="00684B86">
              <w:rPr>
                <w:sz w:val="26"/>
                <w:szCs w:val="26"/>
                <w:lang w:val="lv-LV"/>
              </w:rPr>
              <w:t xml:space="preserve"> </w:t>
            </w:r>
            <w:r w:rsidR="001022A6">
              <w:rPr>
                <w:sz w:val="26"/>
                <w:szCs w:val="26"/>
                <w:lang w:val="lv-LV"/>
              </w:rPr>
              <w:t xml:space="preserve">un finansēt </w:t>
            </w:r>
            <w:r w:rsidR="00684B86">
              <w:rPr>
                <w:sz w:val="26"/>
                <w:szCs w:val="26"/>
                <w:lang w:val="lv-LV"/>
              </w:rPr>
              <w:t>tālākās investīcijas portfelī esošajos komersantos</w:t>
            </w:r>
            <w:r w:rsidR="001022A6">
              <w:rPr>
                <w:sz w:val="26"/>
                <w:szCs w:val="26"/>
                <w:lang w:val="lv-LV"/>
              </w:rPr>
              <w:t xml:space="preserve"> </w:t>
            </w:r>
            <w:r w:rsidR="002244A1">
              <w:rPr>
                <w:sz w:val="26"/>
                <w:szCs w:val="26"/>
                <w:lang w:val="lv-LV"/>
              </w:rPr>
              <w:t>visā fondu darbības periodā</w:t>
            </w:r>
            <w:r w:rsidR="00B1118A">
              <w:rPr>
                <w:sz w:val="26"/>
                <w:szCs w:val="26"/>
                <w:lang w:val="lv-LV"/>
              </w:rPr>
              <w:t xml:space="preserve"> (saskaņā ar MK noteikumu Nr.983 9.punktu – līdz 2020.gada 31.decembrim).</w:t>
            </w:r>
            <w:r w:rsidR="00CA4214">
              <w:rPr>
                <w:sz w:val="26"/>
                <w:szCs w:val="26"/>
                <w:lang w:val="lv-LV"/>
              </w:rPr>
              <w:t xml:space="preserve"> </w:t>
            </w:r>
            <w:r w:rsidR="001E2682" w:rsidRPr="00326013">
              <w:rPr>
                <w:sz w:val="26"/>
                <w:szCs w:val="26"/>
                <w:lang w:val="lv-LV"/>
              </w:rPr>
              <w:t>Lai arī 2.2.1.1.aktivitātes īstenošanai papildus tiek novirzīts atmaksātais finansējums</w:t>
            </w:r>
            <w:r w:rsidR="00371112" w:rsidRPr="00326013">
              <w:rPr>
                <w:sz w:val="26"/>
                <w:szCs w:val="26"/>
                <w:lang w:val="lv-LV"/>
              </w:rPr>
              <w:t xml:space="preserve"> finanšu instrumentos</w:t>
            </w:r>
            <w:r w:rsidR="001E2682" w:rsidRPr="00326013">
              <w:rPr>
                <w:sz w:val="26"/>
                <w:szCs w:val="26"/>
                <w:lang w:val="lv-LV"/>
              </w:rPr>
              <w:t xml:space="preserve">, </w:t>
            </w:r>
            <w:r w:rsidR="00371112" w:rsidRPr="00326013">
              <w:rPr>
                <w:sz w:val="26"/>
                <w:szCs w:val="26"/>
                <w:lang w:val="lv-LV"/>
              </w:rPr>
              <w:t xml:space="preserve">tomēr </w:t>
            </w:r>
            <w:r w:rsidR="00CA4214" w:rsidRPr="00326013">
              <w:rPr>
                <w:sz w:val="26"/>
                <w:szCs w:val="26"/>
                <w:lang w:val="lv-LV"/>
              </w:rPr>
              <w:t>ERAF</w:t>
            </w:r>
            <w:r w:rsidR="00684B86">
              <w:rPr>
                <w:sz w:val="26"/>
                <w:szCs w:val="26"/>
                <w:lang w:val="lv-LV"/>
              </w:rPr>
              <w:t xml:space="preserve"> finansējuma</w:t>
            </w:r>
            <w:r w:rsidR="00CA4214" w:rsidRPr="00326013">
              <w:rPr>
                <w:sz w:val="26"/>
                <w:szCs w:val="26"/>
                <w:lang w:val="lv-LV"/>
              </w:rPr>
              <w:t>, valsts budžeta un ieņēmumu no brīvo publisko līdzekļu noguldījumiem izmantošanas termiņa pagarinājums</w:t>
            </w:r>
            <w:r w:rsidR="001E2682" w:rsidRPr="00326013">
              <w:rPr>
                <w:sz w:val="26"/>
                <w:szCs w:val="26"/>
                <w:lang w:val="lv-LV"/>
              </w:rPr>
              <w:t>, kas noteikuma</w:t>
            </w:r>
            <w:r w:rsidR="001E2682">
              <w:rPr>
                <w:sz w:val="26"/>
                <w:szCs w:val="26"/>
                <w:lang w:val="lv-LV"/>
              </w:rPr>
              <w:t xml:space="preserve"> projekta ietvaros </w:t>
            </w:r>
            <w:r w:rsidR="00371112">
              <w:rPr>
                <w:sz w:val="26"/>
                <w:szCs w:val="26"/>
                <w:lang w:val="lv-LV"/>
              </w:rPr>
              <w:t>noteikts</w:t>
            </w:r>
            <w:r w:rsidR="00CA4214">
              <w:rPr>
                <w:sz w:val="26"/>
                <w:szCs w:val="26"/>
                <w:lang w:val="lv-LV"/>
              </w:rPr>
              <w:t xml:space="preserve"> līdz 2016.gada 31.</w:t>
            </w:r>
            <w:r w:rsidR="001B6C79">
              <w:rPr>
                <w:sz w:val="26"/>
                <w:szCs w:val="26"/>
                <w:lang w:val="lv-LV"/>
              </w:rPr>
              <w:t>oktobrim</w:t>
            </w:r>
            <w:r w:rsidR="001E2682">
              <w:rPr>
                <w:sz w:val="26"/>
                <w:szCs w:val="26"/>
                <w:lang w:val="lv-LV"/>
              </w:rPr>
              <w:t>, ir būtisks, lai</w:t>
            </w:r>
            <w:r w:rsidR="00CA4214">
              <w:rPr>
                <w:sz w:val="26"/>
                <w:szCs w:val="26"/>
                <w:lang w:val="lv-LV"/>
              </w:rPr>
              <w:t xml:space="preserve"> </w:t>
            </w:r>
            <w:r w:rsidR="001E2682">
              <w:rPr>
                <w:sz w:val="26"/>
                <w:szCs w:val="26"/>
                <w:lang w:val="lv-LV"/>
              </w:rPr>
              <w:t xml:space="preserve">nodrošinātu </w:t>
            </w:r>
            <w:r w:rsidR="00CA4214">
              <w:rPr>
                <w:sz w:val="26"/>
                <w:szCs w:val="26"/>
                <w:lang w:val="lv-LV"/>
              </w:rPr>
              <w:t>2007.-2013.gada plānošanas perioda publiskā finansējuma apguvi</w:t>
            </w:r>
            <w:r w:rsidR="00D318C7">
              <w:rPr>
                <w:sz w:val="26"/>
                <w:szCs w:val="26"/>
                <w:lang w:val="lv-LV"/>
              </w:rPr>
              <w:t xml:space="preserve">. </w:t>
            </w:r>
            <w:r w:rsidR="00371112">
              <w:rPr>
                <w:sz w:val="26"/>
                <w:szCs w:val="26"/>
                <w:lang w:val="lv-LV"/>
              </w:rPr>
              <w:t>Nodrošinot iespējas</w:t>
            </w:r>
            <w:r w:rsidR="00CA4214">
              <w:rPr>
                <w:sz w:val="26"/>
                <w:szCs w:val="26"/>
                <w:lang w:val="lv-LV"/>
              </w:rPr>
              <w:t xml:space="preserve"> 2.2.1.1.aktivitāt</w:t>
            </w:r>
            <w:r w:rsidR="00371112">
              <w:rPr>
                <w:sz w:val="26"/>
                <w:szCs w:val="26"/>
                <w:lang w:val="lv-LV"/>
              </w:rPr>
              <w:t>ē</w:t>
            </w:r>
            <w:r w:rsidR="00CA4214">
              <w:rPr>
                <w:sz w:val="26"/>
                <w:szCs w:val="26"/>
                <w:lang w:val="lv-LV"/>
              </w:rPr>
              <w:t xml:space="preserve"> attiecināt vadības izmaksas</w:t>
            </w:r>
            <w:r w:rsidR="00684B86">
              <w:rPr>
                <w:sz w:val="26"/>
                <w:szCs w:val="26"/>
                <w:lang w:val="lv-LV"/>
              </w:rPr>
              <w:t xml:space="preserve">, </w:t>
            </w:r>
            <w:r w:rsidR="00CA4214">
              <w:rPr>
                <w:sz w:val="26"/>
                <w:szCs w:val="26"/>
                <w:lang w:val="lv-LV"/>
              </w:rPr>
              <w:t xml:space="preserve">kas radušās </w:t>
            </w:r>
            <w:r w:rsidR="00C452A1">
              <w:rPr>
                <w:sz w:val="26"/>
                <w:szCs w:val="26"/>
                <w:lang w:val="lv-LV"/>
              </w:rPr>
              <w:t xml:space="preserve">visu fondu – </w:t>
            </w:r>
            <w:r w:rsidR="00CA4214">
              <w:rPr>
                <w:sz w:val="26"/>
                <w:szCs w:val="26"/>
                <w:lang w:val="lv-LV"/>
              </w:rPr>
              <w:t>sagatavošanas kapitāla, sākuma kapitāla, riska kapitāla un izaugsmes kapitāla</w:t>
            </w:r>
            <w:r w:rsidR="00C452A1">
              <w:rPr>
                <w:sz w:val="26"/>
                <w:szCs w:val="26"/>
                <w:lang w:val="lv-LV"/>
              </w:rPr>
              <w:t xml:space="preserve"> – </w:t>
            </w:r>
            <w:r w:rsidR="00CA4214">
              <w:rPr>
                <w:sz w:val="26"/>
                <w:szCs w:val="26"/>
                <w:lang w:val="lv-LV"/>
              </w:rPr>
              <w:t>pārvaldniekiem periodā līdz 2016.gada 31.</w:t>
            </w:r>
            <w:r w:rsidR="001B6C79">
              <w:rPr>
                <w:sz w:val="26"/>
                <w:szCs w:val="26"/>
                <w:lang w:val="lv-LV"/>
              </w:rPr>
              <w:t>oktobrim</w:t>
            </w:r>
            <w:r w:rsidR="00D318C7">
              <w:rPr>
                <w:sz w:val="26"/>
                <w:szCs w:val="26"/>
                <w:lang w:val="lv-LV"/>
              </w:rPr>
              <w:t xml:space="preserve">, kā arī </w:t>
            </w:r>
            <w:r w:rsidR="001B6C79">
              <w:rPr>
                <w:sz w:val="26"/>
                <w:szCs w:val="26"/>
                <w:lang w:val="lv-LV"/>
              </w:rPr>
              <w:t xml:space="preserve">līdz </w:t>
            </w:r>
            <w:r w:rsidR="00D318C7">
              <w:rPr>
                <w:sz w:val="26"/>
                <w:szCs w:val="26"/>
                <w:lang w:val="lv-LV"/>
              </w:rPr>
              <w:t>2016.gad</w:t>
            </w:r>
            <w:r w:rsidR="00371112">
              <w:rPr>
                <w:sz w:val="26"/>
                <w:szCs w:val="26"/>
                <w:lang w:val="lv-LV"/>
              </w:rPr>
              <w:t xml:space="preserve">a </w:t>
            </w:r>
            <w:r w:rsidR="001B6C79">
              <w:rPr>
                <w:sz w:val="26"/>
                <w:szCs w:val="26"/>
                <w:lang w:val="lv-LV"/>
              </w:rPr>
              <w:t xml:space="preserve">31.oktobrim </w:t>
            </w:r>
            <w:r w:rsidR="00D318C7">
              <w:rPr>
                <w:sz w:val="26"/>
                <w:szCs w:val="26"/>
                <w:lang w:val="lv-LV"/>
              </w:rPr>
              <w:t xml:space="preserve">veiktās </w:t>
            </w:r>
            <w:r w:rsidR="00684B86">
              <w:rPr>
                <w:sz w:val="26"/>
                <w:szCs w:val="26"/>
                <w:lang w:val="lv-LV"/>
              </w:rPr>
              <w:t xml:space="preserve">tālākās </w:t>
            </w:r>
            <w:r w:rsidR="00D318C7">
              <w:rPr>
                <w:sz w:val="26"/>
                <w:szCs w:val="26"/>
                <w:lang w:val="lv-LV"/>
              </w:rPr>
              <w:t>investīcijas portfe</w:t>
            </w:r>
            <w:r w:rsidR="00371112">
              <w:rPr>
                <w:sz w:val="26"/>
                <w:szCs w:val="26"/>
                <w:lang w:val="lv-LV"/>
              </w:rPr>
              <w:t>lī</w:t>
            </w:r>
            <w:r w:rsidR="00D318C7">
              <w:rPr>
                <w:sz w:val="26"/>
                <w:szCs w:val="26"/>
                <w:lang w:val="lv-LV"/>
              </w:rPr>
              <w:t xml:space="preserve"> esošajos komersantos</w:t>
            </w:r>
            <w:r w:rsidR="00371112">
              <w:rPr>
                <w:sz w:val="26"/>
                <w:szCs w:val="26"/>
                <w:lang w:val="lv-LV"/>
              </w:rPr>
              <w:t>, tiks sekmēt</w:t>
            </w:r>
            <w:r w:rsidR="00641E66">
              <w:rPr>
                <w:sz w:val="26"/>
                <w:szCs w:val="26"/>
                <w:lang w:val="lv-LV"/>
              </w:rPr>
              <w:t>a</w:t>
            </w:r>
            <w:r w:rsidR="00371112">
              <w:rPr>
                <w:sz w:val="26"/>
                <w:szCs w:val="26"/>
                <w:lang w:val="lv-LV"/>
              </w:rPr>
              <w:t xml:space="preserve"> 2007.-2013.gada plānošanas perioda publiskā finansējuma apguve</w:t>
            </w:r>
            <w:r w:rsidR="00CA4214">
              <w:rPr>
                <w:sz w:val="26"/>
                <w:szCs w:val="26"/>
                <w:lang w:val="lv-LV"/>
              </w:rPr>
              <w:t>.</w:t>
            </w:r>
            <w:r w:rsidR="001022A6">
              <w:rPr>
                <w:sz w:val="26"/>
                <w:szCs w:val="26"/>
                <w:lang w:val="lv-LV"/>
              </w:rPr>
              <w:t xml:space="preserve"> Jānorāda, ka iespējas veikt </w:t>
            </w:r>
            <w:r w:rsidR="00684B86">
              <w:rPr>
                <w:sz w:val="26"/>
                <w:szCs w:val="26"/>
                <w:lang w:val="lv-LV"/>
              </w:rPr>
              <w:t xml:space="preserve">tālākās </w:t>
            </w:r>
            <w:r w:rsidR="001022A6">
              <w:rPr>
                <w:sz w:val="26"/>
                <w:szCs w:val="26"/>
                <w:lang w:val="lv-LV"/>
              </w:rPr>
              <w:t xml:space="preserve">investīcijas </w:t>
            </w:r>
            <w:r w:rsidR="00684B86">
              <w:rPr>
                <w:sz w:val="26"/>
                <w:szCs w:val="26"/>
                <w:lang w:val="lv-LV"/>
              </w:rPr>
              <w:t xml:space="preserve">portfelī esošajos komersantos </w:t>
            </w:r>
            <w:r w:rsidR="001022A6">
              <w:rPr>
                <w:sz w:val="26"/>
                <w:szCs w:val="26"/>
                <w:lang w:val="lv-LV"/>
              </w:rPr>
              <w:t>pēc 2015.gada 31.decembra</w:t>
            </w:r>
            <w:r w:rsidR="00B1118A">
              <w:rPr>
                <w:sz w:val="26"/>
                <w:szCs w:val="26"/>
                <w:lang w:val="lv-LV"/>
              </w:rPr>
              <w:t xml:space="preserve"> un līdz fondu darbības perioda beig</w:t>
            </w:r>
            <w:r w:rsidR="00326013">
              <w:rPr>
                <w:sz w:val="26"/>
                <w:szCs w:val="26"/>
                <w:lang w:val="lv-LV"/>
              </w:rPr>
              <w:t>ām, cita starpā, ir</w:t>
            </w:r>
            <w:r w:rsidR="001022A6">
              <w:rPr>
                <w:sz w:val="26"/>
                <w:szCs w:val="26"/>
                <w:lang w:val="lv-LV"/>
              </w:rPr>
              <w:t xml:space="preserve"> noteiktas sākotnējos līgumos, kas noslēgti starp Eiropas Investīciju fondu un riska kapitāla fonda </w:t>
            </w:r>
            <w:r w:rsidR="001022A6">
              <w:rPr>
                <w:sz w:val="26"/>
                <w:szCs w:val="26"/>
                <w:lang w:val="lv-LV"/>
              </w:rPr>
              <w:lastRenderedPageBreak/>
              <w:t>pārvaldnieku SIA „BaltCap AIFP” un SIA „AIFP Imprimatur Capital Fund Management</w:t>
            </w:r>
            <w:r w:rsidR="00684B86">
              <w:rPr>
                <w:sz w:val="26"/>
                <w:szCs w:val="26"/>
                <w:lang w:val="lv-LV"/>
              </w:rPr>
              <w:t>”.</w:t>
            </w:r>
            <w:r w:rsidR="001022A6">
              <w:rPr>
                <w:sz w:val="26"/>
                <w:szCs w:val="26"/>
                <w:lang w:val="lv-LV"/>
              </w:rPr>
              <w:t xml:space="preserve"> </w:t>
            </w:r>
            <w:r w:rsidR="00C452A1">
              <w:rPr>
                <w:sz w:val="26"/>
                <w:szCs w:val="26"/>
                <w:lang w:val="lv-LV"/>
              </w:rPr>
              <w:t xml:space="preserve">Ņemot vērā minēto, noteikumu </w:t>
            </w:r>
            <w:r w:rsidR="00C452A1" w:rsidRPr="00C452A1">
              <w:rPr>
                <w:sz w:val="26"/>
                <w:szCs w:val="26"/>
                <w:lang w:val="lv-LV"/>
              </w:rPr>
              <w:t xml:space="preserve">projekts </w:t>
            </w:r>
            <w:r w:rsidR="00C452A1" w:rsidRPr="001B6C79">
              <w:rPr>
                <w:sz w:val="26"/>
                <w:szCs w:val="26"/>
                <w:u w:val="single"/>
                <w:lang w:val="lv-LV"/>
              </w:rPr>
              <w:t>neparedz</w:t>
            </w:r>
            <w:r w:rsidR="00C452A1" w:rsidRPr="00C452A1">
              <w:rPr>
                <w:sz w:val="26"/>
                <w:szCs w:val="26"/>
                <w:lang w:val="lv-LV"/>
              </w:rPr>
              <w:t xml:space="preserve"> noteikt diferencētus</w:t>
            </w:r>
            <w:r w:rsidR="00CA4214" w:rsidRPr="00C452A1">
              <w:rPr>
                <w:sz w:val="26"/>
                <w:szCs w:val="26"/>
                <w:lang w:val="lv-LV"/>
              </w:rPr>
              <w:t xml:space="preserve"> ERAF</w:t>
            </w:r>
            <w:r w:rsidR="00641E66">
              <w:rPr>
                <w:sz w:val="26"/>
                <w:szCs w:val="26"/>
                <w:lang w:val="lv-LV"/>
              </w:rPr>
              <w:t>,</w:t>
            </w:r>
            <w:r w:rsidR="00CA4214" w:rsidRPr="00C452A1">
              <w:rPr>
                <w:sz w:val="26"/>
                <w:szCs w:val="26"/>
                <w:lang w:val="lv-LV"/>
              </w:rPr>
              <w:t xml:space="preserve"> valsts budžeta </w:t>
            </w:r>
            <w:r w:rsidR="00641E66">
              <w:rPr>
                <w:sz w:val="26"/>
                <w:szCs w:val="26"/>
                <w:lang w:val="lv-LV"/>
              </w:rPr>
              <w:t xml:space="preserve">finansējuma </w:t>
            </w:r>
            <w:r w:rsidR="00CA4214" w:rsidRPr="00C452A1">
              <w:rPr>
                <w:sz w:val="26"/>
                <w:szCs w:val="26"/>
                <w:lang w:val="lv-LV"/>
              </w:rPr>
              <w:t xml:space="preserve">un ieņēmumu no brīvo publisko līdzekļu </w:t>
            </w:r>
            <w:r w:rsidR="00CA4214" w:rsidRPr="00684B86">
              <w:rPr>
                <w:sz w:val="26"/>
                <w:szCs w:val="26"/>
                <w:lang w:val="lv-LV"/>
              </w:rPr>
              <w:t>noguldījumiem izmantošanas termiņ</w:t>
            </w:r>
            <w:r w:rsidR="00C452A1" w:rsidRPr="00684B86">
              <w:rPr>
                <w:sz w:val="26"/>
                <w:szCs w:val="26"/>
                <w:lang w:val="lv-LV"/>
              </w:rPr>
              <w:t>us</w:t>
            </w:r>
            <w:r w:rsidR="00371112" w:rsidRPr="00684B86">
              <w:rPr>
                <w:sz w:val="26"/>
                <w:szCs w:val="26"/>
                <w:lang w:val="lv-LV"/>
              </w:rPr>
              <w:t xml:space="preserve"> sagatavošanas kapitāla, sākuma kapitāla, riska kapitāla un izaugsmes kapitāla fondu ietvaros. </w:t>
            </w:r>
            <w:r w:rsidR="00326013" w:rsidRPr="00684B86">
              <w:rPr>
                <w:sz w:val="26"/>
                <w:szCs w:val="26"/>
                <w:lang w:val="lv-LV"/>
              </w:rPr>
              <w:t>Savukārt, lai nodrošinātu MK noteikumu Nr.983 normu atbilstību ar fondu pārvaldniekiem – SIA „</w:t>
            </w:r>
            <w:proofErr w:type="spellStart"/>
            <w:r w:rsidR="00326013" w:rsidRPr="00684B86">
              <w:rPr>
                <w:sz w:val="26"/>
                <w:szCs w:val="26"/>
                <w:lang w:val="lv-LV"/>
              </w:rPr>
              <w:t>BaltCap</w:t>
            </w:r>
            <w:proofErr w:type="spellEnd"/>
            <w:r w:rsidR="00326013" w:rsidRPr="00684B86">
              <w:rPr>
                <w:sz w:val="26"/>
                <w:szCs w:val="26"/>
                <w:lang w:val="lv-LV"/>
              </w:rPr>
              <w:t xml:space="preserve"> AIFP”, SIA „AIFP </w:t>
            </w:r>
            <w:proofErr w:type="spellStart"/>
            <w:r w:rsidR="00326013" w:rsidRPr="00684B86">
              <w:rPr>
                <w:sz w:val="26"/>
                <w:szCs w:val="26"/>
                <w:lang w:val="lv-LV"/>
              </w:rPr>
              <w:t>Imprimatur</w:t>
            </w:r>
            <w:proofErr w:type="spellEnd"/>
            <w:r w:rsidR="00326013" w:rsidRPr="00684B86">
              <w:rPr>
                <w:sz w:val="26"/>
                <w:szCs w:val="26"/>
                <w:lang w:val="lv-LV"/>
              </w:rPr>
              <w:t xml:space="preserve"> Capital </w:t>
            </w:r>
            <w:proofErr w:type="spellStart"/>
            <w:r w:rsidR="00326013" w:rsidRPr="00684B86">
              <w:rPr>
                <w:sz w:val="26"/>
                <w:szCs w:val="26"/>
                <w:lang w:val="lv-LV"/>
              </w:rPr>
              <w:t>Fund</w:t>
            </w:r>
            <w:proofErr w:type="spellEnd"/>
            <w:r w:rsidR="00326013" w:rsidRPr="00684B86">
              <w:rPr>
                <w:sz w:val="26"/>
                <w:szCs w:val="26"/>
                <w:lang w:val="lv-LV"/>
              </w:rPr>
              <w:t xml:space="preserve"> </w:t>
            </w:r>
            <w:proofErr w:type="spellStart"/>
            <w:r w:rsidR="00326013" w:rsidRPr="00684B86">
              <w:rPr>
                <w:sz w:val="26"/>
                <w:szCs w:val="26"/>
                <w:lang w:val="lv-LV"/>
              </w:rPr>
              <w:t>Management</w:t>
            </w:r>
            <w:proofErr w:type="spellEnd"/>
            <w:r w:rsidR="00326013" w:rsidRPr="00684B86">
              <w:rPr>
                <w:sz w:val="26"/>
                <w:szCs w:val="26"/>
                <w:lang w:val="lv-LV"/>
              </w:rPr>
              <w:t>”, SIA „ZGI Capital”, SIA „</w:t>
            </w:r>
            <w:proofErr w:type="spellStart"/>
            <w:r w:rsidR="00326013" w:rsidRPr="00684B86">
              <w:rPr>
                <w:sz w:val="26"/>
                <w:szCs w:val="26"/>
                <w:lang w:val="lv-LV"/>
              </w:rPr>
              <w:t>FlyCap</w:t>
            </w:r>
            <w:proofErr w:type="spellEnd"/>
            <w:r w:rsidR="00326013" w:rsidRPr="00684B86">
              <w:rPr>
                <w:sz w:val="26"/>
                <w:szCs w:val="26"/>
                <w:lang w:val="lv-LV"/>
              </w:rPr>
              <w:t xml:space="preserve"> AIFP” un SIA „</w:t>
            </w:r>
            <w:proofErr w:type="spellStart"/>
            <w:r w:rsidR="00326013" w:rsidRPr="00684B86">
              <w:rPr>
                <w:sz w:val="26"/>
                <w:szCs w:val="26"/>
                <w:lang w:val="lv-LV"/>
              </w:rPr>
              <w:t>Expansion</w:t>
            </w:r>
            <w:proofErr w:type="spellEnd"/>
            <w:r w:rsidR="00326013" w:rsidRPr="00684B86">
              <w:rPr>
                <w:sz w:val="26"/>
                <w:szCs w:val="26"/>
                <w:lang w:val="lv-LV"/>
              </w:rPr>
              <w:t xml:space="preserve"> Capital” – noslēgtajiem līgumiem, kas paredz fondu darbības periodu līdz 2022.gada 31.decembrim, noteikumu projekts paredz veikt attiecīgos grozījumus MK noteikumu Nr.983 9.punktā</w:t>
            </w:r>
            <w:r w:rsidR="000F126E" w:rsidRPr="00684B86">
              <w:rPr>
                <w:sz w:val="26"/>
                <w:szCs w:val="26"/>
                <w:lang w:val="lv-LV"/>
              </w:rPr>
              <w:t xml:space="preserve">, vienlaikus </w:t>
            </w:r>
            <w:r w:rsidR="00C72D01" w:rsidRPr="00684B86">
              <w:rPr>
                <w:sz w:val="26"/>
                <w:szCs w:val="26"/>
                <w:lang w:val="lv-LV"/>
              </w:rPr>
              <w:t xml:space="preserve">ievērojot Komisijas Regulas Nr.651/2014 14.pantā noteikto ierobežojumu (2020.gada 31.decembri) un Komisijas 2013.gada 18.decembra Regulas (ES) Nr.1407/2013 par Līguma par Eiropas Savienības darbību 107. un 108.panta piemērošanu </w:t>
            </w:r>
            <w:proofErr w:type="spellStart"/>
            <w:r w:rsidR="00C72D01" w:rsidRPr="00684B86">
              <w:rPr>
                <w:i/>
                <w:sz w:val="26"/>
                <w:szCs w:val="26"/>
                <w:lang w:val="lv-LV"/>
              </w:rPr>
              <w:t>de</w:t>
            </w:r>
            <w:proofErr w:type="spellEnd"/>
            <w:r w:rsidR="00C72D01" w:rsidRPr="00684B86">
              <w:rPr>
                <w:i/>
                <w:sz w:val="26"/>
                <w:szCs w:val="26"/>
                <w:lang w:val="lv-LV"/>
              </w:rPr>
              <w:t xml:space="preserve"> </w:t>
            </w:r>
            <w:proofErr w:type="spellStart"/>
            <w:r w:rsidR="00C72D01" w:rsidRPr="00684B86">
              <w:rPr>
                <w:i/>
                <w:sz w:val="26"/>
                <w:szCs w:val="26"/>
                <w:lang w:val="lv-LV"/>
              </w:rPr>
              <w:t>minimis</w:t>
            </w:r>
            <w:proofErr w:type="spellEnd"/>
            <w:r w:rsidR="00C72D01" w:rsidRPr="00684B86">
              <w:rPr>
                <w:sz w:val="26"/>
                <w:szCs w:val="26"/>
                <w:lang w:val="lv-LV"/>
              </w:rPr>
              <w:t xml:space="preserve"> atbalstam (Eiropas Savienības Oficiālais Vēstnesis, 2013.gada 24.de</w:t>
            </w:r>
            <w:r w:rsidR="00403E6C" w:rsidRPr="00684B86">
              <w:rPr>
                <w:sz w:val="26"/>
                <w:szCs w:val="26"/>
                <w:lang w:val="lv-LV"/>
              </w:rPr>
              <w:t xml:space="preserve">cembris, Nr. </w:t>
            </w:r>
            <w:r w:rsidR="00C72D01" w:rsidRPr="00684B86">
              <w:rPr>
                <w:sz w:val="26"/>
                <w:szCs w:val="26"/>
                <w:lang w:val="lv-LV"/>
              </w:rPr>
              <w:t>L 352/1)</w:t>
            </w:r>
            <w:r w:rsidR="00403E6C" w:rsidRPr="00684B86">
              <w:rPr>
                <w:sz w:val="26"/>
                <w:szCs w:val="26"/>
                <w:lang w:val="lv-LV"/>
              </w:rPr>
              <w:t xml:space="preserve"> (turpmāk – Komisijas Regula Nr.1407/2013)</w:t>
            </w:r>
            <w:r w:rsidR="00C72D01" w:rsidRPr="00684B86">
              <w:rPr>
                <w:sz w:val="26"/>
                <w:szCs w:val="26"/>
                <w:lang w:val="lv-LV"/>
              </w:rPr>
              <w:t xml:space="preserve"> </w:t>
            </w:r>
            <w:r w:rsidR="001A7DD3" w:rsidRPr="00684B86">
              <w:rPr>
                <w:sz w:val="26"/>
                <w:szCs w:val="26"/>
                <w:lang w:val="lv-LV"/>
              </w:rPr>
              <w:t xml:space="preserve">7.panta 4.punktā un </w:t>
            </w:r>
            <w:r w:rsidR="00C72D01" w:rsidRPr="00684B86">
              <w:rPr>
                <w:sz w:val="26"/>
                <w:szCs w:val="26"/>
                <w:lang w:val="lv-LV"/>
              </w:rPr>
              <w:t>8.pant</w:t>
            </w:r>
            <w:r w:rsidR="001C7730" w:rsidRPr="00684B86">
              <w:rPr>
                <w:sz w:val="26"/>
                <w:szCs w:val="26"/>
                <w:lang w:val="lv-LV"/>
              </w:rPr>
              <w:t>ā noteikto</w:t>
            </w:r>
            <w:r w:rsidR="00C72D01" w:rsidRPr="00684B86">
              <w:rPr>
                <w:sz w:val="26"/>
                <w:szCs w:val="26"/>
                <w:lang w:val="lv-LV"/>
              </w:rPr>
              <w:t xml:space="preserve"> </w:t>
            </w:r>
            <w:r w:rsidR="001C7730" w:rsidRPr="00684B86">
              <w:rPr>
                <w:sz w:val="26"/>
                <w:szCs w:val="26"/>
                <w:lang w:val="lv-LV"/>
              </w:rPr>
              <w:t>(2021.gada 30.jūniju).</w:t>
            </w:r>
            <w:r w:rsidR="001C7730">
              <w:rPr>
                <w:sz w:val="26"/>
                <w:szCs w:val="26"/>
                <w:lang w:val="lv-LV"/>
              </w:rPr>
              <w:t xml:space="preserve"> </w:t>
            </w:r>
          </w:p>
          <w:p w:rsidR="00C72D01" w:rsidRDefault="00427B89" w:rsidP="00326013">
            <w:pPr>
              <w:spacing w:after="240"/>
              <w:ind w:firstLine="709"/>
              <w:jc w:val="both"/>
              <w:rPr>
                <w:sz w:val="26"/>
                <w:szCs w:val="26"/>
                <w:lang w:val="lv-LV"/>
              </w:rPr>
            </w:pPr>
            <w:r w:rsidRPr="00FE6C26">
              <w:rPr>
                <w:sz w:val="26"/>
                <w:szCs w:val="26"/>
                <w:lang w:val="lv-LV"/>
              </w:rPr>
              <w:t xml:space="preserve">ERAF finansējuma, valsts budžeta un ieņēmumu no brīvo publisko līdzekļu noguldījumiem izmantošanas termiņš ir ierobežots (atbilstoši noteikumu projektam – 2016.gada 31.oktobris). </w:t>
            </w:r>
            <w:r w:rsidR="00C72D01" w:rsidRPr="00FE6C26">
              <w:rPr>
                <w:sz w:val="26"/>
                <w:szCs w:val="26"/>
                <w:lang w:val="lv-LV"/>
              </w:rPr>
              <w:t>Investīcijas</w:t>
            </w:r>
            <w:r w:rsidRPr="00FE6C26">
              <w:rPr>
                <w:sz w:val="26"/>
                <w:szCs w:val="26"/>
                <w:lang w:val="lv-LV"/>
              </w:rPr>
              <w:t xml:space="preserve"> un </w:t>
            </w:r>
            <w:r w:rsidR="00FE6C26">
              <w:rPr>
                <w:sz w:val="26"/>
                <w:szCs w:val="26"/>
                <w:lang w:val="lv-LV"/>
              </w:rPr>
              <w:t xml:space="preserve">tālākās </w:t>
            </w:r>
            <w:r w:rsidRPr="00FE6C26">
              <w:rPr>
                <w:sz w:val="26"/>
                <w:szCs w:val="26"/>
                <w:lang w:val="lv-LV"/>
              </w:rPr>
              <w:t>investīcijas</w:t>
            </w:r>
            <w:r w:rsidR="00C72D01" w:rsidRPr="00FE6C26">
              <w:rPr>
                <w:sz w:val="26"/>
                <w:szCs w:val="26"/>
                <w:lang w:val="lv-LV"/>
              </w:rPr>
              <w:t xml:space="preserve"> </w:t>
            </w:r>
            <w:r w:rsidR="00FE6C26">
              <w:rPr>
                <w:sz w:val="26"/>
                <w:szCs w:val="26"/>
                <w:lang w:val="lv-LV"/>
              </w:rPr>
              <w:t xml:space="preserve">portfelī esošajos </w:t>
            </w:r>
            <w:r w:rsidR="00C72D01" w:rsidRPr="00FE6C26">
              <w:rPr>
                <w:sz w:val="26"/>
                <w:szCs w:val="26"/>
                <w:lang w:val="lv-LV"/>
              </w:rPr>
              <w:t xml:space="preserve">komersantos </w:t>
            </w:r>
            <w:r w:rsidRPr="00FE6C26">
              <w:rPr>
                <w:sz w:val="26"/>
                <w:szCs w:val="26"/>
                <w:lang w:val="lv-LV"/>
              </w:rPr>
              <w:t>un vadības izmaksas fondu pārvaldniekiem pēc 2016.gada 31.oktobra</w:t>
            </w:r>
            <w:r w:rsidR="00CB0E3D" w:rsidRPr="00FE6C26">
              <w:rPr>
                <w:sz w:val="26"/>
                <w:szCs w:val="26"/>
                <w:lang w:val="lv-LV"/>
              </w:rPr>
              <w:t xml:space="preserve"> (</w:t>
            </w:r>
            <w:r w:rsidRPr="00FE6C26">
              <w:rPr>
                <w:sz w:val="26"/>
                <w:szCs w:val="26"/>
                <w:lang w:val="lv-LV"/>
              </w:rPr>
              <w:t xml:space="preserve">vienlaikus ievērojot noteikumu projekta 4.punktā noteiktos </w:t>
            </w:r>
            <w:r w:rsidR="001D3292" w:rsidRPr="00FE6C26">
              <w:rPr>
                <w:sz w:val="26"/>
                <w:szCs w:val="26"/>
                <w:lang w:val="lv-LV"/>
              </w:rPr>
              <w:t>ierobežojumus</w:t>
            </w:r>
            <w:r w:rsidR="00CB0E3D" w:rsidRPr="00FE6C26">
              <w:rPr>
                <w:sz w:val="26"/>
                <w:szCs w:val="26"/>
                <w:lang w:val="lv-LV"/>
              </w:rPr>
              <w:t>)</w:t>
            </w:r>
            <w:r w:rsidR="00C72D01" w:rsidRPr="00FE6C26">
              <w:rPr>
                <w:sz w:val="26"/>
                <w:szCs w:val="26"/>
                <w:lang w:val="lv-LV"/>
              </w:rPr>
              <w:t xml:space="preserve"> </w:t>
            </w:r>
            <w:r w:rsidR="00FE6C26" w:rsidRPr="00FE6C26">
              <w:rPr>
                <w:sz w:val="26"/>
                <w:szCs w:val="26"/>
                <w:lang w:val="lv-LV"/>
              </w:rPr>
              <w:t xml:space="preserve">sagatavošanas kapitāla, sākuma kapitāla, riska kapitāla un izaugsmes kapitāla fondos </w:t>
            </w:r>
            <w:r w:rsidR="00C72D01" w:rsidRPr="00FE6C26">
              <w:rPr>
                <w:sz w:val="26"/>
                <w:szCs w:val="26"/>
                <w:lang w:val="lv-LV"/>
              </w:rPr>
              <w:t xml:space="preserve">tiks finansētas no atmaksātā finansējuma 2.2.1.3.aktivitātē un 2.2.1.4.1.apakšaktivitātē. </w:t>
            </w:r>
            <w:r w:rsidR="001D3292" w:rsidRPr="00FE6C26">
              <w:rPr>
                <w:sz w:val="26"/>
                <w:szCs w:val="26"/>
                <w:lang w:val="lv-LV"/>
              </w:rPr>
              <w:t>Ņemot vērā, ka noteikumu projekta ietvaros tiek diversificēti finansēšanas avoti (</w:t>
            </w:r>
            <w:r w:rsidR="00CB0E3D" w:rsidRPr="00FE6C26">
              <w:rPr>
                <w:sz w:val="26"/>
                <w:szCs w:val="26"/>
                <w:lang w:val="lv-LV"/>
              </w:rPr>
              <w:t xml:space="preserve">norādām, ka </w:t>
            </w:r>
            <w:r w:rsidR="001D3292" w:rsidRPr="00FE6C26">
              <w:rPr>
                <w:sz w:val="26"/>
                <w:szCs w:val="26"/>
                <w:lang w:val="lv-LV"/>
              </w:rPr>
              <w:t xml:space="preserve">sagatavošanas kapitāla, sākuma kapitāla, riska kapitāla fondu apmēri netiek palielināti), </w:t>
            </w:r>
            <w:r w:rsidR="00C72D01" w:rsidRPr="00FE6C26">
              <w:rPr>
                <w:sz w:val="26"/>
                <w:szCs w:val="26"/>
                <w:lang w:val="lv-LV"/>
              </w:rPr>
              <w:t xml:space="preserve">noteikumu projekts </w:t>
            </w:r>
            <w:r w:rsidR="001D3292" w:rsidRPr="00FE6C26">
              <w:rPr>
                <w:sz w:val="26"/>
                <w:szCs w:val="26"/>
                <w:lang w:val="lv-LV"/>
              </w:rPr>
              <w:t>paredz noteikt</w:t>
            </w:r>
            <w:r w:rsidR="00C72D01" w:rsidRPr="00FE6C26">
              <w:rPr>
                <w:sz w:val="26"/>
                <w:szCs w:val="26"/>
                <w:lang w:val="lv-LV"/>
              </w:rPr>
              <w:t>, ka sagatavošanas kapitāla, sākuma kapitāla, riska kapitāla un izaugsmes kapitāla fondu apmērs ir</w:t>
            </w:r>
            <w:r w:rsidR="00C72D01" w:rsidRPr="00FE6C26">
              <w:rPr>
                <w:sz w:val="25"/>
                <w:szCs w:val="25"/>
                <w:lang w:val="lv-LV"/>
              </w:rPr>
              <w:t xml:space="preserve"> </w:t>
            </w:r>
            <w:r w:rsidR="00C72D01" w:rsidRPr="00FE6C26">
              <w:rPr>
                <w:sz w:val="25"/>
                <w:szCs w:val="25"/>
                <w:u w:val="single"/>
                <w:lang w:val="lv-LV"/>
              </w:rPr>
              <w:t>publiskā finansējuma apmērs</w:t>
            </w:r>
            <w:r w:rsidR="00C72D01" w:rsidRPr="00FE6C26">
              <w:rPr>
                <w:sz w:val="25"/>
                <w:szCs w:val="25"/>
                <w:lang w:val="lv-LV"/>
              </w:rPr>
              <w:t xml:space="preserve">, nevis Ieguldījuma fonda apmērs, kā </w:t>
            </w:r>
            <w:r w:rsidR="001D3292" w:rsidRPr="00FE6C26">
              <w:rPr>
                <w:sz w:val="25"/>
                <w:szCs w:val="25"/>
                <w:lang w:val="lv-LV"/>
              </w:rPr>
              <w:t>līdzšinēji ir noteikts</w:t>
            </w:r>
            <w:r w:rsidR="00FE6C26">
              <w:rPr>
                <w:sz w:val="25"/>
                <w:szCs w:val="25"/>
                <w:lang w:val="lv-LV"/>
              </w:rPr>
              <w:t xml:space="preserve"> MK noteikumos Nr.983</w:t>
            </w:r>
            <w:r w:rsidR="001D3292" w:rsidRPr="00FE6C26">
              <w:rPr>
                <w:sz w:val="25"/>
                <w:szCs w:val="25"/>
                <w:lang w:val="lv-LV"/>
              </w:rPr>
              <w:t>.</w:t>
            </w:r>
            <w:r w:rsidR="001A2C76" w:rsidRPr="00FE6C26">
              <w:rPr>
                <w:sz w:val="25"/>
                <w:szCs w:val="25"/>
                <w:lang w:val="lv-LV"/>
              </w:rPr>
              <w:t xml:space="preserve"> Šāds grozījums </w:t>
            </w:r>
            <w:r w:rsidR="00FE6C26">
              <w:rPr>
                <w:sz w:val="25"/>
                <w:szCs w:val="25"/>
                <w:lang w:val="lv-LV"/>
              </w:rPr>
              <w:t xml:space="preserve">ir </w:t>
            </w:r>
            <w:r w:rsidR="001A2C76" w:rsidRPr="00FE6C26">
              <w:rPr>
                <w:sz w:val="25"/>
                <w:szCs w:val="25"/>
                <w:lang w:val="lv-LV"/>
              </w:rPr>
              <w:t xml:space="preserve">nepieciešams, jo 2.2.1.1.aktivitāte pret Eiropas Komisiju tiks slēgta 2016.gada 31.oktobrī, pēc minētā termiņa investīcijas veicot un </w:t>
            </w:r>
            <w:r w:rsidR="00FE6C26">
              <w:rPr>
                <w:sz w:val="25"/>
                <w:szCs w:val="25"/>
                <w:lang w:val="lv-LV"/>
              </w:rPr>
              <w:t xml:space="preserve">vadības </w:t>
            </w:r>
            <w:r w:rsidR="001A2C76" w:rsidRPr="00FE6C26">
              <w:rPr>
                <w:sz w:val="25"/>
                <w:szCs w:val="25"/>
                <w:lang w:val="lv-LV"/>
              </w:rPr>
              <w:t xml:space="preserve">izmaksas </w:t>
            </w:r>
            <w:r w:rsidR="00FE6C26">
              <w:rPr>
                <w:sz w:val="25"/>
                <w:szCs w:val="25"/>
                <w:lang w:val="lv-LV"/>
              </w:rPr>
              <w:t xml:space="preserve">fondu pārvaldniekiem </w:t>
            </w:r>
            <w:r w:rsidR="001A2C76" w:rsidRPr="00FE6C26">
              <w:rPr>
                <w:sz w:val="25"/>
                <w:szCs w:val="25"/>
                <w:lang w:val="lv-LV"/>
              </w:rPr>
              <w:t>sedzot no atmaksātā finansējuma.</w:t>
            </w:r>
          </w:p>
          <w:p w:rsidR="004778D0" w:rsidRPr="00C96450" w:rsidRDefault="00C452A1" w:rsidP="00641E66">
            <w:pPr>
              <w:spacing w:after="240"/>
              <w:ind w:firstLine="709"/>
              <w:jc w:val="both"/>
              <w:rPr>
                <w:sz w:val="26"/>
                <w:szCs w:val="26"/>
                <w:lang w:val="lv-LV"/>
              </w:rPr>
            </w:pPr>
            <w:r w:rsidRPr="00FE6C26">
              <w:rPr>
                <w:sz w:val="26"/>
                <w:szCs w:val="26"/>
                <w:lang w:val="lv-LV"/>
              </w:rPr>
              <w:t xml:space="preserve">Vadības izmaksas pēc </w:t>
            </w:r>
            <w:r w:rsidR="00641E66" w:rsidRPr="00FE6C26">
              <w:rPr>
                <w:sz w:val="26"/>
                <w:szCs w:val="26"/>
                <w:lang w:val="lv-LV"/>
              </w:rPr>
              <w:t>2016.gada 31.</w:t>
            </w:r>
            <w:r w:rsidR="001B6C79" w:rsidRPr="00FE6C26">
              <w:rPr>
                <w:sz w:val="26"/>
                <w:szCs w:val="26"/>
                <w:lang w:val="lv-LV"/>
              </w:rPr>
              <w:t>oktobra</w:t>
            </w:r>
            <w:r w:rsidR="00641E66" w:rsidRPr="00FE6C26">
              <w:rPr>
                <w:sz w:val="26"/>
                <w:szCs w:val="26"/>
                <w:lang w:val="lv-LV"/>
              </w:rPr>
              <w:t xml:space="preserve"> </w:t>
            </w:r>
            <w:r w:rsidRPr="00FE6C26">
              <w:rPr>
                <w:sz w:val="26"/>
                <w:szCs w:val="26"/>
                <w:lang w:val="lv-LV"/>
              </w:rPr>
              <w:t xml:space="preserve">ir atkarīgas no </w:t>
            </w:r>
            <w:r w:rsidR="00641E66" w:rsidRPr="00FE6C26">
              <w:rPr>
                <w:sz w:val="26"/>
                <w:szCs w:val="26"/>
                <w:lang w:val="lv-LV"/>
              </w:rPr>
              <w:t xml:space="preserve">investīciju </w:t>
            </w:r>
            <w:r w:rsidRPr="00FE6C26">
              <w:rPr>
                <w:sz w:val="26"/>
                <w:szCs w:val="26"/>
                <w:lang w:val="lv-LV"/>
              </w:rPr>
              <w:t>portfeļa apmēra</w:t>
            </w:r>
            <w:r w:rsidR="00641E66" w:rsidRPr="00FE6C26">
              <w:rPr>
                <w:sz w:val="26"/>
                <w:szCs w:val="26"/>
                <w:lang w:val="lv-LV"/>
              </w:rPr>
              <w:t>, attiecīgi</w:t>
            </w:r>
            <w:r w:rsidR="002244A1" w:rsidRPr="00FE6C26">
              <w:rPr>
                <w:sz w:val="26"/>
                <w:szCs w:val="26"/>
                <w:lang w:val="lv-LV"/>
              </w:rPr>
              <w:t xml:space="preserve"> </w:t>
            </w:r>
            <w:r w:rsidR="00641E66" w:rsidRPr="00FE6C26">
              <w:rPr>
                <w:sz w:val="26"/>
                <w:szCs w:val="26"/>
                <w:lang w:val="lv-LV"/>
              </w:rPr>
              <w:t xml:space="preserve">līdzšinēji nav iespējams </w:t>
            </w:r>
            <w:r w:rsidR="002244A1" w:rsidRPr="00FE6C26">
              <w:rPr>
                <w:sz w:val="26"/>
                <w:szCs w:val="26"/>
                <w:lang w:val="lv-LV"/>
              </w:rPr>
              <w:t>viennozīmīgi prognozēt</w:t>
            </w:r>
            <w:r w:rsidR="00641E66" w:rsidRPr="00FE6C26">
              <w:rPr>
                <w:sz w:val="26"/>
                <w:szCs w:val="26"/>
                <w:lang w:val="lv-LV"/>
              </w:rPr>
              <w:t xml:space="preserve"> atmaksātā </w:t>
            </w:r>
            <w:r w:rsidR="003E2744" w:rsidRPr="00FE6C26">
              <w:rPr>
                <w:sz w:val="26"/>
                <w:szCs w:val="26"/>
                <w:lang w:val="lv-LV"/>
              </w:rPr>
              <w:t xml:space="preserve">publiskā </w:t>
            </w:r>
            <w:r w:rsidR="00641E66" w:rsidRPr="00FE6C26">
              <w:rPr>
                <w:sz w:val="26"/>
                <w:szCs w:val="26"/>
                <w:lang w:val="lv-LV"/>
              </w:rPr>
              <w:t>finansējuma apmēru no 2.2.1.3.aktivitātes un 2.2.1.4.1.</w:t>
            </w:r>
            <w:r w:rsidR="00096C2B" w:rsidRPr="00FE6C26">
              <w:rPr>
                <w:sz w:val="26"/>
                <w:szCs w:val="26"/>
                <w:lang w:val="lv-LV"/>
              </w:rPr>
              <w:t>apakš</w:t>
            </w:r>
            <w:r w:rsidR="00641E66" w:rsidRPr="00FE6C26">
              <w:rPr>
                <w:sz w:val="26"/>
                <w:szCs w:val="26"/>
                <w:lang w:val="lv-LV"/>
              </w:rPr>
              <w:t xml:space="preserve">aktivitātes, kuru </w:t>
            </w:r>
            <w:r w:rsidR="00FE6C26">
              <w:rPr>
                <w:sz w:val="26"/>
                <w:szCs w:val="26"/>
                <w:lang w:val="lv-LV"/>
              </w:rPr>
              <w:t xml:space="preserve">ir </w:t>
            </w:r>
            <w:r w:rsidR="00641E66" w:rsidRPr="00FE6C26">
              <w:rPr>
                <w:sz w:val="26"/>
                <w:szCs w:val="26"/>
                <w:lang w:val="lv-LV"/>
              </w:rPr>
              <w:lastRenderedPageBreak/>
              <w:t xml:space="preserve">paredzēts izmantot vadības izmaksu segšanai </w:t>
            </w:r>
            <w:r w:rsidR="00C72D01" w:rsidRPr="00FE6C26">
              <w:rPr>
                <w:sz w:val="26"/>
                <w:szCs w:val="26"/>
                <w:lang w:val="lv-LV"/>
              </w:rPr>
              <w:t xml:space="preserve">sagatavošanas kapitāla, sākuma kapitāla, riska kapitāla un izaugsmes kapitāla fondiem </w:t>
            </w:r>
            <w:r w:rsidR="00641E66" w:rsidRPr="00FE6C26">
              <w:rPr>
                <w:sz w:val="26"/>
                <w:szCs w:val="26"/>
                <w:lang w:val="lv-LV"/>
              </w:rPr>
              <w:t>pēc 2016.gada 31.</w:t>
            </w:r>
            <w:r w:rsidR="001B6C79" w:rsidRPr="00FE6C26">
              <w:rPr>
                <w:sz w:val="26"/>
                <w:szCs w:val="26"/>
                <w:lang w:val="lv-LV"/>
              </w:rPr>
              <w:t>okto</w:t>
            </w:r>
            <w:r w:rsidR="00641E66" w:rsidRPr="00FE6C26">
              <w:rPr>
                <w:sz w:val="26"/>
                <w:szCs w:val="26"/>
                <w:lang w:val="lv-LV"/>
              </w:rPr>
              <w:t>bra.</w:t>
            </w:r>
            <w:r w:rsidR="00096C2B" w:rsidRPr="00FE6C26">
              <w:rPr>
                <w:sz w:val="26"/>
                <w:szCs w:val="26"/>
                <w:lang w:val="lv-LV"/>
              </w:rPr>
              <w:t xml:space="preserve"> Tāpat arī nav iespējams noteikt </w:t>
            </w:r>
            <w:r w:rsidR="00FE6C26">
              <w:rPr>
                <w:sz w:val="26"/>
                <w:szCs w:val="26"/>
                <w:lang w:val="lv-LV"/>
              </w:rPr>
              <w:t>tālāko investīciju portfelī esošajos komersantos</w:t>
            </w:r>
            <w:r w:rsidR="00096C2B" w:rsidRPr="00FE6C26">
              <w:rPr>
                <w:sz w:val="26"/>
                <w:szCs w:val="26"/>
                <w:lang w:val="lv-LV"/>
              </w:rPr>
              <w:t xml:space="preserve"> apmēru pēc </w:t>
            </w:r>
            <w:r w:rsidR="00C72D01" w:rsidRPr="00FE6C26">
              <w:rPr>
                <w:sz w:val="26"/>
                <w:szCs w:val="26"/>
                <w:lang w:val="lv-LV"/>
              </w:rPr>
              <w:t>2016.gada 31.oktobra</w:t>
            </w:r>
            <w:r w:rsidR="00096C2B" w:rsidRPr="00FE6C26">
              <w:rPr>
                <w:sz w:val="26"/>
                <w:szCs w:val="26"/>
                <w:lang w:val="lv-LV"/>
              </w:rPr>
              <w:t>, jo fondu pārvaldnieki veic investīcijas uzņēmumos, līdzdarbojoties to attīstības stratēģijā</w:t>
            </w:r>
            <w:r w:rsidR="00162299" w:rsidRPr="00FE6C26">
              <w:rPr>
                <w:sz w:val="26"/>
                <w:szCs w:val="26"/>
                <w:lang w:val="lv-LV"/>
              </w:rPr>
              <w:t>.</w:t>
            </w:r>
            <w:r w:rsidR="00641E66" w:rsidRPr="00FE6C26">
              <w:rPr>
                <w:sz w:val="26"/>
                <w:szCs w:val="26"/>
                <w:lang w:val="lv-LV"/>
              </w:rPr>
              <w:t xml:space="preserve"> </w:t>
            </w:r>
            <w:r w:rsidR="002012F8" w:rsidRPr="00FE6C26">
              <w:rPr>
                <w:sz w:val="26"/>
                <w:szCs w:val="26"/>
                <w:lang w:val="lv-LV"/>
              </w:rPr>
              <w:t>Attiecīgi</w:t>
            </w:r>
            <w:r w:rsidR="00B8596D" w:rsidRPr="00FE6C26">
              <w:rPr>
                <w:sz w:val="26"/>
                <w:szCs w:val="26"/>
                <w:lang w:val="lv-LV"/>
              </w:rPr>
              <w:t xml:space="preserve"> </w:t>
            </w:r>
            <w:r w:rsidR="00641E66" w:rsidRPr="00FE6C26">
              <w:rPr>
                <w:sz w:val="26"/>
                <w:szCs w:val="26"/>
                <w:lang w:val="lv-LV"/>
              </w:rPr>
              <w:t xml:space="preserve">noteikumu projekts neparedz noteikt </w:t>
            </w:r>
            <w:r w:rsidR="00B8596D" w:rsidRPr="00FE6C26">
              <w:rPr>
                <w:sz w:val="26"/>
                <w:szCs w:val="26"/>
                <w:lang w:val="lv-LV"/>
              </w:rPr>
              <w:t>konkrēt</w:t>
            </w:r>
            <w:r w:rsidR="00641E66" w:rsidRPr="00FE6C26">
              <w:rPr>
                <w:sz w:val="26"/>
                <w:szCs w:val="26"/>
                <w:lang w:val="lv-LV"/>
              </w:rPr>
              <w:t>u</w:t>
            </w:r>
            <w:r w:rsidR="00B8596D" w:rsidRPr="00FE6C26">
              <w:rPr>
                <w:sz w:val="26"/>
                <w:szCs w:val="26"/>
                <w:lang w:val="lv-LV"/>
              </w:rPr>
              <w:t xml:space="preserve"> papildus pieejamā </w:t>
            </w:r>
            <w:r w:rsidR="00641E66" w:rsidRPr="00FE6C26">
              <w:rPr>
                <w:sz w:val="26"/>
                <w:szCs w:val="26"/>
                <w:lang w:val="lv-LV"/>
              </w:rPr>
              <w:t xml:space="preserve">finansējuma apmēru no </w:t>
            </w:r>
            <w:r w:rsidR="00B8596D" w:rsidRPr="00FE6C26">
              <w:rPr>
                <w:sz w:val="26"/>
                <w:szCs w:val="26"/>
                <w:lang w:val="lv-LV"/>
              </w:rPr>
              <w:t>atmaksāt</w:t>
            </w:r>
            <w:r w:rsidR="00641E66" w:rsidRPr="00FE6C26">
              <w:rPr>
                <w:sz w:val="26"/>
                <w:szCs w:val="26"/>
                <w:lang w:val="lv-LV"/>
              </w:rPr>
              <w:t>ā</w:t>
            </w:r>
            <w:r w:rsidR="00B8596D" w:rsidRPr="00FE6C26">
              <w:rPr>
                <w:sz w:val="26"/>
                <w:szCs w:val="26"/>
                <w:lang w:val="lv-LV"/>
              </w:rPr>
              <w:t xml:space="preserve"> finansējum</w:t>
            </w:r>
            <w:r w:rsidR="00641E66" w:rsidRPr="00FE6C26">
              <w:rPr>
                <w:sz w:val="26"/>
                <w:szCs w:val="26"/>
                <w:lang w:val="lv-LV"/>
              </w:rPr>
              <w:t>a</w:t>
            </w:r>
            <w:r w:rsidR="00B8596D" w:rsidRPr="00FE6C26">
              <w:rPr>
                <w:sz w:val="26"/>
                <w:szCs w:val="26"/>
                <w:lang w:val="lv-LV"/>
              </w:rPr>
              <w:t xml:space="preserve"> </w:t>
            </w:r>
            <w:r w:rsidR="009B7D5B" w:rsidRPr="00FE6C26">
              <w:rPr>
                <w:sz w:val="26"/>
                <w:szCs w:val="26"/>
                <w:lang w:val="lv-LV"/>
              </w:rPr>
              <w:t>2.2.1.3.</w:t>
            </w:r>
            <w:r w:rsidR="00096C2B" w:rsidRPr="00FE6C26">
              <w:rPr>
                <w:sz w:val="26"/>
                <w:szCs w:val="26"/>
                <w:lang w:val="lv-LV"/>
              </w:rPr>
              <w:t>aktivitātē</w:t>
            </w:r>
            <w:r w:rsidR="009B7D5B" w:rsidRPr="00FE6C26">
              <w:rPr>
                <w:sz w:val="26"/>
                <w:szCs w:val="26"/>
                <w:lang w:val="lv-LV"/>
              </w:rPr>
              <w:t xml:space="preserve"> un 2.2.1.4.1.</w:t>
            </w:r>
            <w:r w:rsidR="00096C2B" w:rsidRPr="00FE6C26">
              <w:rPr>
                <w:sz w:val="26"/>
                <w:szCs w:val="26"/>
                <w:lang w:val="lv-LV"/>
              </w:rPr>
              <w:t>apakš</w:t>
            </w:r>
            <w:r w:rsidR="003E2744" w:rsidRPr="00FE6C26">
              <w:rPr>
                <w:sz w:val="26"/>
                <w:szCs w:val="26"/>
                <w:lang w:val="lv-LV"/>
              </w:rPr>
              <w:t>aktivitātē, kuru paredzēts izmantot pēc 2016.gada 31.oktobra</w:t>
            </w:r>
            <w:r w:rsidR="00641E66" w:rsidRPr="00FE6C26">
              <w:rPr>
                <w:sz w:val="26"/>
                <w:szCs w:val="26"/>
                <w:lang w:val="lv-LV"/>
              </w:rPr>
              <w:t>.</w:t>
            </w:r>
            <w:r w:rsidR="00B8596D" w:rsidRPr="00162299">
              <w:rPr>
                <w:sz w:val="26"/>
                <w:szCs w:val="26"/>
                <w:lang w:val="lv-LV"/>
              </w:rPr>
              <w:t xml:space="preserve"> </w:t>
            </w:r>
          </w:p>
          <w:p w:rsidR="00E53705" w:rsidRDefault="000A03ED" w:rsidP="00C67234">
            <w:pPr>
              <w:spacing w:after="240"/>
              <w:ind w:firstLine="709"/>
              <w:jc w:val="both"/>
              <w:rPr>
                <w:sz w:val="26"/>
                <w:szCs w:val="26"/>
                <w:lang w:val="lv-LV"/>
              </w:rPr>
            </w:pPr>
            <w:r w:rsidRPr="00454295">
              <w:rPr>
                <w:sz w:val="26"/>
                <w:szCs w:val="26"/>
                <w:lang w:val="lv-LV"/>
              </w:rPr>
              <w:t xml:space="preserve">Padomes 2006.gada 11.jūlija Regulas (EK) Nr.1083/2006, ar ko paredz vispārīgus noteikumus par Eiropas Reģionālās attīstības fondu, Eiropas Sociālo fondu un Kohēzijas fondu un atceļ Regulu (EK) Nr.1260/1999 (turpmāk – Regula Nr.1083/2006) 56.panta 1.punkts nosaka, ka struktūrfondu un brīvo līdzekļu ieņēmumu, kas gūti no brīvo struktūrfondu līdzekļu noguldījumu daļas, izmantošanas termiņš ir 2015.gada 31.decembris. </w:t>
            </w:r>
            <w:r w:rsidR="00B14D96" w:rsidRPr="00E9367D">
              <w:rPr>
                <w:sz w:val="26"/>
                <w:szCs w:val="26"/>
                <w:lang w:val="lv-LV"/>
              </w:rPr>
              <w:t>Eiropas Komisijas  2015.gada 30.aprīļa pielikum</w:t>
            </w:r>
            <w:r w:rsidR="00B14D96">
              <w:rPr>
                <w:sz w:val="26"/>
                <w:szCs w:val="26"/>
                <w:lang w:val="lv-LV"/>
              </w:rPr>
              <w:t>a</w:t>
            </w:r>
            <w:r w:rsidR="00B14D96" w:rsidRPr="00E9367D">
              <w:rPr>
                <w:sz w:val="26"/>
                <w:szCs w:val="26"/>
                <w:lang w:val="lv-LV"/>
              </w:rPr>
              <w:t xml:space="preserve"> </w:t>
            </w:r>
            <w:proofErr w:type="spellStart"/>
            <w:r w:rsidR="00B14D96" w:rsidRPr="00E9367D">
              <w:rPr>
                <w:sz w:val="26"/>
                <w:szCs w:val="26"/>
                <w:lang w:val="lv-LV"/>
              </w:rPr>
              <w:t>Nr.C</w:t>
            </w:r>
            <w:proofErr w:type="spellEnd"/>
            <w:r w:rsidR="00B14D96">
              <w:rPr>
                <w:sz w:val="26"/>
                <w:szCs w:val="26"/>
                <w:lang w:val="lv-LV"/>
              </w:rPr>
              <w:t xml:space="preserve"> </w:t>
            </w:r>
            <w:r w:rsidR="00B14D96" w:rsidRPr="00E9367D">
              <w:rPr>
                <w:sz w:val="26"/>
                <w:szCs w:val="26"/>
                <w:lang w:val="lv-LV"/>
              </w:rPr>
              <w:t>(2015) 2771 Komisijas lēmumam</w:t>
            </w:r>
            <w:r w:rsidR="00B14D96">
              <w:rPr>
                <w:sz w:val="26"/>
                <w:szCs w:val="26"/>
                <w:lang w:val="lv-LV"/>
              </w:rPr>
              <w:t>,</w:t>
            </w:r>
            <w:r w:rsidR="00B14D96" w:rsidRPr="00E9367D">
              <w:rPr>
                <w:sz w:val="26"/>
                <w:szCs w:val="26"/>
                <w:lang w:val="lv-LV"/>
              </w:rPr>
              <w:t xml:space="preserve"> ar kuru groza Lēmumu </w:t>
            </w:r>
            <w:proofErr w:type="spellStart"/>
            <w:r w:rsidR="00B14D96" w:rsidRPr="00E9367D">
              <w:rPr>
                <w:sz w:val="26"/>
                <w:szCs w:val="26"/>
                <w:lang w:val="lv-LV"/>
              </w:rPr>
              <w:t>Nr.C</w:t>
            </w:r>
            <w:proofErr w:type="spellEnd"/>
            <w:r w:rsidR="00B14D96">
              <w:rPr>
                <w:sz w:val="26"/>
                <w:szCs w:val="26"/>
                <w:lang w:val="lv-LV"/>
              </w:rPr>
              <w:t xml:space="preserve"> </w:t>
            </w:r>
            <w:r w:rsidR="00B14D96" w:rsidRPr="00E9367D">
              <w:rPr>
                <w:sz w:val="26"/>
                <w:szCs w:val="26"/>
                <w:lang w:val="lv-LV"/>
              </w:rPr>
              <w:t>(2013) 1573, ar ko apstiprina pamatnostādnes par to darbības programmu slēgšanu, kuras pieņemtas atbalsta saņemšanai no Eiropas Reģionālās attīstības fonda, Eiropas Sociālā fonda un Kohēzijas fonda (2007-2013)</w:t>
            </w:r>
            <w:r w:rsidR="00B14D96">
              <w:rPr>
                <w:sz w:val="26"/>
                <w:szCs w:val="26"/>
                <w:lang w:val="lv-LV"/>
              </w:rPr>
              <w:t xml:space="preserve"> 3.6.punkt</w:t>
            </w:r>
            <w:r w:rsidR="002012F8">
              <w:rPr>
                <w:sz w:val="26"/>
                <w:szCs w:val="26"/>
                <w:lang w:val="lv-LV"/>
              </w:rPr>
              <w:t xml:space="preserve">s paredz pagarināt izmaksu attiecināmības termiņu jaunu darījumu slēgšanai, maksājumiem komersantiem un vadības izmaksām  finanšu instrumentos līdz  </w:t>
            </w:r>
            <w:r w:rsidR="00A9439F" w:rsidRPr="00454295">
              <w:rPr>
                <w:sz w:val="26"/>
                <w:szCs w:val="26"/>
                <w:lang w:val="lv-LV"/>
              </w:rPr>
              <w:t xml:space="preserve"> 2017.gada 31.martam, tostarp līdz minētajam laika periodam paredzot termiņu Revīzijas un Sertifikācijas iestāžu paredzētajām darbībām 2007.-2013.gada plānošanas perioda slēgšana</w:t>
            </w:r>
            <w:r w:rsidR="00917258" w:rsidRPr="00454295">
              <w:rPr>
                <w:sz w:val="26"/>
                <w:szCs w:val="26"/>
                <w:lang w:val="lv-LV"/>
              </w:rPr>
              <w:t>s nodrošināšanai</w:t>
            </w:r>
            <w:r w:rsidR="00A9439F" w:rsidRPr="00454295">
              <w:rPr>
                <w:sz w:val="26"/>
                <w:szCs w:val="26"/>
                <w:lang w:val="lv-LV"/>
              </w:rPr>
              <w:t xml:space="preserve">. </w:t>
            </w:r>
          </w:p>
          <w:p w:rsidR="00E53705" w:rsidRDefault="00EC1386" w:rsidP="00C67234">
            <w:pPr>
              <w:spacing w:after="240"/>
              <w:ind w:firstLine="709"/>
              <w:jc w:val="both"/>
              <w:rPr>
                <w:sz w:val="26"/>
                <w:szCs w:val="26"/>
                <w:lang w:val="lv-LV"/>
              </w:rPr>
            </w:pPr>
            <w:r>
              <w:rPr>
                <w:sz w:val="26"/>
                <w:szCs w:val="26"/>
                <w:lang w:val="lv-LV"/>
              </w:rPr>
              <w:t>Atbilstoši MK noteikumu Nr.983 16.</w:t>
            </w:r>
            <w:r w:rsidRPr="00EC1386">
              <w:rPr>
                <w:sz w:val="26"/>
                <w:szCs w:val="26"/>
                <w:vertAlign w:val="superscript"/>
                <w:lang w:val="lv-LV"/>
              </w:rPr>
              <w:t>1</w:t>
            </w:r>
            <w:r>
              <w:rPr>
                <w:sz w:val="26"/>
                <w:szCs w:val="26"/>
                <w:lang w:val="lv-LV"/>
              </w:rPr>
              <w:t xml:space="preserve"> punktam Izaugsmes kapitāla fondu pārvaldnieki tika izvēlēti publiskā iepirkuma procedūras ietvaros, nepiemērojot MK noteikumu Nr.983 </w:t>
            </w:r>
            <w:r w:rsidR="006C79C3">
              <w:rPr>
                <w:sz w:val="26"/>
                <w:szCs w:val="26"/>
                <w:lang w:val="lv-LV"/>
              </w:rPr>
              <w:t>1. un 2.pielikumā ietvertos kritērijus</w:t>
            </w:r>
            <w:r w:rsidR="00CC67C1">
              <w:rPr>
                <w:sz w:val="26"/>
                <w:szCs w:val="26"/>
                <w:lang w:val="lv-LV"/>
              </w:rPr>
              <w:t xml:space="preserve">, tostarp </w:t>
            </w:r>
            <w:r w:rsidR="00D37FA8">
              <w:rPr>
                <w:sz w:val="26"/>
                <w:szCs w:val="26"/>
                <w:lang w:val="lv-LV"/>
              </w:rPr>
              <w:t xml:space="preserve">kritēriju </w:t>
            </w:r>
            <w:r w:rsidR="00CC67C1">
              <w:rPr>
                <w:sz w:val="26"/>
                <w:szCs w:val="26"/>
                <w:lang w:val="lv-LV"/>
              </w:rPr>
              <w:t>attiecībā uz izmaksu attiecināmības termiņu</w:t>
            </w:r>
            <w:r w:rsidR="006C79C3">
              <w:rPr>
                <w:sz w:val="26"/>
                <w:szCs w:val="26"/>
                <w:lang w:val="lv-LV"/>
              </w:rPr>
              <w:t xml:space="preserve">. </w:t>
            </w:r>
            <w:r w:rsidR="00D37FA8">
              <w:rPr>
                <w:sz w:val="26"/>
                <w:szCs w:val="26"/>
                <w:lang w:val="lv-LV"/>
              </w:rPr>
              <w:t>Izaugsmes kapitāla fondu pārvaldnieku i</w:t>
            </w:r>
            <w:r w:rsidR="00C67234" w:rsidRPr="00C67234">
              <w:rPr>
                <w:sz w:val="26"/>
                <w:szCs w:val="26"/>
                <w:lang w:val="lv-LV"/>
              </w:rPr>
              <w:t>epirkumu līgums paredz, ka izaugsmes kapitāla fondu darbību regulējošo tiesību aktu izmaiņu gadījumā fondu</w:t>
            </w:r>
            <w:r w:rsidR="00C67234">
              <w:rPr>
                <w:sz w:val="26"/>
                <w:szCs w:val="26"/>
                <w:lang w:val="lv-LV"/>
              </w:rPr>
              <w:t xml:space="preserve"> pārvaldniekiem ir pienākums sasaukt biedru sapulci, lai ne tikai apspriestu, bet arī ierosinātu nepieciešamos groz</w:t>
            </w:r>
            <w:r w:rsidR="00D37FA8">
              <w:rPr>
                <w:sz w:val="26"/>
                <w:szCs w:val="26"/>
                <w:lang w:val="lv-LV"/>
              </w:rPr>
              <w:t>ījumus l</w:t>
            </w:r>
            <w:r w:rsidR="00C67234">
              <w:rPr>
                <w:sz w:val="26"/>
                <w:szCs w:val="26"/>
                <w:lang w:val="lv-LV"/>
              </w:rPr>
              <w:t>īgum</w:t>
            </w:r>
            <w:r w:rsidR="00D37FA8">
              <w:rPr>
                <w:sz w:val="26"/>
                <w:szCs w:val="26"/>
                <w:lang w:val="lv-LV"/>
              </w:rPr>
              <w:t>ā, kas noslēgts st</w:t>
            </w:r>
            <w:r w:rsidR="001B6C79">
              <w:rPr>
                <w:sz w:val="26"/>
                <w:szCs w:val="26"/>
                <w:lang w:val="lv-LV"/>
              </w:rPr>
              <w:t>arp Altum un fonda pārvaldnieku</w:t>
            </w:r>
            <w:r w:rsidR="00C67234">
              <w:rPr>
                <w:sz w:val="26"/>
                <w:szCs w:val="26"/>
                <w:lang w:val="lv-LV"/>
              </w:rPr>
              <w:t xml:space="preserve"> par izaugsmes kapitāla fonda īstenošanu</w:t>
            </w:r>
            <w:r w:rsidR="001B6C79">
              <w:rPr>
                <w:sz w:val="26"/>
                <w:szCs w:val="26"/>
                <w:lang w:val="lv-LV"/>
              </w:rPr>
              <w:t>,</w:t>
            </w:r>
            <w:r w:rsidR="00D37FA8">
              <w:rPr>
                <w:sz w:val="26"/>
                <w:szCs w:val="26"/>
                <w:lang w:val="lv-LV"/>
              </w:rPr>
              <w:t xml:space="preserve"> ar mērķi nodrošināt</w:t>
            </w:r>
            <w:r w:rsidR="00C67234">
              <w:rPr>
                <w:sz w:val="26"/>
                <w:szCs w:val="26"/>
                <w:lang w:val="lv-LV"/>
              </w:rPr>
              <w:t xml:space="preserve"> atbilstību attiecīgajiem tiesību akta grozījumiem. </w:t>
            </w:r>
          </w:p>
          <w:p w:rsidR="00387757" w:rsidRDefault="00387757" w:rsidP="0071297D">
            <w:pPr>
              <w:spacing w:after="240"/>
              <w:ind w:firstLine="709"/>
              <w:jc w:val="both"/>
              <w:rPr>
                <w:sz w:val="26"/>
                <w:szCs w:val="26"/>
                <w:lang w:val="lv-LV"/>
              </w:rPr>
            </w:pPr>
            <w:r w:rsidRPr="003D058E">
              <w:rPr>
                <w:sz w:val="26"/>
                <w:szCs w:val="26"/>
                <w:lang w:val="lv-LV"/>
              </w:rPr>
              <w:t>Sagatavošanas kapitāla, sākuma kapitāla un riska kapitāla fondu pārvaldnieku atlasei netika piemērota publiskā iepirkuma procedūra</w:t>
            </w:r>
            <w:r w:rsidR="0029526C" w:rsidRPr="003D058E">
              <w:rPr>
                <w:sz w:val="26"/>
                <w:szCs w:val="26"/>
                <w:lang w:val="lv-LV"/>
              </w:rPr>
              <w:t>. M</w:t>
            </w:r>
            <w:r w:rsidRPr="003D058E">
              <w:rPr>
                <w:sz w:val="26"/>
                <w:szCs w:val="26"/>
                <w:lang w:val="lv-LV"/>
              </w:rPr>
              <w:t xml:space="preserve">inēto fondu pārvaldnieku atlasi veica Eiropas </w:t>
            </w:r>
            <w:r w:rsidRPr="003D058E">
              <w:rPr>
                <w:sz w:val="26"/>
                <w:szCs w:val="26"/>
                <w:lang w:val="lv-LV"/>
              </w:rPr>
              <w:lastRenderedPageBreak/>
              <w:t>Investīciju fonds</w:t>
            </w:r>
            <w:r w:rsidR="0029526C" w:rsidRPr="003D058E">
              <w:rPr>
                <w:sz w:val="26"/>
                <w:szCs w:val="26"/>
                <w:lang w:val="lv-LV"/>
              </w:rPr>
              <w:t xml:space="preserve"> atbilstoši </w:t>
            </w:r>
            <w:r w:rsidR="004674ED" w:rsidRPr="003D058E">
              <w:rPr>
                <w:sz w:val="26"/>
                <w:szCs w:val="26"/>
                <w:lang w:val="lv-LV"/>
              </w:rPr>
              <w:t xml:space="preserve">savām </w:t>
            </w:r>
            <w:r w:rsidR="0029526C" w:rsidRPr="003D058E">
              <w:rPr>
                <w:sz w:val="26"/>
                <w:szCs w:val="26"/>
                <w:lang w:val="lv-LV"/>
              </w:rPr>
              <w:t>atlases procedūrām</w:t>
            </w:r>
            <w:r w:rsidR="003D058E" w:rsidRPr="003D058E">
              <w:rPr>
                <w:sz w:val="26"/>
                <w:szCs w:val="26"/>
                <w:lang w:val="lv-LV"/>
              </w:rPr>
              <w:t xml:space="preserve"> (atlases nosacījumi ir pieejami tīmekļa vietnē </w:t>
            </w:r>
            <w:hyperlink r:id="rId11" w:history="1">
              <w:r w:rsidR="003D058E" w:rsidRPr="003D058E">
                <w:rPr>
                  <w:rStyle w:val="Hyperlink"/>
                  <w:sz w:val="26"/>
                  <w:szCs w:val="26"/>
                  <w:lang w:val="lv-LV"/>
                </w:rPr>
                <w:t>http://www.eif.org/what_we_do/jeremie/calls-for-expression-of-interest/2010_Jeremie_Latvia_003_1/2008_Call_for_EOI_JEREMIE_Latvia_JER003_1.htm?lang=-en</w:t>
              </w:r>
            </w:hyperlink>
            <w:r w:rsidR="003D058E" w:rsidRPr="003D058E">
              <w:rPr>
                <w:sz w:val="26"/>
                <w:szCs w:val="26"/>
                <w:lang w:val="lv-LV"/>
              </w:rPr>
              <w:t xml:space="preserve">). </w:t>
            </w:r>
            <w:r w:rsidR="00E53705" w:rsidRPr="003D058E">
              <w:rPr>
                <w:sz w:val="26"/>
                <w:szCs w:val="26"/>
                <w:lang w:val="lv-LV"/>
              </w:rPr>
              <w:t>V</w:t>
            </w:r>
            <w:r w:rsidR="0029526C" w:rsidRPr="003D058E">
              <w:rPr>
                <w:sz w:val="26"/>
                <w:szCs w:val="26"/>
                <w:lang w:val="lv-LV"/>
              </w:rPr>
              <w:t>ērtēšanas kritērij</w:t>
            </w:r>
            <w:r w:rsidR="00E53705" w:rsidRPr="003D058E">
              <w:rPr>
                <w:sz w:val="26"/>
                <w:szCs w:val="26"/>
                <w:lang w:val="lv-LV"/>
              </w:rPr>
              <w:t>i</w:t>
            </w:r>
            <w:r w:rsidR="0029526C" w:rsidRPr="003D058E">
              <w:rPr>
                <w:sz w:val="26"/>
                <w:szCs w:val="26"/>
                <w:lang w:val="lv-LV"/>
              </w:rPr>
              <w:t xml:space="preserve">, kas minēti MK noteikumu Nr.983 1.pielikumā un 2.pielikumā </w:t>
            </w:r>
            <w:r w:rsidR="00E53705" w:rsidRPr="003D058E">
              <w:rPr>
                <w:sz w:val="26"/>
                <w:szCs w:val="26"/>
                <w:lang w:val="lv-LV"/>
              </w:rPr>
              <w:t>attiecināmi tikai uz sākotnējā piedāvājuma vērtēšanu</w:t>
            </w:r>
            <w:r w:rsidR="004E5CA1" w:rsidRPr="003D058E">
              <w:rPr>
                <w:sz w:val="26"/>
                <w:szCs w:val="26"/>
                <w:lang w:val="lv-LV"/>
              </w:rPr>
              <w:t xml:space="preserve">, attiecīgi nav piemērojami visā </w:t>
            </w:r>
            <w:r w:rsidR="0071297D">
              <w:rPr>
                <w:sz w:val="26"/>
                <w:szCs w:val="26"/>
                <w:lang w:val="lv-LV"/>
              </w:rPr>
              <w:t>sagatavošanas kapitāla, sākuma kapitāla un riska kapitāla</w:t>
            </w:r>
            <w:r w:rsidR="003D058E" w:rsidRPr="003D058E">
              <w:rPr>
                <w:sz w:val="26"/>
                <w:szCs w:val="26"/>
                <w:lang w:val="lv-LV"/>
              </w:rPr>
              <w:t xml:space="preserve"> </w:t>
            </w:r>
            <w:r w:rsidR="004E5CA1" w:rsidRPr="003D058E">
              <w:rPr>
                <w:sz w:val="26"/>
                <w:szCs w:val="26"/>
                <w:lang w:val="lv-LV"/>
              </w:rPr>
              <w:t xml:space="preserve">fondu darbības periodā. </w:t>
            </w:r>
            <w:r w:rsidR="0071297D">
              <w:rPr>
                <w:sz w:val="26"/>
                <w:szCs w:val="26"/>
                <w:lang w:val="lv-LV"/>
              </w:rPr>
              <w:t>Turklāt j</w:t>
            </w:r>
            <w:r w:rsidR="003D058E">
              <w:rPr>
                <w:sz w:val="26"/>
                <w:szCs w:val="26"/>
                <w:lang w:val="lv-LV"/>
              </w:rPr>
              <w:t xml:space="preserve">ānorāda, ka sākotnējos līgumos, kas noslēgti </w:t>
            </w:r>
            <w:r w:rsidR="0071297D">
              <w:rPr>
                <w:sz w:val="26"/>
                <w:szCs w:val="26"/>
                <w:lang w:val="lv-LV"/>
              </w:rPr>
              <w:t>starp Eiropas Investīciju fondu un SIA „AIFP Imprimatur Capital Fund Management”, SIA „BaltCap AIFP” par s</w:t>
            </w:r>
            <w:r w:rsidR="0071297D" w:rsidRPr="003D058E">
              <w:rPr>
                <w:sz w:val="26"/>
                <w:szCs w:val="26"/>
                <w:lang w:val="lv-LV"/>
              </w:rPr>
              <w:t>agatavošanas kapitāla, sākuma kapitāla un riska kapitāla fondu</w:t>
            </w:r>
            <w:r w:rsidR="0071297D">
              <w:rPr>
                <w:sz w:val="26"/>
                <w:szCs w:val="26"/>
                <w:lang w:val="lv-LV"/>
              </w:rPr>
              <w:t xml:space="preserve"> ieviešanu, tika paredzēta</w:t>
            </w:r>
            <w:r w:rsidR="003D058E">
              <w:rPr>
                <w:sz w:val="26"/>
                <w:szCs w:val="26"/>
                <w:lang w:val="lv-LV"/>
              </w:rPr>
              <w:t xml:space="preserve">s </w:t>
            </w:r>
            <w:r w:rsidR="0071297D">
              <w:rPr>
                <w:sz w:val="26"/>
                <w:szCs w:val="26"/>
                <w:lang w:val="lv-LV"/>
              </w:rPr>
              <w:t>iespējas veikt un attiecīgi no publiskā finansējuma finansēt pēc-investīcijas portfelī esošajos</w:t>
            </w:r>
            <w:r w:rsidR="001B6C79">
              <w:rPr>
                <w:sz w:val="26"/>
                <w:szCs w:val="26"/>
                <w:lang w:val="lv-LV"/>
              </w:rPr>
              <w:t xml:space="preserve"> komersantos</w:t>
            </w:r>
            <w:r w:rsidR="0071297D">
              <w:rPr>
                <w:sz w:val="26"/>
                <w:szCs w:val="26"/>
                <w:lang w:val="lv-LV"/>
              </w:rPr>
              <w:t xml:space="preserve"> (līguma slēgšanas brīdī pieejams ERAF un valsts budžeta finansējums). </w:t>
            </w:r>
          </w:p>
          <w:p w:rsidR="00FE5ACA" w:rsidRDefault="009F2686" w:rsidP="00FE5ACA">
            <w:pPr>
              <w:spacing w:after="240"/>
              <w:ind w:firstLine="709"/>
              <w:jc w:val="both"/>
              <w:rPr>
                <w:sz w:val="26"/>
                <w:szCs w:val="26"/>
                <w:lang w:val="lv-LV"/>
              </w:rPr>
            </w:pPr>
            <w:r w:rsidRPr="001104BA">
              <w:rPr>
                <w:sz w:val="26"/>
                <w:szCs w:val="26"/>
                <w:u w:val="single"/>
                <w:lang w:val="lv-LV"/>
              </w:rPr>
              <w:t>Ar mērķi sekmēt kvalitatīvas papildus investīcijas Latvijas ekonomikā</w:t>
            </w:r>
            <w:r w:rsidR="00FE5ACA" w:rsidRPr="001104BA">
              <w:rPr>
                <w:sz w:val="26"/>
                <w:szCs w:val="26"/>
                <w:u w:val="single"/>
                <w:lang w:val="lv-LV"/>
              </w:rPr>
              <w:t>,</w:t>
            </w:r>
            <w:r w:rsidRPr="001104BA">
              <w:rPr>
                <w:sz w:val="26"/>
                <w:szCs w:val="26"/>
                <w:lang w:val="lv-LV"/>
              </w:rPr>
              <w:t xml:space="preserve"> </w:t>
            </w:r>
            <w:r w:rsidR="00FE5ACA" w:rsidRPr="001104BA">
              <w:rPr>
                <w:sz w:val="26"/>
                <w:szCs w:val="26"/>
                <w:lang w:val="lv-LV"/>
              </w:rPr>
              <w:t>mazināt</w:t>
            </w:r>
            <w:r w:rsidRPr="001104BA">
              <w:rPr>
                <w:sz w:val="26"/>
                <w:szCs w:val="26"/>
                <w:lang w:val="lv-LV"/>
              </w:rPr>
              <w:t xml:space="preserve"> 2007.-2013.gada plānošanas perioda publiskā finansējuma neapguves riskus</w:t>
            </w:r>
            <w:r w:rsidR="00FE5ACA" w:rsidRPr="001104BA">
              <w:rPr>
                <w:sz w:val="26"/>
                <w:szCs w:val="26"/>
                <w:lang w:val="lv-LV"/>
              </w:rPr>
              <w:t>, sekmēt</w:t>
            </w:r>
            <w:r w:rsidRPr="001104BA">
              <w:rPr>
                <w:sz w:val="26"/>
                <w:szCs w:val="26"/>
                <w:lang w:val="lv-LV"/>
              </w:rPr>
              <w:t xml:space="preserve"> nozares praksei atbilstošu riska kapitāla fondu darbību</w:t>
            </w:r>
            <w:r w:rsidR="00FE5ACA" w:rsidRPr="001104BA">
              <w:rPr>
                <w:sz w:val="26"/>
                <w:szCs w:val="26"/>
                <w:lang w:val="lv-LV"/>
              </w:rPr>
              <w:t xml:space="preserve"> (</w:t>
            </w:r>
            <w:r w:rsidRPr="001104BA">
              <w:rPr>
                <w:sz w:val="26"/>
                <w:szCs w:val="26"/>
                <w:lang w:val="lv-LV"/>
              </w:rPr>
              <w:t>būtiski, lai attīstītu finanšu tirgus struktūru un mazinātu finanšu tirgus nepilnības ilgtermiņā</w:t>
            </w:r>
            <w:r w:rsidR="00FE5ACA" w:rsidRPr="001104BA">
              <w:rPr>
                <w:sz w:val="26"/>
                <w:szCs w:val="26"/>
                <w:lang w:val="lv-LV"/>
              </w:rPr>
              <w:t>) noteikumu projekts paredz pagarināt ERAF, valsts budžeta finansējuma un ieņēmumu, kas gūti no brīvo publisko līdzekļu noguldījumiem, izmantošanas termiņu, to nosakot 2016.gada 31.</w:t>
            </w:r>
            <w:r w:rsidR="0076497D">
              <w:rPr>
                <w:sz w:val="26"/>
                <w:szCs w:val="26"/>
                <w:lang w:val="lv-LV"/>
              </w:rPr>
              <w:t>oktobri.</w:t>
            </w:r>
          </w:p>
          <w:p w:rsidR="00C67234" w:rsidRDefault="009F2686" w:rsidP="00FE5ACA">
            <w:pPr>
              <w:spacing w:after="240"/>
              <w:ind w:firstLine="709"/>
              <w:jc w:val="both"/>
              <w:rPr>
                <w:sz w:val="26"/>
                <w:szCs w:val="26"/>
                <w:lang w:val="lv-LV"/>
              </w:rPr>
            </w:pPr>
            <w:r>
              <w:rPr>
                <w:sz w:val="26"/>
                <w:szCs w:val="26"/>
                <w:lang w:val="lv-LV"/>
              </w:rPr>
              <w:t xml:space="preserve"> </w:t>
            </w:r>
            <w:r w:rsidR="001104BA">
              <w:rPr>
                <w:sz w:val="26"/>
                <w:szCs w:val="26"/>
                <w:lang w:val="lv-LV"/>
              </w:rPr>
              <w:t>Noteikumu projektā paredzētais t</w:t>
            </w:r>
            <w:r>
              <w:rPr>
                <w:sz w:val="26"/>
                <w:szCs w:val="26"/>
                <w:lang w:val="lv-LV"/>
              </w:rPr>
              <w:t>ermiņa pagarinājums līdz 2016.gada 31.</w:t>
            </w:r>
            <w:r w:rsidR="0076497D">
              <w:rPr>
                <w:sz w:val="26"/>
                <w:szCs w:val="26"/>
                <w:lang w:val="lv-LV"/>
              </w:rPr>
              <w:t>oktobrim</w:t>
            </w:r>
            <w:r>
              <w:rPr>
                <w:sz w:val="26"/>
                <w:szCs w:val="26"/>
                <w:lang w:val="lv-LV"/>
              </w:rPr>
              <w:t xml:space="preserve"> ir noteikts, ņemot vērā investīciju darījumu strukturēšanas komplicētību</w:t>
            </w:r>
            <w:r w:rsidR="001104BA">
              <w:rPr>
                <w:sz w:val="26"/>
                <w:szCs w:val="26"/>
                <w:lang w:val="lv-LV"/>
              </w:rPr>
              <w:t>, tostarp nepieciešamo</w:t>
            </w:r>
            <w:r>
              <w:rPr>
                <w:sz w:val="26"/>
                <w:szCs w:val="26"/>
                <w:lang w:val="lv-LV"/>
              </w:rPr>
              <w:t xml:space="preserve"> termiņu</w:t>
            </w:r>
            <w:r w:rsidR="001104BA">
              <w:rPr>
                <w:sz w:val="26"/>
                <w:szCs w:val="26"/>
                <w:lang w:val="lv-LV"/>
              </w:rPr>
              <w:t xml:space="preserve"> investīciju darījuma norisei (līdz 6 mēnešiem)</w:t>
            </w:r>
            <w:r w:rsidR="00912DF8">
              <w:rPr>
                <w:sz w:val="26"/>
                <w:szCs w:val="26"/>
                <w:lang w:val="lv-LV"/>
              </w:rPr>
              <w:t>,</w:t>
            </w:r>
            <w:r w:rsidR="001104BA">
              <w:rPr>
                <w:sz w:val="26"/>
                <w:szCs w:val="26"/>
                <w:lang w:val="lv-LV"/>
              </w:rPr>
              <w:t xml:space="preserve"> un </w:t>
            </w:r>
            <w:r>
              <w:rPr>
                <w:sz w:val="26"/>
                <w:szCs w:val="26"/>
                <w:lang w:val="lv-LV"/>
              </w:rPr>
              <w:t xml:space="preserve">nepieciešamību </w:t>
            </w:r>
            <w:r w:rsidR="001104BA">
              <w:rPr>
                <w:sz w:val="26"/>
                <w:szCs w:val="26"/>
                <w:lang w:val="lv-LV"/>
              </w:rPr>
              <w:t xml:space="preserve">EM </w:t>
            </w:r>
            <w:r>
              <w:rPr>
                <w:sz w:val="26"/>
                <w:szCs w:val="26"/>
                <w:lang w:val="lv-LV"/>
              </w:rPr>
              <w:t xml:space="preserve">nodrošināt </w:t>
            </w:r>
            <w:r w:rsidR="001104BA">
              <w:rPr>
                <w:sz w:val="26"/>
                <w:szCs w:val="26"/>
                <w:lang w:val="lv-LV"/>
              </w:rPr>
              <w:t xml:space="preserve">riska kapitāla </w:t>
            </w:r>
            <w:r>
              <w:rPr>
                <w:sz w:val="26"/>
                <w:szCs w:val="26"/>
                <w:lang w:val="lv-LV"/>
              </w:rPr>
              <w:t>investīciju pieejamības nepārtrauktību komersantiem līdz jaunu riska kapitāla fondu atlasei un investīciju perioda uzsākšanai 2014.-2020.gada plānošanas periodā</w:t>
            </w:r>
            <w:r w:rsidR="001104BA">
              <w:rPr>
                <w:sz w:val="26"/>
                <w:szCs w:val="26"/>
                <w:lang w:val="lv-LV"/>
              </w:rPr>
              <w:t>.</w:t>
            </w:r>
            <w:r w:rsidR="00F07039">
              <w:rPr>
                <w:sz w:val="26"/>
                <w:szCs w:val="26"/>
                <w:lang w:val="lv-LV"/>
              </w:rPr>
              <w:t xml:space="preserve"> Paredzēts, ka 2014.-2020.gada plānošanas periodā īstenojamo riska kapitāla fondu ietvaros investīcijas komersantiem būs pieejamas 2017.gada janvārī, ko nosaka</w:t>
            </w:r>
            <w:r w:rsidR="001104BA">
              <w:rPr>
                <w:sz w:val="26"/>
                <w:szCs w:val="26"/>
                <w:lang w:val="lv-LV"/>
              </w:rPr>
              <w:t xml:space="preserve"> </w:t>
            </w:r>
            <w:r w:rsidR="00F07039">
              <w:rPr>
                <w:sz w:val="26"/>
                <w:szCs w:val="26"/>
                <w:lang w:val="lv-LV"/>
              </w:rPr>
              <w:t xml:space="preserve">Ministru kabineta </w:t>
            </w:r>
            <w:r w:rsidR="001104BA">
              <w:rPr>
                <w:sz w:val="26"/>
                <w:szCs w:val="26"/>
                <w:lang w:val="lv-LV"/>
              </w:rPr>
              <w:t xml:space="preserve">valsts atbalsta </w:t>
            </w:r>
            <w:r w:rsidR="00F07039">
              <w:rPr>
                <w:sz w:val="26"/>
                <w:szCs w:val="26"/>
                <w:lang w:val="lv-LV"/>
              </w:rPr>
              <w:t xml:space="preserve">noteikumu </w:t>
            </w:r>
            <w:r w:rsidR="001104BA">
              <w:rPr>
                <w:sz w:val="26"/>
                <w:szCs w:val="26"/>
                <w:lang w:val="lv-LV"/>
              </w:rPr>
              <w:t>izstrādes process</w:t>
            </w:r>
            <w:r w:rsidR="00F26527">
              <w:rPr>
                <w:sz w:val="26"/>
                <w:szCs w:val="26"/>
                <w:lang w:val="lv-LV"/>
              </w:rPr>
              <w:t xml:space="preserve"> (tostarp paredz nozares </w:t>
            </w:r>
            <w:r w:rsidR="00A27C38">
              <w:rPr>
                <w:sz w:val="26"/>
                <w:szCs w:val="26"/>
                <w:lang w:val="lv-LV"/>
              </w:rPr>
              <w:t>līdzdalību</w:t>
            </w:r>
            <w:r w:rsidR="00F26527">
              <w:rPr>
                <w:sz w:val="26"/>
                <w:szCs w:val="26"/>
                <w:lang w:val="lv-LV"/>
              </w:rPr>
              <w:t>),</w:t>
            </w:r>
            <w:r w:rsidR="00F07039">
              <w:rPr>
                <w:sz w:val="26"/>
                <w:szCs w:val="26"/>
                <w:lang w:val="lv-LV"/>
              </w:rPr>
              <w:t xml:space="preserve"> nepieciešamība piemērot publiskā iepirkuma procedūru fondu pārvaldnieku atlasei</w:t>
            </w:r>
            <w:r w:rsidR="00F26527">
              <w:rPr>
                <w:sz w:val="26"/>
                <w:szCs w:val="26"/>
                <w:lang w:val="lv-LV"/>
              </w:rPr>
              <w:t xml:space="preserve">, </w:t>
            </w:r>
            <w:r w:rsidR="00A27C38">
              <w:rPr>
                <w:sz w:val="26"/>
                <w:szCs w:val="26"/>
                <w:lang w:val="lv-LV"/>
              </w:rPr>
              <w:t xml:space="preserve">tostarp </w:t>
            </w:r>
            <w:r w:rsidR="00F26527">
              <w:rPr>
                <w:sz w:val="26"/>
                <w:szCs w:val="26"/>
                <w:lang w:val="lv-LV"/>
              </w:rPr>
              <w:t>iepirkumu dokumentācijas izstrādes process</w:t>
            </w:r>
            <w:r w:rsidR="00F07039">
              <w:rPr>
                <w:sz w:val="26"/>
                <w:szCs w:val="26"/>
                <w:lang w:val="lv-LV"/>
              </w:rPr>
              <w:t xml:space="preserve">, kā </w:t>
            </w:r>
            <w:r w:rsidR="00F26527">
              <w:rPr>
                <w:sz w:val="26"/>
                <w:szCs w:val="26"/>
                <w:lang w:val="lv-LV"/>
              </w:rPr>
              <w:t xml:space="preserve">arī nepieciešamība </w:t>
            </w:r>
            <w:r w:rsidR="00F07039">
              <w:rPr>
                <w:sz w:val="26"/>
                <w:szCs w:val="26"/>
                <w:lang w:val="lv-LV"/>
              </w:rPr>
              <w:t>nodrošināt privātā līdzfinansējuma piesaisti</w:t>
            </w:r>
            <w:r w:rsidR="00F26527">
              <w:rPr>
                <w:sz w:val="26"/>
                <w:szCs w:val="26"/>
                <w:lang w:val="lv-LV"/>
              </w:rPr>
              <w:t xml:space="preserve"> attiecīgajā apmērā</w:t>
            </w:r>
            <w:r w:rsidR="00F07039">
              <w:rPr>
                <w:sz w:val="26"/>
                <w:szCs w:val="26"/>
                <w:lang w:val="lv-LV"/>
              </w:rPr>
              <w:t xml:space="preserve"> pēc </w:t>
            </w:r>
            <w:r w:rsidR="00F26527">
              <w:rPr>
                <w:sz w:val="26"/>
                <w:szCs w:val="26"/>
                <w:lang w:val="lv-LV"/>
              </w:rPr>
              <w:t xml:space="preserve">fondu pārvaldnieku atlases </w:t>
            </w:r>
            <w:r w:rsidR="00F07039">
              <w:rPr>
                <w:sz w:val="26"/>
                <w:szCs w:val="26"/>
                <w:lang w:val="lv-LV"/>
              </w:rPr>
              <w:t xml:space="preserve">(privātā līdzfinansējuma piesaiste atbilstoši nozares praksei noris </w:t>
            </w:r>
            <w:r w:rsidR="00F26527">
              <w:rPr>
                <w:sz w:val="26"/>
                <w:szCs w:val="26"/>
                <w:lang w:val="lv-LV"/>
              </w:rPr>
              <w:t xml:space="preserve">indikatīvi </w:t>
            </w:r>
            <w:r w:rsidR="00F07039">
              <w:rPr>
                <w:sz w:val="26"/>
                <w:szCs w:val="26"/>
                <w:lang w:val="lv-LV"/>
              </w:rPr>
              <w:t>6 mēneš</w:t>
            </w:r>
            <w:r w:rsidR="00F26527">
              <w:rPr>
                <w:sz w:val="26"/>
                <w:szCs w:val="26"/>
                <w:lang w:val="lv-LV"/>
              </w:rPr>
              <w:t>us</w:t>
            </w:r>
            <w:r w:rsidR="00F07039">
              <w:rPr>
                <w:sz w:val="26"/>
                <w:szCs w:val="26"/>
                <w:lang w:val="lv-LV"/>
              </w:rPr>
              <w:t>).</w:t>
            </w:r>
            <w:r>
              <w:rPr>
                <w:sz w:val="26"/>
                <w:szCs w:val="26"/>
                <w:lang w:val="lv-LV"/>
              </w:rPr>
              <w:t xml:space="preserve"> </w:t>
            </w:r>
          </w:p>
          <w:p w:rsidR="0076497D" w:rsidRDefault="001104BA" w:rsidP="0076497D">
            <w:pPr>
              <w:spacing w:after="240"/>
              <w:ind w:firstLine="709"/>
              <w:jc w:val="both"/>
              <w:rPr>
                <w:sz w:val="26"/>
                <w:szCs w:val="26"/>
                <w:lang w:val="lv-LV"/>
              </w:rPr>
            </w:pPr>
            <w:r w:rsidRPr="00912DF8">
              <w:rPr>
                <w:sz w:val="26"/>
                <w:szCs w:val="26"/>
                <w:lang w:val="lv-LV"/>
              </w:rPr>
              <w:t xml:space="preserve">Saskaņā ar </w:t>
            </w:r>
            <w:r w:rsidR="002012F8" w:rsidRPr="00912DF8">
              <w:rPr>
                <w:sz w:val="26"/>
                <w:szCs w:val="26"/>
                <w:lang w:val="lv-LV"/>
              </w:rPr>
              <w:t xml:space="preserve">Eiropas Komisijas  2015.gada 30.aprīļa </w:t>
            </w:r>
            <w:r w:rsidR="002012F8" w:rsidRPr="00912DF8">
              <w:rPr>
                <w:sz w:val="26"/>
                <w:szCs w:val="26"/>
                <w:lang w:val="lv-LV"/>
              </w:rPr>
              <w:lastRenderedPageBreak/>
              <w:t xml:space="preserve">pielikuma Nr.C (2015) 2771 Komisijas lēmumam, ar kuru groza Lēmumu </w:t>
            </w:r>
            <w:proofErr w:type="spellStart"/>
            <w:r w:rsidR="002012F8" w:rsidRPr="00912DF8">
              <w:rPr>
                <w:sz w:val="26"/>
                <w:szCs w:val="26"/>
                <w:lang w:val="lv-LV"/>
              </w:rPr>
              <w:t>Nr.C</w:t>
            </w:r>
            <w:proofErr w:type="spellEnd"/>
            <w:r w:rsidR="002012F8" w:rsidRPr="00912DF8">
              <w:rPr>
                <w:sz w:val="26"/>
                <w:szCs w:val="26"/>
                <w:lang w:val="lv-LV"/>
              </w:rPr>
              <w:t xml:space="preserve"> (2013) 1573, ar ko apstiprina pamatnostādnes par to darbības programmu slēgšanu, kuras pieņemtas atbalsta saņemšanai no Eiropas Reģionālās attīstības fonda, Eiropas Sociālā fonda un Kohēzijas fonda (2007-2013) </w:t>
            </w:r>
            <w:r w:rsidRPr="00912DF8">
              <w:rPr>
                <w:sz w:val="26"/>
                <w:szCs w:val="26"/>
                <w:lang w:val="lv-LV"/>
              </w:rPr>
              <w:t>3</w:t>
            </w:r>
            <w:r w:rsidR="00A27C38" w:rsidRPr="00912DF8">
              <w:rPr>
                <w:sz w:val="26"/>
                <w:szCs w:val="26"/>
                <w:lang w:val="lv-LV"/>
              </w:rPr>
              <w:t>.6.</w:t>
            </w:r>
            <w:r w:rsidR="0076497D" w:rsidRPr="00912DF8">
              <w:rPr>
                <w:sz w:val="26"/>
                <w:szCs w:val="26"/>
                <w:lang w:val="lv-LV"/>
              </w:rPr>
              <w:t>punktu</w:t>
            </w:r>
            <w:r w:rsidRPr="00912DF8">
              <w:rPr>
                <w:sz w:val="26"/>
                <w:szCs w:val="26"/>
                <w:lang w:val="lv-LV"/>
              </w:rPr>
              <w:t xml:space="preserve"> līdz 2017.gada 31.martam</w:t>
            </w:r>
            <w:r w:rsidR="00A27C38" w:rsidRPr="00912DF8">
              <w:rPr>
                <w:sz w:val="26"/>
                <w:szCs w:val="26"/>
                <w:lang w:val="lv-LV"/>
              </w:rPr>
              <w:t xml:space="preserve"> ir</w:t>
            </w:r>
            <w:r w:rsidRPr="00912DF8">
              <w:rPr>
                <w:sz w:val="26"/>
                <w:szCs w:val="26"/>
                <w:lang w:val="lv-LV"/>
              </w:rPr>
              <w:t xml:space="preserve"> jānodrošina </w:t>
            </w:r>
            <w:r w:rsidR="00A27C38" w:rsidRPr="00912DF8">
              <w:rPr>
                <w:sz w:val="26"/>
                <w:szCs w:val="26"/>
                <w:lang w:val="lv-LV"/>
              </w:rPr>
              <w:t xml:space="preserve">un jāveic visas nepieciešamās darbības, lai nodrošinātu </w:t>
            </w:r>
            <w:r w:rsidRPr="00912DF8">
              <w:rPr>
                <w:sz w:val="26"/>
                <w:szCs w:val="26"/>
                <w:lang w:val="lv-LV"/>
              </w:rPr>
              <w:t>2007.-2013.gada plānošanas perioda slēgšan</w:t>
            </w:r>
            <w:r w:rsidR="00A27C38" w:rsidRPr="00912DF8">
              <w:rPr>
                <w:sz w:val="26"/>
                <w:szCs w:val="26"/>
                <w:lang w:val="lv-LV"/>
              </w:rPr>
              <w:t xml:space="preserve">u, tostarp jāparedz termiņš </w:t>
            </w:r>
            <w:r w:rsidRPr="00912DF8">
              <w:rPr>
                <w:sz w:val="26"/>
                <w:szCs w:val="26"/>
                <w:lang w:val="lv-LV"/>
              </w:rPr>
              <w:t>Revīz</w:t>
            </w:r>
            <w:r w:rsidR="00A27C38" w:rsidRPr="00912DF8">
              <w:rPr>
                <w:sz w:val="26"/>
                <w:szCs w:val="26"/>
                <w:lang w:val="lv-LV"/>
              </w:rPr>
              <w:t>ijas un S</w:t>
            </w:r>
            <w:r w:rsidRPr="00912DF8">
              <w:rPr>
                <w:sz w:val="26"/>
                <w:szCs w:val="26"/>
                <w:lang w:val="lv-LV"/>
              </w:rPr>
              <w:t xml:space="preserve">ertifikācijas iestādēm </w:t>
            </w:r>
            <w:r w:rsidR="00A27C38" w:rsidRPr="00912DF8">
              <w:rPr>
                <w:sz w:val="26"/>
                <w:szCs w:val="26"/>
                <w:lang w:val="lv-LV"/>
              </w:rPr>
              <w:t xml:space="preserve"> </w:t>
            </w:r>
            <w:r w:rsidRPr="00912DF8">
              <w:rPr>
                <w:sz w:val="26"/>
                <w:szCs w:val="26"/>
                <w:lang w:val="lv-LV"/>
              </w:rPr>
              <w:t>veicam</w:t>
            </w:r>
            <w:r w:rsidR="00A27C38" w:rsidRPr="00912DF8">
              <w:rPr>
                <w:sz w:val="26"/>
                <w:szCs w:val="26"/>
                <w:lang w:val="lv-LV"/>
              </w:rPr>
              <w:t>ajām</w:t>
            </w:r>
            <w:r w:rsidRPr="00912DF8">
              <w:rPr>
                <w:sz w:val="26"/>
                <w:szCs w:val="26"/>
                <w:lang w:val="lv-LV"/>
              </w:rPr>
              <w:t xml:space="preserve"> </w:t>
            </w:r>
            <w:r w:rsidR="00A27C38" w:rsidRPr="00912DF8">
              <w:rPr>
                <w:sz w:val="26"/>
                <w:szCs w:val="26"/>
                <w:lang w:val="lv-LV"/>
              </w:rPr>
              <w:t>darbībām.</w:t>
            </w:r>
            <w:r w:rsidRPr="00912DF8">
              <w:rPr>
                <w:sz w:val="26"/>
                <w:szCs w:val="26"/>
                <w:lang w:val="lv-LV"/>
              </w:rPr>
              <w:t xml:space="preserve"> </w:t>
            </w:r>
            <w:r w:rsidR="00A27C38" w:rsidRPr="00912DF8">
              <w:rPr>
                <w:sz w:val="26"/>
                <w:szCs w:val="26"/>
                <w:lang w:val="lv-LV"/>
              </w:rPr>
              <w:t>EM nodrošinās</w:t>
            </w:r>
            <w:r w:rsidRPr="00912DF8">
              <w:rPr>
                <w:sz w:val="26"/>
                <w:szCs w:val="26"/>
                <w:lang w:val="lv-LV"/>
              </w:rPr>
              <w:t xml:space="preserve"> </w:t>
            </w:r>
            <w:r w:rsidR="00A27C38" w:rsidRPr="00912DF8">
              <w:rPr>
                <w:sz w:val="26"/>
                <w:szCs w:val="26"/>
                <w:lang w:val="lv-LV"/>
              </w:rPr>
              <w:t xml:space="preserve">savlaicīgu EM kompetencē esošo </w:t>
            </w:r>
            <w:r w:rsidR="0010208E" w:rsidRPr="00912DF8">
              <w:rPr>
                <w:sz w:val="26"/>
                <w:szCs w:val="26"/>
                <w:lang w:val="lv-LV"/>
              </w:rPr>
              <w:t xml:space="preserve">un perioda slēgšanai nepieciešamo </w:t>
            </w:r>
            <w:r w:rsidR="0076497D" w:rsidRPr="00912DF8">
              <w:rPr>
                <w:sz w:val="26"/>
                <w:szCs w:val="26"/>
                <w:lang w:val="lv-LV"/>
              </w:rPr>
              <w:t>darbību veikšanu, tostarp noslēguma pārskata apstiprināšanu</w:t>
            </w:r>
            <w:r w:rsidR="001A2C76" w:rsidRPr="00912DF8">
              <w:rPr>
                <w:sz w:val="26"/>
                <w:szCs w:val="26"/>
                <w:lang w:val="lv-LV"/>
              </w:rPr>
              <w:t>,</w:t>
            </w:r>
            <w:r w:rsidR="0076497D" w:rsidRPr="00912DF8">
              <w:rPr>
                <w:sz w:val="26"/>
                <w:szCs w:val="26"/>
                <w:lang w:val="lv-LV"/>
              </w:rPr>
              <w:t xml:space="preserve"> līdz </w:t>
            </w:r>
            <w:r w:rsidR="001D3292" w:rsidRPr="00912DF8">
              <w:rPr>
                <w:sz w:val="26"/>
                <w:szCs w:val="26"/>
                <w:u w:val="single"/>
                <w:lang w:val="lv-LV"/>
              </w:rPr>
              <w:t>201</w:t>
            </w:r>
            <w:r w:rsidR="00912DF8">
              <w:rPr>
                <w:sz w:val="26"/>
                <w:szCs w:val="26"/>
                <w:u w:val="single"/>
                <w:lang w:val="lv-LV"/>
              </w:rPr>
              <w:t>6</w:t>
            </w:r>
            <w:r w:rsidR="0076497D" w:rsidRPr="00912DF8">
              <w:rPr>
                <w:sz w:val="26"/>
                <w:szCs w:val="26"/>
                <w:u w:val="single"/>
                <w:lang w:val="lv-LV"/>
              </w:rPr>
              <w:t>.gada</w:t>
            </w:r>
            <w:r w:rsidR="001D3292" w:rsidRPr="00912DF8">
              <w:rPr>
                <w:sz w:val="26"/>
                <w:szCs w:val="26"/>
                <w:u w:val="single"/>
                <w:lang w:val="lv-LV"/>
              </w:rPr>
              <w:t xml:space="preserve"> 30.decembri</w:t>
            </w:r>
            <w:r w:rsidR="001A2C76" w:rsidRPr="00912DF8">
              <w:rPr>
                <w:sz w:val="26"/>
                <w:szCs w:val="26"/>
                <w:u w:val="single"/>
                <w:lang w:val="lv-LV"/>
              </w:rPr>
              <w:t>m</w:t>
            </w:r>
            <w:r w:rsidR="0076497D" w:rsidRPr="00912DF8">
              <w:rPr>
                <w:sz w:val="26"/>
                <w:szCs w:val="26"/>
                <w:u w:val="single"/>
                <w:lang w:val="lv-LV"/>
              </w:rPr>
              <w:t>.</w:t>
            </w:r>
          </w:p>
          <w:p w:rsidR="00672D70" w:rsidRPr="005A7B9C" w:rsidRDefault="00727847" w:rsidP="00C238B9">
            <w:pPr>
              <w:spacing w:after="240"/>
              <w:ind w:firstLine="709"/>
              <w:jc w:val="both"/>
              <w:rPr>
                <w:sz w:val="26"/>
                <w:szCs w:val="26"/>
                <w:lang w:val="lv-LV"/>
              </w:rPr>
            </w:pPr>
            <w:r>
              <w:rPr>
                <w:sz w:val="26"/>
                <w:szCs w:val="26"/>
                <w:lang w:val="lv-LV"/>
              </w:rPr>
              <w:t>Saskaņā ar</w:t>
            </w:r>
            <w:r w:rsidRPr="00454295">
              <w:rPr>
                <w:sz w:val="26"/>
                <w:szCs w:val="26"/>
                <w:lang w:val="lv-LV"/>
              </w:rPr>
              <w:t xml:space="preserve"> Eiropas Komisijas 2011.gada 21.februāra vadlīniju par finanšu instrumentu ieviešanu atbilstoši Regulas Nr.1083/2006 44.punktam </w:t>
            </w:r>
            <w:r w:rsidRPr="008D022F">
              <w:rPr>
                <w:sz w:val="26"/>
                <w:szCs w:val="26"/>
                <w:lang w:val="lv-LV"/>
              </w:rPr>
              <w:t>(</w:t>
            </w:r>
            <w:r w:rsidRPr="008D022F">
              <w:rPr>
                <w:rFonts w:eastAsia="Times New Roman"/>
                <w:bCs/>
                <w:sz w:val="24"/>
                <w:szCs w:val="24"/>
                <w:lang w:val="lv-LV"/>
              </w:rPr>
              <w:t xml:space="preserve">„Guidance Note on Financial Engineering Instruments under Article 44 of Council Regulation (EC) No 1083/2006”) </w:t>
            </w:r>
            <w:r w:rsidRPr="00454295">
              <w:rPr>
                <w:sz w:val="26"/>
                <w:szCs w:val="26"/>
                <w:lang w:val="lv-LV"/>
              </w:rPr>
              <w:t>5.1.2.punktu ieņēmumi, kas gūti no brīvo struktūrfondu līdzekļu noguldījumiem, ir jāizmanto tam pašam mērķim, proti, finanšu instrumentu īsteno</w:t>
            </w:r>
            <w:r>
              <w:rPr>
                <w:sz w:val="26"/>
                <w:szCs w:val="26"/>
                <w:lang w:val="lv-LV"/>
              </w:rPr>
              <w:t>šanai, un minēto ieņēmumu</w:t>
            </w:r>
            <w:r w:rsidRPr="00454295">
              <w:rPr>
                <w:sz w:val="26"/>
                <w:szCs w:val="26"/>
                <w:lang w:val="lv-LV"/>
              </w:rPr>
              <w:t xml:space="preserve"> </w:t>
            </w:r>
            <w:r>
              <w:rPr>
                <w:sz w:val="26"/>
                <w:szCs w:val="26"/>
                <w:lang w:val="lv-LV"/>
              </w:rPr>
              <w:t>izlietošanas</w:t>
            </w:r>
            <w:r w:rsidRPr="00454295">
              <w:rPr>
                <w:sz w:val="26"/>
                <w:szCs w:val="26"/>
                <w:lang w:val="lv-LV"/>
              </w:rPr>
              <w:t xml:space="preserve"> termiņš ir ierobežots</w:t>
            </w:r>
            <w:r>
              <w:rPr>
                <w:sz w:val="26"/>
                <w:szCs w:val="26"/>
                <w:lang w:val="lv-LV"/>
              </w:rPr>
              <w:t xml:space="preserve"> –</w:t>
            </w:r>
            <w:r w:rsidRPr="00454295">
              <w:rPr>
                <w:sz w:val="26"/>
                <w:szCs w:val="26"/>
                <w:lang w:val="lv-LV"/>
              </w:rPr>
              <w:t xml:space="preserve"> </w:t>
            </w:r>
            <w:r>
              <w:rPr>
                <w:sz w:val="26"/>
                <w:szCs w:val="26"/>
                <w:lang w:val="lv-LV"/>
              </w:rPr>
              <w:t>v</w:t>
            </w:r>
            <w:r w:rsidRPr="00454295">
              <w:rPr>
                <w:sz w:val="26"/>
                <w:szCs w:val="26"/>
                <w:lang w:val="lv-LV"/>
              </w:rPr>
              <w:t xml:space="preserve">ienlīdzīgi kā struktūrfondu finansējuma gadījumā tas nepārsniedz termiņu, kas minēts </w:t>
            </w:r>
            <w:r w:rsidR="002012F8" w:rsidRPr="00E9367D">
              <w:rPr>
                <w:sz w:val="26"/>
                <w:szCs w:val="26"/>
                <w:lang w:val="lv-LV"/>
              </w:rPr>
              <w:t>Eiropas Komisijas  2015.gada 30.aprīļa pielikum</w:t>
            </w:r>
            <w:r w:rsidR="002012F8">
              <w:rPr>
                <w:sz w:val="26"/>
                <w:szCs w:val="26"/>
                <w:lang w:val="lv-LV"/>
              </w:rPr>
              <w:t>a</w:t>
            </w:r>
            <w:r w:rsidR="002012F8" w:rsidRPr="00E9367D">
              <w:rPr>
                <w:sz w:val="26"/>
                <w:szCs w:val="26"/>
                <w:lang w:val="lv-LV"/>
              </w:rPr>
              <w:t xml:space="preserve"> Nr.C</w:t>
            </w:r>
            <w:r w:rsidR="002012F8">
              <w:rPr>
                <w:sz w:val="26"/>
                <w:szCs w:val="26"/>
                <w:lang w:val="lv-LV"/>
              </w:rPr>
              <w:t xml:space="preserve"> </w:t>
            </w:r>
            <w:r w:rsidR="002012F8" w:rsidRPr="00E9367D">
              <w:rPr>
                <w:sz w:val="26"/>
                <w:szCs w:val="26"/>
                <w:lang w:val="lv-LV"/>
              </w:rPr>
              <w:t>(2015) 2771 Komisijas lēmumam</w:t>
            </w:r>
            <w:r w:rsidR="002012F8">
              <w:rPr>
                <w:sz w:val="26"/>
                <w:szCs w:val="26"/>
                <w:lang w:val="lv-LV"/>
              </w:rPr>
              <w:t>,</w:t>
            </w:r>
            <w:r w:rsidR="002012F8" w:rsidRPr="00E9367D">
              <w:rPr>
                <w:sz w:val="26"/>
                <w:szCs w:val="26"/>
                <w:lang w:val="lv-LV"/>
              </w:rPr>
              <w:t xml:space="preserve"> ar kuru groza Lēmumu Nr.C</w:t>
            </w:r>
            <w:r w:rsidR="002012F8">
              <w:rPr>
                <w:sz w:val="26"/>
                <w:szCs w:val="26"/>
                <w:lang w:val="lv-LV"/>
              </w:rPr>
              <w:t xml:space="preserve"> </w:t>
            </w:r>
            <w:r w:rsidR="002012F8" w:rsidRPr="00E9367D">
              <w:rPr>
                <w:sz w:val="26"/>
                <w:szCs w:val="26"/>
                <w:lang w:val="lv-LV"/>
              </w:rPr>
              <w:t>(2013) 1573, ar ko apstiprina pamatnostādnes par to darbības programmu slēgšanu, kuras pieņemtas atbalsta saņemšanai no Eiropas Reģionālās attīstības fonda, Eiropas Sociālā fonda un Kohēzijas fonda (2007-2013)</w:t>
            </w:r>
            <w:r w:rsidR="002012F8">
              <w:rPr>
                <w:sz w:val="26"/>
                <w:szCs w:val="26"/>
                <w:lang w:val="lv-LV"/>
              </w:rPr>
              <w:t xml:space="preserve"> </w:t>
            </w:r>
            <w:r w:rsidRPr="00454295">
              <w:rPr>
                <w:sz w:val="26"/>
                <w:szCs w:val="26"/>
                <w:lang w:val="lv-LV"/>
              </w:rPr>
              <w:t>3.6.punktā.</w:t>
            </w:r>
            <w:r>
              <w:rPr>
                <w:sz w:val="26"/>
                <w:szCs w:val="26"/>
                <w:lang w:val="lv-LV"/>
              </w:rPr>
              <w:t xml:space="preserve"> </w:t>
            </w:r>
            <w:r w:rsidRPr="00892C9E">
              <w:rPr>
                <w:sz w:val="26"/>
                <w:szCs w:val="26"/>
                <w:lang w:val="lv-LV"/>
              </w:rPr>
              <w:t xml:space="preserve">Lai nodrošinātu ieņēmumu no brīvo publisko līdzekļu noguldījumiem 2.2.1.1.aktivitātē </w:t>
            </w:r>
            <w:r>
              <w:rPr>
                <w:sz w:val="26"/>
                <w:szCs w:val="26"/>
                <w:lang w:val="lv-LV"/>
              </w:rPr>
              <w:t xml:space="preserve">pilnīgu </w:t>
            </w:r>
            <w:r w:rsidRPr="00892C9E">
              <w:rPr>
                <w:sz w:val="26"/>
                <w:szCs w:val="26"/>
                <w:lang w:val="lv-LV"/>
              </w:rPr>
              <w:t>apguvi</w:t>
            </w:r>
            <w:r>
              <w:rPr>
                <w:sz w:val="26"/>
                <w:szCs w:val="26"/>
                <w:lang w:val="lv-LV"/>
              </w:rPr>
              <w:t xml:space="preserve"> līdz noteikumu projektā noteiktajam termiņam</w:t>
            </w:r>
            <w:r w:rsidRPr="00892C9E">
              <w:rPr>
                <w:sz w:val="26"/>
                <w:szCs w:val="26"/>
                <w:lang w:val="lv-LV"/>
              </w:rPr>
              <w:t>,</w:t>
            </w:r>
            <w:r>
              <w:rPr>
                <w:sz w:val="26"/>
                <w:szCs w:val="26"/>
                <w:lang w:val="lv-LV"/>
              </w:rPr>
              <w:t xml:space="preserve"> noteik</w:t>
            </w:r>
            <w:r w:rsidRPr="00892C9E">
              <w:rPr>
                <w:sz w:val="26"/>
                <w:szCs w:val="26"/>
                <w:lang w:val="lv-LV"/>
              </w:rPr>
              <w:t>umu projekts paredz veikt attiecīgos grozījumus MK noteikumu Nr.983 9.punktā</w:t>
            </w:r>
            <w:r>
              <w:rPr>
                <w:sz w:val="26"/>
                <w:szCs w:val="26"/>
                <w:lang w:val="lv-LV"/>
              </w:rPr>
              <w:t>, paredzot, ka Ieguldījuma fondā papildus pieejamā finansējuma, kuru veido ieņēmumi no brīvo publisko līdzekļu noguldījumiem, izmantošanas termiņš ir 2016.gada 31.</w:t>
            </w:r>
            <w:r w:rsidR="002B199D">
              <w:rPr>
                <w:sz w:val="26"/>
                <w:szCs w:val="26"/>
                <w:lang w:val="lv-LV"/>
              </w:rPr>
              <w:t>okto</w:t>
            </w:r>
            <w:r>
              <w:rPr>
                <w:sz w:val="26"/>
                <w:szCs w:val="26"/>
                <w:lang w:val="lv-LV"/>
              </w:rPr>
              <w:t>bris</w:t>
            </w:r>
            <w:r w:rsidRPr="00892C9E">
              <w:rPr>
                <w:sz w:val="26"/>
                <w:szCs w:val="26"/>
                <w:lang w:val="lv-LV"/>
              </w:rPr>
              <w:t>.</w:t>
            </w:r>
            <w:r>
              <w:rPr>
                <w:sz w:val="26"/>
                <w:szCs w:val="26"/>
                <w:lang w:val="lv-LV"/>
              </w:rPr>
              <w:t xml:space="preserve"> Saskaņā ar Altum 2015.gada 10.jūlijā EM sniegto grāmatvedības izziņu, laika periodā līdz 2015.gada 31.martam 2.2.1.1.aktivitātē gūto ieņēmumu no brīvo publisko līdzekļu noguldījumiem apmērs sastāda 12 190 150 </w:t>
            </w:r>
            <w:r w:rsidRPr="00352945">
              <w:rPr>
                <w:i/>
                <w:sz w:val="26"/>
                <w:szCs w:val="26"/>
                <w:lang w:val="lv-LV"/>
              </w:rPr>
              <w:t>euro,</w:t>
            </w:r>
            <w:r>
              <w:rPr>
                <w:sz w:val="26"/>
                <w:szCs w:val="26"/>
                <w:lang w:val="lv-LV"/>
              </w:rPr>
              <w:t xml:space="preserve"> no kura daļa (7 378 840 </w:t>
            </w:r>
            <w:proofErr w:type="spellStart"/>
            <w:r w:rsidRPr="00923795">
              <w:rPr>
                <w:i/>
                <w:sz w:val="26"/>
                <w:szCs w:val="26"/>
                <w:lang w:val="lv-LV"/>
              </w:rPr>
              <w:t>euro</w:t>
            </w:r>
            <w:proofErr w:type="spellEnd"/>
            <w:r>
              <w:rPr>
                <w:sz w:val="26"/>
                <w:szCs w:val="26"/>
                <w:lang w:val="lv-LV"/>
              </w:rPr>
              <w:t xml:space="preserve">) līdzšinēji jau ir izmantota, lai attiecinātu izdevumu daļu, kas radusies 2.2.1.3.aktivitātē. Daļu no ieņēmumiem no brīvo publisko līdzekļu noguldījumiem (1 245 073 </w:t>
            </w:r>
            <w:proofErr w:type="spellStart"/>
            <w:r w:rsidRPr="00F7355C">
              <w:rPr>
                <w:i/>
                <w:sz w:val="26"/>
                <w:szCs w:val="26"/>
                <w:lang w:val="lv-LV"/>
              </w:rPr>
              <w:t>euro</w:t>
            </w:r>
            <w:proofErr w:type="spellEnd"/>
            <w:r>
              <w:rPr>
                <w:sz w:val="26"/>
                <w:szCs w:val="26"/>
                <w:lang w:val="lv-LV"/>
              </w:rPr>
              <w:t xml:space="preserve"> apmērā) paredzēts apgūt 2.2.1.4.2.apakšaktivitātē „</w:t>
            </w:r>
            <w:proofErr w:type="spellStart"/>
            <w:r>
              <w:rPr>
                <w:sz w:val="26"/>
                <w:szCs w:val="26"/>
                <w:lang w:val="lv-LV"/>
              </w:rPr>
              <w:t>Mezanīna</w:t>
            </w:r>
            <w:proofErr w:type="spellEnd"/>
            <w:r>
              <w:rPr>
                <w:sz w:val="26"/>
                <w:szCs w:val="26"/>
                <w:lang w:val="lv-LV"/>
              </w:rPr>
              <w:t xml:space="preserve"> aizdevumi un nodrošinājuma garantijas saimnieciskās darbības veicēju konkurētspējas uzlabošanai”. Tādejādi līdzšinēji 2.2.1.1.aktivitātē papildus pieejam</w:t>
            </w:r>
            <w:r w:rsidR="00791D68">
              <w:rPr>
                <w:sz w:val="26"/>
                <w:szCs w:val="26"/>
                <w:lang w:val="lv-LV"/>
              </w:rPr>
              <w:t>ai</w:t>
            </w:r>
            <w:r>
              <w:rPr>
                <w:sz w:val="26"/>
                <w:szCs w:val="26"/>
                <w:lang w:val="lv-LV"/>
              </w:rPr>
              <w:t xml:space="preserve">s finansējums no ieņēmumiem no brīvo publisko </w:t>
            </w:r>
            <w:r>
              <w:rPr>
                <w:sz w:val="26"/>
                <w:szCs w:val="26"/>
                <w:lang w:val="lv-LV"/>
              </w:rPr>
              <w:lastRenderedPageBreak/>
              <w:t>līdzekļu noguldījumiem sastāda</w:t>
            </w:r>
            <w:r w:rsidR="002012F8">
              <w:rPr>
                <w:sz w:val="26"/>
                <w:szCs w:val="26"/>
                <w:lang w:val="lv-LV"/>
              </w:rPr>
              <w:t xml:space="preserve"> </w:t>
            </w:r>
            <w:r>
              <w:rPr>
                <w:sz w:val="26"/>
                <w:szCs w:val="26"/>
                <w:lang w:val="lv-LV"/>
              </w:rPr>
              <w:t xml:space="preserve">3 566 237 </w:t>
            </w:r>
            <w:proofErr w:type="spellStart"/>
            <w:r w:rsidRPr="00F7355C">
              <w:rPr>
                <w:i/>
                <w:sz w:val="26"/>
                <w:szCs w:val="26"/>
                <w:lang w:val="lv-LV"/>
              </w:rPr>
              <w:t>euro</w:t>
            </w:r>
            <w:proofErr w:type="spellEnd"/>
            <w:r w:rsidR="002012F8">
              <w:rPr>
                <w:i/>
                <w:sz w:val="26"/>
                <w:szCs w:val="26"/>
                <w:lang w:val="lv-LV"/>
              </w:rPr>
              <w:t xml:space="preserve"> </w:t>
            </w:r>
            <w:r w:rsidR="002012F8">
              <w:rPr>
                <w:sz w:val="26"/>
                <w:szCs w:val="26"/>
                <w:lang w:val="lv-LV"/>
              </w:rPr>
              <w:t>apmērā</w:t>
            </w:r>
            <w:r>
              <w:rPr>
                <w:sz w:val="26"/>
                <w:szCs w:val="26"/>
                <w:lang w:val="lv-LV"/>
              </w:rPr>
              <w:t xml:space="preserve">. </w:t>
            </w:r>
          </w:p>
        </w:tc>
      </w:tr>
      <w:tr w:rsidR="003C77AE" w:rsidRPr="003E5A6D" w:rsidTr="003C77AE">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1E3522">
            <w:pPr>
              <w:jc w:val="both"/>
              <w:rPr>
                <w:rFonts w:eastAsia="Times New Roman"/>
                <w:sz w:val="26"/>
                <w:szCs w:val="26"/>
                <w:lang w:val="lv-LV" w:eastAsia="lv-LV"/>
              </w:rPr>
            </w:pPr>
            <w:r w:rsidRPr="003C77AE">
              <w:rPr>
                <w:rFonts w:eastAsia="Times New Roman"/>
                <w:sz w:val="26"/>
                <w:szCs w:val="26"/>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3C77AE" w:rsidP="001E3522">
            <w:pPr>
              <w:jc w:val="both"/>
              <w:rPr>
                <w:rFonts w:eastAsia="Times New Roman"/>
                <w:sz w:val="26"/>
                <w:szCs w:val="26"/>
                <w:lang w:val="lv-LV" w:eastAsia="lv-LV"/>
              </w:rPr>
            </w:pPr>
            <w:r w:rsidRPr="003C77AE">
              <w:rPr>
                <w:rFonts w:eastAsia="Times New Roman"/>
                <w:sz w:val="26"/>
                <w:szCs w:val="26"/>
                <w:lang w:val="lv-LV" w:eastAsia="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667456" w:rsidP="003C77AE">
            <w:pPr>
              <w:spacing w:after="240"/>
              <w:ind w:firstLine="709"/>
              <w:jc w:val="both"/>
              <w:rPr>
                <w:sz w:val="26"/>
                <w:szCs w:val="26"/>
                <w:lang w:val="lv-LV"/>
              </w:rPr>
            </w:pPr>
            <w:proofErr w:type="spellStart"/>
            <w:r>
              <w:rPr>
                <w:sz w:val="26"/>
                <w:szCs w:val="26"/>
                <w:lang w:val="lv-LV"/>
              </w:rPr>
              <w:t>Altum</w:t>
            </w:r>
            <w:proofErr w:type="spellEnd"/>
          </w:p>
        </w:tc>
      </w:tr>
      <w:tr w:rsidR="003C77AE" w:rsidRPr="003E5A6D" w:rsidTr="003C77AE">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1E3522">
            <w:pPr>
              <w:jc w:val="both"/>
              <w:rPr>
                <w:rFonts w:eastAsia="Times New Roman"/>
                <w:sz w:val="26"/>
                <w:szCs w:val="26"/>
                <w:lang w:val="lv-LV" w:eastAsia="lv-LV"/>
              </w:rPr>
            </w:pPr>
            <w:r w:rsidRPr="003C77AE">
              <w:rPr>
                <w:rFonts w:eastAsia="Times New Roman"/>
                <w:sz w:val="26"/>
                <w:szCs w:val="26"/>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3C77AE" w:rsidP="001E3522">
            <w:pPr>
              <w:jc w:val="both"/>
              <w:rPr>
                <w:rFonts w:eastAsia="Times New Roman"/>
                <w:sz w:val="26"/>
                <w:szCs w:val="26"/>
                <w:lang w:val="lv-LV" w:eastAsia="lv-LV"/>
              </w:rPr>
            </w:pPr>
            <w:r w:rsidRPr="003C77AE">
              <w:rPr>
                <w:rFonts w:eastAsia="Times New Roman"/>
                <w:sz w:val="26"/>
                <w:szCs w:val="26"/>
                <w:lang w:val="lv-LV" w:eastAsia="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3C77AE" w:rsidP="003C77AE">
            <w:pPr>
              <w:spacing w:after="240"/>
              <w:ind w:firstLine="709"/>
              <w:jc w:val="both"/>
              <w:rPr>
                <w:sz w:val="26"/>
                <w:szCs w:val="26"/>
                <w:lang w:val="lv-LV"/>
              </w:rPr>
            </w:pPr>
            <w:r w:rsidRPr="003C77AE">
              <w:rPr>
                <w:sz w:val="26"/>
                <w:szCs w:val="26"/>
                <w:lang w:val="lv-LV"/>
              </w:rPr>
              <w:t>Nav</w:t>
            </w:r>
          </w:p>
        </w:tc>
      </w:tr>
    </w:tbl>
    <w:p w:rsidR="00C97F6E" w:rsidRPr="005A7B9C" w:rsidRDefault="00C97F6E" w:rsidP="00F22471">
      <w:pPr>
        <w:jc w:val="both"/>
        <w:rPr>
          <w:rFonts w:eastAsia="Times New Roman"/>
          <w:sz w:val="26"/>
          <w:szCs w:val="26"/>
          <w:lang w:val="lv-LV" w:eastAsia="lv-LV"/>
        </w:rPr>
        <w:sectPr w:rsidR="00C97F6E" w:rsidRPr="005A7B9C" w:rsidSect="00B014C2">
          <w:headerReference w:type="default" r:id="rId12"/>
          <w:footerReference w:type="default" r:id="rId13"/>
          <w:footerReference w:type="first" r:id="rId14"/>
          <w:pgSz w:w="11906" w:h="16838"/>
          <w:pgMar w:top="1418" w:right="1134" w:bottom="1134" w:left="1701" w:header="709" w:footer="709" w:gutter="0"/>
          <w:cols w:space="708"/>
          <w:titlePg/>
          <w:docGrid w:linePitch="360"/>
        </w:sectPr>
      </w:pPr>
    </w:p>
    <w:p w:rsidR="00AB4C36" w:rsidRDefault="00AB4C36" w:rsidP="00F22471">
      <w:pPr>
        <w:jc w:val="both"/>
        <w:rPr>
          <w:rFonts w:eastAsia="Times New Roman"/>
          <w:sz w:val="26"/>
          <w:szCs w:val="26"/>
          <w:lang w:val="lv-LV" w:eastAsia="lv-LV"/>
        </w:rPr>
      </w:pPr>
    </w:p>
    <w:p w:rsidR="00607DEC" w:rsidRPr="005A7B9C" w:rsidRDefault="00607DEC" w:rsidP="00F22471">
      <w:pPr>
        <w:jc w:val="both"/>
        <w:rPr>
          <w:rFonts w:eastAsia="Times New Roman"/>
          <w:sz w:val="26"/>
          <w:szCs w:val="26"/>
          <w:lang w:val="lv-LV" w:eastAsia="lv-LV"/>
        </w:rPr>
        <w:sectPr w:rsidR="00607DEC" w:rsidRPr="005A7B9C" w:rsidSect="00C97F6E">
          <w:type w:val="continuous"/>
          <w:pgSz w:w="11906" w:h="16838"/>
          <w:pgMar w:top="1418" w:right="1134" w:bottom="1134" w:left="1701" w:header="709" w:footer="709" w:gutter="0"/>
          <w:cols w:space="708"/>
          <w:titlePg/>
          <w:docGrid w:linePitch="360"/>
        </w:sect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3C77AE" w:rsidRPr="003E5A6D" w:rsidTr="003C77AE">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3C77AE">
            <w:pPr>
              <w:ind w:firstLine="720"/>
              <w:jc w:val="both"/>
              <w:rPr>
                <w:rFonts w:eastAsia="Times New Roman"/>
                <w:b/>
                <w:sz w:val="26"/>
                <w:szCs w:val="26"/>
                <w:lang w:val="lv-LV" w:eastAsia="lv-LV"/>
              </w:rPr>
            </w:pPr>
            <w:r w:rsidRPr="003C77AE">
              <w:rPr>
                <w:rFonts w:eastAsia="Times New Roman"/>
                <w:b/>
                <w:sz w:val="26"/>
                <w:szCs w:val="26"/>
                <w:lang w:val="lv-LV" w:eastAsia="lv-LV"/>
              </w:rPr>
              <w:lastRenderedPageBreak/>
              <w:t>II. Tiesību akta projekta ietekme uz sabiedrību, tautsaimniecības attīstību un administratīvo slogu</w:t>
            </w:r>
          </w:p>
        </w:tc>
      </w:tr>
      <w:tr w:rsidR="003C77AE" w:rsidRPr="003E5A6D" w:rsidTr="001E3522">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E5A6D" w:rsidRDefault="003C77AE" w:rsidP="001E3522">
            <w:pPr>
              <w:jc w:val="both"/>
              <w:rPr>
                <w:rFonts w:eastAsia="Times New Roman"/>
                <w:sz w:val="24"/>
                <w:szCs w:val="24"/>
                <w:lang w:val="lv-LV" w:eastAsia="lv-LV"/>
              </w:rPr>
            </w:pPr>
            <w:r w:rsidRPr="003E5A6D">
              <w:rPr>
                <w:rFonts w:eastAsia="Times New Roman"/>
                <w:sz w:val="24"/>
                <w:szCs w:val="24"/>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3C77AE" w:rsidP="001E3522">
            <w:pPr>
              <w:jc w:val="both"/>
              <w:rPr>
                <w:rFonts w:eastAsia="Times New Roman"/>
                <w:sz w:val="26"/>
                <w:szCs w:val="26"/>
                <w:lang w:val="lv-LV" w:eastAsia="lv-LV"/>
              </w:rPr>
            </w:pPr>
            <w:r w:rsidRPr="003C77AE">
              <w:rPr>
                <w:rFonts w:eastAsia="Times New Roman"/>
                <w:sz w:val="26"/>
                <w:szCs w:val="26"/>
                <w:lang w:val="lv-LV" w:eastAsia="lv-LV"/>
              </w:rPr>
              <w:t xml:space="preserve">Sabiedrības </w:t>
            </w:r>
            <w:proofErr w:type="spellStart"/>
            <w:r w:rsidRPr="003C77AE">
              <w:rPr>
                <w:rFonts w:eastAsia="Times New Roman"/>
                <w:sz w:val="26"/>
                <w:szCs w:val="26"/>
                <w:lang w:val="lv-LV" w:eastAsia="lv-LV"/>
              </w:rPr>
              <w:t>mērķgrupas</w:t>
            </w:r>
            <w:proofErr w:type="spellEnd"/>
            <w:r w:rsidRPr="003C77AE">
              <w:rPr>
                <w:rFonts w:eastAsia="Times New Roman"/>
                <w:sz w:val="26"/>
                <w:szCs w:val="26"/>
                <w:lang w:val="lv-LV" w:eastAsia="lv-LV"/>
              </w:rPr>
              <w:t>, kurs tiesiskais regulējums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567020" w:rsidP="00A752CF">
            <w:pPr>
              <w:ind w:firstLine="720"/>
              <w:jc w:val="both"/>
              <w:rPr>
                <w:rFonts w:eastAsia="Times New Roman"/>
                <w:sz w:val="26"/>
                <w:szCs w:val="26"/>
                <w:lang w:val="lv-LV" w:eastAsia="lv-LV"/>
              </w:rPr>
            </w:pPr>
            <w:proofErr w:type="spellStart"/>
            <w:r w:rsidRPr="00A752CF">
              <w:rPr>
                <w:rFonts w:eastAsia="Times New Roman"/>
                <w:sz w:val="26"/>
                <w:szCs w:val="26"/>
                <w:lang w:val="lv-LV" w:eastAsia="lv-LV"/>
              </w:rPr>
              <w:t>Altum</w:t>
            </w:r>
            <w:proofErr w:type="spellEnd"/>
            <w:r w:rsidR="003C77AE" w:rsidRPr="00A752CF">
              <w:rPr>
                <w:rFonts w:eastAsia="Times New Roman"/>
                <w:sz w:val="26"/>
                <w:szCs w:val="26"/>
                <w:lang w:val="lv-LV" w:eastAsia="lv-LV"/>
              </w:rPr>
              <w:t xml:space="preserve">, </w:t>
            </w:r>
            <w:r w:rsidR="00C47097" w:rsidRPr="00A752CF">
              <w:rPr>
                <w:rFonts w:eastAsia="Times New Roman"/>
                <w:sz w:val="26"/>
                <w:szCs w:val="26"/>
                <w:lang w:val="lv-LV" w:eastAsia="lv-LV"/>
              </w:rPr>
              <w:t xml:space="preserve"> </w:t>
            </w:r>
            <w:r w:rsidRPr="00A752CF">
              <w:rPr>
                <w:rFonts w:eastAsia="Times New Roman"/>
                <w:sz w:val="26"/>
                <w:szCs w:val="26"/>
                <w:lang w:val="lv-LV" w:eastAsia="lv-LV"/>
              </w:rPr>
              <w:t xml:space="preserve">fondu pārvaldnieki SIA „AIFP </w:t>
            </w:r>
            <w:proofErr w:type="spellStart"/>
            <w:r w:rsidRPr="00A752CF">
              <w:rPr>
                <w:rFonts w:eastAsia="Times New Roman"/>
                <w:sz w:val="26"/>
                <w:szCs w:val="26"/>
                <w:lang w:val="lv-LV" w:eastAsia="lv-LV"/>
              </w:rPr>
              <w:t>Imprimatur</w:t>
            </w:r>
            <w:proofErr w:type="spellEnd"/>
            <w:r w:rsidRPr="00A752CF">
              <w:rPr>
                <w:rFonts w:eastAsia="Times New Roman"/>
                <w:sz w:val="26"/>
                <w:szCs w:val="26"/>
                <w:lang w:val="lv-LV" w:eastAsia="lv-LV"/>
              </w:rPr>
              <w:t xml:space="preserve"> Capital </w:t>
            </w:r>
            <w:proofErr w:type="spellStart"/>
            <w:r w:rsidRPr="00A752CF">
              <w:rPr>
                <w:rFonts w:eastAsia="Times New Roman"/>
                <w:sz w:val="26"/>
                <w:szCs w:val="26"/>
                <w:lang w:val="lv-LV" w:eastAsia="lv-LV"/>
              </w:rPr>
              <w:t>Fund</w:t>
            </w:r>
            <w:proofErr w:type="spellEnd"/>
            <w:r w:rsidRPr="00A752CF">
              <w:rPr>
                <w:rFonts w:eastAsia="Times New Roman"/>
                <w:sz w:val="26"/>
                <w:szCs w:val="26"/>
                <w:lang w:val="lv-LV" w:eastAsia="lv-LV"/>
              </w:rPr>
              <w:t>”, SIA „ZGI Capital”, SIA „</w:t>
            </w:r>
            <w:proofErr w:type="spellStart"/>
            <w:r w:rsidRPr="00A752CF">
              <w:rPr>
                <w:rFonts w:eastAsia="Times New Roman"/>
                <w:sz w:val="26"/>
                <w:szCs w:val="26"/>
                <w:lang w:val="lv-LV" w:eastAsia="lv-LV"/>
              </w:rPr>
              <w:t>FlyCap</w:t>
            </w:r>
            <w:proofErr w:type="spellEnd"/>
            <w:r w:rsidRPr="00A752CF">
              <w:rPr>
                <w:rFonts w:eastAsia="Times New Roman"/>
                <w:sz w:val="26"/>
                <w:szCs w:val="26"/>
                <w:lang w:val="lv-LV" w:eastAsia="lv-LV"/>
              </w:rPr>
              <w:t xml:space="preserve"> AIFP”, SIA „</w:t>
            </w:r>
            <w:proofErr w:type="spellStart"/>
            <w:r w:rsidRPr="00A752CF">
              <w:rPr>
                <w:rFonts w:eastAsia="Times New Roman"/>
                <w:sz w:val="26"/>
                <w:szCs w:val="26"/>
                <w:lang w:val="lv-LV" w:eastAsia="lv-LV"/>
              </w:rPr>
              <w:t>Expansion</w:t>
            </w:r>
            <w:proofErr w:type="spellEnd"/>
            <w:r w:rsidRPr="00A752CF">
              <w:rPr>
                <w:rFonts w:eastAsia="Times New Roman"/>
                <w:sz w:val="26"/>
                <w:szCs w:val="26"/>
                <w:lang w:val="lv-LV" w:eastAsia="lv-LV"/>
              </w:rPr>
              <w:t xml:space="preserve"> Capital”, SIA „</w:t>
            </w:r>
            <w:proofErr w:type="spellStart"/>
            <w:r w:rsidRPr="00A752CF">
              <w:rPr>
                <w:rFonts w:eastAsia="Times New Roman"/>
                <w:sz w:val="26"/>
                <w:szCs w:val="26"/>
                <w:lang w:val="lv-LV" w:eastAsia="lv-LV"/>
              </w:rPr>
              <w:t>BaltCap</w:t>
            </w:r>
            <w:proofErr w:type="spellEnd"/>
            <w:r w:rsidRPr="00A752CF">
              <w:rPr>
                <w:rFonts w:eastAsia="Times New Roman"/>
                <w:sz w:val="26"/>
                <w:szCs w:val="26"/>
                <w:lang w:val="lv-LV" w:eastAsia="lv-LV"/>
              </w:rPr>
              <w:t xml:space="preserve"> </w:t>
            </w:r>
            <w:r w:rsidR="00A752CF" w:rsidRPr="00A752CF">
              <w:rPr>
                <w:rFonts w:eastAsia="Times New Roman"/>
                <w:sz w:val="26"/>
                <w:szCs w:val="26"/>
                <w:lang w:val="lv-LV" w:eastAsia="lv-LV"/>
              </w:rPr>
              <w:t xml:space="preserve">AIFP”, </w:t>
            </w:r>
            <w:r w:rsidR="007408B7" w:rsidRPr="00A752CF">
              <w:rPr>
                <w:rFonts w:eastAsia="Times New Roman"/>
                <w:sz w:val="26"/>
                <w:szCs w:val="26"/>
                <w:lang w:val="lv-LV" w:eastAsia="lv-LV"/>
              </w:rPr>
              <w:t>mazie (</w:t>
            </w:r>
            <w:proofErr w:type="spellStart"/>
            <w:r w:rsidR="007408B7" w:rsidRPr="00A752CF">
              <w:rPr>
                <w:rFonts w:eastAsia="Times New Roman"/>
                <w:sz w:val="26"/>
                <w:szCs w:val="26"/>
                <w:lang w:val="lv-LV" w:eastAsia="lv-LV"/>
              </w:rPr>
              <w:t>mikro</w:t>
            </w:r>
            <w:proofErr w:type="spellEnd"/>
            <w:r w:rsidR="007408B7" w:rsidRPr="00A752CF">
              <w:rPr>
                <w:rFonts w:eastAsia="Times New Roman"/>
                <w:sz w:val="26"/>
                <w:szCs w:val="26"/>
                <w:lang w:val="lv-LV" w:eastAsia="lv-LV"/>
              </w:rPr>
              <w:t xml:space="preserve">) un vidējie </w:t>
            </w:r>
            <w:r w:rsidR="00710120" w:rsidRPr="00A752CF">
              <w:rPr>
                <w:rFonts w:eastAsia="Times New Roman"/>
                <w:sz w:val="26"/>
                <w:szCs w:val="26"/>
                <w:lang w:val="lv-LV" w:eastAsia="lv-LV"/>
              </w:rPr>
              <w:t>komersanti.</w:t>
            </w:r>
          </w:p>
        </w:tc>
      </w:tr>
      <w:tr w:rsidR="003C77AE" w:rsidRPr="003E5A6D" w:rsidTr="001E3522">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E5A6D" w:rsidRDefault="003C77AE" w:rsidP="001E3522">
            <w:pPr>
              <w:jc w:val="both"/>
              <w:rPr>
                <w:rFonts w:eastAsia="Times New Roman"/>
                <w:sz w:val="24"/>
                <w:szCs w:val="24"/>
                <w:lang w:val="lv-LV" w:eastAsia="lv-LV"/>
              </w:rPr>
            </w:pPr>
            <w:r w:rsidRPr="003E5A6D">
              <w:rPr>
                <w:rFonts w:eastAsia="Times New Roman"/>
                <w:sz w:val="24"/>
                <w:szCs w:val="24"/>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3C77AE" w:rsidP="001E3522">
            <w:pPr>
              <w:jc w:val="both"/>
              <w:rPr>
                <w:rFonts w:eastAsia="Times New Roman"/>
                <w:sz w:val="26"/>
                <w:szCs w:val="26"/>
                <w:lang w:val="lv-LV" w:eastAsia="lv-LV"/>
              </w:rPr>
            </w:pPr>
            <w:r w:rsidRPr="003C77AE">
              <w:rPr>
                <w:rFonts w:eastAsia="Times New Roman"/>
                <w:sz w:val="26"/>
                <w:szCs w:val="26"/>
                <w:lang w:val="lv-LV" w:eastAsia="lv-LV"/>
              </w:rPr>
              <w:t>Tiesiskā regulējuma ietekme uz tautsaimniecību un administratīvo slogu</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Default="00171CC6" w:rsidP="001E3522">
            <w:pPr>
              <w:pStyle w:val="BodyText"/>
              <w:ind w:right="142" w:firstLine="720"/>
              <w:rPr>
                <w:sz w:val="26"/>
                <w:szCs w:val="26"/>
              </w:rPr>
            </w:pPr>
            <w:r>
              <w:rPr>
                <w:sz w:val="26"/>
                <w:szCs w:val="26"/>
              </w:rPr>
              <w:t>Projekts neparedz ietekmi uz administratīvo slogu.</w:t>
            </w:r>
          </w:p>
          <w:p w:rsidR="00171CC6" w:rsidRPr="003C77AE" w:rsidRDefault="00171CC6" w:rsidP="00791D68">
            <w:pPr>
              <w:pStyle w:val="BodyText"/>
              <w:ind w:right="142" w:firstLine="720"/>
              <w:rPr>
                <w:sz w:val="26"/>
                <w:szCs w:val="26"/>
              </w:rPr>
            </w:pPr>
            <w:r>
              <w:rPr>
                <w:sz w:val="26"/>
                <w:szCs w:val="26"/>
              </w:rPr>
              <w:t xml:space="preserve">Noteikumu projekts paredz </w:t>
            </w:r>
            <w:r w:rsidR="00A752CF">
              <w:rPr>
                <w:sz w:val="26"/>
                <w:szCs w:val="26"/>
              </w:rPr>
              <w:t>ietekmi uz Latvijas tautsaimniecību</w:t>
            </w:r>
            <w:r w:rsidR="00791D68">
              <w:rPr>
                <w:sz w:val="26"/>
                <w:szCs w:val="26"/>
              </w:rPr>
              <w:t xml:space="preserve"> (uzņēmējdarbību)</w:t>
            </w:r>
            <w:r w:rsidR="00A752CF">
              <w:rPr>
                <w:sz w:val="26"/>
                <w:szCs w:val="26"/>
              </w:rPr>
              <w:t>, jo palielina investīcijām pieejamo finansējumu</w:t>
            </w:r>
            <w:r w:rsidR="00791D68">
              <w:rPr>
                <w:sz w:val="26"/>
                <w:szCs w:val="26"/>
              </w:rPr>
              <w:t>. P</w:t>
            </w:r>
            <w:r w:rsidR="00A752CF">
              <w:rPr>
                <w:sz w:val="26"/>
                <w:szCs w:val="26"/>
              </w:rPr>
              <w:t xml:space="preserve">rojekts pagarina ERAF, valsts budžeta finansējuma un </w:t>
            </w:r>
            <w:r w:rsidR="00791D68">
              <w:rPr>
                <w:sz w:val="26"/>
                <w:szCs w:val="26"/>
              </w:rPr>
              <w:t xml:space="preserve">jauna finanšu resursa – </w:t>
            </w:r>
            <w:r w:rsidR="00A752CF">
              <w:rPr>
                <w:sz w:val="26"/>
                <w:szCs w:val="26"/>
              </w:rPr>
              <w:t>ieņēmum</w:t>
            </w:r>
            <w:r w:rsidR="00791D68">
              <w:rPr>
                <w:sz w:val="26"/>
                <w:szCs w:val="26"/>
              </w:rPr>
              <w:t>u</w:t>
            </w:r>
            <w:r w:rsidR="00A752CF">
              <w:rPr>
                <w:sz w:val="26"/>
                <w:szCs w:val="26"/>
              </w:rPr>
              <w:t xml:space="preserve"> no brīvo publisko līdzekļu noguldījumiem</w:t>
            </w:r>
            <w:r w:rsidR="00791D68">
              <w:rPr>
                <w:sz w:val="26"/>
                <w:szCs w:val="26"/>
              </w:rPr>
              <w:t xml:space="preserve"> – izmantošanas </w:t>
            </w:r>
            <w:r w:rsidR="00A752CF">
              <w:rPr>
                <w:sz w:val="26"/>
                <w:szCs w:val="26"/>
              </w:rPr>
              <w:t xml:space="preserve">termiņu, </w:t>
            </w:r>
            <w:r w:rsidR="00791D68">
              <w:rPr>
                <w:sz w:val="26"/>
                <w:szCs w:val="26"/>
              </w:rPr>
              <w:t xml:space="preserve">tādejādi  nodrošinot turpmāku tirgus nepilnību risināšanu un </w:t>
            </w:r>
            <w:r w:rsidR="00A752CF">
              <w:rPr>
                <w:sz w:val="26"/>
                <w:szCs w:val="26"/>
              </w:rPr>
              <w:t xml:space="preserve">sekmējot jaunu un kvalitatīvu investīciju norisi </w:t>
            </w:r>
            <w:r w:rsidR="00791D68">
              <w:rPr>
                <w:sz w:val="26"/>
                <w:szCs w:val="26"/>
              </w:rPr>
              <w:t>pēc 2015.gada 31.augusta.</w:t>
            </w:r>
          </w:p>
        </w:tc>
      </w:tr>
      <w:tr w:rsidR="003C77AE" w:rsidRPr="003E5A6D" w:rsidTr="001E3522">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E5A6D" w:rsidRDefault="003C77AE" w:rsidP="001E3522">
            <w:pPr>
              <w:jc w:val="both"/>
              <w:rPr>
                <w:rFonts w:eastAsia="Times New Roman"/>
                <w:sz w:val="24"/>
                <w:szCs w:val="24"/>
                <w:lang w:val="lv-LV" w:eastAsia="lv-LV"/>
              </w:rPr>
            </w:pPr>
            <w:r w:rsidRPr="003E5A6D">
              <w:rPr>
                <w:rFonts w:eastAsia="Times New Roman"/>
                <w:sz w:val="24"/>
                <w:szCs w:val="24"/>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1E3522">
            <w:pPr>
              <w:jc w:val="both"/>
              <w:rPr>
                <w:rFonts w:eastAsia="Times New Roman"/>
                <w:sz w:val="26"/>
                <w:szCs w:val="26"/>
                <w:lang w:val="lv-LV" w:eastAsia="lv-LV"/>
              </w:rPr>
            </w:pPr>
            <w:r w:rsidRPr="003C77AE">
              <w:rPr>
                <w:rFonts w:eastAsia="Times New Roman"/>
                <w:sz w:val="26"/>
                <w:szCs w:val="26"/>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1E3522">
            <w:pPr>
              <w:pStyle w:val="BodyText"/>
              <w:ind w:right="142" w:firstLine="720"/>
              <w:rPr>
                <w:sz w:val="26"/>
                <w:szCs w:val="26"/>
              </w:rPr>
            </w:pPr>
            <w:r w:rsidRPr="003C77AE">
              <w:rPr>
                <w:sz w:val="26"/>
                <w:szCs w:val="26"/>
              </w:rPr>
              <w:t>Projekts šo jomu neskar</w:t>
            </w:r>
            <w:r w:rsidR="00EF5821">
              <w:rPr>
                <w:sz w:val="26"/>
                <w:szCs w:val="26"/>
              </w:rPr>
              <w:t>.</w:t>
            </w:r>
          </w:p>
        </w:tc>
      </w:tr>
      <w:tr w:rsidR="003C77AE" w:rsidRPr="003E5A6D" w:rsidTr="001E3522">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E5A6D" w:rsidRDefault="003C77AE" w:rsidP="001E3522">
            <w:pPr>
              <w:jc w:val="both"/>
              <w:rPr>
                <w:rFonts w:eastAsia="Times New Roman"/>
                <w:sz w:val="24"/>
                <w:szCs w:val="24"/>
                <w:lang w:val="lv-LV" w:eastAsia="lv-LV"/>
              </w:rPr>
            </w:pPr>
            <w:r>
              <w:rPr>
                <w:rFonts w:eastAsia="Times New Roman"/>
                <w:sz w:val="24"/>
                <w:szCs w:val="24"/>
                <w:lang w:val="lv-LV" w:eastAsia="lv-LV"/>
              </w:rPr>
              <w:t>4</w:t>
            </w:r>
            <w:r w:rsidRPr="003E5A6D">
              <w:rPr>
                <w:rFonts w:eastAsia="Times New Roman"/>
                <w:sz w:val="24"/>
                <w:szCs w:val="24"/>
                <w:lang w:val="lv-LV" w:eastAsia="lv-LV"/>
              </w:rPr>
              <w:t>.</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1E3522">
            <w:pPr>
              <w:jc w:val="both"/>
              <w:rPr>
                <w:rFonts w:eastAsia="Times New Roman"/>
                <w:sz w:val="26"/>
                <w:szCs w:val="26"/>
                <w:lang w:val="lv-LV" w:eastAsia="lv-LV"/>
              </w:rPr>
            </w:pPr>
            <w:r w:rsidRPr="003C77AE">
              <w:rPr>
                <w:rFonts w:eastAsia="Times New Roman"/>
                <w:sz w:val="26"/>
                <w:szCs w:val="26"/>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1E3522">
            <w:pPr>
              <w:ind w:firstLine="720"/>
              <w:jc w:val="both"/>
              <w:rPr>
                <w:rFonts w:eastAsia="Times New Roman"/>
                <w:sz w:val="26"/>
                <w:szCs w:val="26"/>
                <w:lang w:val="lv-LV" w:eastAsia="lv-LV"/>
              </w:rPr>
            </w:pPr>
            <w:r w:rsidRPr="003C77AE">
              <w:rPr>
                <w:rFonts w:eastAsia="Times New Roman"/>
                <w:sz w:val="26"/>
                <w:szCs w:val="26"/>
                <w:lang w:val="lv-LV" w:eastAsia="lv-LV"/>
              </w:rPr>
              <w:t>Nav</w:t>
            </w:r>
          </w:p>
        </w:tc>
      </w:tr>
    </w:tbl>
    <w:p w:rsidR="00765A89" w:rsidRPr="005A7B9C" w:rsidRDefault="00765A89" w:rsidP="00F22471">
      <w:pPr>
        <w:ind w:firstLine="720"/>
        <w:jc w:val="both"/>
        <w:rPr>
          <w:rFonts w:eastAsia="Times New Roman"/>
          <w:sz w:val="26"/>
          <w:szCs w:val="26"/>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3A7D89" w:rsidRPr="002B5151" w:rsidTr="003C77AE">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ind w:firstLine="720"/>
              <w:jc w:val="both"/>
              <w:rPr>
                <w:rFonts w:eastAsia="Times New Roman"/>
                <w:b/>
                <w:sz w:val="26"/>
                <w:szCs w:val="26"/>
                <w:lang w:val="lv-LV" w:eastAsia="lv-LV"/>
              </w:rPr>
            </w:pPr>
            <w:r w:rsidRPr="005A7B9C">
              <w:rPr>
                <w:rFonts w:eastAsia="Times New Roman"/>
                <w:b/>
                <w:sz w:val="26"/>
                <w:szCs w:val="26"/>
                <w:lang w:val="lv-LV" w:eastAsia="lv-LV"/>
              </w:rPr>
              <w:t>IV. Tiesību akta projekta ietekme uz spēkā esošo tiesību normu sistēmu</w:t>
            </w:r>
          </w:p>
        </w:tc>
      </w:tr>
      <w:tr w:rsidR="003A7D89" w:rsidRPr="002B5151" w:rsidTr="003C77A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BB13F4" w:rsidRPr="005A7B9C" w:rsidRDefault="00E86AEA" w:rsidP="00A752CF">
            <w:pPr>
              <w:pStyle w:val="BodyText"/>
              <w:ind w:right="142" w:firstLine="720"/>
              <w:rPr>
                <w:sz w:val="26"/>
                <w:szCs w:val="26"/>
              </w:rPr>
            </w:pPr>
            <w:r>
              <w:rPr>
                <w:sz w:val="26"/>
                <w:szCs w:val="26"/>
              </w:rPr>
              <w:t xml:space="preserve"> </w:t>
            </w:r>
            <w:r w:rsidR="00A752CF">
              <w:rPr>
                <w:sz w:val="26"/>
                <w:szCs w:val="26"/>
              </w:rPr>
              <w:t>Paralēli tiek virzīti grozījumi MK noteikumos Nr.818.</w:t>
            </w:r>
          </w:p>
        </w:tc>
      </w:tr>
      <w:tr w:rsidR="003A7D89" w:rsidRPr="002B5151" w:rsidTr="003C77A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49136B" w:rsidRDefault="004671D7" w:rsidP="0049136B">
            <w:pPr>
              <w:ind w:firstLine="720"/>
              <w:jc w:val="both"/>
              <w:rPr>
                <w:rFonts w:eastAsia="Times New Roman"/>
                <w:sz w:val="26"/>
                <w:szCs w:val="26"/>
                <w:lang w:val="lv-LV" w:eastAsia="lv-LV"/>
              </w:rPr>
            </w:pPr>
            <w:r w:rsidRPr="005A7B9C">
              <w:rPr>
                <w:rFonts w:eastAsia="Times New Roman"/>
                <w:sz w:val="26"/>
                <w:szCs w:val="26"/>
                <w:lang w:val="lv-LV" w:eastAsia="lv-LV"/>
              </w:rPr>
              <w:t>N</w:t>
            </w:r>
            <w:r w:rsidR="008E7722" w:rsidRPr="005A7B9C">
              <w:rPr>
                <w:rFonts w:eastAsia="Times New Roman"/>
                <w:sz w:val="26"/>
                <w:szCs w:val="26"/>
                <w:lang w:val="lv-LV" w:eastAsia="lv-LV"/>
              </w:rPr>
              <w:t>epiecie</w:t>
            </w:r>
            <w:r w:rsidRPr="005A7B9C">
              <w:rPr>
                <w:rFonts w:eastAsia="Times New Roman"/>
                <w:sz w:val="26"/>
                <w:szCs w:val="26"/>
                <w:lang w:val="lv-LV" w:eastAsia="lv-LV"/>
              </w:rPr>
              <w:t>šams veikt grozījumus līgumā</w:t>
            </w:r>
            <w:r w:rsidR="003C77AE">
              <w:rPr>
                <w:rFonts w:eastAsia="Times New Roman"/>
                <w:sz w:val="26"/>
                <w:szCs w:val="26"/>
                <w:lang w:val="lv-LV" w:eastAsia="lv-LV"/>
              </w:rPr>
              <w:t>, kas noslēgts</w:t>
            </w:r>
            <w:r w:rsidRPr="005A7B9C">
              <w:rPr>
                <w:rFonts w:eastAsia="Times New Roman"/>
                <w:sz w:val="26"/>
                <w:szCs w:val="26"/>
                <w:lang w:val="lv-LV" w:eastAsia="lv-LV"/>
              </w:rPr>
              <w:t xml:space="preserve"> </w:t>
            </w:r>
            <w:r w:rsidR="003C77AE">
              <w:rPr>
                <w:rFonts w:eastAsia="Times New Roman"/>
                <w:sz w:val="26"/>
                <w:szCs w:val="26"/>
                <w:lang w:val="lv-LV" w:eastAsia="lv-LV"/>
              </w:rPr>
              <w:t xml:space="preserve">starp </w:t>
            </w:r>
            <w:r w:rsidR="00A752CF">
              <w:rPr>
                <w:rFonts w:eastAsia="Times New Roman"/>
                <w:sz w:val="26"/>
                <w:szCs w:val="26"/>
                <w:lang w:val="lv-LV" w:eastAsia="lv-LV"/>
              </w:rPr>
              <w:t>Altum un EM</w:t>
            </w:r>
            <w:r w:rsidR="0049136B">
              <w:rPr>
                <w:rFonts w:eastAsia="Times New Roman"/>
                <w:sz w:val="26"/>
                <w:szCs w:val="26"/>
                <w:lang w:val="lv-LV" w:eastAsia="lv-LV"/>
              </w:rPr>
              <w:t xml:space="preserve"> par 2.2.1.1.aktivitātes īstenošanu</w:t>
            </w:r>
            <w:r w:rsidR="00A752CF">
              <w:rPr>
                <w:rFonts w:eastAsia="Times New Roman"/>
                <w:sz w:val="26"/>
                <w:szCs w:val="26"/>
                <w:lang w:val="lv-LV" w:eastAsia="lv-LV"/>
              </w:rPr>
              <w:t>, precizējot pieej</w:t>
            </w:r>
            <w:r w:rsidR="0049136B">
              <w:rPr>
                <w:rFonts w:eastAsia="Times New Roman"/>
                <w:sz w:val="26"/>
                <w:szCs w:val="26"/>
                <w:lang w:val="lv-LV" w:eastAsia="lv-LV"/>
              </w:rPr>
              <w:t xml:space="preserve">amā publiskā finansējuma apmēru, tostarp sadalījumā pa finanšu avotiem. </w:t>
            </w:r>
          </w:p>
          <w:p w:rsidR="003A7D89" w:rsidRPr="005A7B9C" w:rsidRDefault="00A752CF" w:rsidP="00C238B9">
            <w:pPr>
              <w:ind w:firstLine="720"/>
              <w:jc w:val="both"/>
              <w:rPr>
                <w:rFonts w:eastAsia="Times New Roman"/>
                <w:sz w:val="26"/>
                <w:szCs w:val="26"/>
                <w:lang w:val="lv-LV" w:eastAsia="lv-LV"/>
              </w:rPr>
            </w:pPr>
            <w:r>
              <w:rPr>
                <w:rFonts w:eastAsia="Times New Roman"/>
                <w:sz w:val="26"/>
                <w:szCs w:val="26"/>
                <w:lang w:val="lv-LV" w:eastAsia="lv-LV"/>
              </w:rPr>
              <w:t xml:space="preserve">Nepieciešams veikt grozījumus </w:t>
            </w:r>
            <w:r w:rsidR="0049136B">
              <w:rPr>
                <w:rFonts w:eastAsia="Times New Roman"/>
                <w:sz w:val="26"/>
                <w:szCs w:val="26"/>
                <w:lang w:val="lv-LV" w:eastAsia="lv-LV"/>
              </w:rPr>
              <w:t xml:space="preserve">attiecīgo </w:t>
            </w:r>
            <w:r>
              <w:rPr>
                <w:rFonts w:eastAsia="Times New Roman"/>
                <w:sz w:val="26"/>
                <w:szCs w:val="26"/>
                <w:lang w:val="lv-LV" w:eastAsia="lv-LV"/>
              </w:rPr>
              <w:t>līgum</w:t>
            </w:r>
            <w:r w:rsidR="0049136B">
              <w:rPr>
                <w:rFonts w:eastAsia="Times New Roman"/>
                <w:sz w:val="26"/>
                <w:szCs w:val="26"/>
                <w:lang w:val="lv-LV" w:eastAsia="lv-LV"/>
              </w:rPr>
              <w:t>u</w:t>
            </w:r>
            <w:r>
              <w:rPr>
                <w:rFonts w:eastAsia="Times New Roman"/>
                <w:sz w:val="26"/>
                <w:szCs w:val="26"/>
                <w:lang w:val="lv-LV" w:eastAsia="lv-LV"/>
              </w:rPr>
              <w:t>, kas noslēgti starp Altum un fondu pārvaldniekiem,</w:t>
            </w:r>
            <w:r w:rsidR="0049136B">
              <w:rPr>
                <w:rFonts w:eastAsia="Times New Roman"/>
                <w:sz w:val="26"/>
                <w:szCs w:val="26"/>
                <w:lang w:val="lv-LV" w:eastAsia="lv-LV"/>
              </w:rPr>
              <w:t xml:space="preserve"> ietvaros,</w:t>
            </w:r>
            <w:r>
              <w:rPr>
                <w:rFonts w:eastAsia="Times New Roman"/>
                <w:sz w:val="26"/>
                <w:szCs w:val="26"/>
                <w:lang w:val="lv-LV" w:eastAsia="lv-LV"/>
              </w:rPr>
              <w:t xml:space="preserve"> </w:t>
            </w:r>
            <w:r w:rsidR="00C238B9">
              <w:rPr>
                <w:rFonts w:eastAsia="Times New Roman"/>
                <w:sz w:val="26"/>
                <w:szCs w:val="26"/>
                <w:lang w:val="lv-LV" w:eastAsia="lv-LV"/>
              </w:rPr>
              <w:t>diversificējot</w:t>
            </w:r>
            <w:r>
              <w:rPr>
                <w:rFonts w:eastAsia="Times New Roman"/>
                <w:sz w:val="26"/>
                <w:szCs w:val="26"/>
                <w:lang w:val="lv-LV" w:eastAsia="lv-LV"/>
              </w:rPr>
              <w:t xml:space="preserve"> pieejamā </w:t>
            </w:r>
            <w:r w:rsidR="00C238B9">
              <w:rPr>
                <w:rFonts w:eastAsia="Times New Roman"/>
                <w:sz w:val="26"/>
                <w:szCs w:val="26"/>
                <w:lang w:val="lv-LV" w:eastAsia="lv-LV"/>
              </w:rPr>
              <w:t xml:space="preserve">publiskā </w:t>
            </w:r>
            <w:r>
              <w:rPr>
                <w:rFonts w:eastAsia="Times New Roman"/>
                <w:sz w:val="26"/>
                <w:szCs w:val="26"/>
                <w:lang w:val="lv-LV" w:eastAsia="lv-LV"/>
              </w:rPr>
              <w:t>finansējuma avotus, palielinot pieejamā publiskā finansējuma apmēru izaugsmes kapitāla fond</w:t>
            </w:r>
            <w:r w:rsidR="0049136B">
              <w:rPr>
                <w:rFonts w:eastAsia="Times New Roman"/>
                <w:sz w:val="26"/>
                <w:szCs w:val="26"/>
                <w:lang w:val="lv-LV" w:eastAsia="lv-LV"/>
              </w:rPr>
              <w:t>os</w:t>
            </w:r>
            <w:r>
              <w:rPr>
                <w:rFonts w:eastAsia="Times New Roman"/>
                <w:sz w:val="26"/>
                <w:szCs w:val="26"/>
                <w:lang w:val="lv-LV" w:eastAsia="lv-LV"/>
              </w:rPr>
              <w:t>, kā arī nosakot ERAF</w:t>
            </w:r>
            <w:r w:rsidR="0049136B">
              <w:rPr>
                <w:rFonts w:eastAsia="Times New Roman"/>
                <w:sz w:val="26"/>
                <w:szCs w:val="26"/>
                <w:lang w:val="lv-LV" w:eastAsia="lv-LV"/>
              </w:rPr>
              <w:t>,</w:t>
            </w:r>
            <w:r>
              <w:rPr>
                <w:rFonts w:eastAsia="Times New Roman"/>
                <w:sz w:val="26"/>
                <w:szCs w:val="26"/>
                <w:lang w:val="lv-LV" w:eastAsia="lv-LV"/>
              </w:rPr>
              <w:t xml:space="preserve"> valsts budžeta finansējuma</w:t>
            </w:r>
            <w:r w:rsidR="0049136B">
              <w:rPr>
                <w:rFonts w:eastAsia="Times New Roman"/>
                <w:sz w:val="26"/>
                <w:szCs w:val="26"/>
                <w:lang w:val="lv-LV" w:eastAsia="lv-LV"/>
              </w:rPr>
              <w:t xml:space="preserve"> un ieņēmumu no brīvo publisko līdzekļu </w:t>
            </w:r>
            <w:r w:rsidR="0049136B">
              <w:rPr>
                <w:rFonts w:eastAsia="Times New Roman"/>
                <w:sz w:val="26"/>
                <w:szCs w:val="26"/>
                <w:lang w:val="lv-LV" w:eastAsia="lv-LV"/>
              </w:rPr>
              <w:lastRenderedPageBreak/>
              <w:t>noguldījumiem</w:t>
            </w:r>
            <w:r>
              <w:rPr>
                <w:rFonts w:eastAsia="Times New Roman"/>
                <w:sz w:val="26"/>
                <w:szCs w:val="26"/>
                <w:lang w:val="lv-LV" w:eastAsia="lv-LV"/>
              </w:rPr>
              <w:t xml:space="preserve"> izlietošanas termiņu 2016.gada 31.</w:t>
            </w:r>
            <w:r w:rsidR="0049136B">
              <w:rPr>
                <w:rFonts w:eastAsia="Times New Roman"/>
                <w:sz w:val="26"/>
                <w:szCs w:val="26"/>
                <w:lang w:val="lv-LV" w:eastAsia="lv-LV"/>
              </w:rPr>
              <w:t>oktobri.</w:t>
            </w:r>
            <w:r>
              <w:rPr>
                <w:rFonts w:eastAsia="Times New Roman"/>
                <w:sz w:val="26"/>
                <w:szCs w:val="26"/>
                <w:lang w:val="lv-LV" w:eastAsia="lv-LV"/>
              </w:rPr>
              <w:t xml:space="preserve"> </w:t>
            </w:r>
          </w:p>
        </w:tc>
      </w:tr>
    </w:tbl>
    <w:p w:rsidR="00765A89" w:rsidRDefault="00765A89" w:rsidP="00C9779A">
      <w:pPr>
        <w:rPr>
          <w:sz w:val="26"/>
          <w:szCs w:val="26"/>
          <w:lang w:val="lv-LV"/>
        </w:rPr>
      </w:pPr>
    </w:p>
    <w:tbl>
      <w:tblPr>
        <w:tblW w:w="4803" w:type="pct"/>
        <w:tblCellSpacing w:w="15" w:type="dxa"/>
        <w:tblInd w:w="102" w:type="dxa"/>
        <w:tblBorders>
          <w:top w:val="thickThinLargeGap" w:sz="6" w:space="0" w:color="C0C0C0"/>
          <w:left w:val="thickThinLargeGap" w:sz="6" w:space="0" w:color="C0C0C0"/>
          <w:bottom w:val="thinThickLargeGap" w:sz="6" w:space="0" w:color="C0C0C0"/>
          <w:right w:val="thinThickLargeGap" w:sz="6" w:space="0" w:color="C0C0C0"/>
          <w:insideH w:val="single" w:sz="6" w:space="0" w:color="C0C0C0"/>
          <w:insideV w:val="single" w:sz="6" w:space="0" w:color="C0C0C0"/>
        </w:tblBorders>
        <w:tblCellMar>
          <w:top w:w="30" w:type="dxa"/>
          <w:left w:w="30" w:type="dxa"/>
          <w:bottom w:w="30" w:type="dxa"/>
          <w:right w:w="30" w:type="dxa"/>
        </w:tblCellMar>
        <w:tblLook w:val="04A0" w:firstRow="1" w:lastRow="0" w:firstColumn="1" w:lastColumn="0" w:noHBand="0" w:noVBand="1"/>
      </w:tblPr>
      <w:tblGrid>
        <w:gridCol w:w="377"/>
        <w:gridCol w:w="1867"/>
        <w:gridCol w:w="639"/>
        <w:gridCol w:w="1258"/>
        <w:gridCol w:w="1485"/>
        <w:gridCol w:w="3318"/>
      </w:tblGrid>
      <w:tr w:rsidR="001E3522" w:rsidRPr="00C64C83" w:rsidTr="001E3522">
        <w:trPr>
          <w:tblCellSpacing w:w="15" w:type="dxa"/>
        </w:trPr>
        <w:tc>
          <w:tcPr>
            <w:tcW w:w="4966" w:type="pct"/>
            <w:gridSpan w:val="6"/>
            <w:shd w:val="clear" w:color="auto" w:fill="auto"/>
            <w:hideMark/>
          </w:tcPr>
          <w:p w:rsidR="001E3522" w:rsidRPr="001F6D46" w:rsidRDefault="001E3522" w:rsidP="001E3522">
            <w:pPr>
              <w:jc w:val="center"/>
              <w:rPr>
                <w:rFonts w:eastAsia="Times New Roman"/>
                <w:b/>
                <w:bCs/>
                <w:sz w:val="26"/>
                <w:szCs w:val="26"/>
                <w:lang w:val="lv-LV" w:eastAsia="lv-LV"/>
              </w:rPr>
            </w:pPr>
            <w:r w:rsidRPr="001F6D46">
              <w:rPr>
                <w:rFonts w:eastAsia="Times New Roman"/>
                <w:b/>
                <w:bCs/>
                <w:sz w:val="26"/>
                <w:szCs w:val="26"/>
                <w:lang w:val="lv-LV" w:eastAsia="lv-LV"/>
              </w:rPr>
              <w:t>V. Tiesību akta projekta atbilstība Latvijas Republikas starptautiskajām saistībām</w:t>
            </w:r>
          </w:p>
        </w:tc>
      </w:tr>
      <w:tr w:rsidR="001E3522" w:rsidRPr="00C64C83" w:rsidTr="00A752CF">
        <w:trPr>
          <w:tblCellSpacing w:w="15" w:type="dxa"/>
        </w:trPr>
        <w:tc>
          <w:tcPr>
            <w:tcW w:w="186" w:type="pct"/>
            <w:shd w:val="clear" w:color="auto" w:fill="auto"/>
            <w:hideMark/>
          </w:tcPr>
          <w:p w:rsidR="001E3522" w:rsidRPr="001F6D46" w:rsidRDefault="001E3522" w:rsidP="001E3522">
            <w:pPr>
              <w:jc w:val="center"/>
              <w:rPr>
                <w:rFonts w:eastAsia="Times New Roman"/>
                <w:sz w:val="26"/>
                <w:szCs w:val="26"/>
                <w:lang w:val="lv-LV" w:eastAsia="lv-LV"/>
              </w:rPr>
            </w:pPr>
            <w:r w:rsidRPr="001F6D46">
              <w:rPr>
                <w:rFonts w:eastAsia="Times New Roman"/>
                <w:sz w:val="26"/>
                <w:szCs w:val="26"/>
                <w:lang w:val="lv-LV" w:eastAsia="lv-LV"/>
              </w:rPr>
              <w:t>1.</w:t>
            </w:r>
          </w:p>
        </w:tc>
        <w:tc>
          <w:tcPr>
            <w:tcW w:w="1400" w:type="pct"/>
            <w:gridSpan w:val="2"/>
            <w:shd w:val="clear" w:color="auto" w:fill="auto"/>
            <w:hideMark/>
          </w:tcPr>
          <w:p w:rsidR="001E3522" w:rsidRPr="001F6D46" w:rsidRDefault="001E3522" w:rsidP="001E3522">
            <w:pPr>
              <w:jc w:val="both"/>
              <w:rPr>
                <w:rFonts w:eastAsia="Times New Roman"/>
                <w:sz w:val="26"/>
                <w:szCs w:val="26"/>
                <w:lang w:val="lv-LV" w:eastAsia="lv-LV"/>
              </w:rPr>
            </w:pPr>
            <w:r w:rsidRPr="001F6D46">
              <w:rPr>
                <w:rFonts w:eastAsia="Times New Roman"/>
                <w:sz w:val="26"/>
                <w:szCs w:val="26"/>
                <w:lang w:val="lv-LV" w:eastAsia="lv-LV"/>
              </w:rPr>
              <w:t>Saistības pret Eiropas Savienību</w:t>
            </w:r>
          </w:p>
        </w:tc>
        <w:tc>
          <w:tcPr>
            <w:tcW w:w="3347" w:type="pct"/>
            <w:gridSpan w:val="3"/>
            <w:shd w:val="clear" w:color="auto" w:fill="auto"/>
            <w:hideMark/>
          </w:tcPr>
          <w:p w:rsidR="00461365" w:rsidRDefault="0049136B" w:rsidP="008E1633">
            <w:pPr>
              <w:ind w:firstLine="364"/>
              <w:jc w:val="both"/>
              <w:rPr>
                <w:sz w:val="26"/>
                <w:szCs w:val="26"/>
                <w:lang w:val="lv-LV"/>
              </w:rPr>
            </w:pPr>
            <w:r w:rsidRPr="0001789B">
              <w:rPr>
                <w:sz w:val="26"/>
                <w:szCs w:val="26"/>
                <w:lang w:val="lv-LV"/>
              </w:rPr>
              <w:t>Komisijas 2014.gada 17.jūnija Regul</w:t>
            </w:r>
            <w:r>
              <w:rPr>
                <w:sz w:val="26"/>
                <w:szCs w:val="26"/>
                <w:lang w:val="lv-LV"/>
              </w:rPr>
              <w:t>a</w:t>
            </w:r>
            <w:r w:rsidRPr="0001789B">
              <w:rPr>
                <w:sz w:val="26"/>
                <w:szCs w:val="26"/>
                <w:lang w:val="lv-LV"/>
              </w:rPr>
              <w:t xml:space="preserve"> (ES) Nr.651/2014, ar ko noteiktas atbalsta kategorijas atzīst par saderīgām ar iekšējo tirgu, piemērojot Līguma 107. un 108.</w:t>
            </w:r>
            <w:r w:rsidR="00461365">
              <w:rPr>
                <w:sz w:val="26"/>
                <w:szCs w:val="26"/>
                <w:lang w:val="lv-LV"/>
              </w:rPr>
              <w:t>p</w:t>
            </w:r>
            <w:r w:rsidRPr="0001789B">
              <w:rPr>
                <w:sz w:val="26"/>
                <w:szCs w:val="26"/>
                <w:lang w:val="lv-LV"/>
              </w:rPr>
              <w:t>antu</w:t>
            </w:r>
            <w:r w:rsidR="00461365">
              <w:rPr>
                <w:sz w:val="26"/>
                <w:szCs w:val="26"/>
                <w:lang w:val="lv-LV"/>
              </w:rPr>
              <w:t>.</w:t>
            </w:r>
          </w:p>
          <w:p w:rsidR="006C2079" w:rsidRPr="00461365" w:rsidRDefault="006C2079" w:rsidP="006C2079">
            <w:pPr>
              <w:ind w:firstLine="364"/>
              <w:jc w:val="both"/>
              <w:rPr>
                <w:sz w:val="26"/>
                <w:szCs w:val="26"/>
                <w:lang w:val="lv-LV"/>
              </w:rPr>
            </w:pPr>
            <w:r w:rsidRPr="00684B86">
              <w:rPr>
                <w:sz w:val="26"/>
                <w:szCs w:val="26"/>
                <w:lang w:val="lv-LV"/>
              </w:rPr>
              <w:t>Komisij</w:t>
            </w:r>
            <w:r>
              <w:rPr>
                <w:sz w:val="26"/>
                <w:szCs w:val="26"/>
                <w:lang w:val="lv-LV"/>
              </w:rPr>
              <w:t>as 2013.gada 18.decembra Regula</w:t>
            </w:r>
            <w:r w:rsidRPr="00684B86">
              <w:rPr>
                <w:sz w:val="26"/>
                <w:szCs w:val="26"/>
                <w:lang w:val="lv-LV"/>
              </w:rPr>
              <w:t xml:space="preserve"> (ES) Nr.1407/2013 par Līguma par Eiropas Savienības darbību 107. un 108.panta piemērošanu </w:t>
            </w:r>
            <w:r w:rsidRPr="00684B86">
              <w:rPr>
                <w:i/>
                <w:sz w:val="26"/>
                <w:szCs w:val="26"/>
                <w:lang w:val="lv-LV"/>
              </w:rPr>
              <w:t>de minimis</w:t>
            </w:r>
            <w:r w:rsidRPr="00684B86">
              <w:rPr>
                <w:sz w:val="26"/>
                <w:szCs w:val="26"/>
                <w:lang w:val="lv-LV"/>
              </w:rPr>
              <w:t xml:space="preserve"> atbalstam</w:t>
            </w:r>
            <w:r>
              <w:rPr>
                <w:sz w:val="26"/>
                <w:szCs w:val="26"/>
                <w:lang w:val="lv-LV"/>
              </w:rPr>
              <w:t>.</w:t>
            </w:r>
          </w:p>
        </w:tc>
      </w:tr>
      <w:tr w:rsidR="001E3522" w:rsidRPr="001F6D46" w:rsidTr="00A752CF">
        <w:trPr>
          <w:tblCellSpacing w:w="15" w:type="dxa"/>
        </w:trPr>
        <w:tc>
          <w:tcPr>
            <w:tcW w:w="186" w:type="pct"/>
            <w:shd w:val="clear" w:color="auto" w:fill="auto"/>
            <w:hideMark/>
          </w:tcPr>
          <w:p w:rsidR="001E3522" w:rsidRPr="001F6D46" w:rsidRDefault="001E3522" w:rsidP="001E3522">
            <w:pPr>
              <w:jc w:val="center"/>
              <w:rPr>
                <w:rFonts w:eastAsia="Times New Roman"/>
                <w:sz w:val="26"/>
                <w:szCs w:val="26"/>
                <w:lang w:val="lv-LV" w:eastAsia="lv-LV"/>
              </w:rPr>
            </w:pPr>
            <w:r w:rsidRPr="001F6D46">
              <w:rPr>
                <w:rFonts w:eastAsia="Times New Roman"/>
                <w:sz w:val="26"/>
                <w:szCs w:val="26"/>
                <w:lang w:val="lv-LV" w:eastAsia="lv-LV"/>
              </w:rPr>
              <w:t>2.</w:t>
            </w:r>
          </w:p>
        </w:tc>
        <w:tc>
          <w:tcPr>
            <w:tcW w:w="1400" w:type="pct"/>
            <w:gridSpan w:val="2"/>
            <w:shd w:val="clear" w:color="auto" w:fill="auto"/>
            <w:hideMark/>
          </w:tcPr>
          <w:p w:rsidR="001E3522" w:rsidRPr="001F6D46" w:rsidRDefault="001E3522" w:rsidP="001E3522">
            <w:pPr>
              <w:jc w:val="both"/>
              <w:rPr>
                <w:rFonts w:eastAsia="Times New Roman"/>
                <w:sz w:val="26"/>
                <w:szCs w:val="26"/>
                <w:lang w:val="lv-LV" w:eastAsia="lv-LV"/>
              </w:rPr>
            </w:pPr>
            <w:r w:rsidRPr="001F6D46">
              <w:rPr>
                <w:rFonts w:eastAsia="Times New Roman"/>
                <w:sz w:val="26"/>
                <w:szCs w:val="26"/>
                <w:lang w:val="lv-LV" w:eastAsia="lv-LV"/>
              </w:rPr>
              <w:t>Citas starptautiskās saistības</w:t>
            </w:r>
          </w:p>
        </w:tc>
        <w:tc>
          <w:tcPr>
            <w:tcW w:w="3347" w:type="pct"/>
            <w:gridSpan w:val="3"/>
            <w:shd w:val="clear" w:color="auto" w:fill="auto"/>
            <w:hideMark/>
          </w:tcPr>
          <w:p w:rsidR="001E3522" w:rsidRPr="001F6D46" w:rsidRDefault="001E3522" w:rsidP="001E3522">
            <w:pPr>
              <w:ind w:firstLine="341"/>
              <w:jc w:val="both"/>
              <w:rPr>
                <w:rFonts w:eastAsia="Times New Roman"/>
                <w:sz w:val="26"/>
                <w:szCs w:val="26"/>
                <w:lang w:val="lv-LV" w:eastAsia="lv-LV"/>
              </w:rPr>
            </w:pPr>
            <w:r w:rsidRPr="001F6D46">
              <w:rPr>
                <w:rFonts w:eastAsia="Times New Roman"/>
                <w:sz w:val="26"/>
                <w:szCs w:val="26"/>
                <w:lang w:val="lv-LV" w:eastAsia="lv-LV"/>
              </w:rPr>
              <w:t>Projekts šo jomu neskar.</w:t>
            </w:r>
          </w:p>
        </w:tc>
      </w:tr>
      <w:tr w:rsidR="001E3522" w:rsidRPr="009F052F" w:rsidTr="00A752CF">
        <w:trPr>
          <w:tblCellSpacing w:w="15" w:type="dxa"/>
        </w:trPr>
        <w:tc>
          <w:tcPr>
            <w:tcW w:w="186" w:type="pct"/>
            <w:shd w:val="clear" w:color="auto" w:fill="auto"/>
            <w:hideMark/>
          </w:tcPr>
          <w:p w:rsidR="001E3522" w:rsidRPr="001F6D46" w:rsidRDefault="001E3522" w:rsidP="001E3522">
            <w:pPr>
              <w:jc w:val="center"/>
              <w:rPr>
                <w:rFonts w:eastAsia="Times New Roman"/>
                <w:sz w:val="26"/>
                <w:szCs w:val="26"/>
                <w:lang w:val="lv-LV" w:eastAsia="lv-LV"/>
              </w:rPr>
            </w:pPr>
            <w:r w:rsidRPr="001F6D46">
              <w:rPr>
                <w:rFonts w:eastAsia="Times New Roman"/>
                <w:sz w:val="26"/>
                <w:szCs w:val="26"/>
                <w:lang w:val="lv-LV" w:eastAsia="lv-LV"/>
              </w:rPr>
              <w:t>3.</w:t>
            </w:r>
          </w:p>
        </w:tc>
        <w:tc>
          <w:tcPr>
            <w:tcW w:w="1400" w:type="pct"/>
            <w:gridSpan w:val="2"/>
            <w:shd w:val="clear" w:color="auto" w:fill="auto"/>
            <w:hideMark/>
          </w:tcPr>
          <w:p w:rsidR="001E3522" w:rsidRPr="001F6D46" w:rsidRDefault="001E3522" w:rsidP="001E3522">
            <w:pPr>
              <w:jc w:val="both"/>
              <w:rPr>
                <w:rFonts w:eastAsia="Times New Roman"/>
                <w:sz w:val="26"/>
                <w:szCs w:val="26"/>
                <w:lang w:val="lv-LV" w:eastAsia="lv-LV"/>
              </w:rPr>
            </w:pPr>
            <w:r w:rsidRPr="001F6D46">
              <w:rPr>
                <w:rFonts w:eastAsia="Times New Roman"/>
                <w:sz w:val="26"/>
                <w:szCs w:val="26"/>
                <w:lang w:val="lv-LV" w:eastAsia="lv-LV"/>
              </w:rPr>
              <w:t>Cita informācija</w:t>
            </w:r>
          </w:p>
        </w:tc>
        <w:tc>
          <w:tcPr>
            <w:tcW w:w="3347" w:type="pct"/>
            <w:gridSpan w:val="3"/>
            <w:shd w:val="clear" w:color="auto" w:fill="auto"/>
            <w:hideMark/>
          </w:tcPr>
          <w:p w:rsidR="006C2079" w:rsidRDefault="00F602B2" w:rsidP="006C2079">
            <w:pPr>
              <w:ind w:firstLine="341"/>
              <w:jc w:val="both"/>
              <w:rPr>
                <w:rFonts w:eastAsia="Times New Roman"/>
                <w:sz w:val="26"/>
                <w:szCs w:val="26"/>
                <w:lang w:val="lv-LV" w:eastAsia="lv-LV"/>
              </w:rPr>
            </w:pPr>
            <w:r w:rsidRPr="00B25497">
              <w:rPr>
                <w:rFonts w:eastAsia="Times New Roman"/>
                <w:sz w:val="26"/>
                <w:szCs w:val="26"/>
                <w:lang w:val="lv-LV" w:eastAsia="lv-LV"/>
              </w:rPr>
              <w:t>Izstrādājot noteikumu projektu, ir ņemt</w:t>
            </w:r>
            <w:r w:rsidR="006C2079">
              <w:rPr>
                <w:rFonts w:eastAsia="Times New Roman"/>
                <w:sz w:val="26"/>
                <w:szCs w:val="26"/>
                <w:lang w:val="lv-LV" w:eastAsia="lv-LV"/>
              </w:rPr>
              <w:t xml:space="preserve">s vērā: </w:t>
            </w:r>
          </w:p>
          <w:p w:rsidR="001E3522" w:rsidRPr="006C2079" w:rsidRDefault="006C2079" w:rsidP="006C2079">
            <w:pPr>
              <w:pStyle w:val="ListParagraph"/>
              <w:numPr>
                <w:ilvl w:val="0"/>
                <w:numId w:val="19"/>
              </w:numPr>
              <w:jc w:val="both"/>
              <w:rPr>
                <w:sz w:val="26"/>
                <w:szCs w:val="26"/>
                <w:lang w:val="lv-LV"/>
              </w:rPr>
            </w:pPr>
            <w:r w:rsidRPr="006C2079">
              <w:rPr>
                <w:sz w:val="26"/>
                <w:szCs w:val="26"/>
                <w:lang w:val="lv-LV"/>
              </w:rPr>
              <w:t>Eiropas Komisijas  2015.gada 30.aprīļa pielikums Nr.C (2015) 2771 Komisijas lēmumam, ar kuru groza Lēmumu Nr.C (2013) 1573, ar ko apstiprina pamatnostādnes par to darbības programmu slēgšanu, kuras pieņemtas atbalsta saņemšanai no Eiropas Reģionālās attīstības fonda, Eiropas Sociālā fonda un Kohēzijas fonda (2007-2013);</w:t>
            </w:r>
          </w:p>
          <w:p w:rsidR="006C2079" w:rsidRPr="006C2079" w:rsidRDefault="006C2079" w:rsidP="006C2079">
            <w:pPr>
              <w:pStyle w:val="ListParagraph"/>
              <w:numPr>
                <w:ilvl w:val="0"/>
                <w:numId w:val="19"/>
              </w:numPr>
              <w:jc w:val="both"/>
              <w:rPr>
                <w:rFonts w:eastAsia="Times New Roman"/>
                <w:sz w:val="26"/>
                <w:szCs w:val="26"/>
                <w:lang w:val="lv-LV" w:eastAsia="lv-LV"/>
              </w:rPr>
            </w:pPr>
            <w:r w:rsidRPr="006C2079">
              <w:rPr>
                <w:rFonts w:eastAsia="Times New Roman"/>
                <w:sz w:val="26"/>
                <w:szCs w:val="26"/>
                <w:lang w:val="lv-LV" w:eastAsia="lv-LV"/>
              </w:rPr>
              <w:t>Eiropas Komisijas 2011.gada 21.februāra vadlīnij</w:t>
            </w:r>
            <w:r>
              <w:rPr>
                <w:rFonts w:eastAsia="Times New Roman"/>
                <w:sz w:val="26"/>
                <w:szCs w:val="26"/>
                <w:lang w:val="lv-LV" w:eastAsia="lv-LV"/>
              </w:rPr>
              <w:t>as</w:t>
            </w:r>
            <w:r w:rsidRPr="006C2079">
              <w:rPr>
                <w:rFonts w:eastAsia="Times New Roman"/>
                <w:sz w:val="26"/>
                <w:szCs w:val="26"/>
                <w:lang w:val="lv-LV" w:eastAsia="lv-LV"/>
              </w:rPr>
              <w:t xml:space="preserve"> par finanšu instrumentu ieviešanu atbilstoši Regulas Nr.1083/2006 44.punktam („Guidance Note on Financial Engineering Instruments under Article 44 of Council Regulation (EC) No 1083/2006”)</w:t>
            </w:r>
            <w:r>
              <w:rPr>
                <w:rFonts w:eastAsia="Times New Roman"/>
                <w:sz w:val="26"/>
                <w:szCs w:val="26"/>
                <w:lang w:val="lv-LV" w:eastAsia="lv-LV"/>
              </w:rPr>
              <w:t>.</w:t>
            </w:r>
          </w:p>
        </w:tc>
      </w:tr>
      <w:tr w:rsidR="001E3522" w:rsidRPr="00C64C83" w:rsidTr="001E3522">
        <w:trPr>
          <w:tblCellSpacing w:w="15" w:type="dxa"/>
        </w:trPr>
        <w:tc>
          <w:tcPr>
            <w:tcW w:w="4966" w:type="pct"/>
            <w:gridSpan w:val="6"/>
            <w:shd w:val="clear" w:color="auto" w:fill="auto"/>
            <w:vAlign w:val="center"/>
            <w:hideMark/>
          </w:tcPr>
          <w:p w:rsidR="001E3522" w:rsidRPr="001F6D46" w:rsidRDefault="001E3522" w:rsidP="001E3522">
            <w:pPr>
              <w:jc w:val="center"/>
              <w:rPr>
                <w:rFonts w:eastAsia="Times New Roman"/>
                <w:b/>
                <w:bCs/>
                <w:sz w:val="26"/>
                <w:szCs w:val="26"/>
                <w:lang w:val="lv-LV" w:eastAsia="lv-LV"/>
              </w:rPr>
            </w:pPr>
            <w:r w:rsidRPr="001F6D46">
              <w:rPr>
                <w:rFonts w:eastAsia="Times New Roman"/>
                <w:b/>
                <w:bCs/>
                <w:sz w:val="26"/>
                <w:szCs w:val="26"/>
                <w:lang w:val="lv-LV" w:eastAsia="lv-LV"/>
              </w:rPr>
              <w:t>1.tabula</w:t>
            </w:r>
            <w:r w:rsidRPr="001F6D46">
              <w:rPr>
                <w:rFonts w:eastAsia="Times New Roman"/>
                <w:b/>
                <w:bCs/>
                <w:sz w:val="26"/>
                <w:szCs w:val="26"/>
                <w:lang w:val="lv-LV" w:eastAsia="lv-LV"/>
              </w:rPr>
              <w:br/>
              <w:t>Tiesību akta projekta atbilstība ES tiesību aktiem</w:t>
            </w:r>
          </w:p>
        </w:tc>
      </w:tr>
      <w:tr w:rsidR="001E3522" w:rsidRPr="002B5151" w:rsidTr="00A752CF">
        <w:trPr>
          <w:tblCellSpacing w:w="15" w:type="dxa"/>
        </w:trPr>
        <w:tc>
          <w:tcPr>
            <w:tcW w:w="1235" w:type="pct"/>
            <w:gridSpan w:val="2"/>
            <w:shd w:val="clear" w:color="auto" w:fill="auto"/>
            <w:vAlign w:val="center"/>
            <w:hideMark/>
          </w:tcPr>
          <w:p w:rsidR="001E3522" w:rsidRPr="001F6D46" w:rsidRDefault="001E3522" w:rsidP="001E3522">
            <w:pPr>
              <w:jc w:val="both"/>
              <w:rPr>
                <w:rFonts w:eastAsia="Times New Roman"/>
                <w:sz w:val="26"/>
                <w:szCs w:val="26"/>
                <w:lang w:val="lv-LV" w:eastAsia="lv-LV"/>
              </w:rPr>
            </w:pPr>
            <w:r w:rsidRPr="001F6D46">
              <w:rPr>
                <w:rFonts w:eastAsia="Times New Roman"/>
                <w:sz w:val="26"/>
                <w:szCs w:val="26"/>
                <w:lang w:val="lv-LV" w:eastAsia="lv-LV"/>
              </w:rPr>
              <w:t>Attiecīgā ES tiesību akta datums, numurs un nosaukums</w:t>
            </w:r>
          </w:p>
        </w:tc>
        <w:tc>
          <w:tcPr>
            <w:tcW w:w="3715" w:type="pct"/>
            <w:gridSpan w:val="4"/>
            <w:shd w:val="clear" w:color="auto" w:fill="auto"/>
            <w:vAlign w:val="center"/>
            <w:hideMark/>
          </w:tcPr>
          <w:p w:rsidR="00461365" w:rsidRDefault="0049136B" w:rsidP="00D267B2">
            <w:pPr>
              <w:jc w:val="both"/>
              <w:rPr>
                <w:sz w:val="26"/>
                <w:szCs w:val="26"/>
                <w:lang w:val="lv-LV"/>
              </w:rPr>
            </w:pPr>
            <w:r w:rsidRPr="0001789B">
              <w:rPr>
                <w:sz w:val="26"/>
                <w:szCs w:val="26"/>
                <w:lang w:val="lv-LV"/>
              </w:rPr>
              <w:t>Komisijas 2014.gada 17.jūnija Regul</w:t>
            </w:r>
            <w:r>
              <w:rPr>
                <w:sz w:val="26"/>
                <w:szCs w:val="26"/>
                <w:lang w:val="lv-LV"/>
              </w:rPr>
              <w:t>a</w:t>
            </w:r>
            <w:r w:rsidRPr="0001789B">
              <w:rPr>
                <w:sz w:val="26"/>
                <w:szCs w:val="26"/>
                <w:lang w:val="lv-LV"/>
              </w:rPr>
              <w:t xml:space="preserve"> (ES) Nr.651/2014, ar ko noteiktas atbalsta kategorijas atzīst par saderīgām ar iekšējo tirgu, piemērojot Līguma 107. un 108. pantu (Eiropas Savienības Oficiālais Vēstnesis, 2014. gada 26. jūnijs, </w:t>
            </w:r>
            <w:r w:rsidR="006C2079">
              <w:rPr>
                <w:sz w:val="26"/>
                <w:szCs w:val="26"/>
                <w:lang w:val="lv-LV"/>
              </w:rPr>
              <w:t xml:space="preserve">Nr. </w:t>
            </w:r>
            <w:r w:rsidRPr="0001789B">
              <w:rPr>
                <w:sz w:val="26"/>
                <w:szCs w:val="26"/>
                <w:lang w:val="lv-LV"/>
              </w:rPr>
              <w:t>L 187)</w:t>
            </w:r>
            <w:r>
              <w:rPr>
                <w:sz w:val="26"/>
                <w:szCs w:val="26"/>
                <w:lang w:val="lv-LV"/>
              </w:rPr>
              <w:t>.</w:t>
            </w:r>
          </w:p>
          <w:p w:rsidR="006C2079" w:rsidRPr="001F6D46" w:rsidRDefault="006C2079" w:rsidP="006C2079">
            <w:pPr>
              <w:spacing w:before="240" w:after="240"/>
              <w:jc w:val="both"/>
              <w:rPr>
                <w:sz w:val="26"/>
                <w:szCs w:val="26"/>
                <w:lang w:val="lv-LV"/>
              </w:rPr>
            </w:pPr>
            <w:r w:rsidRPr="00684B86">
              <w:rPr>
                <w:sz w:val="26"/>
                <w:szCs w:val="26"/>
                <w:lang w:val="lv-LV"/>
              </w:rPr>
              <w:t>Komisij</w:t>
            </w:r>
            <w:r>
              <w:rPr>
                <w:sz w:val="26"/>
                <w:szCs w:val="26"/>
                <w:lang w:val="lv-LV"/>
              </w:rPr>
              <w:t>as 2013.gada 18.decembra Regula</w:t>
            </w:r>
            <w:r w:rsidRPr="00684B86">
              <w:rPr>
                <w:sz w:val="26"/>
                <w:szCs w:val="26"/>
                <w:lang w:val="lv-LV"/>
              </w:rPr>
              <w:t xml:space="preserve"> (ES) Nr.1407/2013 par Līguma par Eiropas Savienības darbību 107. un 108.panta piemērošanu </w:t>
            </w:r>
            <w:proofErr w:type="spellStart"/>
            <w:r w:rsidRPr="00684B86">
              <w:rPr>
                <w:i/>
                <w:sz w:val="26"/>
                <w:szCs w:val="26"/>
                <w:lang w:val="lv-LV"/>
              </w:rPr>
              <w:t>de</w:t>
            </w:r>
            <w:proofErr w:type="spellEnd"/>
            <w:r w:rsidRPr="00684B86">
              <w:rPr>
                <w:i/>
                <w:sz w:val="26"/>
                <w:szCs w:val="26"/>
                <w:lang w:val="lv-LV"/>
              </w:rPr>
              <w:t xml:space="preserve"> </w:t>
            </w:r>
            <w:proofErr w:type="spellStart"/>
            <w:r w:rsidRPr="00684B86">
              <w:rPr>
                <w:i/>
                <w:sz w:val="26"/>
                <w:szCs w:val="26"/>
                <w:lang w:val="lv-LV"/>
              </w:rPr>
              <w:t>minimis</w:t>
            </w:r>
            <w:proofErr w:type="spellEnd"/>
            <w:r w:rsidRPr="00684B86">
              <w:rPr>
                <w:sz w:val="26"/>
                <w:szCs w:val="26"/>
                <w:lang w:val="lv-LV"/>
              </w:rPr>
              <w:t xml:space="preserve"> atbalstam (Eiropas Savienības Oficiālais Vēstnesis, 2013.gada 24.decembris, Nr. L 352/1)</w:t>
            </w:r>
            <w:r>
              <w:rPr>
                <w:sz w:val="26"/>
                <w:szCs w:val="26"/>
                <w:lang w:val="lv-LV"/>
              </w:rPr>
              <w:t xml:space="preserve"> . </w:t>
            </w:r>
          </w:p>
        </w:tc>
      </w:tr>
      <w:tr w:rsidR="001E3522" w:rsidRPr="001F6D46" w:rsidTr="00A752CF">
        <w:trPr>
          <w:tblCellSpacing w:w="15" w:type="dxa"/>
        </w:trPr>
        <w:tc>
          <w:tcPr>
            <w:tcW w:w="1235" w:type="pct"/>
            <w:gridSpan w:val="2"/>
            <w:shd w:val="clear" w:color="auto" w:fill="auto"/>
            <w:vAlign w:val="center"/>
            <w:hideMark/>
          </w:tcPr>
          <w:p w:rsidR="001E3522" w:rsidRPr="001F6D46" w:rsidRDefault="001E3522" w:rsidP="001E3522">
            <w:pPr>
              <w:jc w:val="both"/>
              <w:rPr>
                <w:rFonts w:eastAsia="Times New Roman"/>
                <w:sz w:val="26"/>
                <w:szCs w:val="26"/>
                <w:lang w:val="lv-LV" w:eastAsia="lv-LV"/>
              </w:rPr>
            </w:pPr>
            <w:r w:rsidRPr="001F6D46">
              <w:rPr>
                <w:rFonts w:eastAsia="Times New Roman"/>
                <w:sz w:val="26"/>
                <w:szCs w:val="26"/>
                <w:lang w:val="lv-LV" w:eastAsia="lv-LV"/>
              </w:rPr>
              <w:t>A</w:t>
            </w:r>
          </w:p>
        </w:tc>
        <w:tc>
          <w:tcPr>
            <w:tcW w:w="1053" w:type="pct"/>
            <w:gridSpan w:val="2"/>
            <w:shd w:val="clear" w:color="auto" w:fill="auto"/>
            <w:vAlign w:val="center"/>
            <w:hideMark/>
          </w:tcPr>
          <w:p w:rsidR="001E3522" w:rsidRPr="001F6D46" w:rsidRDefault="001E3522" w:rsidP="001E3522">
            <w:pPr>
              <w:jc w:val="both"/>
              <w:rPr>
                <w:rFonts w:eastAsia="Times New Roman"/>
                <w:sz w:val="26"/>
                <w:szCs w:val="26"/>
                <w:lang w:val="lv-LV" w:eastAsia="lv-LV"/>
              </w:rPr>
            </w:pPr>
            <w:r w:rsidRPr="001F6D46">
              <w:rPr>
                <w:rFonts w:eastAsia="Times New Roman"/>
                <w:sz w:val="26"/>
                <w:szCs w:val="26"/>
                <w:lang w:val="lv-LV" w:eastAsia="lv-LV"/>
              </w:rPr>
              <w:t>B</w:t>
            </w:r>
          </w:p>
        </w:tc>
        <w:tc>
          <w:tcPr>
            <w:tcW w:w="813" w:type="pct"/>
            <w:shd w:val="clear" w:color="auto" w:fill="auto"/>
            <w:vAlign w:val="center"/>
            <w:hideMark/>
          </w:tcPr>
          <w:p w:rsidR="001E3522" w:rsidRPr="001F6D46" w:rsidRDefault="001E3522" w:rsidP="001E3522">
            <w:pPr>
              <w:jc w:val="both"/>
              <w:rPr>
                <w:rFonts w:eastAsia="Times New Roman"/>
                <w:sz w:val="26"/>
                <w:szCs w:val="26"/>
                <w:lang w:val="lv-LV" w:eastAsia="lv-LV"/>
              </w:rPr>
            </w:pPr>
            <w:r w:rsidRPr="001F6D46">
              <w:rPr>
                <w:rFonts w:eastAsia="Times New Roman"/>
                <w:sz w:val="26"/>
                <w:szCs w:val="26"/>
                <w:lang w:val="lv-LV" w:eastAsia="lv-LV"/>
              </w:rPr>
              <w:t>C</w:t>
            </w:r>
          </w:p>
        </w:tc>
        <w:tc>
          <w:tcPr>
            <w:tcW w:w="1815" w:type="pct"/>
            <w:shd w:val="clear" w:color="auto" w:fill="auto"/>
            <w:vAlign w:val="center"/>
            <w:hideMark/>
          </w:tcPr>
          <w:p w:rsidR="001E3522" w:rsidRPr="001F6D46" w:rsidRDefault="001E3522" w:rsidP="001E3522">
            <w:pPr>
              <w:jc w:val="both"/>
              <w:rPr>
                <w:rFonts w:eastAsia="Times New Roman"/>
                <w:sz w:val="26"/>
                <w:szCs w:val="26"/>
                <w:lang w:val="lv-LV" w:eastAsia="lv-LV"/>
              </w:rPr>
            </w:pPr>
            <w:r w:rsidRPr="001F6D46">
              <w:rPr>
                <w:rFonts w:eastAsia="Times New Roman"/>
                <w:sz w:val="26"/>
                <w:szCs w:val="26"/>
                <w:lang w:val="lv-LV" w:eastAsia="lv-LV"/>
              </w:rPr>
              <w:t>D</w:t>
            </w:r>
          </w:p>
        </w:tc>
      </w:tr>
      <w:tr w:rsidR="001E3522" w:rsidRPr="002B5151" w:rsidTr="00A752CF">
        <w:trPr>
          <w:tblCellSpacing w:w="15" w:type="dxa"/>
        </w:trPr>
        <w:tc>
          <w:tcPr>
            <w:tcW w:w="1235" w:type="pct"/>
            <w:gridSpan w:val="2"/>
            <w:shd w:val="clear" w:color="auto" w:fill="auto"/>
            <w:hideMark/>
          </w:tcPr>
          <w:p w:rsidR="001E3522" w:rsidRPr="001F6D46" w:rsidRDefault="001E3522" w:rsidP="001E3522">
            <w:pPr>
              <w:pStyle w:val="naiskr"/>
              <w:spacing w:before="0" w:after="0"/>
              <w:jc w:val="both"/>
              <w:rPr>
                <w:sz w:val="26"/>
                <w:szCs w:val="26"/>
              </w:rPr>
            </w:pPr>
            <w:r w:rsidRPr="001F6D46">
              <w:rPr>
                <w:sz w:val="26"/>
                <w:szCs w:val="26"/>
              </w:rPr>
              <w:lastRenderedPageBreak/>
              <w:t xml:space="preserve">Attiecīgā ES tiesību akta panta numurs (uzskaitot katru tiesību akta </w:t>
            </w:r>
            <w:r w:rsidRPr="001F6D46">
              <w:rPr>
                <w:sz w:val="26"/>
                <w:szCs w:val="26"/>
              </w:rPr>
              <w:br/>
              <w:t>vienību – pantu, daļu, punktu, apakšpunktu)</w:t>
            </w:r>
          </w:p>
        </w:tc>
        <w:tc>
          <w:tcPr>
            <w:tcW w:w="1053" w:type="pct"/>
            <w:gridSpan w:val="2"/>
            <w:shd w:val="clear" w:color="auto" w:fill="auto"/>
            <w:hideMark/>
          </w:tcPr>
          <w:p w:rsidR="001E3522" w:rsidRPr="001F6D46" w:rsidRDefault="001E3522" w:rsidP="001E3522">
            <w:pPr>
              <w:pStyle w:val="naiskr"/>
              <w:spacing w:before="0" w:after="0"/>
              <w:jc w:val="both"/>
              <w:rPr>
                <w:sz w:val="26"/>
                <w:szCs w:val="26"/>
              </w:rPr>
            </w:pPr>
            <w:r w:rsidRPr="001F6D46">
              <w:rPr>
                <w:sz w:val="26"/>
                <w:szCs w:val="26"/>
              </w:rPr>
              <w:t>Projekta vienība, kas pārņem vai ievieš katru šīs tabulas A ailē minēto ES tiesību akta vienību</w:t>
            </w:r>
          </w:p>
        </w:tc>
        <w:tc>
          <w:tcPr>
            <w:tcW w:w="813" w:type="pct"/>
            <w:shd w:val="clear" w:color="auto" w:fill="auto"/>
            <w:hideMark/>
          </w:tcPr>
          <w:p w:rsidR="001E3522" w:rsidRPr="001F6D46" w:rsidRDefault="001E3522" w:rsidP="001E3522">
            <w:pPr>
              <w:pStyle w:val="naiskr"/>
              <w:spacing w:before="0" w:after="0"/>
              <w:jc w:val="both"/>
              <w:rPr>
                <w:sz w:val="26"/>
                <w:szCs w:val="26"/>
              </w:rPr>
            </w:pPr>
            <w:r w:rsidRPr="001F6D46">
              <w:rPr>
                <w:sz w:val="26"/>
                <w:szCs w:val="26"/>
              </w:rPr>
              <w:t>Informācija par to, vai šīs tabulas A ailē minētās ES tiesību akta vienības tiek pārņemtas vai ieviestas pilnībā vai daļēji.</w:t>
            </w:r>
          </w:p>
          <w:p w:rsidR="001E3522" w:rsidRPr="001F6D46" w:rsidRDefault="001E3522" w:rsidP="001E3522">
            <w:pPr>
              <w:pStyle w:val="naiskr"/>
              <w:spacing w:before="0" w:after="0"/>
              <w:jc w:val="both"/>
              <w:rPr>
                <w:sz w:val="26"/>
                <w:szCs w:val="26"/>
              </w:rPr>
            </w:pPr>
            <w:r w:rsidRPr="001F6D46">
              <w:rPr>
                <w:sz w:val="26"/>
                <w:szCs w:val="26"/>
              </w:rPr>
              <w:t>Ja attiecīgā ES tiesību akta vienība tiek pārņemta vai ieviesta daļēji, – sniedz attiecīgu skaidrojumu, kā arī precīzi norāda, kad un kādā veidā ES tiesību akta vienība tiks pārņemta vai ieviesta pilnībā.</w:t>
            </w:r>
          </w:p>
          <w:p w:rsidR="001E3522" w:rsidRPr="001F6D46" w:rsidRDefault="001E3522" w:rsidP="001E3522">
            <w:pPr>
              <w:pStyle w:val="naiskr"/>
              <w:spacing w:before="0" w:after="0"/>
              <w:jc w:val="both"/>
              <w:rPr>
                <w:sz w:val="26"/>
                <w:szCs w:val="26"/>
              </w:rPr>
            </w:pPr>
            <w:r w:rsidRPr="001F6D46">
              <w:rPr>
                <w:sz w:val="26"/>
                <w:szCs w:val="26"/>
              </w:rPr>
              <w:t>Norāda institūciju, kas ir atbildīga par šo saistību izpildi pilnībā</w:t>
            </w:r>
          </w:p>
        </w:tc>
        <w:tc>
          <w:tcPr>
            <w:tcW w:w="1815" w:type="pct"/>
            <w:shd w:val="clear" w:color="auto" w:fill="auto"/>
            <w:hideMark/>
          </w:tcPr>
          <w:p w:rsidR="001E3522" w:rsidRPr="001F6D46" w:rsidRDefault="001E3522" w:rsidP="001E3522">
            <w:pPr>
              <w:pStyle w:val="naiskr"/>
              <w:spacing w:before="0" w:after="0"/>
              <w:jc w:val="both"/>
              <w:rPr>
                <w:sz w:val="26"/>
                <w:szCs w:val="26"/>
              </w:rPr>
            </w:pPr>
            <w:r w:rsidRPr="001F6D46">
              <w:rPr>
                <w:sz w:val="26"/>
                <w:szCs w:val="26"/>
              </w:rPr>
              <w:t>Informācija par to, vai šīs tabulas B ailē minētās projekta vienības paredz stingrākas prasības nekā šīs tabulas A ailē minētās ES tiesību akta vienības.</w:t>
            </w:r>
          </w:p>
          <w:p w:rsidR="001E3522" w:rsidRPr="001F6D46" w:rsidRDefault="001E3522" w:rsidP="001E3522">
            <w:pPr>
              <w:pStyle w:val="naiskr"/>
              <w:spacing w:before="0" w:after="0"/>
              <w:jc w:val="both"/>
              <w:rPr>
                <w:sz w:val="26"/>
                <w:szCs w:val="26"/>
              </w:rPr>
            </w:pPr>
            <w:r w:rsidRPr="001F6D46">
              <w:rPr>
                <w:sz w:val="26"/>
                <w:szCs w:val="26"/>
              </w:rPr>
              <w:t xml:space="preserve">Ja projekts satur stingrākas prasības nekā attiecīgais ES tiesību </w:t>
            </w:r>
            <w:smartTag w:uri="schemas-tilde-lv/tildestengine" w:element="veidnes">
              <w:smartTagPr>
                <w:attr w:name="text" w:val="akts"/>
                <w:attr w:name="baseform" w:val="akts"/>
                <w:attr w:name="id" w:val="-1"/>
              </w:smartTagPr>
              <w:r w:rsidRPr="001F6D46">
                <w:rPr>
                  <w:sz w:val="26"/>
                  <w:szCs w:val="26"/>
                </w:rPr>
                <w:t>akts</w:t>
              </w:r>
            </w:smartTag>
            <w:r w:rsidRPr="001F6D46">
              <w:rPr>
                <w:sz w:val="26"/>
                <w:szCs w:val="26"/>
              </w:rPr>
              <w:t>, – norāda pamatojumu un samērīgumu.</w:t>
            </w:r>
          </w:p>
          <w:p w:rsidR="001E3522" w:rsidRPr="001F6D46" w:rsidRDefault="001E3522" w:rsidP="001E3522">
            <w:pPr>
              <w:pStyle w:val="naiskr"/>
              <w:spacing w:before="0" w:after="0"/>
              <w:jc w:val="both"/>
              <w:rPr>
                <w:sz w:val="26"/>
                <w:szCs w:val="26"/>
              </w:rPr>
            </w:pPr>
            <w:r w:rsidRPr="001F6D46">
              <w:rPr>
                <w:sz w:val="26"/>
                <w:szCs w:val="26"/>
              </w:rPr>
              <w:t>Norāda iespējamās alternatīvas (t.sk. alternatīvas, kas neparedz tiesiskā regulējuma izstrādi) – kādos gadījumos būtu iespējams izvairīties no stingrāku prasību noteikšanas, nekā paredzēts attiecīgajos ES tiesību aktos</w:t>
            </w:r>
          </w:p>
        </w:tc>
      </w:tr>
      <w:tr w:rsidR="007705C2" w:rsidRPr="006C2079" w:rsidTr="00A752CF">
        <w:trPr>
          <w:tblCellSpacing w:w="15" w:type="dxa"/>
        </w:trPr>
        <w:tc>
          <w:tcPr>
            <w:tcW w:w="1235" w:type="pct"/>
            <w:gridSpan w:val="2"/>
            <w:shd w:val="clear" w:color="auto" w:fill="auto"/>
          </w:tcPr>
          <w:p w:rsidR="007705C2" w:rsidRPr="006C2079" w:rsidRDefault="007705C2" w:rsidP="001E3522">
            <w:pPr>
              <w:pStyle w:val="naiskr"/>
              <w:spacing w:before="0" w:after="0"/>
              <w:jc w:val="both"/>
              <w:rPr>
                <w:sz w:val="26"/>
                <w:szCs w:val="26"/>
              </w:rPr>
            </w:pPr>
            <w:r w:rsidRPr="006C2079">
              <w:rPr>
                <w:sz w:val="26"/>
                <w:szCs w:val="26"/>
              </w:rPr>
              <w:t>Komisijas Regulas Nr.651/2014 58.panta 3.punkts</w:t>
            </w:r>
          </w:p>
        </w:tc>
        <w:tc>
          <w:tcPr>
            <w:tcW w:w="1053" w:type="pct"/>
            <w:gridSpan w:val="2"/>
            <w:shd w:val="clear" w:color="auto" w:fill="auto"/>
          </w:tcPr>
          <w:p w:rsidR="007705C2" w:rsidRPr="006C2079" w:rsidRDefault="007705C2" w:rsidP="001E3522">
            <w:pPr>
              <w:pStyle w:val="naiskr"/>
              <w:spacing w:before="0" w:after="0"/>
              <w:jc w:val="both"/>
              <w:rPr>
                <w:sz w:val="26"/>
                <w:szCs w:val="26"/>
              </w:rPr>
            </w:pPr>
            <w:r w:rsidRPr="006C2079">
              <w:rPr>
                <w:sz w:val="26"/>
                <w:szCs w:val="26"/>
              </w:rPr>
              <w:t>Noteikumu projekta 1.punkts.</w:t>
            </w:r>
          </w:p>
        </w:tc>
        <w:tc>
          <w:tcPr>
            <w:tcW w:w="813" w:type="pct"/>
            <w:shd w:val="clear" w:color="auto" w:fill="auto"/>
          </w:tcPr>
          <w:p w:rsidR="007705C2" w:rsidRPr="006C2079" w:rsidRDefault="007705C2" w:rsidP="001E3522">
            <w:pPr>
              <w:pStyle w:val="naiskr"/>
              <w:spacing w:before="0" w:after="0"/>
              <w:jc w:val="both"/>
              <w:rPr>
                <w:sz w:val="26"/>
                <w:szCs w:val="26"/>
              </w:rPr>
            </w:pPr>
            <w:r w:rsidRPr="006C2079">
              <w:rPr>
                <w:sz w:val="26"/>
                <w:szCs w:val="26"/>
              </w:rPr>
              <w:t>Ieviests pilnībā.</w:t>
            </w:r>
          </w:p>
        </w:tc>
        <w:tc>
          <w:tcPr>
            <w:tcW w:w="1815" w:type="pct"/>
            <w:shd w:val="clear" w:color="auto" w:fill="auto"/>
          </w:tcPr>
          <w:p w:rsidR="007705C2" w:rsidRPr="006C2079" w:rsidRDefault="007705C2" w:rsidP="001E3522">
            <w:pPr>
              <w:pStyle w:val="naiskr"/>
              <w:spacing w:before="0" w:after="0"/>
              <w:jc w:val="both"/>
              <w:rPr>
                <w:sz w:val="26"/>
                <w:szCs w:val="26"/>
              </w:rPr>
            </w:pPr>
            <w:r w:rsidRPr="006C2079">
              <w:rPr>
                <w:sz w:val="26"/>
                <w:szCs w:val="26"/>
              </w:rPr>
              <w:t>Neparedz stingrākas prasības.</w:t>
            </w:r>
          </w:p>
        </w:tc>
      </w:tr>
      <w:tr w:rsidR="001D3292" w:rsidRPr="006C2079" w:rsidTr="00A752CF">
        <w:trPr>
          <w:tblCellSpacing w:w="15" w:type="dxa"/>
        </w:trPr>
        <w:tc>
          <w:tcPr>
            <w:tcW w:w="1235" w:type="pct"/>
            <w:gridSpan w:val="2"/>
            <w:shd w:val="clear" w:color="auto" w:fill="auto"/>
          </w:tcPr>
          <w:p w:rsidR="001D3292" w:rsidRPr="006C2079" w:rsidRDefault="001D3292" w:rsidP="001D3292">
            <w:pPr>
              <w:pStyle w:val="naiskr"/>
              <w:spacing w:before="0" w:after="0"/>
              <w:jc w:val="both"/>
              <w:rPr>
                <w:sz w:val="26"/>
                <w:szCs w:val="26"/>
              </w:rPr>
            </w:pPr>
            <w:r w:rsidRPr="006C2079">
              <w:rPr>
                <w:rFonts w:eastAsia="Calibri"/>
                <w:sz w:val="26"/>
                <w:szCs w:val="26"/>
              </w:rPr>
              <w:t>Komisijas Regula</w:t>
            </w:r>
            <w:r w:rsidRPr="006C2079">
              <w:rPr>
                <w:sz w:val="26"/>
                <w:szCs w:val="26"/>
              </w:rPr>
              <w:t>s</w:t>
            </w:r>
            <w:r w:rsidRPr="006C2079">
              <w:rPr>
                <w:rFonts w:eastAsia="Calibri"/>
                <w:sz w:val="26"/>
                <w:szCs w:val="26"/>
              </w:rPr>
              <w:t xml:space="preserve"> Nr.651/2014 14.pant</w:t>
            </w:r>
            <w:r w:rsidR="006C2079">
              <w:rPr>
                <w:sz w:val="26"/>
                <w:szCs w:val="26"/>
              </w:rPr>
              <w:t>s</w:t>
            </w:r>
            <w:r w:rsidRPr="006C2079">
              <w:rPr>
                <w:sz w:val="26"/>
                <w:szCs w:val="26"/>
              </w:rPr>
              <w:t xml:space="preserve"> </w:t>
            </w:r>
          </w:p>
        </w:tc>
        <w:tc>
          <w:tcPr>
            <w:tcW w:w="1053" w:type="pct"/>
            <w:gridSpan w:val="2"/>
            <w:shd w:val="clear" w:color="auto" w:fill="auto"/>
          </w:tcPr>
          <w:p w:rsidR="001D3292" w:rsidRPr="006C2079" w:rsidRDefault="001D3292" w:rsidP="001E3522">
            <w:pPr>
              <w:pStyle w:val="naiskr"/>
              <w:spacing w:before="0" w:after="0"/>
              <w:jc w:val="both"/>
              <w:rPr>
                <w:sz w:val="26"/>
                <w:szCs w:val="26"/>
              </w:rPr>
            </w:pPr>
            <w:r w:rsidRPr="006C2079">
              <w:rPr>
                <w:sz w:val="26"/>
                <w:szCs w:val="26"/>
              </w:rPr>
              <w:t>Noteikumu projekta 4.punkts</w:t>
            </w:r>
          </w:p>
        </w:tc>
        <w:tc>
          <w:tcPr>
            <w:tcW w:w="813" w:type="pct"/>
            <w:shd w:val="clear" w:color="auto" w:fill="auto"/>
          </w:tcPr>
          <w:p w:rsidR="001D3292" w:rsidRPr="006C2079" w:rsidRDefault="001D3292" w:rsidP="001E3522">
            <w:pPr>
              <w:pStyle w:val="naiskr"/>
              <w:spacing w:before="0" w:after="0"/>
              <w:jc w:val="both"/>
              <w:rPr>
                <w:sz w:val="26"/>
                <w:szCs w:val="26"/>
              </w:rPr>
            </w:pPr>
            <w:r w:rsidRPr="006C2079">
              <w:rPr>
                <w:sz w:val="26"/>
                <w:szCs w:val="26"/>
              </w:rPr>
              <w:t>Ieviests pilnībā.</w:t>
            </w:r>
          </w:p>
        </w:tc>
        <w:tc>
          <w:tcPr>
            <w:tcW w:w="1815" w:type="pct"/>
            <w:shd w:val="clear" w:color="auto" w:fill="auto"/>
          </w:tcPr>
          <w:p w:rsidR="001D3292" w:rsidRPr="006C2079" w:rsidRDefault="001D3292" w:rsidP="001E3522">
            <w:pPr>
              <w:pStyle w:val="naiskr"/>
              <w:spacing w:before="0" w:after="0"/>
              <w:jc w:val="both"/>
              <w:rPr>
                <w:sz w:val="26"/>
                <w:szCs w:val="26"/>
              </w:rPr>
            </w:pPr>
            <w:r w:rsidRPr="006C2079">
              <w:rPr>
                <w:sz w:val="26"/>
                <w:szCs w:val="26"/>
              </w:rPr>
              <w:t>Neparedz stingrākas prasības.</w:t>
            </w:r>
          </w:p>
        </w:tc>
      </w:tr>
      <w:tr w:rsidR="001D3292" w:rsidRPr="002B5151" w:rsidTr="00A752CF">
        <w:trPr>
          <w:tblCellSpacing w:w="15" w:type="dxa"/>
        </w:trPr>
        <w:tc>
          <w:tcPr>
            <w:tcW w:w="1235" w:type="pct"/>
            <w:gridSpan w:val="2"/>
            <w:shd w:val="clear" w:color="auto" w:fill="auto"/>
          </w:tcPr>
          <w:p w:rsidR="001D3292" w:rsidRPr="006C2079" w:rsidRDefault="001D3292" w:rsidP="001D3292">
            <w:pPr>
              <w:pStyle w:val="naiskr"/>
              <w:spacing w:before="0" w:after="0"/>
              <w:jc w:val="both"/>
              <w:rPr>
                <w:rFonts w:eastAsia="Calibri"/>
                <w:sz w:val="26"/>
                <w:szCs w:val="26"/>
              </w:rPr>
            </w:pPr>
            <w:r w:rsidRPr="006C2079">
              <w:rPr>
                <w:rFonts w:eastAsia="Calibri"/>
                <w:sz w:val="26"/>
                <w:szCs w:val="26"/>
              </w:rPr>
              <w:t>Komisijas Regula</w:t>
            </w:r>
            <w:r w:rsidRPr="006C2079">
              <w:rPr>
                <w:sz w:val="26"/>
                <w:szCs w:val="26"/>
              </w:rPr>
              <w:t>s</w:t>
            </w:r>
            <w:r w:rsidRPr="006C2079">
              <w:rPr>
                <w:rFonts w:eastAsia="Calibri"/>
                <w:sz w:val="26"/>
                <w:szCs w:val="26"/>
              </w:rPr>
              <w:t xml:space="preserve"> </w:t>
            </w:r>
            <w:r w:rsidRPr="006C2079">
              <w:rPr>
                <w:rFonts w:eastAsia="Calibri"/>
                <w:sz w:val="26"/>
                <w:szCs w:val="26"/>
              </w:rPr>
              <w:lastRenderedPageBreak/>
              <w:t xml:space="preserve">Nr.1407/2013 </w:t>
            </w:r>
            <w:r w:rsidRPr="006C2079">
              <w:rPr>
                <w:sz w:val="26"/>
                <w:szCs w:val="26"/>
              </w:rPr>
              <w:t xml:space="preserve">7.panta 4.punkts un 8.pants </w:t>
            </w:r>
          </w:p>
        </w:tc>
        <w:tc>
          <w:tcPr>
            <w:tcW w:w="1053" w:type="pct"/>
            <w:gridSpan w:val="2"/>
            <w:shd w:val="clear" w:color="auto" w:fill="auto"/>
          </w:tcPr>
          <w:p w:rsidR="001D3292" w:rsidRPr="006C2079" w:rsidRDefault="001D3292" w:rsidP="001E3522">
            <w:pPr>
              <w:pStyle w:val="naiskr"/>
              <w:spacing w:before="0" w:after="0"/>
              <w:jc w:val="both"/>
              <w:rPr>
                <w:sz w:val="26"/>
                <w:szCs w:val="26"/>
              </w:rPr>
            </w:pPr>
            <w:r w:rsidRPr="006C2079">
              <w:rPr>
                <w:sz w:val="26"/>
                <w:szCs w:val="26"/>
              </w:rPr>
              <w:lastRenderedPageBreak/>
              <w:t xml:space="preserve">Noteikumu </w:t>
            </w:r>
            <w:r w:rsidRPr="006C2079">
              <w:rPr>
                <w:sz w:val="26"/>
                <w:szCs w:val="26"/>
              </w:rPr>
              <w:lastRenderedPageBreak/>
              <w:t>projekta 4.punkts</w:t>
            </w:r>
          </w:p>
        </w:tc>
        <w:tc>
          <w:tcPr>
            <w:tcW w:w="813" w:type="pct"/>
            <w:shd w:val="clear" w:color="auto" w:fill="auto"/>
          </w:tcPr>
          <w:p w:rsidR="001D3292" w:rsidRPr="006C2079" w:rsidRDefault="001D3292" w:rsidP="001E3522">
            <w:pPr>
              <w:pStyle w:val="naiskr"/>
              <w:spacing w:before="0" w:after="0"/>
              <w:jc w:val="both"/>
              <w:rPr>
                <w:sz w:val="26"/>
                <w:szCs w:val="26"/>
              </w:rPr>
            </w:pPr>
            <w:r w:rsidRPr="006C2079">
              <w:rPr>
                <w:sz w:val="26"/>
                <w:szCs w:val="26"/>
              </w:rPr>
              <w:lastRenderedPageBreak/>
              <w:t xml:space="preserve">Ieviests </w:t>
            </w:r>
            <w:r w:rsidRPr="006C2079">
              <w:rPr>
                <w:sz w:val="26"/>
                <w:szCs w:val="26"/>
              </w:rPr>
              <w:lastRenderedPageBreak/>
              <w:t>pilnībā.</w:t>
            </w:r>
          </w:p>
        </w:tc>
        <w:tc>
          <w:tcPr>
            <w:tcW w:w="1815" w:type="pct"/>
            <w:shd w:val="clear" w:color="auto" w:fill="auto"/>
          </w:tcPr>
          <w:p w:rsidR="001D3292" w:rsidRPr="006C2079" w:rsidRDefault="001D3292" w:rsidP="001E3522">
            <w:pPr>
              <w:pStyle w:val="naiskr"/>
              <w:spacing w:before="0" w:after="0"/>
              <w:jc w:val="both"/>
              <w:rPr>
                <w:sz w:val="26"/>
                <w:szCs w:val="26"/>
              </w:rPr>
            </w:pPr>
            <w:r w:rsidRPr="006C2079">
              <w:rPr>
                <w:sz w:val="26"/>
                <w:szCs w:val="26"/>
              </w:rPr>
              <w:lastRenderedPageBreak/>
              <w:t>Neparedz stingrākas prasības.</w:t>
            </w:r>
          </w:p>
        </w:tc>
      </w:tr>
      <w:tr w:rsidR="00D4717B" w:rsidRPr="00C64C83" w:rsidTr="00A752CF">
        <w:trPr>
          <w:tblCellSpacing w:w="15" w:type="dxa"/>
        </w:trPr>
        <w:tc>
          <w:tcPr>
            <w:tcW w:w="1235" w:type="pct"/>
            <w:gridSpan w:val="2"/>
            <w:shd w:val="clear" w:color="auto" w:fill="auto"/>
            <w:vAlign w:val="center"/>
            <w:hideMark/>
          </w:tcPr>
          <w:p w:rsidR="00D4717B" w:rsidRPr="001F6D46" w:rsidRDefault="00D4717B" w:rsidP="001E3522">
            <w:pPr>
              <w:jc w:val="both"/>
              <w:rPr>
                <w:rFonts w:eastAsia="Times New Roman"/>
                <w:sz w:val="26"/>
                <w:szCs w:val="26"/>
                <w:lang w:val="lv-LV" w:eastAsia="lv-LV"/>
              </w:rPr>
            </w:pPr>
            <w:r w:rsidRPr="001F6D46">
              <w:rPr>
                <w:rFonts w:eastAsia="Times New Roman"/>
                <w:sz w:val="26"/>
                <w:szCs w:val="26"/>
                <w:lang w:val="lv-LV"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15" w:type="pct"/>
            <w:gridSpan w:val="4"/>
            <w:shd w:val="clear" w:color="auto" w:fill="auto"/>
            <w:hideMark/>
          </w:tcPr>
          <w:p w:rsidR="00D4717B" w:rsidRPr="006C7215" w:rsidRDefault="00560A74" w:rsidP="001E3522">
            <w:pPr>
              <w:jc w:val="both"/>
              <w:rPr>
                <w:rFonts w:eastAsia="Times New Roman"/>
                <w:iCs/>
                <w:sz w:val="26"/>
                <w:szCs w:val="26"/>
                <w:lang w:val="lv-LV" w:eastAsia="lv-LV"/>
              </w:rPr>
            </w:pPr>
            <w:r w:rsidRPr="00560A74">
              <w:rPr>
                <w:rFonts w:eastAsia="Times New Roman"/>
                <w:iCs/>
                <w:sz w:val="26"/>
                <w:szCs w:val="26"/>
                <w:lang w:val="lv-LV" w:eastAsia="lv-LV"/>
              </w:rPr>
              <w:t xml:space="preserve">EM 20 darba dienu laikā no noteikumu projekta spēkā stāšanās par veiktajām izmaiņām </w:t>
            </w:r>
            <w:r>
              <w:rPr>
                <w:rFonts w:eastAsia="Times New Roman"/>
                <w:iCs/>
                <w:sz w:val="26"/>
                <w:szCs w:val="26"/>
                <w:lang w:val="lv-LV" w:eastAsia="lv-LV"/>
              </w:rPr>
              <w:t>valsts atbalsta programmā</w:t>
            </w:r>
            <w:r w:rsidRPr="00560A74">
              <w:rPr>
                <w:rFonts w:eastAsia="Times New Roman"/>
                <w:iCs/>
                <w:sz w:val="26"/>
                <w:szCs w:val="26"/>
                <w:lang w:val="lv-LV" w:eastAsia="lv-LV"/>
              </w:rPr>
              <w:t xml:space="preserve"> informēs Eiropas Komisiju atbilstoši Komisijas Regulas Nr.651/2014 11.pantā norādītajam.</w:t>
            </w:r>
            <w:r w:rsidRPr="00560A74" w:rsidDel="00560A74">
              <w:rPr>
                <w:rFonts w:eastAsia="Times New Roman"/>
                <w:iCs/>
                <w:sz w:val="26"/>
                <w:szCs w:val="26"/>
                <w:lang w:val="lv-LV" w:eastAsia="lv-LV"/>
              </w:rPr>
              <w:t xml:space="preserve"> </w:t>
            </w:r>
          </w:p>
          <w:p w:rsidR="00D4717B" w:rsidRPr="001F6D46" w:rsidRDefault="00D4717B" w:rsidP="001E3522">
            <w:pPr>
              <w:jc w:val="both"/>
              <w:rPr>
                <w:rFonts w:eastAsia="Times New Roman"/>
                <w:iCs/>
                <w:sz w:val="26"/>
                <w:szCs w:val="26"/>
                <w:lang w:val="lv-LV" w:eastAsia="lv-LV"/>
              </w:rPr>
            </w:pPr>
          </w:p>
          <w:p w:rsidR="00D4717B" w:rsidRPr="001F6D46" w:rsidRDefault="00D4717B" w:rsidP="001E3522">
            <w:pPr>
              <w:jc w:val="both"/>
              <w:rPr>
                <w:rFonts w:eastAsia="Times New Roman"/>
                <w:sz w:val="26"/>
                <w:szCs w:val="26"/>
                <w:lang w:val="lv-LV" w:eastAsia="lv-LV"/>
              </w:rPr>
            </w:pPr>
          </w:p>
        </w:tc>
      </w:tr>
      <w:tr w:rsidR="00D4717B" w:rsidRPr="001F6D46" w:rsidTr="00A752CF">
        <w:trPr>
          <w:tblCellSpacing w:w="15" w:type="dxa"/>
        </w:trPr>
        <w:tc>
          <w:tcPr>
            <w:tcW w:w="1235" w:type="pct"/>
            <w:gridSpan w:val="2"/>
            <w:shd w:val="clear" w:color="auto" w:fill="auto"/>
            <w:hideMark/>
          </w:tcPr>
          <w:p w:rsidR="00D4717B" w:rsidRPr="001F6D46" w:rsidRDefault="00D4717B" w:rsidP="001E3522">
            <w:pPr>
              <w:jc w:val="both"/>
              <w:rPr>
                <w:rFonts w:eastAsia="Times New Roman"/>
                <w:sz w:val="26"/>
                <w:szCs w:val="26"/>
                <w:lang w:val="lv-LV" w:eastAsia="lv-LV"/>
              </w:rPr>
            </w:pPr>
            <w:r w:rsidRPr="001F6D46">
              <w:rPr>
                <w:rFonts w:eastAsia="Times New Roman"/>
                <w:sz w:val="26"/>
                <w:szCs w:val="26"/>
                <w:lang w:val="lv-LV" w:eastAsia="lv-LV"/>
              </w:rPr>
              <w:t>Cita informācija</w:t>
            </w:r>
          </w:p>
        </w:tc>
        <w:tc>
          <w:tcPr>
            <w:tcW w:w="3715" w:type="pct"/>
            <w:gridSpan w:val="4"/>
            <w:shd w:val="clear" w:color="auto" w:fill="auto"/>
            <w:hideMark/>
          </w:tcPr>
          <w:p w:rsidR="00D4717B" w:rsidRPr="001F6D46" w:rsidRDefault="00D4717B" w:rsidP="001E3522">
            <w:pPr>
              <w:jc w:val="both"/>
              <w:rPr>
                <w:rFonts w:eastAsia="Times New Roman"/>
                <w:sz w:val="26"/>
                <w:szCs w:val="26"/>
                <w:lang w:val="lv-LV" w:eastAsia="lv-LV"/>
              </w:rPr>
            </w:pPr>
            <w:r w:rsidRPr="001F6D46">
              <w:rPr>
                <w:rFonts w:eastAsia="Times New Roman"/>
                <w:sz w:val="26"/>
                <w:szCs w:val="26"/>
                <w:lang w:val="lv-LV" w:eastAsia="lv-LV"/>
              </w:rPr>
              <w:t>Nav</w:t>
            </w:r>
          </w:p>
        </w:tc>
      </w:tr>
    </w:tbl>
    <w:p w:rsidR="001E3522" w:rsidRDefault="001E3522" w:rsidP="00C9779A">
      <w:pPr>
        <w:rPr>
          <w:sz w:val="26"/>
          <w:szCs w:val="26"/>
          <w:lang w:val="lv-LV"/>
        </w:rPr>
      </w:pPr>
    </w:p>
    <w:tbl>
      <w:tblPr>
        <w:tblW w:w="8931"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76"/>
        <w:gridCol w:w="3230"/>
        <w:gridCol w:w="4925"/>
      </w:tblGrid>
      <w:tr w:rsidR="006C7215" w:rsidRPr="006C7215" w:rsidTr="001E3522">
        <w:tc>
          <w:tcPr>
            <w:tcW w:w="8931"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jc w:val="center"/>
              <w:rPr>
                <w:rFonts w:eastAsia="Times New Roman"/>
                <w:b/>
                <w:sz w:val="26"/>
                <w:szCs w:val="26"/>
                <w:lang w:val="lv-LV" w:eastAsia="lv-LV"/>
              </w:rPr>
            </w:pPr>
            <w:r w:rsidRPr="006C7215">
              <w:rPr>
                <w:b/>
                <w:bCs/>
                <w:sz w:val="26"/>
                <w:szCs w:val="26"/>
                <w:lang w:val="lv-LV"/>
              </w:rPr>
              <w:t>VI. Sabiedrības līdzdalība un komunikācijas aktivitātes</w:t>
            </w:r>
          </w:p>
        </w:tc>
      </w:tr>
      <w:tr w:rsidR="006C7215" w:rsidRPr="006C7215" w:rsidTr="001E3522">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rFonts w:eastAsia="Times New Roman"/>
                <w:sz w:val="26"/>
                <w:szCs w:val="26"/>
                <w:lang w:val="lv-LV" w:eastAsia="lv-LV"/>
              </w:rPr>
              <w:t>1.</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sz w:val="26"/>
                <w:szCs w:val="26"/>
                <w:lang w:val="lv-LV"/>
              </w:rPr>
              <w:t>Plānotās sabiedrības līdzdalības un komunikācijas aktivitātes saistībā ar projektu</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ind w:left="124"/>
              <w:jc w:val="both"/>
              <w:rPr>
                <w:rFonts w:eastAsia="Times New Roman"/>
                <w:sz w:val="26"/>
                <w:szCs w:val="26"/>
                <w:lang w:val="lv-LV" w:eastAsia="lv-LV"/>
              </w:rPr>
            </w:pPr>
            <w:r>
              <w:rPr>
                <w:rFonts w:eastAsia="Times New Roman"/>
                <w:iCs/>
                <w:sz w:val="26"/>
                <w:szCs w:val="26"/>
                <w:lang w:val="lv-LV" w:eastAsia="lv-LV"/>
              </w:rPr>
              <w:t>S</w:t>
            </w:r>
            <w:r w:rsidRPr="006C7215">
              <w:rPr>
                <w:rFonts w:eastAsia="Times New Roman"/>
                <w:iCs/>
                <w:sz w:val="26"/>
                <w:szCs w:val="26"/>
                <w:lang w:val="lv-LV" w:eastAsia="lv-LV"/>
              </w:rPr>
              <w:t>abiedrības līdzdalība noteikumu projekta izstrādē nav nepieciešama.</w:t>
            </w:r>
          </w:p>
        </w:tc>
      </w:tr>
      <w:tr w:rsidR="006C7215" w:rsidRPr="006C7215" w:rsidTr="001E3522">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rFonts w:eastAsia="Times New Roman"/>
                <w:sz w:val="26"/>
                <w:szCs w:val="26"/>
                <w:lang w:val="lv-LV" w:eastAsia="lv-LV"/>
              </w:rPr>
              <w:t>2.</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sz w:val="26"/>
                <w:szCs w:val="26"/>
                <w:lang w:val="lv-LV"/>
              </w:rPr>
              <w:t>Sabiedrības līdzdalība projekta izstrādē</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Default="006C7215" w:rsidP="006C7215">
            <w:pPr>
              <w:ind w:left="124"/>
              <w:jc w:val="both"/>
              <w:rPr>
                <w:rFonts w:eastAsia="Times New Roman"/>
                <w:iCs/>
                <w:sz w:val="26"/>
                <w:szCs w:val="26"/>
                <w:lang w:val="lv-LV" w:eastAsia="lv-LV"/>
              </w:rPr>
            </w:pPr>
            <w:r>
              <w:rPr>
                <w:rFonts w:eastAsia="Times New Roman"/>
                <w:iCs/>
                <w:sz w:val="26"/>
                <w:szCs w:val="26"/>
                <w:lang w:val="lv-LV" w:eastAsia="lv-LV"/>
              </w:rPr>
              <w:t>S</w:t>
            </w:r>
            <w:r w:rsidRPr="006C7215">
              <w:rPr>
                <w:rFonts w:eastAsia="Times New Roman"/>
                <w:iCs/>
                <w:sz w:val="26"/>
                <w:szCs w:val="26"/>
                <w:lang w:val="lv-LV" w:eastAsia="lv-LV"/>
              </w:rPr>
              <w:t>abiedrības līdzdalība noteikumu projekta izstrādē nav nepieciešama.</w:t>
            </w:r>
          </w:p>
          <w:p w:rsidR="006C7215" w:rsidRPr="006C7215" w:rsidRDefault="006C7215" w:rsidP="006C7215">
            <w:pPr>
              <w:ind w:left="124"/>
              <w:jc w:val="both"/>
              <w:rPr>
                <w:rFonts w:eastAsia="Times New Roman"/>
                <w:iCs/>
                <w:sz w:val="26"/>
                <w:szCs w:val="26"/>
                <w:lang w:val="lv-LV" w:eastAsia="lv-LV"/>
              </w:rPr>
            </w:pPr>
          </w:p>
        </w:tc>
      </w:tr>
      <w:tr w:rsidR="006C7215" w:rsidRPr="006C7215" w:rsidTr="001E3522">
        <w:trPr>
          <w:trHeight w:val="930"/>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rFonts w:eastAsia="Times New Roman"/>
                <w:sz w:val="26"/>
                <w:szCs w:val="26"/>
                <w:lang w:val="lv-LV" w:eastAsia="lv-LV"/>
              </w:rPr>
              <w:t>3.</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sz w:val="26"/>
                <w:szCs w:val="26"/>
                <w:lang w:val="lv-LV"/>
              </w:rPr>
              <w:t>Sabiedrības līdzdalības rezultāti</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ind w:left="124"/>
              <w:jc w:val="both"/>
              <w:rPr>
                <w:rFonts w:eastAsia="Times New Roman"/>
                <w:b/>
                <w:sz w:val="26"/>
                <w:szCs w:val="26"/>
                <w:lang w:val="lv-LV" w:eastAsia="lv-LV"/>
              </w:rPr>
            </w:pPr>
            <w:r>
              <w:rPr>
                <w:rFonts w:eastAsia="Times New Roman"/>
                <w:iCs/>
                <w:sz w:val="26"/>
                <w:szCs w:val="26"/>
                <w:lang w:val="lv-LV" w:eastAsia="lv-LV"/>
              </w:rPr>
              <w:t>S</w:t>
            </w:r>
            <w:r w:rsidRPr="006C7215">
              <w:rPr>
                <w:rFonts w:eastAsia="Times New Roman"/>
                <w:iCs/>
                <w:sz w:val="26"/>
                <w:szCs w:val="26"/>
                <w:lang w:val="lv-LV" w:eastAsia="lv-LV"/>
              </w:rPr>
              <w:t>abiedrības līdzdalība noteikumu projekta izstrādē nav nepieciešama.</w:t>
            </w:r>
          </w:p>
        </w:tc>
      </w:tr>
      <w:tr w:rsidR="006C7215" w:rsidRPr="006C7215" w:rsidTr="001E3522">
        <w:trPr>
          <w:trHeight w:val="391"/>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rFonts w:eastAsia="Times New Roman"/>
                <w:sz w:val="26"/>
                <w:szCs w:val="26"/>
                <w:lang w:val="lv-LV" w:eastAsia="lv-LV"/>
              </w:rPr>
              <w:t>4.</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sz w:val="26"/>
                <w:szCs w:val="26"/>
                <w:lang w:val="lv-LV"/>
              </w:rPr>
              <w:t>Cita informācija</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ind w:firstLine="284"/>
              <w:jc w:val="both"/>
              <w:rPr>
                <w:rFonts w:eastAsia="Times New Roman"/>
                <w:sz w:val="26"/>
                <w:szCs w:val="26"/>
                <w:lang w:val="lv-LV" w:eastAsia="lv-LV"/>
              </w:rPr>
            </w:pPr>
            <w:r w:rsidRPr="006C7215">
              <w:rPr>
                <w:rFonts w:eastAsia="Times New Roman"/>
                <w:iCs/>
                <w:sz w:val="26"/>
                <w:szCs w:val="26"/>
                <w:lang w:val="lv-LV" w:eastAsia="lv-LV"/>
              </w:rPr>
              <w:t>Nav</w:t>
            </w:r>
          </w:p>
        </w:tc>
      </w:tr>
    </w:tbl>
    <w:p w:rsidR="006C7215" w:rsidRDefault="006C7215" w:rsidP="006C7215">
      <w:pPr>
        <w:rPr>
          <w:sz w:val="26"/>
          <w:szCs w:val="26"/>
        </w:rPr>
      </w:pPr>
    </w:p>
    <w:p w:rsidR="0085223F" w:rsidRPr="006C7215" w:rsidRDefault="0085223F" w:rsidP="006C7215">
      <w:pPr>
        <w:rPr>
          <w:sz w:val="26"/>
          <w:szCs w:val="26"/>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6C7215" w:rsidRPr="006C7215" w:rsidTr="001E3522">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6C7215" w:rsidRPr="006C7215" w:rsidRDefault="006C7215" w:rsidP="006C7215">
            <w:pPr>
              <w:ind w:firstLine="720"/>
              <w:jc w:val="both"/>
              <w:rPr>
                <w:rFonts w:eastAsia="Times New Roman"/>
                <w:b/>
                <w:sz w:val="26"/>
                <w:szCs w:val="26"/>
                <w:lang w:val="lv-LV" w:eastAsia="lv-LV"/>
              </w:rPr>
            </w:pPr>
            <w:r w:rsidRPr="006C7215">
              <w:rPr>
                <w:rFonts w:eastAsia="Times New Roman"/>
                <w:b/>
                <w:sz w:val="26"/>
                <w:szCs w:val="26"/>
                <w:lang w:val="lv-LV" w:eastAsia="lv-LV"/>
              </w:rPr>
              <w:t>VII. Tiesību akta projekta izpildes nodrošināšana un tās ietekme uz institūcijām</w:t>
            </w:r>
          </w:p>
        </w:tc>
      </w:tr>
      <w:tr w:rsidR="006C7215" w:rsidRPr="006C7215" w:rsidTr="001E3522">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6C7215" w:rsidRPr="006C7215" w:rsidRDefault="006C7215" w:rsidP="006C7215">
            <w:pPr>
              <w:jc w:val="both"/>
              <w:rPr>
                <w:rFonts w:eastAsia="Times New Roman"/>
                <w:sz w:val="26"/>
                <w:szCs w:val="26"/>
                <w:lang w:val="lv-LV" w:eastAsia="lv-LV"/>
              </w:rPr>
            </w:pPr>
            <w:r w:rsidRPr="006C7215">
              <w:rPr>
                <w:rFonts w:eastAsia="Times New Roman"/>
                <w:sz w:val="26"/>
                <w:szCs w:val="26"/>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jc w:val="both"/>
              <w:rPr>
                <w:rFonts w:eastAsia="Times New Roman"/>
                <w:sz w:val="26"/>
                <w:szCs w:val="26"/>
                <w:lang w:val="lv-LV" w:eastAsia="lv-LV"/>
              </w:rPr>
            </w:pPr>
            <w:r w:rsidRPr="006C7215">
              <w:rPr>
                <w:rFonts w:eastAsia="Times New Roman"/>
                <w:sz w:val="26"/>
                <w:szCs w:val="26"/>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Default="006C7215" w:rsidP="006C2079">
            <w:pPr>
              <w:jc w:val="both"/>
              <w:rPr>
                <w:rFonts w:eastAsia="Times New Roman"/>
                <w:sz w:val="26"/>
                <w:szCs w:val="26"/>
                <w:lang w:val="lv-LV" w:eastAsia="lv-LV"/>
              </w:rPr>
            </w:pPr>
            <w:r w:rsidRPr="006C7215">
              <w:rPr>
                <w:rFonts w:eastAsia="Times New Roman"/>
                <w:sz w:val="26"/>
                <w:szCs w:val="26"/>
                <w:lang w:val="lv-LV" w:eastAsia="lv-LV"/>
              </w:rPr>
              <w:t xml:space="preserve">Ministru kabineta </w:t>
            </w:r>
            <w:r w:rsidRPr="006C7215">
              <w:rPr>
                <w:sz w:val="26"/>
                <w:szCs w:val="26"/>
                <w:lang w:val="lv-LV"/>
              </w:rPr>
              <w:t>noteikumu</w:t>
            </w:r>
            <w:r w:rsidRPr="006C7215">
              <w:rPr>
                <w:rFonts w:eastAsia="Times New Roman"/>
                <w:sz w:val="26"/>
                <w:szCs w:val="26"/>
                <w:lang w:val="lv-LV" w:eastAsia="lv-LV"/>
              </w:rPr>
              <w:t xml:space="preserve"> projekta izpildi nodrošinās EM un </w:t>
            </w:r>
            <w:r w:rsidR="00A752CF">
              <w:rPr>
                <w:rFonts w:eastAsia="Times New Roman"/>
                <w:sz w:val="26"/>
                <w:szCs w:val="26"/>
                <w:lang w:val="lv-LV" w:eastAsia="lv-LV"/>
              </w:rPr>
              <w:t>Altum.</w:t>
            </w:r>
          </w:p>
          <w:p w:rsidR="00375943" w:rsidRPr="006C7215" w:rsidRDefault="00375943" w:rsidP="00375943">
            <w:pPr>
              <w:ind w:firstLine="720"/>
              <w:jc w:val="both"/>
              <w:rPr>
                <w:rFonts w:eastAsia="Times New Roman"/>
                <w:sz w:val="26"/>
                <w:szCs w:val="26"/>
                <w:lang w:val="lv-LV" w:eastAsia="lv-LV"/>
              </w:rPr>
            </w:pPr>
          </w:p>
        </w:tc>
      </w:tr>
      <w:tr w:rsidR="006C7215" w:rsidRPr="006C7215" w:rsidTr="001E3522">
        <w:trPr>
          <w:trHeight w:val="37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6C7215" w:rsidRPr="006C7215" w:rsidRDefault="006C7215" w:rsidP="006C7215">
            <w:pPr>
              <w:jc w:val="both"/>
              <w:rPr>
                <w:rFonts w:eastAsia="Times New Roman"/>
                <w:sz w:val="26"/>
                <w:szCs w:val="26"/>
                <w:lang w:val="lv-LV" w:eastAsia="lv-LV"/>
              </w:rPr>
            </w:pPr>
            <w:r w:rsidRPr="006C7215">
              <w:rPr>
                <w:rFonts w:eastAsia="Times New Roman"/>
                <w:sz w:val="26"/>
                <w:szCs w:val="26"/>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jc w:val="both"/>
              <w:rPr>
                <w:rFonts w:eastAsia="Times New Roman"/>
                <w:sz w:val="26"/>
                <w:szCs w:val="26"/>
                <w:lang w:val="lv-LV" w:eastAsia="lv-LV"/>
              </w:rPr>
            </w:pPr>
            <w:r w:rsidRPr="006C7215">
              <w:rPr>
                <w:rFonts w:eastAsia="Times New Roman"/>
                <w:sz w:val="26"/>
                <w:szCs w:val="26"/>
                <w:lang w:val="lv-LV" w:eastAsia="lv-LV"/>
              </w:rPr>
              <w:t xml:space="preserve">Projekta izpildes ietekme uz pārvaldes funkcijām un </w:t>
            </w:r>
            <w:r w:rsidRPr="006C7215">
              <w:rPr>
                <w:rFonts w:eastAsia="Times New Roman"/>
                <w:sz w:val="26"/>
                <w:szCs w:val="26"/>
                <w:lang w:val="lv-LV" w:eastAsia="lv-LV"/>
              </w:rPr>
              <w:lastRenderedPageBreak/>
              <w:t>institucionālo struktūru. Jaunu institūciju izveide, esošu institūciju likvidācija vai reorganizācija, to ietekme uz institūcijas cilvēkresursiem.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2079">
            <w:pPr>
              <w:jc w:val="both"/>
              <w:rPr>
                <w:rFonts w:eastAsia="Times New Roman"/>
                <w:sz w:val="26"/>
                <w:szCs w:val="26"/>
                <w:lang w:val="lv-LV" w:eastAsia="lv-LV"/>
              </w:rPr>
            </w:pPr>
            <w:r w:rsidRPr="006C7215">
              <w:rPr>
                <w:rFonts w:eastAsia="Times New Roman"/>
                <w:sz w:val="26"/>
                <w:szCs w:val="26"/>
                <w:lang w:val="lv-LV" w:eastAsia="lv-LV"/>
              </w:rPr>
              <w:lastRenderedPageBreak/>
              <w:t xml:space="preserve">Ministru kabineta </w:t>
            </w:r>
            <w:r w:rsidRPr="006C7215">
              <w:rPr>
                <w:sz w:val="26"/>
                <w:szCs w:val="26"/>
                <w:lang w:val="lv-LV"/>
              </w:rPr>
              <w:t>noteikumu</w:t>
            </w:r>
            <w:r w:rsidRPr="006C7215">
              <w:rPr>
                <w:rFonts w:eastAsia="Times New Roman"/>
                <w:sz w:val="26"/>
                <w:szCs w:val="26"/>
                <w:lang w:val="lv-LV" w:eastAsia="lv-LV"/>
              </w:rPr>
              <w:t xml:space="preserve"> projekta izpilde tiks nodrošināta EM un </w:t>
            </w:r>
            <w:proofErr w:type="spellStart"/>
            <w:r w:rsidR="00A752CF">
              <w:rPr>
                <w:rFonts w:eastAsia="Times New Roman"/>
                <w:sz w:val="26"/>
                <w:szCs w:val="26"/>
                <w:lang w:val="lv-LV" w:eastAsia="lv-LV"/>
              </w:rPr>
              <w:t>Altum</w:t>
            </w:r>
            <w:proofErr w:type="spellEnd"/>
            <w:r w:rsidRPr="006C7215">
              <w:rPr>
                <w:rFonts w:eastAsia="Times New Roman"/>
                <w:sz w:val="26"/>
                <w:szCs w:val="26"/>
                <w:lang w:val="lv-LV" w:eastAsia="lv-LV"/>
              </w:rPr>
              <w:t xml:space="preserve"> esošo funkciju ietvaros.</w:t>
            </w:r>
          </w:p>
          <w:p w:rsidR="006C7215" w:rsidRPr="006C7215" w:rsidRDefault="006C7215" w:rsidP="006C7215">
            <w:pPr>
              <w:ind w:firstLine="720"/>
              <w:jc w:val="both"/>
              <w:rPr>
                <w:rFonts w:eastAsia="Times New Roman"/>
                <w:sz w:val="26"/>
                <w:szCs w:val="26"/>
                <w:lang w:val="lv-LV" w:eastAsia="lv-LV"/>
              </w:rPr>
            </w:pPr>
          </w:p>
        </w:tc>
      </w:tr>
      <w:tr w:rsidR="006C7215" w:rsidRPr="006C7215" w:rsidTr="001E3522">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6C7215" w:rsidRPr="006C7215" w:rsidRDefault="006C7215" w:rsidP="006C7215">
            <w:pPr>
              <w:jc w:val="both"/>
              <w:rPr>
                <w:rFonts w:eastAsia="Times New Roman"/>
                <w:sz w:val="26"/>
                <w:szCs w:val="26"/>
                <w:lang w:val="lv-LV" w:eastAsia="lv-LV"/>
              </w:rPr>
            </w:pPr>
            <w:r w:rsidRPr="006C7215">
              <w:rPr>
                <w:rFonts w:eastAsia="Times New Roman"/>
                <w:sz w:val="26"/>
                <w:szCs w:val="26"/>
                <w:lang w:val="lv-LV" w:eastAsia="lv-LV"/>
              </w:rPr>
              <w:lastRenderedPageBreak/>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jc w:val="both"/>
              <w:rPr>
                <w:rFonts w:eastAsia="Times New Roman"/>
                <w:sz w:val="26"/>
                <w:szCs w:val="26"/>
                <w:lang w:val="lv-LV" w:eastAsia="lv-LV"/>
              </w:rPr>
            </w:pPr>
            <w:r w:rsidRPr="006C7215">
              <w:rPr>
                <w:rFonts w:eastAsia="Times New Roman"/>
                <w:sz w:val="26"/>
                <w:szCs w:val="26"/>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ind w:firstLine="720"/>
              <w:jc w:val="both"/>
              <w:rPr>
                <w:rFonts w:eastAsia="Times New Roman"/>
                <w:sz w:val="26"/>
                <w:szCs w:val="26"/>
                <w:lang w:val="lv-LV" w:eastAsia="lv-LV"/>
              </w:rPr>
            </w:pPr>
            <w:r w:rsidRPr="006C7215">
              <w:rPr>
                <w:rFonts w:eastAsia="Times New Roman"/>
                <w:sz w:val="26"/>
                <w:szCs w:val="26"/>
                <w:lang w:val="lv-LV" w:eastAsia="lv-LV"/>
              </w:rPr>
              <w:t>Nav</w:t>
            </w:r>
          </w:p>
        </w:tc>
      </w:tr>
    </w:tbl>
    <w:p w:rsidR="009B7A7D" w:rsidRDefault="009B7A7D" w:rsidP="006C7215">
      <w:pPr>
        <w:tabs>
          <w:tab w:val="left" w:pos="7655"/>
        </w:tabs>
        <w:jc w:val="both"/>
        <w:rPr>
          <w:sz w:val="26"/>
          <w:szCs w:val="26"/>
          <w:lang w:val="lv-LV"/>
        </w:rPr>
      </w:pPr>
    </w:p>
    <w:p w:rsidR="006C7215" w:rsidRPr="006C7215" w:rsidRDefault="006C7215" w:rsidP="006C7215">
      <w:pPr>
        <w:tabs>
          <w:tab w:val="left" w:pos="7655"/>
        </w:tabs>
        <w:jc w:val="both"/>
        <w:rPr>
          <w:sz w:val="26"/>
          <w:szCs w:val="26"/>
          <w:lang w:val="lv-LV"/>
        </w:rPr>
      </w:pPr>
      <w:r w:rsidRPr="006C7215">
        <w:rPr>
          <w:sz w:val="26"/>
          <w:szCs w:val="26"/>
          <w:lang w:val="lv-LV"/>
        </w:rPr>
        <w:t>Anotācijas III</w:t>
      </w:r>
      <w:r w:rsidRPr="006C7215">
        <w:rPr>
          <w:rFonts w:ascii="Times" w:hAnsi="Times"/>
          <w:sz w:val="26"/>
          <w:szCs w:val="26"/>
          <w:lang w:val="lv-LV"/>
        </w:rPr>
        <w:t xml:space="preserve"> </w:t>
      </w:r>
      <w:r w:rsidRPr="006C7215">
        <w:rPr>
          <w:sz w:val="26"/>
          <w:szCs w:val="26"/>
          <w:lang w:val="lv-LV"/>
        </w:rPr>
        <w:t xml:space="preserve">sadaļa – noteikumu </w:t>
      </w:r>
      <w:r w:rsidRPr="006C7215">
        <w:rPr>
          <w:iCs/>
          <w:sz w:val="26"/>
          <w:szCs w:val="26"/>
          <w:lang w:val="lv-LV"/>
        </w:rPr>
        <w:t>projekts šo jomu neskar</w:t>
      </w:r>
      <w:r w:rsidRPr="006C7215">
        <w:rPr>
          <w:sz w:val="26"/>
          <w:szCs w:val="26"/>
          <w:lang w:val="lv-LV"/>
        </w:rPr>
        <w:t>.</w:t>
      </w:r>
    </w:p>
    <w:p w:rsidR="007074EF" w:rsidRDefault="007074EF" w:rsidP="00A43665">
      <w:pPr>
        <w:tabs>
          <w:tab w:val="right" w:pos="9072"/>
        </w:tabs>
        <w:rPr>
          <w:sz w:val="26"/>
          <w:szCs w:val="26"/>
          <w:lang w:val="lv-LV"/>
        </w:rPr>
      </w:pPr>
    </w:p>
    <w:p w:rsidR="00E05D8F" w:rsidRDefault="00E05D8F" w:rsidP="00A43665">
      <w:pPr>
        <w:tabs>
          <w:tab w:val="right" w:pos="9072"/>
        </w:tabs>
        <w:rPr>
          <w:sz w:val="26"/>
          <w:szCs w:val="26"/>
          <w:lang w:val="lv-LV"/>
        </w:rPr>
      </w:pPr>
    </w:p>
    <w:p w:rsidR="00EF5821" w:rsidRDefault="00EF5821" w:rsidP="00A43665">
      <w:pPr>
        <w:tabs>
          <w:tab w:val="right" w:pos="9072"/>
        </w:tabs>
        <w:rPr>
          <w:sz w:val="26"/>
          <w:szCs w:val="26"/>
          <w:lang w:val="lv-LV"/>
        </w:rPr>
      </w:pPr>
    </w:p>
    <w:p w:rsidR="00EF5821" w:rsidRDefault="00EF5821" w:rsidP="00A43665">
      <w:pPr>
        <w:tabs>
          <w:tab w:val="right" w:pos="9072"/>
        </w:tabs>
        <w:rPr>
          <w:sz w:val="26"/>
          <w:szCs w:val="26"/>
          <w:lang w:val="lv-LV"/>
        </w:rPr>
      </w:pPr>
    </w:p>
    <w:p w:rsidR="00E05D8F" w:rsidRPr="005A7B9C" w:rsidRDefault="00E05D8F" w:rsidP="00A43665">
      <w:pPr>
        <w:tabs>
          <w:tab w:val="right" w:pos="9072"/>
        </w:tabs>
        <w:rPr>
          <w:sz w:val="26"/>
          <w:szCs w:val="26"/>
          <w:lang w:val="lv-LV"/>
        </w:rPr>
      </w:pPr>
    </w:p>
    <w:p w:rsidR="00745E0F" w:rsidRPr="005A7B9C" w:rsidRDefault="00745E0F" w:rsidP="00745E0F">
      <w:pPr>
        <w:tabs>
          <w:tab w:val="right" w:pos="9072"/>
        </w:tabs>
        <w:rPr>
          <w:sz w:val="26"/>
          <w:szCs w:val="26"/>
          <w:lang w:val="lv-LV"/>
        </w:rPr>
      </w:pPr>
      <w:r>
        <w:rPr>
          <w:sz w:val="26"/>
          <w:szCs w:val="26"/>
          <w:lang w:val="lv-LV"/>
        </w:rPr>
        <w:t>Ekonomikas ministr</w:t>
      </w:r>
      <w:r w:rsidR="00D267B2">
        <w:rPr>
          <w:sz w:val="26"/>
          <w:szCs w:val="26"/>
          <w:lang w:val="lv-LV"/>
        </w:rPr>
        <w:t>e</w:t>
      </w:r>
      <w:r>
        <w:rPr>
          <w:sz w:val="26"/>
          <w:szCs w:val="26"/>
          <w:lang w:val="lv-LV"/>
        </w:rPr>
        <w:t xml:space="preserve"> </w:t>
      </w:r>
      <w:r>
        <w:rPr>
          <w:sz w:val="26"/>
          <w:szCs w:val="26"/>
          <w:lang w:val="lv-LV"/>
        </w:rPr>
        <w:tab/>
      </w:r>
      <w:r w:rsidR="00D267B2">
        <w:rPr>
          <w:sz w:val="26"/>
          <w:szCs w:val="26"/>
          <w:lang w:val="lv-LV"/>
        </w:rPr>
        <w:t>D.Reizniece-Ozola</w:t>
      </w:r>
    </w:p>
    <w:p w:rsidR="00522B62" w:rsidRPr="005A7B9C" w:rsidRDefault="00A43665" w:rsidP="00A43665">
      <w:pPr>
        <w:tabs>
          <w:tab w:val="right" w:pos="9072"/>
        </w:tabs>
        <w:rPr>
          <w:sz w:val="26"/>
          <w:szCs w:val="26"/>
          <w:lang w:val="lv-LV"/>
        </w:rPr>
      </w:pPr>
      <w:r w:rsidRPr="005A7B9C">
        <w:rPr>
          <w:sz w:val="26"/>
          <w:szCs w:val="26"/>
          <w:lang w:val="lv-LV"/>
        </w:rPr>
        <w:tab/>
      </w:r>
      <w:r w:rsidRPr="005A7B9C">
        <w:rPr>
          <w:sz w:val="26"/>
          <w:szCs w:val="26"/>
          <w:lang w:val="lv-LV"/>
        </w:rPr>
        <w:tab/>
      </w:r>
      <w:r w:rsidRPr="005A7B9C">
        <w:rPr>
          <w:sz w:val="26"/>
          <w:szCs w:val="26"/>
          <w:lang w:val="lv-LV"/>
        </w:rPr>
        <w:tab/>
      </w:r>
      <w:r w:rsidRPr="005A7B9C">
        <w:rPr>
          <w:sz w:val="26"/>
          <w:szCs w:val="26"/>
          <w:lang w:val="lv-LV"/>
        </w:rPr>
        <w:tab/>
      </w:r>
      <w:r w:rsidRPr="005A7B9C">
        <w:rPr>
          <w:sz w:val="26"/>
          <w:szCs w:val="26"/>
          <w:lang w:val="lv-LV"/>
        </w:rPr>
        <w:tab/>
      </w:r>
    </w:p>
    <w:p w:rsidR="00BE6E9C" w:rsidRPr="005A7B9C" w:rsidRDefault="00BE6E9C" w:rsidP="008E5F7D">
      <w:pPr>
        <w:tabs>
          <w:tab w:val="right" w:pos="9072"/>
        </w:tabs>
        <w:rPr>
          <w:sz w:val="26"/>
          <w:szCs w:val="26"/>
          <w:lang w:val="lv-LV"/>
        </w:rPr>
      </w:pPr>
    </w:p>
    <w:p w:rsidR="007074EF" w:rsidRDefault="009B5F28" w:rsidP="00A752CF">
      <w:pPr>
        <w:jc w:val="both"/>
        <w:rPr>
          <w:color w:val="000000"/>
          <w:sz w:val="26"/>
          <w:szCs w:val="26"/>
          <w:lang w:val="lv-LV"/>
        </w:rPr>
      </w:pPr>
      <w:r w:rsidRPr="009B5F28">
        <w:rPr>
          <w:sz w:val="26"/>
          <w:szCs w:val="26"/>
          <w:lang w:val="lv-LV"/>
        </w:rPr>
        <w:t>Vīza: Valsts sekretār</w:t>
      </w:r>
      <w:r w:rsidR="00A752CF">
        <w:rPr>
          <w:sz w:val="26"/>
          <w:szCs w:val="26"/>
          <w:lang w:val="lv-LV"/>
        </w:rPr>
        <w:t>s</w:t>
      </w:r>
      <w:r w:rsidR="00A752CF">
        <w:rPr>
          <w:sz w:val="26"/>
          <w:szCs w:val="26"/>
          <w:lang w:val="lv-LV"/>
        </w:rPr>
        <w:tab/>
      </w:r>
      <w:r w:rsidR="00A752CF">
        <w:rPr>
          <w:sz w:val="26"/>
          <w:szCs w:val="26"/>
          <w:lang w:val="lv-LV"/>
        </w:rPr>
        <w:tab/>
      </w:r>
      <w:r w:rsidR="00A752CF">
        <w:rPr>
          <w:sz w:val="26"/>
          <w:szCs w:val="26"/>
          <w:lang w:val="lv-LV"/>
        </w:rPr>
        <w:tab/>
      </w:r>
      <w:r w:rsidR="00A752CF">
        <w:rPr>
          <w:sz w:val="26"/>
          <w:szCs w:val="26"/>
          <w:lang w:val="lv-LV"/>
        </w:rPr>
        <w:tab/>
      </w:r>
      <w:r w:rsidR="00A752CF">
        <w:rPr>
          <w:sz w:val="26"/>
          <w:szCs w:val="26"/>
          <w:lang w:val="lv-LV"/>
        </w:rPr>
        <w:tab/>
      </w:r>
      <w:r w:rsidR="00A752CF">
        <w:rPr>
          <w:sz w:val="26"/>
          <w:szCs w:val="26"/>
          <w:lang w:val="lv-LV"/>
        </w:rPr>
        <w:tab/>
        <w:t xml:space="preserve">          R.Beinarovičs</w:t>
      </w:r>
      <w:r w:rsidRPr="009B5F28">
        <w:rPr>
          <w:sz w:val="26"/>
          <w:szCs w:val="26"/>
          <w:lang w:val="lv-LV"/>
        </w:rPr>
        <w:tab/>
      </w:r>
      <w:r w:rsidR="00A752CF">
        <w:rPr>
          <w:sz w:val="26"/>
          <w:szCs w:val="26"/>
          <w:lang w:val="lv-LV"/>
        </w:rPr>
        <w:tab/>
      </w:r>
      <w:r w:rsidR="00A752CF">
        <w:rPr>
          <w:sz w:val="26"/>
          <w:szCs w:val="26"/>
          <w:lang w:val="lv-LV"/>
        </w:rPr>
        <w:tab/>
      </w:r>
      <w:r w:rsidR="00A752CF">
        <w:rPr>
          <w:sz w:val="26"/>
          <w:szCs w:val="26"/>
          <w:lang w:val="lv-LV"/>
        </w:rPr>
        <w:tab/>
      </w:r>
      <w:r w:rsidR="00A752CF">
        <w:rPr>
          <w:sz w:val="26"/>
          <w:szCs w:val="26"/>
          <w:lang w:val="lv-LV"/>
        </w:rPr>
        <w:tab/>
      </w:r>
      <w:r w:rsidR="00A752CF">
        <w:rPr>
          <w:sz w:val="26"/>
          <w:szCs w:val="26"/>
          <w:lang w:val="lv-LV"/>
        </w:rPr>
        <w:tab/>
      </w:r>
      <w:r w:rsidR="00A752CF">
        <w:rPr>
          <w:sz w:val="26"/>
          <w:szCs w:val="26"/>
          <w:lang w:val="lv-LV"/>
        </w:rPr>
        <w:tab/>
      </w:r>
      <w:r w:rsidR="00A752CF">
        <w:rPr>
          <w:sz w:val="26"/>
          <w:szCs w:val="26"/>
          <w:lang w:val="lv-LV"/>
        </w:rPr>
        <w:tab/>
      </w:r>
      <w:r w:rsidR="00A752CF">
        <w:rPr>
          <w:sz w:val="26"/>
          <w:szCs w:val="26"/>
          <w:lang w:val="lv-LV"/>
        </w:rPr>
        <w:tab/>
        <w:t xml:space="preserve">     </w:t>
      </w:r>
    </w:p>
    <w:p w:rsidR="009B5F28" w:rsidRDefault="009B5F28" w:rsidP="00F22471">
      <w:pPr>
        <w:jc w:val="both"/>
        <w:rPr>
          <w:color w:val="000000"/>
          <w:sz w:val="22"/>
          <w:szCs w:val="22"/>
          <w:lang w:val="lv-LV"/>
        </w:rPr>
      </w:pPr>
    </w:p>
    <w:p w:rsidR="009B5F28" w:rsidRDefault="009B5F28" w:rsidP="00F22471">
      <w:pPr>
        <w:jc w:val="both"/>
        <w:rPr>
          <w:color w:val="000000"/>
          <w:sz w:val="22"/>
          <w:szCs w:val="22"/>
          <w:lang w:val="lv-LV"/>
        </w:rPr>
      </w:pPr>
    </w:p>
    <w:p w:rsidR="009B5F28" w:rsidRDefault="009B5F28" w:rsidP="00F22471">
      <w:pPr>
        <w:jc w:val="both"/>
        <w:rPr>
          <w:color w:val="000000"/>
          <w:sz w:val="22"/>
          <w:szCs w:val="22"/>
          <w:lang w:val="lv-LV"/>
        </w:rPr>
      </w:pPr>
    </w:p>
    <w:p w:rsidR="00EF5821" w:rsidRDefault="00EF5821" w:rsidP="00F22471">
      <w:pPr>
        <w:jc w:val="both"/>
        <w:rPr>
          <w:color w:val="000000"/>
          <w:sz w:val="22"/>
          <w:szCs w:val="22"/>
          <w:lang w:val="lv-LV"/>
        </w:rPr>
      </w:pPr>
    </w:p>
    <w:p w:rsidR="00EF5821" w:rsidRPr="00765A89" w:rsidRDefault="00EF5821" w:rsidP="00F22471">
      <w:pPr>
        <w:jc w:val="both"/>
        <w:rPr>
          <w:color w:val="000000"/>
          <w:sz w:val="22"/>
          <w:szCs w:val="22"/>
          <w:lang w:val="lv-LV"/>
        </w:rPr>
      </w:pPr>
    </w:p>
    <w:p w:rsidR="00845083" w:rsidRPr="002241E3" w:rsidRDefault="006C2079" w:rsidP="00F22471">
      <w:pPr>
        <w:jc w:val="both"/>
        <w:rPr>
          <w:lang w:val="lv-LV"/>
        </w:rPr>
      </w:pPr>
      <w:r>
        <w:rPr>
          <w:lang w:val="lv-LV"/>
        </w:rPr>
        <w:t>10</w:t>
      </w:r>
      <w:r w:rsidR="00A752CF">
        <w:rPr>
          <w:lang w:val="lv-LV"/>
        </w:rPr>
        <w:t>.</w:t>
      </w:r>
      <w:r w:rsidR="00162299">
        <w:rPr>
          <w:lang w:val="lv-LV"/>
        </w:rPr>
        <w:t>09</w:t>
      </w:r>
      <w:r w:rsidR="002012F8">
        <w:rPr>
          <w:lang w:val="lv-LV"/>
        </w:rPr>
        <w:t>.</w:t>
      </w:r>
      <w:r w:rsidR="006C7215" w:rsidRPr="002241E3">
        <w:rPr>
          <w:lang w:val="lv-LV"/>
        </w:rPr>
        <w:t>201</w:t>
      </w:r>
      <w:r w:rsidR="00A752CF">
        <w:rPr>
          <w:lang w:val="lv-LV"/>
        </w:rPr>
        <w:t>5.</w:t>
      </w:r>
      <w:r w:rsidR="00C77663" w:rsidRPr="002241E3">
        <w:rPr>
          <w:lang w:val="lv-LV"/>
        </w:rPr>
        <w:t xml:space="preserve"> </w:t>
      </w:r>
      <w:r w:rsidR="00276682">
        <w:rPr>
          <w:lang w:val="lv-LV"/>
        </w:rPr>
        <w:t>11:04</w:t>
      </w:r>
      <w:bookmarkStart w:id="9" w:name="_GoBack"/>
      <w:bookmarkEnd w:id="9"/>
    </w:p>
    <w:p w:rsidR="00BF2F17" w:rsidRPr="002241E3" w:rsidRDefault="006C2079" w:rsidP="00F22471">
      <w:pPr>
        <w:jc w:val="both"/>
        <w:rPr>
          <w:lang w:val="lv-LV"/>
        </w:rPr>
      </w:pPr>
      <w:r>
        <w:t>3712</w:t>
      </w:r>
    </w:p>
    <w:p w:rsidR="00643B54" w:rsidRPr="002241E3" w:rsidRDefault="00842EE7" w:rsidP="00F22471">
      <w:pPr>
        <w:jc w:val="both"/>
        <w:rPr>
          <w:color w:val="000000"/>
          <w:lang w:val="lv-LV"/>
        </w:rPr>
      </w:pPr>
      <w:r w:rsidRPr="002241E3">
        <w:rPr>
          <w:color w:val="000000"/>
          <w:lang w:val="lv-LV"/>
        </w:rPr>
        <w:t>A.Nicmane</w:t>
      </w:r>
    </w:p>
    <w:p w:rsidR="00097583" w:rsidRPr="002241E3" w:rsidRDefault="00B74BCA" w:rsidP="00F22471">
      <w:pPr>
        <w:jc w:val="both"/>
        <w:rPr>
          <w:color w:val="000000"/>
          <w:lang w:val="lv-LV"/>
        </w:rPr>
      </w:pPr>
      <w:r w:rsidRPr="002241E3">
        <w:rPr>
          <w:lang w:val="lv-LV"/>
        </w:rPr>
        <w:t>67013</w:t>
      </w:r>
      <w:r w:rsidR="00842EE7" w:rsidRPr="002241E3">
        <w:rPr>
          <w:lang w:val="lv-LV"/>
        </w:rPr>
        <w:t>203</w:t>
      </w:r>
      <w:r w:rsidR="00386053" w:rsidRPr="002241E3">
        <w:rPr>
          <w:lang w:val="lv-LV"/>
        </w:rPr>
        <w:t>,</w:t>
      </w:r>
      <w:r w:rsidR="00B12DEF" w:rsidRPr="002241E3">
        <w:rPr>
          <w:lang w:val="lv-LV"/>
        </w:rPr>
        <w:t xml:space="preserve"> </w:t>
      </w:r>
      <w:r w:rsidR="00842EE7" w:rsidRPr="002241E3">
        <w:rPr>
          <w:lang w:val="lv-LV"/>
        </w:rPr>
        <w:t>Agita.Nicmane@em.gov.lv</w:t>
      </w:r>
    </w:p>
    <w:sectPr w:rsidR="00097583" w:rsidRPr="002241E3"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B26" w:rsidRDefault="00D83B26" w:rsidP="00B014C2">
      <w:r>
        <w:separator/>
      </w:r>
    </w:p>
  </w:endnote>
  <w:endnote w:type="continuationSeparator" w:id="0">
    <w:p w:rsidR="00D83B26" w:rsidRDefault="00D83B26"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26" w:rsidRPr="0080150E" w:rsidRDefault="00D83B26" w:rsidP="0080150E">
    <w:pPr>
      <w:pStyle w:val="BodyText"/>
      <w:rPr>
        <w:sz w:val="20"/>
      </w:rPr>
    </w:pPr>
    <w:r>
      <w:rPr>
        <w:sz w:val="20"/>
      </w:rPr>
      <w:t>EMANOT_</w:t>
    </w:r>
    <w:r w:rsidR="006C2079">
      <w:rPr>
        <w:sz w:val="20"/>
      </w:rPr>
      <w:t>10</w:t>
    </w:r>
    <w:r>
      <w:rPr>
        <w:sz w:val="20"/>
      </w:rPr>
      <w:t>0915_GROZ983</w:t>
    </w:r>
    <w:r w:rsidRPr="005741F1">
      <w:rPr>
        <w:sz w:val="20"/>
      </w:rPr>
      <w:t xml:space="preserve">; </w:t>
    </w:r>
    <w:bookmarkStart w:id="3" w:name="OLE_LINK4"/>
    <w:bookmarkStart w:id="4" w:name="OLE_LINK5"/>
    <w:bookmarkStart w:id="5" w:name="OLE_LINK6"/>
    <w:r w:rsidRPr="005741F1">
      <w:rPr>
        <w:sz w:val="20"/>
      </w:rPr>
      <w:t>Ministru kabine</w:t>
    </w:r>
    <w:r>
      <w:rPr>
        <w:sz w:val="20"/>
      </w:rPr>
      <w:t>ta noteikumu projekta „Grozījumi</w:t>
    </w:r>
    <w:r w:rsidRPr="0080150E">
      <w:rPr>
        <w:sz w:val="20"/>
      </w:rPr>
      <w:t xml:space="preserve"> Ministru kabineta 2008.gada 25.novembra noteikumos Nr.983 „Noteikumi par atbalsta piešķiršanu tehnoloģiju pārneses un riska kapitāla jomā”” sākotnējās ietekmes novērtējuma </w:t>
    </w:r>
    <w:smartTag w:uri="schemas-tilde-lv/tildestengine" w:element="veidnes">
      <w:smartTagPr>
        <w:attr w:name="text" w:val="ziņojums"/>
        <w:attr w:name="baseform" w:val="ziņojums"/>
        <w:attr w:name="id" w:val="-1"/>
      </w:smartTagPr>
      <w:r w:rsidRPr="005741F1">
        <w:rPr>
          <w:sz w:val="20"/>
        </w:rPr>
        <w:t>ziņojums</w:t>
      </w:r>
    </w:smartTag>
    <w:r>
      <w:rPr>
        <w:sz w:val="20"/>
      </w:rPr>
      <w:t xml:space="preserve"> (anotācija)</w:t>
    </w:r>
    <w:bookmarkEnd w:id="3"/>
    <w:bookmarkEnd w:id="4"/>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26" w:rsidRPr="005741F1" w:rsidRDefault="00D83B26" w:rsidP="00D7256E">
    <w:pPr>
      <w:pStyle w:val="BodyText"/>
      <w:rPr>
        <w:sz w:val="20"/>
      </w:rPr>
    </w:pPr>
    <w:r>
      <w:rPr>
        <w:sz w:val="20"/>
      </w:rPr>
      <w:t>EMANOT_</w:t>
    </w:r>
    <w:r w:rsidR="006C2079">
      <w:rPr>
        <w:sz w:val="20"/>
      </w:rPr>
      <w:t>10</w:t>
    </w:r>
    <w:r>
      <w:rPr>
        <w:sz w:val="20"/>
      </w:rPr>
      <w:t>0915_GROZ983</w:t>
    </w:r>
    <w:r w:rsidRPr="005741F1">
      <w:rPr>
        <w:sz w:val="20"/>
      </w:rPr>
      <w:t xml:space="preserve">; </w:t>
    </w:r>
    <w:bookmarkStart w:id="6" w:name="OLE_LINK12"/>
    <w:bookmarkStart w:id="7" w:name="OLE_LINK13"/>
    <w:bookmarkStart w:id="8" w:name="_Hlk259447629"/>
    <w:r w:rsidRPr="005741F1">
      <w:rPr>
        <w:sz w:val="20"/>
      </w:rPr>
      <w:t>Ministru kabine</w:t>
    </w:r>
    <w:r>
      <w:rPr>
        <w:sz w:val="20"/>
      </w:rPr>
      <w:t>ta noteikumu projekta „Grozījumi</w:t>
    </w:r>
    <w:r w:rsidRPr="0080150E">
      <w:rPr>
        <w:sz w:val="20"/>
      </w:rPr>
      <w:t xml:space="preserve"> Ministru kabineta 2008.gada 25.novembra noteikumos Nr.983 „Noteikumi par atbalsta piešķiršanu tehnoloģiju pārneses un riska kapitāla jomā”” sākotnējās ietekmes novērtējuma ziņojums </w:t>
    </w:r>
    <w:r w:rsidRPr="005741F1">
      <w:rPr>
        <w:sz w:val="20"/>
      </w:rPr>
      <w:t>(anotācija)</w:t>
    </w:r>
    <w:bookmarkEnd w:id="6"/>
    <w:bookmarkEnd w:id="7"/>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B26" w:rsidRDefault="00D83B26" w:rsidP="00B014C2">
      <w:r>
        <w:separator/>
      </w:r>
    </w:p>
  </w:footnote>
  <w:footnote w:type="continuationSeparator" w:id="0">
    <w:p w:rsidR="00D83B26" w:rsidRDefault="00D83B26" w:rsidP="00B014C2">
      <w:r>
        <w:continuationSeparator/>
      </w:r>
    </w:p>
  </w:footnote>
  <w:footnote w:id="1">
    <w:p w:rsidR="005E1E1F" w:rsidRPr="00276682" w:rsidRDefault="005E1E1F" w:rsidP="00276682">
      <w:pPr>
        <w:pStyle w:val="FootnoteText"/>
        <w:jc w:val="both"/>
        <w:rPr>
          <w:sz w:val="20"/>
          <w:szCs w:val="20"/>
        </w:rPr>
      </w:pPr>
      <w:r w:rsidRPr="00276682">
        <w:rPr>
          <w:rStyle w:val="FootnoteReference"/>
          <w:sz w:val="20"/>
          <w:szCs w:val="20"/>
        </w:rPr>
        <w:footnoteRef/>
      </w:r>
      <w:r w:rsidRPr="00276682">
        <w:rPr>
          <w:sz w:val="20"/>
          <w:szCs w:val="20"/>
        </w:rPr>
        <w:t xml:space="preserve"> Aizdevuma un </w:t>
      </w:r>
      <w:proofErr w:type="spellStart"/>
      <w:r w:rsidRPr="00276682">
        <w:rPr>
          <w:sz w:val="20"/>
          <w:szCs w:val="20"/>
        </w:rPr>
        <w:t>mikroaizdevuma</w:t>
      </w:r>
      <w:proofErr w:type="spellEnd"/>
      <w:r w:rsidRPr="00276682">
        <w:rPr>
          <w:sz w:val="20"/>
          <w:szCs w:val="20"/>
        </w:rPr>
        <w:t xml:space="preserve"> portfeļa pārvaldes līgum</w:t>
      </w:r>
      <w:r w:rsidR="00F463F5" w:rsidRPr="004B0B90">
        <w:rPr>
          <w:sz w:val="20"/>
          <w:szCs w:val="20"/>
        </w:rPr>
        <w:t>s starp SIA „Latvijas Garantiju aģentūra” (</w:t>
      </w:r>
      <w:r w:rsidR="004B0B90">
        <w:rPr>
          <w:sz w:val="20"/>
          <w:szCs w:val="20"/>
        </w:rPr>
        <w:t>ar</w:t>
      </w:r>
      <w:r w:rsidR="00F463F5" w:rsidRPr="004B0B90">
        <w:rPr>
          <w:sz w:val="20"/>
          <w:szCs w:val="20"/>
        </w:rPr>
        <w:t xml:space="preserve"> 2015.gada 15.aprī</w:t>
      </w:r>
      <w:r w:rsidR="004B0B90">
        <w:rPr>
          <w:sz w:val="20"/>
          <w:szCs w:val="20"/>
        </w:rPr>
        <w:t>li</w:t>
      </w:r>
      <w:r w:rsidR="00F463F5" w:rsidRPr="004B0B90">
        <w:rPr>
          <w:sz w:val="20"/>
          <w:szCs w:val="20"/>
        </w:rPr>
        <w:t xml:space="preserve"> Altum) un</w:t>
      </w:r>
      <w:r w:rsidRPr="00276682">
        <w:rPr>
          <w:sz w:val="20"/>
          <w:szCs w:val="20"/>
        </w:rPr>
        <w:t xml:space="preserve"> SIA „Grand Credit”</w:t>
      </w:r>
      <w:r w:rsidR="00F463F5" w:rsidRPr="004B0B90">
        <w:rPr>
          <w:sz w:val="20"/>
          <w:szCs w:val="20"/>
        </w:rPr>
        <w:t xml:space="preserve"> noslēgts 2014.gada 7.jūlijā, un starp SIA „Latvijas Garantiju aģentūra” (</w:t>
      </w:r>
      <w:r w:rsidR="00095C68" w:rsidRPr="004B0B90">
        <w:rPr>
          <w:sz w:val="20"/>
          <w:szCs w:val="20"/>
        </w:rPr>
        <w:t>ar</w:t>
      </w:r>
      <w:r w:rsidR="00F463F5" w:rsidRPr="004B0B90">
        <w:rPr>
          <w:sz w:val="20"/>
          <w:szCs w:val="20"/>
        </w:rPr>
        <w:t xml:space="preserve"> 2015.gada 15.aprī</w:t>
      </w:r>
      <w:r w:rsidR="00095C68" w:rsidRPr="004B0B90">
        <w:rPr>
          <w:sz w:val="20"/>
          <w:szCs w:val="20"/>
        </w:rPr>
        <w:t>li</w:t>
      </w:r>
      <w:r w:rsidR="00F463F5" w:rsidRPr="004B0B90">
        <w:rPr>
          <w:sz w:val="20"/>
          <w:szCs w:val="20"/>
        </w:rPr>
        <w:t xml:space="preserve"> Altum) </w:t>
      </w:r>
      <w:r w:rsidRPr="004B0B90">
        <w:rPr>
          <w:sz w:val="20"/>
          <w:szCs w:val="20"/>
        </w:rPr>
        <w:t>un SIA „Capitalia”</w:t>
      </w:r>
      <w:r w:rsidR="00F463F5" w:rsidRPr="004B0B90">
        <w:rPr>
          <w:sz w:val="20"/>
          <w:szCs w:val="20"/>
        </w:rPr>
        <w:t xml:space="preserve"> - </w:t>
      </w:r>
      <w:r w:rsidRPr="00276682">
        <w:rPr>
          <w:sz w:val="20"/>
          <w:szCs w:val="20"/>
        </w:rPr>
        <w:t>2014.gada 7.jūlijā</w:t>
      </w:r>
      <w:r w:rsidRPr="004B0B90">
        <w:rPr>
          <w:sz w:val="20"/>
          <w:szCs w:val="20"/>
        </w:rPr>
        <w:t>.</w:t>
      </w:r>
      <w:r w:rsidRPr="00276682">
        <w:rPr>
          <w:sz w:val="20"/>
          <w:szCs w:val="20"/>
        </w:rPr>
        <w:t xml:space="preserve"> Līgums </w:t>
      </w:r>
      <w:r w:rsidR="00F463F5" w:rsidRPr="004B0B90">
        <w:rPr>
          <w:sz w:val="20"/>
          <w:szCs w:val="20"/>
        </w:rPr>
        <w:t xml:space="preserve">starp </w:t>
      </w:r>
      <w:r w:rsidR="00095C68" w:rsidRPr="004B0B90">
        <w:rPr>
          <w:sz w:val="20"/>
          <w:szCs w:val="20"/>
        </w:rPr>
        <w:t xml:space="preserve">Eiropas Investīciju fondu (SIA „Latvijas Garantiju aģentūra” (ar 2015.gada 15.aprīli </w:t>
      </w:r>
      <w:proofErr w:type="spellStart"/>
      <w:r w:rsidR="00095C68" w:rsidRPr="004B0B90">
        <w:rPr>
          <w:sz w:val="20"/>
          <w:szCs w:val="20"/>
        </w:rPr>
        <w:t>Altum</w:t>
      </w:r>
      <w:proofErr w:type="spellEnd"/>
      <w:r w:rsidR="00095C68" w:rsidRPr="004B0B90">
        <w:rPr>
          <w:sz w:val="20"/>
          <w:szCs w:val="20"/>
        </w:rPr>
        <w:t>)</w:t>
      </w:r>
      <w:r w:rsidR="00F463F5" w:rsidRPr="004B0B90">
        <w:rPr>
          <w:sz w:val="20"/>
          <w:szCs w:val="20"/>
        </w:rPr>
        <w:t xml:space="preserve"> </w:t>
      </w:r>
      <w:r w:rsidR="00095C68" w:rsidRPr="004B0B90">
        <w:rPr>
          <w:sz w:val="20"/>
          <w:szCs w:val="20"/>
        </w:rPr>
        <w:t>2012.gada 1.janvārī</w:t>
      </w:r>
      <w:r w:rsidR="00095C68" w:rsidRPr="00276682">
        <w:rPr>
          <w:sz w:val="20"/>
          <w:szCs w:val="20"/>
        </w:rPr>
        <w:t xml:space="preserve"> pārņēma Eiropas Investīciju fonda saistības 2.2.1.1.aktivitātes ieviešanā)</w:t>
      </w:r>
      <w:r w:rsidR="00095C68" w:rsidRPr="004B0B90">
        <w:rPr>
          <w:sz w:val="20"/>
          <w:szCs w:val="20"/>
        </w:rPr>
        <w:t xml:space="preserve"> </w:t>
      </w:r>
      <w:r w:rsidR="00F463F5" w:rsidRPr="004B0B90">
        <w:rPr>
          <w:sz w:val="20"/>
          <w:szCs w:val="20"/>
        </w:rPr>
        <w:t xml:space="preserve">un SIA „AIFP </w:t>
      </w:r>
      <w:proofErr w:type="spellStart"/>
      <w:r w:rsidR="00F463F5" w:rsidRPr="004B0B90">
        <w:rPr>
          <w:sz w:val="20"/>
          <w:szCs w:val="20"/>
        </w:rPr>
        <w:t>Imprimatur</w:t>
      </w:r>
      <w:proofErr w:type="spellEnd"/>
      <w:r w:rsidR="00F463F5" w:rsidRPr="004B0B90">
        <w:rPr>
          <w:sz w:val="20"/>
          <w:szCs w:val="20"/>
        </w:rPr>
        <w:t xml:space="preserve"> Capital </w:t>
      </w:r>
      <w:proofErr w:type="spellStart"/>
      <w:r w:rsidR="00F463F5" w:rsidRPr="004B0B90">
        <w:rPr>
          <w:sz w:val="20"/>
          <w:szCs w:val="20"/>
        </w:rPr>
        <w:t>Seed</w:t>
      </w:r>
      <w:proofErr w:type="spellEnd"/>
      <w:r w:rsidR="00F463F5" w:rsidRPr="004B0B90">
        <w:rPr>
          <w:sz w:val="20"/>
          <w:szCs w:val="20"/>
        </w:rPr>
        <w:t xml:space="preserve"> </w:t>
      </w:r>
      <w:proofErr w:type="spellStart"/>
      <w:r w:rsidR="00F463F5" w:rsidRPr="004B0B90">
        <w:rPr>
          <w:sz w:val="20"/>
          <w:szCs w:val="20"/>
        </w:rPr>
        <w:t>Fund</w:t>
      </w:r>
      <w:proofErr w:type="spellEnd"/>
      <w:r w:rsidR="00F463F5" w:rsidRPr="004B0B90">
        <w:rPr>
          <w:sz w:val="20"/>
          <w:szCs w:val="20"/>
        </w:rPr>
        <w:t xml:space="preserve">” </w:t>
      </w:r>
      <w:r w:rsidRPr="00276682">
        <w:rPr>
          <w:sz w:val="20"/>
          <w:szCs w:val="20"/>
        </w:rPr>
        <w:t>par sagatavošanas kapitāla fonda īstenošanu noslēgts 2010.gada 11.jūnijā</w:t>
      </w:r>
      <w:r w:rsidR="00095C68" w:rsidRPr="004B0B90">
        <w:rPr>
          <w:sz w:val="20"/>
          <w:szCs w:val="20"/>
        </w:rPr>
        <w:t>,</w:t>
      </w:r>
      <w:r w:rsidRPr="00276682">
        <w:rPr>
          <w:sz w:val="20"/>
          <w:szCs w:val="20"/>
        </w:rPr>
        <w:t xml:space="preserve"> ar SIA „AIFP </w:t>
      </w:r>
      <w:proofErr w:type="spellStart"/>
      <w:r w:rsidRPr="00276682">
        <w:rPr>
          <w:sz w:val="20"/>
          <w:szCs w:val="20"/>
        </w:rPr>
        <w:t>Imprimatur</w:t>
      </w:r>
      <w:proofErr w:type="spellEnd"/>
      <w:r w:rsidRPr="00276682">
        <w:rPr>
          <w:sz w:val="20"/>
          <w:szCs w:val="20"/>
        </w:rPr>
        <w:t xml:space="preserve"> Capital </w:t>
      </w:r>
      <w:proofErr w:type="spellStart"/>
      <w:r w:rsidRPr="00276682">
        <w:rPr>
          <w:sz w:val="20"/>
          <w:szCs w:val="20"/>
        </w:rPr>
        <w:t>Technology</w:t>
      </w:r>
      <w:proofErr w:type="spellEnd"/>
      <w:r w:rsidRPr="00276682">
        <w:rPr>
          <w:sz w:val="20"/>
          <w:szCs w:val="20"/>
        </w:rPr>
        <w:t xml:space="preserve"> </w:t>
      </w:r>
      <w:proofErr w:type="spellStart"/>
      <w:r w:rsidRPr="00276682">
        <w:rPr>
          <w:sz w:val="20"/>
          <w:szCs w:val="20"/>
        </w:rPr>
        <w:t>Venture</w:t>
      </w:r>
      <w:proofErr w:type="spellEnd"/>
      <w:r w:rsidRPr="00276682">
        <w:rPr>
          <w:sz w:val="20"/>
          <w:szCs w:val="20"/>
        </w:rPr>
        <w:t xml:space="preserve"> </w:t>
      </w:r>
      <w:proofErr w:type="spellStart"/>
      <w:r w:rsidRPr="00276682">
        <w:rPr>
          <w:sz w:val="20"/>
          <w:szCs w:val="20"/>
        </w:rPr>
        <w:t>Fund</w:t>
      </w:r>
      <w:proofErr w:type="spellEnd"/>
      <w:r w:rsidRPr="00276682">
        <w:rPr>
          <w:sz w:val="20"/>
          <w:szCs w:val="20"/>
        </w:rPr>
        <w:t xml:space="preserve">” par  sākuma kapitāla fonda īstenošanu </w:t>
      </w:r>
      <w:r w:rsidR="00095C68" w:rsidRPr="004B0B90">
        <w:rPr>
          <w:sz w:val="20"/>
          <w:szCs w:val="20"/>
        </w:rPr>
        <w:t xml:space="preserve">- 2010.gada 11.jūnijā un ar </w:t>
      </w:r>
      <w:r w:rsidRPr="00276682">
        <w:rPr>
          <w:sz w:val="20"/>
          <w:szCs w:val="20"/>
        </w:rPr>
        <w:t xml:space="preserve"> SIA „AIFP </w:t>
      </w:r>
      <w:proofErr w:type="spellStart"/>
      <w:r w:rsidRPr="00276682">
        <w:rPr>
          <w:sz w:val="20"/>
          <w:szCs w:val="20"/>
        </w:rPr>
        <w:t>BaltCap</w:t>
      </w:r>
      <w:proofErr w:type="spellEnd"/>
      <w:r w:rsidRPr="00276682">
        <w:rPr>
          <w:sz w:val="20"/>
          <w:szCs w:val="20"/>
        </w:rPr>
        <w:t xml:space="preserve"> </w:t>
      </w:r>
      <w:proofErr w:type="spellStart"/>
      <w:r w:rsidRPr="00276682">
        <w:rPr>
          <w:sz w:val="20"/>
          <w:szCs w:val="20"/>
        </w:rPr>
        <w:t>Latvia</w:t>
      </w:r>
      <w:proofErr w:type="spellEnd"/>
      <w:r w:rsidRPr="00276682">
        <w:rPr>
          <w:sz w:val="20"/>
          <w:szCs w:val="20"/>
        </w:rPr>
        <w:t xml:space="preserve"> </w:t>
      </w:r>
      <w:proofErr w:type="spellStart"/>
      <w:r w:rsidRPr="00276682">
        <w:rPr>
          <w:sz w:val="20"/>
          <w:szCs w:val="20"/>
        </w:rPr>
        <w:t>Venture</w:t>
      </w:r>
      <w:proofErr w:type="spellEnd"/>
      <w:r w:rsidRPr="00276682">
        <w:rPr>
          <w:sz w:val="20"/>
          <w:szCs w:val="20"/>
        </w:rPr>
        <w:t xml:space="preserve"> Capital </w:t>
      </w:r>
      <w:proofErr w:type="spellStart"/>
      <w:r w:rsidRPr="00276682">
        <w:rPr>
          <w:sz w:val="20"/>
          <w:szCs w:val="20"/>
        </w:rPr>
        <w:t>Fund</w:t>
      </w:r>
      <w:proofErr w:type="spellEnd"/>
      <w:r w:rsidRPr="00276682">
        <w:rPr>
          <w:sz w:val="20"/>
          <w:szCs w:val="20"/>
        </w:rPr>
        <w:t xml:space="preserve">” par riska kapitāla fonda īstenošanu </w:t>
      </w:r>
      <w:r w:rsidR="00095C68" w:rsidRPr="004B0B90">
        <w:rPr>
          <w:sz w:val="20"/>
          <w:szCs w:val="20"/>
        </w:rPr>
        <w:t xml:space="preserve">- </w:t>
      </w:r>
      <w:r w:rsidRPr="00276682">
        <w:rPr>
          <w:sz w:val="20"/>
          <w:szCs w:val="20"/>
        </w:rPr>
        <w:t>2010.gada 22.janvārī. Līgum</w:t>
      </w:r>
      <w:r w:rsidR="00095C68" w:rsidRPr="004B0B90">
        <w:rPr>
          <w:sz w:val="20"/>
          <w:szCs w:val="20"/>
        </w:rPr>
        <w:t xml:space="preserve">i par izaugsmes kapitāla fonda īstenošanu starp SIA „Latvijas Garantiju aģentūra” (ar 2015.gada 15.aprīli </w:t>
      </w:r>
      <w:proofErr w:type="spellStart"/>
      <w:r w:rsidR="00095C68" w:rsidRPr="004B0B90">
        <w:rPr>
          <w:sz w:val="20"/>
          <w:szCs w:val="20"/>
        </w:rPr>
        <w:t>Altum</w:t>
      </w:r>
      <w:proofErr w:type="spellEnd"/>
      <w:r w:rsidR="00095C68" w:rsidRPr="004B0B90">
        <w:rPr>
          <w:sz w:val="20"/>
          <w:szCs w:val="20"/>
        </w:rPr>
        <w:t>)</w:t>
      </w:r>
      <w:r w:rsidRPr="00276682">
        <w:rPr>
          <w:sz w:val="20"/>
          <w:szCs w:val="20"/>
        </w:rPr>
        <w:t xml:space="preserve"> </w:t>
      </w:r>
      <w:r w:rsidR="00095C68" w:rsidRPr="004B0B90">
        <w:rPr>
          <w:sz w:val="20"/>
          <w:szCs w:val="20"/>
        </w:rPr>
        <w:t>un</w:t>
      </w:r>
      <w:r w:rsidRPr="00276682">
        <w:rPr>
          <w:sz w:val="20"/>
          <w:szCs w:val="20"/>
        </w:rPr>
        <w:t xml:space="preserve"> SIA „ZGI-3 AIF”, SIA „</w:t>
      </w:r>
      <w:proofErr w:type="spellStart"/>
      <w:r w:rsidRPr="00276682">
        <w:rPr>
          <w:sz w:val="20"/>
          <w:szCs w:val="20"/>
        </w:rPr>
        <w:t>FlyCap</w:t>
      </w:r>
      <w:proofErr w:type="spellEnd"/>
      <w:r w:rsidRPr="00276682">
        <w:rPr>
          <w:sz w:val="20"/>
          <w:szCs w:val="20"/>
        </w:rPr>
        <w:t xml:space="preserve"> </w:t>
      </w:r>
      <w:proofErr w:type="spellStart"/>
      <w:r w:rsidRPr="00276682">
        <w:rPr>
          <w:sz w:val="20"/>
          <w:szCs w:val="20"/>
        </w:rPr>
        <w:t>Investment</w:t>
      </w:r>
      <w:proofErr w:type="spellEnd"/>
      <w:r w:rsidRPr="00276682">
        <w:rPr>
          <w:sz w:val="20"/>
          <w:szCs w:val="20"/>
        </w:rPr>
        <w:t xml:space="preserve"> </w:t>
      </w:r>
      <w:proofErr w:type="spellStart"/>
      <w:r w:rsidRPr="00276682">
        <w:rPr>
          <w:sz w:val="20"/>
          <w:szCs w:val="20"/>
        </w:rPr>
        <w:t>Fund</w:t>
      </w:r>
      <w:proofErr w:type="spellEnd"/>
      <w:r w:rsidRPr="00276682">
        <w:rPr>
          <w:sz w:val="20"/>
          <w:szCs w:val="20"/>
        </w:rPr>
        <w:t xml:space="preserve"> I AIF”, SIA „</w:t>
      </w:r>
      <w:proofErr w:type="spellStart"/>
      <w:r w:rsidRPr="00276682">
        <w:rPr>
          <w:sz w:val="20"/>
          <w:szCs w:val="20"/>
        </w:rPr>
        <w:t>Expansion</w:t>
      </w:r>
      <w:proofErr w:type="spellEnd"/>
      <w:r w:rsidRPr="00276682">
        <w:rPr>
          <w:sz w:val="20"/>
          <w:szCs w:val="20"/>
        </w:rPr>
        <w:t xml:space="preserve"> Capital </w:t>
      </w:r>
      <w:proofErr w:type="spellStart"/>
      <w:r w:rsidRPr="00276682">
        <w:rPr>
          <w:sz w:val="20"/>
          <w:szCs w:val="20"/>
        </w:rPr>
        <w:t>Fund</w:t>
      </w:r>
      <w:proofErr w:type="spellEnd"/>
      <w:r w:rsidRPr="00276682">
        <w:rPr>
          <w:sz w:val="20"/>
          <w:szCs w:val="20"/>
        </w:rPr>
        <w:t xml:space="preserve"> AIF” noslēgti 2013.gada 6.augustā. Līgumi </w:t>
      </w:r>
      <w:r w:rsidR="00095C68" w:rsidRPr="004B0B90">
        <w:rPr>
          <w:sz w:val="20"/>
          <w:szCs w:val="20"/>
        </w:rPr>
        <w:t xml:space="preserve">starp Eiropas Investīciju fondu (tiesību un saistību pārņēmējs SIA „Latvijas Garantiju aģentūra” (ar 2015.gada 15.aprīli </w:t>
      </w:r>
      <w:proofErr w:type="spellStart"/>
      <w:r w:rsidR="00095C68" w:rsidRPr="004B0B90">
        <w:rPr>
          <w:sz w:val="20"/>
          <w:szCs w:val="20"/>
        </w:rPr>
        <w:t>Altum</w:t>
      </w:r>
      <w:proofErr w:type="spellEnd"/>
      <w:r w:rsidR="00095C68" w:rsidRPr="004B0B90">
        <w:rPr>
          <w:sz w:val="20"/>
          <w:szCs w:val="20"/>
        </w:rPr>
        <w:t>)</w:t>
      </w:r>
      <w:r w:rsidR="004B0B90">
        <w:rPr>
          <w:sz w:val="20"/>
          <w:szCs w:val="20"/>
        </w:rPr>
        <w:t>)</w:t>
      </w:r>
      <w:r w:rsidR="00095C68" w:rsidRPr="004B0B90">
        <w:rPr>
          <w:sz w:val="20"/>
          <w:szCs w:val="20"/>
        </w:rPr>
        <w:t xml:space="preserve"> un</w:t>
      </w:r>
      <w:r w:rsidRPr="00276682">
        <w:rPr>
          <w:sz w:val="20"/>
          <w:szCs w:val="20"/>
        </w:rPr>
        <w:t xml:space="preserve"> SEB banka un SWED banka par </w:t>
      </w:r>
      <w:r w:rsidR="00CB0E3D" w:rsidRPr="004B0B90">
        <w:rPr>
          <w:sz w:val="20"/>
          <w:szCs w:val="20"/>
        </w:rPr>
        <w:t>dalītā riska aizdevuma instrumenta ieviešanu</w:t>
      </w:r>
      <w:r w:rsidRPr="00276682">
        <w:rPr>
          <w:sz w:val="20"/>
          <w:szCs w:val="20"/>
        </w:rPr>
        <w:t xml:space="preserve"> noslēgti 2010.gada 26.martā</w:t>
      </w:r>
      <w:r w:rsidR="00CB0E3D" w:rsidRPr="004B0B90">
        <w:rPr>
          <w:sz w:val="20"/>
          <w:szCs w:val="20"/>
        </w:rPr>
        <w:t>.</w:t>
      </w:r>
      <w:r w:rsidRPr="00276682">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D83B26" w:rsidRPr="00B014C2" w:rsidRDefault="00D83B26">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276682">
          <w:rPr>
            <w:noProof/>
            <w:sz w:val="24"/>
            <w:szCs w:val="24"/>
          </w:rPr>
          <w:t>14</w:t>
        </w:r>
        <w:r w:rsidRPr="00B014C2">
          <w:rPr>
            <w:sz w:val="24"/>
            <w:szCs w:val="24"/>
          </w:rPr>
          <w:fldChar w:fldCharType="end"/>
        </w:r>
      </w:p>
    </w:sdtContent>
  </w:sdt>
  <w:p w:rsidR="00D83B26" w:rsidRDefault="00D83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020"/>
    <w:multiLevelType w:val="hybridMultilevel"/>
    <w:tmpl w:val="6DF6D3A6"/>
    <w:lvl w:ilvl="0" w:tplc="52840AB0">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E9022AB"/>
    <w:multiLevelType w:val="hybridMultilevel"/>
    <w:tmpl w:val="6ACA6642"/>
    <w:lvl w:ilvl="0" w:tplc="8CA28B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A2E0797"/>
    <w:multiLevelType w:val="hybridMultilevel"/>
    <w:tmpl w:val="0B143A64"/>
    <w:lvl w:ilvl="0" w:tplc="BEB6C70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522509D1"/>
    <w:multiLevelType w:val="hybridMultilevel"/>
    <w:tmpl w:val="9B9EA9D0"/>
    <w:lvl w:ilvl="0" w:tplc="FEB85C9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58840255"/>
    <w:multiLevelType w:val="hybridMultilevel"/>
    <w:tmpl w:val="4C82ACD8"/>
    <w:lvl w:ilvl="0" w:tplc="AEE8A602">
      <w:start w:val="1"/>
      <w:numFmt w:val="decimal"/>
      <w:lvlText w:val="%1)"/>
      <w:lvlJc w:val="left"/>
      <w:pPr>
        <w:ind w:left="971" w:hanging="630"/>
      </w:pPr>
      <w:rPr>
        <w:rFonts w:eastAsia="Times New Roman" w:hint="default"/>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13">
    <w:nsid w:val="5D1E0A74"/>
    <w:multiLevelType w:val="hybridMultilevel"/>
    <w:tmpl w:val="9FD09BBC"/>
    <w:lvl w:ilvl="0" w:tplc="5B32F04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7">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8">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6"/>
  </w:num>
  <w:num w:numId="2">
    <w:abstractNumId w:val="6"/>
  </w:num>
  <w:num w:numId="3">
    <w:abstractNumId w:val="14"/>
  </w:num>
  <w:num w:numId="4">
    <w:abstractNumId w:val="2"/>
  </w:num>
  <w:num w:numId="5">
    <w:abstractNumId w:val="1"/>
  </w:num>
  <w:num w:numId="6">
    <w:abstractNumId w:val="8"/>
  </w:num>
  <w:num w:numId="7">
    <w:abstractNumId w:val="18"/>
  </w:num>
  <w:num w:numId="8">
    <w:abstractNumId w:val="5"/>
  </w:num>
  <w:num w:numId="9">
    <w:abstractNumId w:val="10"/>
  </w:num>
  <w:num w:numId="10">
    <w:abstractNumId w:val="15"/>
  </w:num>
  <w:num w:numId="11">
    <w:abstractNumId w:val="3"/>
  </w:num>
  <w:num w:numId="12">
    <w:abstractNumId w:val="7"/>
  </w:num>
  <w:num w:numId="13">
    <w:abstractNumId w:val="17"/>
  </w:num>
  <w:num w:numId="14">
    <w:abstractNumId w:val="0"/>
  </w:num>
  <w:num w:numId="15">
    <w:abstractNumId w:val="11"/>
  </w:num>
  <w:num w:numId="16">
    <w:abstractNumId w:val="9"/>
  </w:num>
  <w:num w:numId="17">
    <w:abstractNumId w:val="4"/>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revisionView w:markup="0"/>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05AF2"/>
    <w:rsid w:val="0001015E"/>
    <w:rsid w:val="0001186C"/>
    <w:rsid w:val="000120A0"/>
    <w:rsid w:val="000126C7"/>
    <w:rsid w:val="00012AA4"/>
    <w:rsid w:val="00014006"/>
    <w:rsid w:val="0001626D"/>
    <w:rsid w:val="000163DA"/>
    <w:rsid w:val="0001764D"/>
    <w:rsid w:val="0001789B"/>
    <w:rsid w:val="00020A02"/>
    <w:rsid w:val="000214DF"/>
    <w:rsid w:val="0002637E"/>
    <w:rsid w:val="00026BA7"/>
    <w:rsid w:val="00026C03"/>
    <w:rsid w:val="0002762A"/>
    <w:rsid w:val="00031099"/>
    <w:rsid w:val="000320DD"/>
    <w:rsid w:val="000364B2"/>
    <w:rsid w:val="0003693D"/>
    <w:rsid w:val="00036E03"/>
    <w:rsid w:val="0004167C"/>
    <w:rsid w:val="00043EE5"/>
    <w:rsid w:val="000445F3"/>
    <w:rsid w:val="00047EF5"/>
    <w:rsid w:val="00050184"/>
    <w:rsid w:val="00050EA4"/>
    <w:rsid w:val="00052380"/>
    <w:rsid w:val="00054112"/>
    <w:rsid w:val="000564DA"/>
    <w:rsid w:val="00060D39"/>
    <w:rsid w:val="000643D5"/>
    <w:rsid w:val="00064EDB"/>
    <w:rsid w:val="000677F1"/>
    <w:rsid w:val="00071114"/>
    <w:rsid w:val="000729ED"/>
    <w:rsid w:val="00072ECD"/>
    <w:rsid w:val="00080F3F"/>
    <w:rsid w:val="00081C1D"/>
    <w:rsid w:val="00081F44"/>
    <w:rsid w:val="00083704"/>
    <w:rsid w:val="000847AE"/>
    <w:rsid w:val="0008486C"/>
    <w:rsid w:val="00086412"/>
    <w:rsid w:val="00087524"/>
    <w:rsid w:val="00091581"/>
    <w:rsid w:val="00091DBA"/>
    <w:rsid w:val="000939C7"/>
    <w:rsid w:val="00095C68"/>
    <w:rsid w:val="00096C2B"/>
    <w:rsid w:val="00096D42"/>
    <w:rsid w:val="00096F08"/>
    <w:rsid w:val="00097583"/>
    <w:rsid w:val="000A03ED"/>
    <w:rsid w:val="000A164A"/>
    <w:rsid w:val="000A1B49"/>
    <w:rsid w:val="000A402E"/>
    <w:rsid w:val="000A4AED"/>
    <w:rsid w:val="000A5FB9"/>
    <w:rsid w:val="000B0719"/>
    <w:rsid w:val="000B2AE3"/>
    <w:rsid w:val="000D0388"/>
    <w:rsid w:val="000D0B62"/>
    <w:rsid w:val="000D19C8"/>
    <w:rsid w:val="000D2F05"/>
    <w:rsid w:val="000D4DC9"/>
    <w:rsid w:val="000D6996"/>
    <w:rsid w:val="000D6DF2"/>
    <w:rsid w:val="000E2F17"/>
    <w:rsid w:val="000E3A55"/>
    <w:rsid w:val="000E409F"/>
    <w:rsid w:val="000E4277"/>
    <w:rsid w:val="000F0232"/>
    <w:rsid w:val="000F126E"/>
    <w:rsid w:val="000F63A5"/>
    <w:rsid w:val="000F6C72"/>
    <w:rsid w:val="000F6E9E"/>
    <w:rsid w:val="001000B5"/>
    <w:rsid w:val="001002E4"/>
    <w:rsid w:val="0010079A"/>
    <w:rsid w:val="0010208E"/>
    <w:rsid w:val="001022A6"/>
    <w:rsid w:val="0010385C"/>
    <w:rsid w:val="00103FE1"/>
    <w:rsid w:val="0010410B"/>
    <w:rsid w:val="001047E8"/>
    <w:rsid w:val="001068F9"/>
    <w:rsid w:val="00106923"/>
    <w:rsid w:val="001104BA"/>
    <w:rsid w:val="0011071C"/>
    <w:rsid w:val="0011218B"/>
    <w:rsid w:val="00115E25"/>
    <w:rsid w:val="001162BB"/>
    <w:rsid w:val="00116B3E"/>
    <w:rsid w:val="00120651"/>
    <w:rsid w:val="0012067B"/>
    <w:rsid w:val="00123047"/>
    <w:rsid w:val="001232D1"/>
    <w:rsid w:val="001254CC"/>
    <w:rsid w:val="0012572A"/>
    <w:rsid w:val="001267F1"/>
    <w:rsid w:val="001275E7"/>
    <w:rsid w:val="001305B3"/>
    <w:rsid w:val="00130D33"/>
    <w:rsid w:val="00131980"/>
    <w:rsid w:val="00131C62"/>
    <w:rsid w:val="00132FBB"/>
    <w:rsid w:val="00134E0F"/>
    <w:rsid w:val="00136A66"/>
    <w:rsid w:val="0014176D"/>
    <w:rsid w:val="001428EB"/>
    <w:rsid w:val="00142A69"/>
    <w:rsid w:val="00142AC2"/>
    <w:rsid w:val="00142AD7"/>
    <w:rsid w:val="00142CBB"/>
    <w:rsid w:val="00144D39"/>
    <w:rsid w:val="00153C1A"/>
    <w:rsid w:val="00153FB0"/>
    <w:rsid w:val="001574C6"/>
    <w:rsid w:val="001611D0"/>
    <w:rsid w:val="00162299"/>
    <w:rsid w:val="0016652F"/>
    <w:rsid w:val="00170091"/>
    <w:rsid w:val="00171CC6"/>
    <w:rsid w:val="0017312C"/>
    <w:rsid w:val="001733BE"/>
    <w:rsid w:val="0017472D"/>
    <w:rsid w:val="001764E7"/>
    <w:rsid w:val="0018240D"/>
    <w:rsid w:val="00182537"/>
    <w:rsid w:val="00182CC4"/>
    <w:rsid w:val="001831F7"/>
    <w:rsid w:val="00184308"/>
    <w:rsid w:val="00184C02"/>
    <w:rsid w:val="00184E37"/>
    <w:rsid w:val="00186003"/>
    <w:rsid w:val="00186895"/>
    <w:rsid w:val="001871BB"/>
    <w:rsid w:val="00190498"/>
    <w:rsid w:val="00191102"/>
    <w:rsid w:val="00191B2C"/>
    <w:rsid w:val="00192AFB"/>
    <w:rsid w:val="001940CC"/>
    <w:rsid w:val="00194800"/>
    <w:rsid w:val="00196D43"/>
    <w:rsid w:val="001971A4"/>
    <w:rsid w:val="001973A7"/>
    <w:rsid w:val="001A082F"/>
    <w:rsid w:val="001A15ED"/>
    <w:rsid w:val="001A2ABA"/>
    <w:rsid w:val="001A2C76"/>
    <w:rsid w:val="001A3B25"/>
    <w:rsid w:val="001A3C19"/>
    <w:rsid w:val="001A7DD3"/>
    <w:rsid w:val="001B0C97"/>
    <w:rsid w:val="001B262F"/>
    <w:rsid w:val="001B290C"/>
    <w:rsid w:val="001B3236"/>
    <w:rsid w:val="001B4EB9"/>
    <w:rsid w:val="001B5566"/>
    <w:rsid w:val="001B5F59"/>
    <w:rsid w:val="001B6C79"/>
    <w:rsid w:val="001B6F62"/>
    <w:rsid w:val="001B73F9"/>
    <w:rsid w:val="001B7875"/>
    <w:rsid w:val="001C1BFF"/>
    <w:rsid w:val="001C1C5C"/>
    <w:rsid w:val="001C2D96"/>
    <w:rsid w:val="001C3985"/>
    <w:rsid w:val="001C534B"/>
    <w:rsid w:val="001C5831"/>
    <w:rsid w:val="001C60B5"/>
    <w:rsid w:val="001C6A1F"/>
    <w:rsid w:val="001C7464"/>
    <w:rsid w:val="001C7730"/>
    <w:rsid w:val="001D02A2"/>
    <w:rsid w:val="001D2EDB"/>
    <w:rsid w:val="001D3292"/>
    <w:rsid w:val="001D39D9"/>
    <w:rsid w:val="001D416F"/>
    <w:rsid w:val="001D46D6"/>
    <w:rsid w:val="001D4E7C"/>
    <w:rsid w:val="001D5E9C"/>
    <w:rsid w:val="001D76FC"/>
    <w:rsid w:val="001E2682"/>
    <w:rsid w:val="001E344F"/>
    <w:rsid w:val="001E3522"/>
    <w:rsid w:val="001E3BD0"/>
    <w:rsid w:val="001E3C05"/>
    <w:rsid w:val="001E497E"/>
    <w:rsid w:val="001E5031"/>
    <w:rsid w:val="001E511B"/>
    <w:rsid w:val="001E6BAC"/>
    <w:rsid w:val="001E7BB7"/>
    <w:rsid w:val="001F02C1"/>
    <w:rsid w:val="001F6151"/>
    <w:rsid w:val="001F7527"/>
    <w:rsid w:val="00200045"/>
    <w:rsid w:val="00200612"/>
    <w:rsid w:val="002011C0"/>
    <w:rsid w:val="002012F8"/>
    <w:rsid w:val="00205FEE"/>
    <w:rsid w:val="0021241F"/>
    <w:rsid w:val="00213D6A"/>
    <w:rsid w:val="002149CB"/>
    <w:rsid w:val="00216B96"/>
    <w:rsid w:val="00221058"/>
    <w:rsid w:val="00221205"/>
    <w:rsid w:val="00221561"/>
    <w:rsid w:val="00221CAE"/>
    <w:rsid w:val="00223D5D"/>
    <w:rsid w:val="002241E3"/>
    <w:rsid w:val="002244A1"/>
    <w:rsid w:val="00224C7C"/>
    <w:rsid w:val="00230280"/>
    <w:rsid w:val="0023085A"/>
    <w:rsid w:val="00230FB6"/>
    <w:rsid w:val="00231EB0"/>
    <w:rsid w:val="00233657"/>
    <w:rsid w:val="00233F7A"/>
    <w:rsid w:val="0023462C"/>
    <w:rsid w:val="00234C58"/>
    <w:rsid w:val="00234DDC"/>
    <w:rsid w:val="00234E98"/>
    <w:rsid w:val="00243E4C"/>
    <w:rsid w:val="00245D09"/>
    <w:rsid w:val="00247529"/>
    <w:rsid w:val="00247BBC"/>
    <w:rsid w:val="002507A0"/>
    <w:rsid w:val="00250BFF"/>
    <w:rsid w:val="002543B5"/>
    <w:rsid w:val="0025484B"/>
    <w:rsid w:val="00255C0A"/>
    <w:rsid w:val="00257056"/>
    <w:rsid w:val="00257EAE"/>
    <w:rsid w:val="002600E1"/>
    <w:rsid w:val="002610D7"/>
    <w:rsid w:val="00261B9F"/>
    <w:rsid w:val="00262D47"/>
    <w:rsid w:val="0026446F"/>
    <w:rsid w:val="00265168"/>
    <w:rsid w:val="00265C1B"/>
    <w:rsid w:val="002701D0"/>
    <w:rsid w:val="002702EB"/>
    <w:rsid w:val="0027099D"/>
    <w:rsid w:val="00271EC3"/>
    <w:rsid w:val="0027585B"/>
    <w:rsid w:val="00276682"/>
    <w:rsid w:val="00280A6B"/>
    <w:rsid w:val="0028172B"/>
    <w:rsid w:val="00283FFE"/>
    <w:rsid w:val="00284232"/>
    <w:rsid w:val="00285613"/>
    <w:rsid w:val="00285CAB"/>
    <w:rsid w:val="002866E9"/>
    <w:rsid w:val="0028698C"/>
    <w:rsid w:val="00287254"/>
    <w:rsid w:val="00290331"/>
    <w:rsid w:val="0029297C"/>
    <w:rsid w:val="0029306A"/>
    <w:rsid w:val="0029526C"/>
    <w:rsid w:val="002954D4"/>
    <w:rsid w:val="00295C0F"/>
    <w:rsid w:val="00297E4A"/>
    <w:rsid w:val="002A0052"/>
    <w:rsid w:val="002A0CEE"/>
    <w:rsid w:val="002A4317"/>
    <w:rsid w:val="002B199D"/>
    <w:rsid w:val="002B30A6"/>
    <w:rsid w:val="002B34B0"/>
    <w:rsid w:val="002B4D01"/>
    <w:rsid w:val="002B5151"/>
    <w:rsid w:val="002B667D"/>
    <w:rsid w:val="002B768A"/>
    <w:rsid w:val="002C0E0E"/>
    <w:rsid w:val="002C20C8"/>
    <w:rsid w:val="002C28F0"/>
    <w:rsid w:val="002C4039"/>
    <w:rsid w:val="002C4BB9"/>
    <w:rsid w:val="002C4BD1"/>
    <w:rsid w:val="002C586C"/>
    <w:rsid w:val="002D259E"/>
    <w:rsid w:val="002D2623"/>
    <w:rsid w:val="002D3E95"/>
    <w:rsid w:val="002D43D4"/>
    <w:rsid w:val="002D5DAC"/>
    <w:rsid w:val="002D69AE"/>
    <w:rsid w:val="002D6D14"/>
    <w:rsid w:val="002D7C26"/>
    <w:rsid w:val="002E1D56"/>
    <w:rsid w:val="002E3CFA"/>
    <w:rsid w:val="002E6122"/>
    <w:rsid w:val="002E7059"/>
    <w:rsid w:val="002E7530"/>
    <w:rsid w:val="002E7962"/>
    <w:rsid w:val="002E7BEF"/>
    <w:rsid w:val="002F063C"/>
    <w:rsid w:val="002F423D"/>
    <w:rsid w:val="002F4553"/>
    <w:rsid w:val="002F6D2C"/>
    <w:rsid w:val="003000F0"/>
    <w:rsid w:val="00302447"/>
    <w:rsid w:val="003108DC"/>
    <w:rsid w:val="003124BE"/>
    <w:rsid w:val="00314594"/>
    <w:rsid w:val="00315A1C"/>
    <w:rsid w:val="00317EE5"/>
    <w:rsid w:val="00320EB0"/>
    <w:rsid w:val="00321E80"/>
    <w:rsid w:val="003221A6"/>
    <w:rsid w:val="00322A15"/>
    <w:rsid w:val="00324F11"/>
    <w:rsid w:val="00326013"/>
    <w:rsid w:val="00330AF0"/>
    <w:rsid w:val="00335837"/>
    <w:rsid w:val="003365BB"/>
    <w:rsid w:val="003372CD"/>
    <w:rsid w:val="00341D01"/>
    <w:rsid w:val="0034284E"/>
    <w:rsid w:val="00344B27"/>
    <w:rsid w:val="0034724B"/>
    <w:rsid w:val="003478F4"/>
    <w:rsid w:val="0034794E"/>
    <w:rsid w:val="003479DF"/>
    <w:rsid w:val="00350745"/>
    <w:rsid w:val="00352945"/>
    <w:rsid w:val="0035647E"/>
    <w:rsid w:val="00356CDF"/>
    <w:rsid w:val="00357B86"/>
    <w:rsid w:val="00360437"/>
    <w:rsid w:val="003606AD"/>
    <w:rsid w:val="00360962"/>
    <w:rsid w:val="003611ED"/>
    <w:rsid w:val="00361DA6"/>
    <w:rsid w:val="00362D30"/>
    <w:rsid w:val="00366D77"/>
    <w:rsid w:val="0037018D"/>
    <w:rsid w:val="003707C8"/>
    <w:rsid w:val="00371112"/>
    <w:rsid w:val="0037256E"/>
    <w:rsid w:val="0037466C"/>
    <w:rsid w:val="003750E4"/>
    <w:rsid w:val="00375943"/>
    <w:rsid w:val="00383500"/>
    <w:rsid w:val="00384799"/>
    <w:rsid w:val="00385DB0"/>
    <w:rsid w:val="00385FA1"/>
    <w:rsid w:val="00386053"/>
    <w:rsid w:val="00387757"/>
    <w:rsid w:val="00391942"/>
    <w:rsid w:val="00396D2E"/>
    <w:rsid w:val="003A1B6E"/>
    <w:rsid w:val="003A498E"/>
    <w:rsid w:val="003A4F1F"/>
    <w:rsid w:val="003A5545"/>
    <w:rsid w:val="003A56E6"/>
    <w:rsid w:val="003A5F98"/>
    <w:rsid w:val="003A5FBC"/>
    <w:rsid w:val="003A7D40"/>
    <w:rsid w:val="003A7D89"/>
    <w:rsid w:val="003B04FD"/>
    <w:rsid w:val="003B060D"/>
    <w:rsid w:val="003B2464"/>
    <w:rsid w:val="003B3003"/>
    <w:rsid w:val="003B3450"/>
    <w:rsid w:val="003B4994"/>
    <w:rsid w:val="003B5399"/>
    <w:rsid w:val="003B590B"/>
    <w:rsid w:val="003C0F56"/>
    <w:rsid w:val="003C1C94"/>
    <w:rsid w:val="003C406A"/>
    <w:rsid w:val="003C5329"/>
    <w:rsid w:val="003C6688"/>
    <w:rsid w:val="003C6BB0"/>
    <w:rsid w:val="003C77AE"/>
    <w:rsid w:val="003D058E"/>
    <w:rsid w:val="003D342E"/>
    <w:rsid w:val="003D3608"/>
    <w:rsid w:val="003D3A14"/>
    <w:rsid w:val="003D4A34"/>
    <w:rsid w:val="003D5516"/>
    <w:rsid w:val="003E0167"/>
    <w:rsid w:val="003E0BD3"/>
    <w:rsid w:val="003E2744"/>
    <w:rsid w:val="003E284A"/>
    <w:rsid w:val="003E2968"/>
    <w:rsid w:val="003E2DC8"/>
    <w:rsid w:val="003E3604"/>
    <w:rsid w:val="003E6CB3"/>
    <w:rsid w:val="003F0C4F"/>
    <w:rsid w:val="003F17ED"/>
    <w:rsid w:val="003F3349"/>
    <w:rsid w:val="003F4E09"/>
    <w:rsid w:val="00401193"/>
    <w:rsid w:val="00401C5F"/>
    <w:rsid w:val="00402B2B"/>
    <w:rsid w:val="00403E6C"/>
    <w:rsid w:val="00404C0D"/>
    <w:rsid w:val="00404C10"/>
    <w:rsid w:val="00404D4B"/>
    <w:rsid w:val="0040578F"/>
    <w:rsid w:val="00406C83"/>
    <w:rsid w:val="004074FD"/>
    <w:rsid w:val="00407E6B"/>
    <w:rsid w:val="00410FEE"/>
    <w:rsid w:val="004120A0"/>
    <w:rsid w:val="00414834"/>
    <w:rsid w:val="00414A49"/>
    <w:rsid w:val="00414CC7"/>
    <w:rsid w:val="00415C03"/>
    <w:rsid w:val="00415D84"/>
    <w:rsid w:val="00415F3F"/>
    <w:rsid w:val="00416C3A"/>
    <w:rsid w:val="00416C50"/>
    <w:rsid w:val="00416EAC"/>
    <w:rsid w:val="00420FC8"/>
    <w:rsid w:val="0042129F"/>
    <w:rsid w:val="004232D7"/>
    <w:rsid w:val="0042395B"/>
    <w:rsid w:val="00424413"/>
    <w:rsid w:val="0042472B"/>
    <w:rsid w:val="0042479F"/>
    <w:rsid w:val="00424D8F"/>
    <w:rsid w:val="00427B89"/>
    <w:rsid w:val="004300B0"/>
    <w:rsid w:val="00431CB5"/>
    <w:rsid w:val="00434080"/>
    <w:rsid w:val="00434ACC"/>
    <w:rsid w:val="00435CDA"/>
    <w:rsid w:val="00436784"/>
    <w:rsid w:val="004367AD"/>
    <w:rsid w:val="00436E46"/>
    <w:rsid w:val="00436E6A"/>
    <w:rsid w:val="00436F9E"/>
    <w:rsid w:val="004413C4"/>
    <w:rsid w:val="004426FC"/>
    <w:rsid w:val="00442884"/>
    <w:rsid w:val="00442C46"/>
    <w:rsid w:val="00443B04"/>
    <w:rsid w:val="00444A49"/>
    <w:rsid w:val="0044567A"/>
    <w:rsid w:val="004465FC"/>
    <w:rsid w:val="004522D7"/>
    <w:rsid w:val="004527EA"/>
    <w:rsid w:val="0045318E"/>
    <w:rsid w:val="0045349B"/>
    <w:rsid w:val="00454295"/>
    <w:rsid w:val="00457B62"/>
    <w:rsid w:val="004608D8"/>
    <w:rsid w:val="00460A29"/>
    <w:rsid w:val="00461365"/>
    <w:rsid w:val="00464C58"/>
    <w:rsid w:val="004671D7"/>
    <w:rsid w:val="004674ED"/>
    <w:rsid w:val="00472EF3"/>
    <w:rsid w:val="00474493"/>
    <w:rsid w:val="00475A76"/>
    <w:rsid w:val="00475C4B"/>
    <w:rsid w:val="004775F4"/>
    <w:rsid w:val="004778D0"/>
    <w:rsid w:val="004804E9"/>
    <w:rsid w:val="004806F2"/>
    <w:rsid w:val="00482C73"/>
    <w:rsid w:val="00484C10"/>
    <w:rsid w:val="00485E0B"/>
    <w:rsid w:val="00486BD6"/>
    <w:rsid w:val="00487753"/>
    <w:rsid w:val="0049013B"/>
    <w:rsid w:val="0049136B"/>
    <w:rsid w:val="004916DD"/>
    <w:rsid w:val="00491F0A"/>
    <w:rsid w:val="00495168"/>
    <w:rsid w:val="004960FB"/>
    <w:rsid w:val="00497086"/>
    <w:rsid w:val="004A20DB"/>
    <w:rsid w:val="004A22E5"/>
    <w:rsid w:val="004A554F"/>
    <w:rsid w:val="004B0B90"/>
    <w:rsid w:val="004B18A4"/>
    <w:rsid w:val="004B1FE7"/>
    <w:rsid w:val="004B6258"/>
    <w:rsid w:val="004B77C0"/>
    <w:rsid w:val="004C1463"/>
    <w:rsid w:val="004C5FE2"/>
    <w:rsid w:val="004D083A"/>
    <w:rsid w:val="004D3E72"/>
    <w:rsid w:val="004D45ED"/>
    <w:rsid w:val="004D4997"/>
    <w:rsid w:val="004D54CD"/>
    <w:rsid w:val="004D6AF5"/>
    <w:rsid w:val="004D6C66"/>
    <w:rsid w:val="004D6EF0"/>
    <w:rsid w:val="004D790D"/>
    <w:rsid w:val="004E01F5"/>
    <w:rsid w:val="004E1757"/>
    <w:rsid w:val="004E3075"/>
    <w:rsid w:val="004E5CA1"/>
    <w:rsid w:val="004E688E"/>
    <w:rsid w:val="004E7B96"/>
    <w:rsid w:val="004F0E94"/>
    <w:rsid w:val="004F178A"/>
    <w:rsid w:val="004F2331"/>
    <w:rsid w:val="004F2B79"/>
    <w:rsid w:val="004F4EB9"/>
    <w:rsid w:val="0050058D"/>
    <w:rsid w:val="00501F08"/>
    <w:rsid w:val="00502247"/>
    <w:rsid w:val="00503D5C"/>
    <w:rsid w:val="0050440A"/>
    <w:rsid w:val="00505A0D"/>
    <w:rsid w:val="00505B7D"/>
    <w:rsid w:val="00506DDA"/>
    <w:rsid w:val="00510235"/>
    <w:rsid w:val="00511ADB"/>
    <w:rsid w:val="0051346C"/>
    <w:rsid w:val="0051358D"/>
    <w:rsid w:val="00513AF6"/>
    <w:rsid w:val="00517993"/>
    <w:rsid w:val="00517C20"/>
    <w:rsid w:val="0052062B"/>
    <w:rsid w:val="005210AF"/>
    <w:rsid w:val="00521880"/>
    <w:rsid w:val="00522270"/>
    <w:rsid w:val="00522B62"/>
    <w:rsid w:val="00524D01"/>
    <w:rsid w:val="005254AB"/>
    <w:rsid w:val="00530C47"/>
    <w:rsid w:val="00531687"/>
    <w:rsid w:val="00532532"/>
    <w:rsid w:val="00532EE4"/>
    <w:rsid w:val="00532FEB"/>
    <w:rsid w:val="0053606B"/>
    <w:rsid w:val="00537A29"/>
    <w:rsid w:val="005422C3"/>
    <w:rsid w:val="00542739"/>
    <w:rsid w:val="00542F49"/>
    <w:rsid w:val="00543052"/>
    <w:rsid w:val="0054353F"/>
    <w:rsid w:val="00546599"/>
    <w:rsid w:val="00546E77"/>
    <w:rsid w:val="00546EE7"/>
    <w:rsid w:val="00554A7A"/>
    <w:rsid w:val="00560A74"/>
    <w:rsid w:val="005628D2"/>
    <w:rsid w:val="005631C8"/>
    <w:rsid w:val="0056506A"/>
    <w:rsid w:val="005663B6"/>
    <w:rsid w:val="00567020"/>
    <w:rsid w:val="0056795E"/>
    <w:rsid w:val="00570B3E"/>
    <w:rsid w:val="00572300"/>
    <w:rsid w:val="005741F1"/>
    <w:rsid w:val="005747E7"/>
    <w:rsid w:val="0057501D"/>
    <w:rsid w:val="005765EB"/>
    <w:rsid w:val="00576AB8"/>
    <w:rsid w:val="00576AEE"/>
    <w:rsid w:val="00576D8A"/>
    <w:rsid w:val="00580317"/>
    <w:rsid w:val="0058086F"/>
    <w:rsid w:val="0058249F"/>
    <w:rsid w:val="0058679B"/>
    <w:rsid w:val="005877DA"/>
    <w:rsid w:val="00593721"/>
    <w:rsid w:val="00593CA6"/>
    <w:rsid w:val="0059511B"/>
    <w:rsid w:val="00595203"/>
    <w:rsid w:val="005956D1"/>
    <w:rsid w:val="0059700D"/>
    <w:rsid w:val="00597137"/>
    <w:rsid w:val="00597231"/>
    <w:rsid w:val="005A1736"/>
    <w:rsid w:val="005A1D6F"/>
    <w:rsid w:val="005A2A2D"/>
    <w:rsid w:val="005A37FF"/>
    <w:rsid w:val="005A6E2E"/>
    <w:rsid w:val="005A7B9C"/>
    <w:rsid w:val="005B115B"/>
    <w:rsid w:val="005B29DE"/>
    <w:rsid w:val="005B4307"/>
    <w:rsid w:val="005B4563"/>
    <w:rsid w:val="005C251D"/>
    <w:rsid w:val="005C6DDB"/>
    <w:rsid w:val="005C6EFF"/>
    <w:rsid w:val="005C777C"/>
    <w:rsid w:val="005D1220"/>
    <w:rsid w:val="005D2ECD"/>
    <w:rsid w:val="005D3658"/>
    <w:rsid w:val="005D4522"/>
    <w:rsid w:val="005D4F1D"/>
    <w:rsid w:val="005D6171"/>
    <w:rsid w:val="005E1E1F"/>
    <w:rsid w:val="005E4730"/>
    <w:rsid w:val="005E713D"/>
    <w:rsid w:val="005F09EC"/>
    <w:rsid w:val="005F3958"/>
    <w:rsid w:val="005F4AAA"/>
    <w:rsid w:val="00602450"/>
    <w:rsid w:val="006049D1"/>
    <w:rsid w:val="00605BEF"/>
    <w:rsid w:val="00606880"/>
    <w:rsid w:val="00607722"/>
    <w:rsid w:val="00607DEC"/>
    <w:rsid w:val="00610DDF"/>
    <w:rsid w:val="00614602"/>
    <w:rsid w:val="006218A6"/>
    <w:rsid w:val="00621B53"/>
    <w:rsid w:val="00624FCB"/>
    <w:rsid w:val="00625D54"/>
    <w:rsid w:val="00626F78"/>
    <w:rsid w:val="006273FD"/>
    <w:rsid w:val="00630367"/>
    <w:rsid w:val="006309F5"/>
    <w:rsid w:val="00630BAA"/>
    <w:rsid w:val="00631039"/>
    <w:rsid w:val="00634095"/>
    <w:rsid w:val="00634F75"/>
    <w:rsid w:val="00635D2B"/>
    <w:rsid w:val="00636440"/>
    <w:rsid w:val="00641379"/>
    <w:rsid w:val="00641E66"/>
    <w:rsid w:val="00643B54"/>
    <w:rsid w:val="00644112"/>
    <w:rsid w:val="006456BB"/>
    <w:rsid w:val="00647402"/>
    <w:rsid w:val="00650716"/>
    <w:rsid w:val="006512F4"/>
    <w:rsid w:val="00651669"/>
    <w:rsid w:val="00652EC6"/>
    <w:rsid w:val="00653B39"/>
    <w:rsid w:val="006543B3"/>
    <w:rsid w:val="0065460F"/>
    <w:rsid w:val="00654C63"/>
    <w:rsid w:val="00663763"/>
    <w:rsid w:val="00664C33"/>
    <w:rsid w:val="00665020"/>
    <w:rsid w:val="00667456"/>
    <w:rsid w:val="00667BAB"/>
    <w:rsid w:val="006711E1"/>
    <w:rsid w:val="006722B5"/>
    <w:rsid w:val="00672A2F"/>
    <w:rsid w:val="00672D70"/>
    <w:rsid w:val="00673175"/>
    <w:rsid w:val="00674BA7"/>
    <w:rsid w:val="00676770"/>
    <w:rsid w:val="0068051B"/>
    <w:rsid w:val="0068053F"/>
    <w:rsid w:val="00681496"/>
    <w:rsid w:val="00682B64"/>
    <w:rsid w:val="0068409B"/>
    <w:rsid w:val="00684B86"/>
    <w:rsid w:val="00684EA2"/>
    <w:rsid w:val="0068609A"/>
    <w:rsid w:val="006910BE"/>
    <w:rsid w:val="0069218E"/>
    <w:rsid w:val="006A0A5D"/>
    <w:rsid w:val="006A3A28"/>
    <w:rsid w:val="006A3A2B"/>
    <w:rsid w:val="006A514F"/>
    <w:rsid w:val="006A668E"/>
    <w:rsid w:val="006A6AD4"/>
    <w:rsid w:val="006A7488"/>
    <w:rsid w:val="006A7638"/>
    <w:rsid w:val="006B0E03"/>
    <w:rsid w:val="006B7B22"/>
    <w:rsid w:val="006C114F"/>
    <w:rsid w:val="006C135F"/>
    <w:rsid w:val="006C15FA"/>
    <w:rsid w:val="006C2079"/>
    <w:rsid w:val="006C3168"/>
    <w:rsid w:val="006C7215"/>
    <w:rsid w:val="006C79C3"/>
    <w:rsid w:val="006D004E"/>
    <w:rsid w:val="006D0B9B"/>
    <w:rsid w:val="006D1E45"/>
    <w:rsid w:val="006D1F62"/>
    <w:rsid w:val="006D2681"/>
    <w:rsid w:val="006D2FD8"/>
    <w:rsid w:val="006D30BF"/>
    <w:rsid w:val="006D5EFB"/>
    <w:rsid w:val="006D662F"/>
    <w:rsid w:val="006D69A4"/>
    <w:rsid w:val="006D76D6"/>
    <w:rsid w:val="006E07AC"/>
    <w:rsid w:val="006E09B6"/>
    <w:rsid w:val="006E0ECB"/>
    <w:rsid w:val="006E1F97"/>
    <w:rsid w:val="006E3949"/>
    <w:rsid w:val="006F02CA"/>
    <w:rsid w:val="006F0C19"/>
    <w:rsid w:val="006F133A"/>
    <w:rsid w:val="006F24A8"/>
    <w:rsid w:val="006F56C1"/>
    <w:rsid w:val="006F58E5"/>
    <w:rsid w:val="0070010E"/>
    <w:rsid w:val="007058E9"/>
    <w:rsid w:val="0070678E"/>
    <w:rsid w:val="00706EC2"/>
    <w:rsid w:val="00707470"/>
    <w:rsid w:val="007074EF"/>
    <w:rsid w:val="00710120"/>
    <w:rsid w:val="0071297D"/>
    <w:rsid w:val="00713EEF"/>
    <w:rsid w:val="0072022C"/>
    <w:rsid w:val="00720EE5"/>
    <w:rsid w:val="007217E4"/>
    <w:rsid w:val="00721D6C"/>
    <w:rsid w:val="00721E50"/>
    <w:rsid w:val="00725107"/>
    <w:rsid w:val="00725B16"/>
    <w:rsid w:val="00726A2A"/>
    <w:rsid w:val="00727251"/>
    <w:rsid w:val="00727847"/>
    <w:rsid w:val="007278CF"/>
    <w:rsid w:val="00732F77"/>
    <w:rsid w:val="007363F2"/>
    <w:rsid w:val="00737AB8"/>
    <w:rsid w:val="00737B40"/>
    <w:rsid w:val="0074010C"/>
    <w:rsid w:val="007408B7"/>
    <w:rsid w:val="00743E33"/>
    <w:rsid w:val="00744513"/>
    <w:rsid w:val="00745E0F"/>
    <w:rsid w:val="0074734C"/>
    <w:rsid w:val="00747779"/>
    <w:rsid w:val="00754F4B"/>
    <w:rsid w:val="0075600E"/>
    <w:rsid w:val="0075648C"/>
    <w:rsid w:val="00763C5D"/>
    <w:rsid w:val="0076497D"/>
    <w:rsid w:val="00765A89"/>
    <w:rsid w:val="0076705D"/>
    <w:rsid w:val="00767185"/>
    <w:rsid w:val="00767E0F"/>
    <w:rsid w:val="007705C2"/>
    <w:rsid w:val="007715A2"/>
    <w:rsid w:val="00771E40"/>
    <w:rsid w:val="0077435A"/>
    <w:rsid w:val="00776F83"/>
    <w:rsid w:val="00781405"/>
    <w:rsid w:val="00781C31"/>
    <w:rsid w:val="00785154"/>
    <w:rsid w:val="007861AD"/>
    <w:rsid w:val="007878ED"/>
    <w:rsid w:val="00790E90"/>
    <w:rsid w:val="00791433"/>
    <w:rsid w:val="00791D68"/>
    <w:rsid w:val="00793496"/>
    <w:rsid w:val="00793A6B"/>
    <w:rsid w:val="00794B98"/>
    <w:rsid w:val="007968F8"/>
    <w:rsid w:val="00797D6F"/>
    <w:rsid w:val="007A0D95"/>
    <w:rsid w:val="007A14D0"/>
    <w:rsid w:val="007A2498"/>
    <w:rsid w:val="007B0767"/>
    <w:rsid w:val="007B11DF"/>
    <w:rsid w:val="007B21D1"/>
    <w:rsid w:val="007B24C9"/>
    <w:rsid w:val="007B461A"/>
    <w:rsid w:val="007B47A1"/>
    <w:rsid w:val="007C0831"/>
    <w:rsid w:val="007C1582"/>
    <w:rsid w:val="007C2960"/>
    <w:rsid w:val="007C2992"/>
    <w:rsid w:val="007C62F5"/>
    <w:rsid w:val="007C7300"/>
    <w:rsid w:val="007C7357"/>
    <w:rsid w:val="007C7B92"/>
    <w:rsid w:val="007D054D"/>
    <w:rsid w:val="007D1488"/>
    <w:rsid w:val="007D14B7"/>
    <w:rsid w:val="007D45FD"/>
    <w:rsid w:val="007D5784"/>
    <w:rsid w:val="007D6721"/>
    <w:rsid w:val="007D6900"/>
    <w:rsid w:val="007D7A8A"/>
    <w:rsid w:val="007E0403"/>
    <w:rsid w:val="007E0A01"/>
    <w:rsid w:val="007E0C74"/>
    <w:rsid w:val="007E1DC0"/>
    <w:rsid w:val="007E63F8"/>
    <w:rsid w:val="007E7623"/>
    <w:rsid w:val="007F0242"/>
    <w:rsid w:val="007F0C15"/>
    <w:rsid w:val="007F2796"/>
    <w:rsid w:val="007F668E"/>
    <w:rsid w:val="0080150E"/>
    <w:rsid w:val="00810BB4"/>
    <w:rsid w:val="00812294"/>
    <w:rsid w:val="008123BA"/>
    <w:rsid w:val="00812990"/>
    <w:rsid w:val="008148B2"/>
    <w:rsid w:val="00814B24"/>
    <w:rsid w:val="00815CC0"/>
    <w:rsid w:val="008173C3"/>
    <w:rsid w:val="00817839"/>
    <w:rsid w:val="00823419"/>
    <w:rsid w:val="00823C4F"/>
    <w:rsid w:val="0082492B"/>
    <w:rsid w:val="008253A7"/>
    <w:rsid w:val="008265EF"/>
    <w:rsid w:val="00827407"/>
    <w:rsid w:val="00833F20"/>
    <w:rsid w:val="00836318"/>
    <w:rsid w:val="00837E38"/>
    <w:rsid w:val="00840961"/>
    <w:rsid w:val="00840BE1"/>
    <w:rsid w:val="00842EE7"/>
    <w:rsid w:val="008444BD"/>
    <w:rsid w:val="00844DC6"/>
    <w:rsid w:val="00845083"/>
    <w:rsid w:val="00851D2A"/>
    <w:rsid w:val="0085223F"/>
    <w:rsid w:val="008535B7"/>
    <w:rsid w:val="00855B83"/>
    <w:rsid w:val="00860387"/>
    <w:rsid w:val="00861930"/>
    <w:rsid w:val="00861F33"/>
    <w:rsid w:val="008620C5"/>
    <w:rsid w:val="008641F7"/>
    <w:rsid w:val="00864EFE"/>
    <w:rsid w:val="008657D2"/>
    <w:rsid w:val="00866076"/>
    <w:rsid w:val="00873F9B"/>
    <w:rsid w:val="00874C25"/>
    <w:rsid w:val="0087682B"/>
    <w:rsid w:val="00877FED"/>
    <w:rsid w:val="00880F80"/>
    <w:rsid w:val="008822A5"/>
    <w:rsid w:val="008833AC"/>
    <w:rsid w:val="0088512F"/>
    <w:rsid w:val="00885C85"/>
    <w:rsid w:val="00890CFA"/>
    <w:rsid w:val="00891DAA"/>
    <w:rsid w:val="00891EFC"/>
    <w:rsid w:val="00892C9E"/>
    <w:rsid w:val="0089429A"/>
    <w:rsid w:val="0089622A"/>
    <w:rsid w:val="00896FBF"/>
    <w:rsid w:val="00897C16"/>
    <w:rsid w:val="008A1348"/>
    <w:rsid w:val="008A4831"/>
    <w:rsid w:val="008A492C"/>
    <w:rsid w:val="008A4C41"/>
    <w:rsid w:val="008A515D"/>
    <w:rsid w:val="008A615D"/>
    <w:rsid w:val="008A6659"/>
    <w:rsid w:val="008A6918"/>
    <w:rsid w:val="008A69DC"/>
    <w:rsid w:val="008A6F61"/>
    <w:rsid w:val="008B4856"/>
    <w:rsid w:val="008B7C3D"/>
    <w:rsid w:val="008C24D3"/>
    <w:rsid w:val="008C2886"/>
    <w:rsid w:val="008D022F"/>
    <w:rsid w:val="008D1537"/>
    <w:rsid w:val="008D17DF"/>
    <w:rsid w:val="008D17E5"/>
    <w:rsid w:val="008D6725"/>
    <w:rsid w:val="008D78FF"/>
    <w:rsid w:val="008E1633"/>
    <w:rsid w:val="008E2F81"/>
    <w:rsid w:val="008E2FDD"/>
    <w:rsid w:val="008E3E12"/>
    <w:rsid w:val="008E476F"/>
    <w:rsid w:val="008E59B3"/>
    <w:rsid w:val="008E5F7D"/>
    <w:rsid w:val="008E6217"/>
    <w:rsid w:val="008E7722"/>
    <w:rsid w:val="008F1DE4"/>
    <w:rsid w:val="008F230C"/>
    <w:rsid w:val="008F48C1"/>
    <w:rsid w:val="008F4C9D"/>
    <w:rsid w:val="008F50AD"/>
    <w:rsid w:val="008F538E"/>
    <w:rsid w:val="008F5394"/>
    <w:rsid w:val="008F5EEF"/>
    <w:rsid w:val="008F636C"/>
    <w:rsid w:val="008F6397"/>
    <w:rsid w:val="0090048A"/>
    <w:rsid w:val="009026A1"/>
    <w:rsid w:val="00903566"/>
    <w:rsid w:val="009041C1"/>
    <w:rsid w:val="0090449A"/>
    <w:rsid w:val="00904A06"/>
    <w:rsid w:val="00904E04"/>
    <w:rsid w:val="0090536A"/>
    <w:rsid w:val="00910D99"/>
    <w:rsid w:val="00911D0C"/>
    <w:rsid w:val="00912DF8"/>
    <w:rsid w:val="00914CB3"/>
    <w:rsid w:val="00916328"/>
    <w:rsid w:val="00917258"/>
    <w:rsid w:val="00917324"/>
    <w:rsid w:val="00920CC5"/>
    <w:rsid w:val="00921FB1"/>
    <w:rsid w:val="009223CF"/>
    <w:rsid w:val="009223E3"/>
    <w:rsid w:val="00922926"/>
    <w:rsid w:val="00922939"/>
    <w:rsid w:val="00923795"/>
    <w:rsid w:val="0092468A"/>
    <w:rsid w:val="009260C5"/>
    <w:rsid w:val="00930CFF"/>
    <w:rsid w:val="00932AF7"/>
    <w:rsid w:val="00932B78"/>
    <w:rsid w:val="00933744"/>
    <w:rsid w:val="00935185"/>
    <w:rsid w:val="0094012A"/>
    <w:rsid w:val="00940388"/>
    <w:rsid w:val="00940A70"/>
    <w:rsid w:val="009429B7"/>
    <w:rsid w:val="00944903"/>
    <w:rsid w:val="00944C30"/>
    <w:rsid w:val="009450CF"/>
    <w:rsid w:val="0094550C"/>
    <w:rsid w:val="00945AEE"/>
    <w:rsid w:val="0094732D"/>
    <w:rsid w:val="00947CF8"/>
    <w:rsid w:val="009519D4"/>
    <w:rsid w:val="009520C3"/>
    <w:rsid w:val="0095680E"/>
    <w:rsid w:val="0095696B"/>
    <w:rsid w:val="009572FD"/>
    <w:rsid w:val="00962693"/>
    <w:rsid w:val="00962CEA"/>
    <w:rsid w:val="00970EF3"/>
    <w:rsid w:val="00971B45"/>
    <w:rsid w:val="00972275"/>
    <w:rsid w:val="00973969"/>
    <w:rsid w:val="00976028"/>
    <w:rsid w:val="00977A1D"/>
    <w:rsid w:val="00981105"/>
    <w:rsid w:val="0098472B"/>
    <w:rsid w:val="009871A8"/>
    <w:rsid w:val="00987A1C"/>
    <w:rsid w:val="00990476"/>
    <w:rsid w:val="009913D0"/>
    <w:rsid w:val="009921E9"/>
    <w:rsid w:val="009929A0"/>
    <w:rsid w:val="00993442"/>
    <w:rsid w:val="0099344A"/>
    <w:rsid w:val="00994A10"/>
    <w:rsid w:val="00995388"/>
    <w:rsid w:val="00996D7F"/>
    <w:rsid w:val="009970A5"/>
    <w:rsid w:val="009A164D"/>
    <w:rsid w:val="009A19C7"/>
    <w:rsid w:val="009A1BFD"/>
    <w:rsid w:val="009A1F40"/>
    <w:rsid w:val="009A2DC3"/>
    <w:rsid w:val="009A38AD"/>
    <w:rsid w:val="009A3939"/>
    <w:rsid w:val="009A4558"/>
    <w:rsid w:val="009A6C4D"/>
    <w:rsid w:val="009A712C"/>
    <w:rsid w:val="009A7A14"/>
    <w:rsid w:val="009B09F2"/>
    <w:rsid w:val="009B0DB2"/>
    <w:rsid w:val="009B2F66"/>
    <w:rsid w:val="009B3B5A"/>
    <w:rsid w:val="009B5F28"/>
    <w:rsid w:val="009B7A7D"/>
    <w:rsid w:val="009B7D5B"/>
    <w:rsid w:val="009C1ADF"/>
    <w:rsid w:val="009C2725"/>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4DF3"/>
    <w:rsid w:val="009E532D"/>
    <w:rsid w:val="009E5351"/>
    <w:rsid w:val="009E604D"/>
    <w:rsid w:val="009E6869"/>
    <w:rsid w:val="009F1B35"/>
    <w:rsid w:val="009F21E2"/>
    <w:rsid w:val="009F235D"/>
    <w:rsid w:val="009F2686"/>
    <w:rsid w:val="009F37B4"/>
    <w:rsid w:val="009F3B93"/>
    <w:rsid w:val="009F4D79"/>
    <w:rsid w:val="00A00AB4"/>
    <w:rsid w:val="00A01864"/>
    <w:rsid w:val="00A045ED"/>
    <w:rsid w:val="00A14437"/>
    <w:rsid w:val="00A14502"/>
    <w:rsid w:val="00A15971"/>
    <w:rsid w:val="00A246DC"/>
    <w:rsid w:val="00A271B4"/>
    <w:rsid w:val="00A27C38"/>
    <w:rsid w:val="00A30576"/>
    <w:rsid w:val="00A30F97"/>
    <w:rsid w:val="00A31FDC"/>
    <w:rsid w:val="00A32343"/>
    <w:rsid w:val="00A326B1"/>
    <w:rsid w:val="00A3336D"/>
    <w:rsid w:val="00A34AC6"/>
    <w:rsid w:val="00A34F24"/>
    <w:rsid w:val="00A37DC3"/>
    <w:rsid w:val="00A425FC"/>
    <w:rsid w:val="00A42E43"/>
    <w:rsid w:val="00A43021"/>
    <w:rsid w:val="00A43634"/>
    <w:rsid w:val="00A43665"/>
    <w:rsid w:val="00A441B5"/>
    <w:rsid w:val="00A44F8C"/>
    <w:rsid w:val="00A454E0"/>
    <w:rsid w:val="00A45E4B"/>
    <w:rsid w:val="00A46462"/>
    <w:rsid w:val="00A47339"/>
    <w:rsid w:val="00A47536"/>
    <w:rsid w:val="00A51399"/>
    <w:rsid w:val="00A520CC"/>
    <w:rsid w:val="00A52BA6"/>
    <w:rsid w:val="00A5445A"/>
    <w:rsid w:val="00A552DA"/>
    <w:rsid w:val="00A57193"/>
    <w:rsid w:val="00A6113D"/>
    <w:rsid w:val="00A6164F"/>
    <w:rsid w:val="00A6235A"/>
    <w:rsid w:val="00A62805"/>
    <w:rsid w:val="00A6716E"/>
    <w:rsid w:val="00A700D6"/>
    <w:rsid w:val="00A752CF"/>
    <w:rsid w:val="00A76001"/>
    <w:rsid w:val="00A805C2"/>
    <w:rsid w:val="00A806F1"/>
    <w:rsid w:val="00A87BE9"/>
    <w:rsid w:val="00A9241A"/>
    <w:rsid w:val="00A92571"/>
    <w:rsid w:val="00A9439F"/>
    <w:rsid w:val="00A95893"/>
    <w:rsid w:val="00A963C3"/>
    <w:rsid w:val="00A96F94"/>
    <w:rsid w:val="00A9704D"/>
    <w:rsid w:val="00AA127F"/>
    <w:rsid w:val="00AA230A"/>
    <w:rsid w:val="00AA5C4F"/>
    <w:rsid w:val="00AA712A"/>
    <w:rsid w:val="00AA78CB"/>
    <w:rsid w:val="00AA7E8A"/>
    <w:rsid w:val="00AB1A94"/>
    <w:rsid w:val="00AB248D"/>
    <w:rsid w:val="00AB2915"/>
    <w:rsid w:val="00AB2B24"/>
    <w:rsid w:val="00AB488D"/>
    <w:rsid w:val="00AB4C36"/>
    <w:rsid w:val="00AB4F39"/>
    <w:rsid w:val="00AB51E0"/>
    <w:rsid w:val="00AB5B30"/>
    <w:rsid w:val="00AB5FC3"/>
    <w:rsid w:val="00AB6101"/>
    <w:rsid w:val="00AB6857"/>
    <w:rsid w:val="00AB7A8F"/>
    <w:rsid w:val="00AC0231"/>
    <w:rsid w:val="00AC07D2"/>
    <w:rsid w:val="00AC57A1"/>
    <w:rsid w:val="00AC6009"/>
    <w:rsid w:val="00AC66B3"/>
    <w:rsid w:val="00AD0DF6"/>
    <w:rsid w:val="00AD2826"/>
    <w:rsid w:val="00AD2957"/>
    <w:rsid w:val="00AD30BB"/>
    <w:rsid w:val="00AD4944"/>
    <w:rsid w:val="00AD5849"/>
    <w:rsid w:val="00AD7B0F"/>
    <w:rsid w:val="00AD7CF0"/>
    <w:rsid w:val="00AE05F1"/>
    <w:rsid w:val="00AE1659"/>
    <w:rsid w:val="00AE41A6"/>
    <w:rsid w:val="00AE43E5"/>
    <w:rsid w:val="00AE4EB6"/>
    <w:rsid w:val="00AE51EC"/>
    <w:rsid w:val="00AE6E0C"/>
    <w:rsid w:val="00AF1E99"/>
    <w:rsid w:val="00AF5D17"/>
    <w:rsid w:val="00AF78EE"/>
    <w:rsid w:val="00B014C2"/>
    <w:rsid w:val="00B033B8"/>
    <w:rsid w:val="00B0347F"/>
    <w:rsid w:val="00B04FAA"/>
    <w:rsid w:val="00B1118A"/>
    <w:rsid w:val="00B11F68"/>
    <w:rsid w:val="00B121E8"/>
    <w:rsid w:val="00B12DEF"/>
    <w:rsid w:val="00B13499"/>
    <w:rsid w:val="00B14D96"/>
    <w:rsid w:val="00B1662F"/>
    <w:rsid w:val="00B20342"/>
    <w:rsid w:val="00B20D39"/>
    <w:rsid w:val="00B221CA"/>
    <w:rsid w:val="00B22419"/>
    <w:rsid w:val="00B25497"/>
    <w:rsid w:val="00B274BB"/>
    <w:rsid w:val="00B30133"/>
    <w:rsid w:val="00B30C2D"/>
    <w:rsid w:val="00B37577"/>
    <w:rsid w:val="00B419B7"/>
    <w:rsid w:val="00B45711"/>
    <w:rsid w:val="00B4616D"/>
    <w:rsid w:val="00B46B34"/>
    <w:rsid w:val="00B46CDA"/>
    <w:rsid w:val="00B4700F"/>
    <w:rsid w:val="00B5099C"/>
    <w:rsid w:val="00B5655C"/>
    <w:rsid w:val="00B56EB8"/>
    <w:rsid w:val="00B57637"/>
    <w:rsid w:val="00B60083"/>
    <w:rsid w:val="00B60EEC"/>
    <w:rsid w:val="00B6151B"/>
    <w:rsid w:val="00B6163A"/>
    <w:rsid w:val="00B62197"/>
    <w:rsid w:val="00B63BE0"/>
    <w:rsid w:val="00B63BEB"/>
    <w:rsid w:val="00B6474E"/>
    <w:rsid w:val="00B65CFA"/>
    <w:rsid w:val="00B66159"/>
    <w:rsid w:val="00B70F42"/>
    <w:rsid w:val="00B74BCA"/>
    <w:rsid w:val="00B756EA"/>
    <w:rsid w:val="00B75B65"/>
    <w:rsid w:val="00B7774A"/>
    <w:rsid w:val="00B77D78"/>
    <w:rsid w:val="00B81E82"/>
    <w:rsid w:val="00B82499"/>
    <w:rsid w:val="00B8596D"/>
    <w:rsid w:val="00B85C22"/>
    <w:rsid w:val="00B866E5"/>
    <w:rsid w:val="00B91EA5"/>
    <w:rsid w:val="00B931D1"/>
    <w:rsid w:val="00B943B1"/>
    <w:rsid w:val="00B96973"/>
    <w:rsid w:val="00BA0556"/>
    <w:rsid w:val="00BA0A22"/>
    <w:rsid w:val="00BA14F4"/>
    <w:rsid w:val="00BA2E9B"/>
    <w:rsid w:val="00BA5804"/>
    <w:rsid w:val="00BA7189"/>
    <w:rsid w:val="00BA74D6"/>
    <w:rsid w:val="00BB09C5"/>
    <w:rsid w:val="00BB13F4"/>
    <w:rsid w:val="00BB1C9B"/>
    <w:rsid w:val="00BB2189"/>
    <w:rsid w:val="00BB2330"/>
    <w:rsid w:val="00BB23DD"/>
    <w:rsid w:val="00BB4180"/>
    <w:rsid w:val="00BB5062"/>
    <w:rsid w:val="00BB6E67"/>
    <w:rsid w:val="00BB7960"/>
    <w:rsid w:val="00BC06E8"/>
    <w:rsid w:val="00BC4144"/>
    <w:rsid w:val="00BC4472"/>
    <w:rsid w:val="00BC51A3"/>
    <w:rsid w:val="00BC63A1"/>
    <w:rsid w:val="00BC66EB"/>
    <w:rsid w:val="00BD1934"/>
    <w:rsid w:val="00BD1A48"/>
    <w:rsid w:val="00BD44CD"/>
    <w:rsid w:val="00BD4752"/>
    <w:rsid w:val="00BD63E9"/>
    <w:rsid w:val="00BD6D92"/>
    <w:rsid w:val="00BE0EC8"/>
    <w:rsid w:val="00BE3B21"/>
    <w:rsid w:val="00BE4892"/>
    <w:rsid w:val="00BE649D"/>
    <w:rsid w:val="00BE6E9C"/>
    <w:rsid w:val="00BF13E2"/>
    <w:rsid w:val="00BF249C"/>
    <w:rsid w:val="00BF2F17"/>
    <w:rsid w:val="00BF4361"/>
    <w:rsid w:val="00BF6568"/>
    <w:rsid w:val="00BF774E"/>
    <w:rsid w:val="00C02217"/>
    <w:rsid w:val="00C044F2"/>
    <w:rsid w:val="00C04559"/>
    <w:rsid w:val="00C11C6A"/>
    <w:rsid w:val="00C16A63"/>
    <w:rsid w:val="00C16F7D"/>
    <w:rsid w:val="00C1739F"/>
    <w:rsid w:val="00C20A0F"/>
    <w:rsid w:val="00C20EF9"/>
    <w:rsid w:val="00C2173A"/>
    <w:rsid w:val="00C21A1E"/>
    <w:rsid w:val="00C238B9"/>
    <w:rsid w:val="00C24F0A"/>
    <w:rsid w:val="00C25337"/>
    <w:rsid w:val="00C307D2"/>
    <w:rsid w:val="00C31A26"/>
    <w:rsid w:val="00C327A5"/>
    <w:rsid w:val="00C3286F"/>
    <w:rsid w:val="00C32F05"/>
    <w:rsid w:val="00C33121"/>
    <w:rsid w:val="00C33F2C"/>
    <w:rsid w:val="00C34377"/>
    <w:rsid w:val="00C34941"/>
    <w:rsid w:val="00C37958"/>
    <w:rsid w:val="00C37B14"/>
    <w:rsid w:val="00C40FDA"/>
    <w:rsid w:val="00C44943"/>
    <w:rsid w:val="00C44C95"/>
    <w:rsid w:val="00C452A1"/>
    <w:rsid w:val="00C4549D"/>
    <w:rsid w:val="00C459A0"/>
    <w:rsid w:val="00C45AB4"/>
    <w:rsid w:val="00C47097"/>
    <w:rsid w:val="00C5082A"/>
    <w:rsid w:val="00C52C5E"/>
    <w:rsid w:val="00C5549D"/>
    <w:rsid w:val="00C61BDC"/>
    <w:rsid w:val="00C61FF9"/>
    <w:rsid w:val="00C627A2"/>
    <w:rsid w:val="00C64C83"/>
    <w:rsid w:val="00C65525"/>
    <w:rsid w:val="00C6637E"/>
    <w:rsid w:val="00C67234"/>
    <w:rsid w:val="00C7152A"/>
    <w:rsid w:val="00C728A7"/>
    <w:rsid w:val="00C72D01"/>
    <w:rsid w:val="00C7500F"/>
    <w:rsid w:val="00C751EA"/>
    <w:rsid w:val="00C75A4F"/>
    <w:rsid w:val="00C772EA"/>
    <w:rsid w:val="00C77663"/>
    <w:rsid w:val="00C80BDA"/>
    <w:rsid w:val="00C8212B"/>
    <w:rsid w:val="00C83591"/>
    <w:rsid w:val="00C83878"/>
    <w:rsid w:val="00C84027"/>
    <w:rsid w:val="00C85068"/>
    <w:rsid w:val="00C86127"/>
    <w:rsid w:val="00C87B1B"/>
    <w:rsid w:val="00C92BBB"/>
    <w:rsid w:val="00C92F44"/>
    <w:rsid w:val="00C93C55"/>
    <w:rsid w:val="00C95CFC"/>
    <w:rsid w:val="00C96450"/>
    <w:rsid w:val="00C9779A"/>
    <w:rsid w:val="00C97C3E"/>
    <w:rsid w:val="00C97F6E"/>
    <w:rsid w:val="00CA0169"/>
    <w:rsid w:val="00CA0B16"/>
    <w:rsid w:val="00CA0E9F"/>
    <w:rsid w:val="00CA181C"/>
    <w:rsid w:val="00CA25AB"/>
    <w:rsid w:val="00CA34C6"/>
    <w:rsid w:val="00CA4214"/>
    <w:rsid w:val="00CA4ADF"/>
    <w:rsid w:val="00CA6526"/>
    <w:rsid w:val="00CA7E59"/>
    <w:rsid w:val="00CB0E3D"/>
    <w:rsid w:val="00CB1829"/>
    <w:rsid w:val="00CB189E"/>
    <w:rsid w:val="00CB19CB"/>
    <w:rsid w:val="00CB204F"/>
    <w:rsid w:val="00CB2B16"/>
    <w:rsid w:val="00CB45B6"/>
    <w:rsid w:val="00CB5D7B"/>
    <w:rsid w:val="00CB6882"/>
    <w:rsid w:val="00CB7A76"/>
    <w:rsid w:val="00CC04C6"/>
    <w:rsid w:val="00CC226E"/>
    <w:rsid w:val="00CC2408"/>
    <w:rsid w:val="00CC39E5"/>
    <w:rsid w:val="00CC422C"/>
    <w:rsid w:val="00CC6358"/>
    <w:rsid w:val="00CC67C1"/>
    <w:rsid w:val="00CC76C2"/>
    <w:rsid w:val="00CD0346"/>
    <w:rsid w:val="00CD291B"/>
    <w:rsid w:val="00CD40FD"/>
    <w:rsid w:val="00CD4E1C"/>
    <w:rsid w:val="00CE09F6"/>
    <w:rsid w:val="00CE128B"/>
    <w:rsid w:val="00CE46A5"/>
    <w:rsid w:val="00CE5A83"/>
    <w:rsid w:val="00CE6894"/>
    <w:rsid w:val="00CF0131"/>
    <w:rsid w:val="00CF05DA"/>
    <w:rsid w:val="00CF370C"/>
    <w:rsid w:val="00CF4D9E"/>
    <w:rsid w:val="00CF50F6"/>
    <w:rsid w:val="00CF5C7C"/>
    <w:rsid w:val="00D0079F"/>
    <w:rsid w:val="00D03BE9"/>
    <w:rsid w:val="00D0470C"/>
    <w:rsid w:val="00D06428"/>
    <w:rsid w:val="00D06854"/>
    <w:rsid w:val="00D110BF"/>
    <w:rsid w:val="00D11E93"/>
    <w:rsid w:val="00D12D69"/>
    <w:rsid w:val="00D12F6E"/>
    <w:rsid w:val="00D14DB3"/>
    <w:rsid w:val="00D215C9"/>
    <w:rsid w:val="00D23D51"/>
    <w:rsid w:val="00D23E53"/>
    <w:rsid w:val="00D246F5"/>
    <w:rsid w:val="00D24EDC"/>
    <w:rsid w:val="00D267B2"/>
    <w:rsid w:val="00D27671"/>
    <w:rsid w:val="00D277E5"/>
    <w:rsid w:val="00D315BC"/>
    <w:rsid w:val="00D31657"/>
    <w:rsid w:val="00D318C7"/>
    <w:rsid w:val="00D31FAE"/>
    <w:rsid w:val="00D359D7"/>
    <w:rsid w:val="00D37FA8"/>
    <w:rsid w:val="00D419F1"/>
    <w:rsid w:val="00D42604"/>
    <w:rsid w:val="00D44154"/>
    <w:rsid w:val="00D44D2D"/>
    <w:rsid w:val="00D4717B"/>
    <w:rsid w:val="00D478F2"/>
    <w:rsid w:val="00D50452"/>
    <w:rsid w:val="00D56DA8"/>
    <w:rsid w:val="00D577E0"/>
    <w:rsid w:val="00D6027A"/>
    <w:rsid w:val="00D6091D"/>
    <w:rsid w:val="00D60A62"/>
    <w:rsid w:val="00D62CCB"/>
    <w:rsid w:val="00D71175"/>
    <w:rsid w:val="00D7155A"/>
    <w:rsid w:val="00D71706"/>
    <w:rsid w:val="00D717A0"/>
    <w:rsid w:val="00D7256E"/>
    <w:rsid w:val="00D72F3D"/>
    <w:rsid w:val="00D74282"/>
    <w:rsid w:val="00D745E4"/>
    <w:rsid w:val="00D8286C"/>
    <w:rsid w:val="00D82938"/>
    <w:rsid w:val="00D83021"/>
    <w:rsid w:val="00D83B26"/>
    <w:rsid w:val="00D9046D"/>
    <w:rsid w:val="00D9131B"/>
    <w:rsid w:val="00D9203E"/>
    <w:rsid w:val="00D9405A"/>
    <w:rsid w:val="00D94F4A"/>
    <w:rsid w:val="00DA0A55"/>
    <w:rsid w:val="00DA2CED"/>
    <w:rsid w:val="00DA33A5"/>
    <w:rsid w:val="00DA3D82"/>
    <w:rsid w:val="00DA4F89"/>
    <w:rsid w:val="00DA58BE"/>
    <w:rsid w:val="00DA61A3"/>
    <w:rsid w:val="00DA6973"/>
    <w:rsid w:val="00DA775F"/>
    <w:rsid w:val="00DA7FAD"/>
    <w:rsid w:val="00DB0477"/>
    <w:rsid w:val="00DB1642"/>
    <w:rsid w:val="00DB28DC"/>
    <w:rsid w:val="00DB2ACC"/>
    <w:rsid w:val="00DB35ED"/>
    <w:rsid w:val="00DB7168"/>
    <w:rsid w:val="00DB7AF5"/>
    <w:rsid w:val="00DC00DC"/>
    <w:rsid w:val="00DC0A98"/>
    <w:rsid w:val="00DC1068"/>
    <w:rsid w:val="00DC1FD6"/>
    <w:rsid w:val="00DC2009"/>
    <w:rsid w:val="00DC27BB"/>
    <w:rsid w:val="00DC2AFF"/>
    <w:rsid w:val="00DC614F"/>
    <w:rsid w:val="00DC7ACA"/>
    <w:rsid w:val="00DD0266"/>
    <w:rsid w:val="00DD0FE9"/>
    <w:rsid w:val="00DD21C0"/>
    <w:rsid w:val="00DD42C2"/>
    <w:rsid w:val="00DD5665"/>
    <w:rsid w:val="00DD770F"/>
    <w:rsid w:val="00DE01CE"/>
    <w:rsid w:val="00DE0762"/>
    <w:rsid w:val="00DE1643"/>
    <w:rsid w:val="00DE67FC"/>
    <w:rsid w:val="00DF00C1"/>
    <w:rsid w:val="00DF0637"/>
    <w:rsid w:val="00DF0A7E"/>
    <w:rsid w:val="00DF4BCE"/>
    <w:rsid w:val="00E009B6"/>
    <w:rsid w:val="00E03A78"/>
    <w:rsid w:val="00E042D4"/>
    <w:rsid w:val="00E05D8F"/>
    <w:rsid w:val="00E072E2"/>
    <w:rsid w:val="00E07DF2"/>
    <w:rsid w:val="00E1460E"/>
    <w:rsid w:val="00E147E0"/>
    <w:rsid w:val="00E22252"/>
    <w:rsid w:val="00E22906"/>
    <w:rsid w:val="00E22D5A"/>
    <w:rsid w:val="00E22EBE"/>
    <w:rsid w:val="00E25884"/>
    <w:rsid w:val="00E26AAA"/>
    <w:rsid w:val="00E3385D"/>
    <w:rsid w:val="00E3486C"/>
    <w:rsid w:val="00E360B7"/>
    <w:rsid w:val="00E40B36"/>
    <w:rsid w:val="00E43842"/>
    <w:rsid w:val="00E44062"/>
    <w:rsid w:val="00E4416C"/>
    <w:rsid w:val="00E47CB5"/>
    <w:rsid w:val="00E51BA8"/>
    <w:rsid w:val="00E51BE9"/>
    <w:rsid w:val="00E528FE"/>
    <w:rsid w:val="00E52FCD"/>
    <w:rsid w:val="00E53705"/>
    <w:rsid w:val="00E54741"/>
    <w:rsid w:val="00E553C0"/>
    <w:rsid w:val="00E56A1F"/>
    <w:rsid w:val="00E5743D"/>
    <w:rsid w:val="00E578F4"/>
    <w:rsid w:val="00E61D5C"/>
    <w:rsid w:val="00E62150"/>
    <w:rsid w:val="00E6447F"/>
    <w:rsid w:val="00E65F36"/>
    <w:rsid w:val="00E65F64"/>
    <w:rsid w:val="00E671E2"/>
    <w:rsid w:val="00E70B81"/>
    <w:rsid w:val="00E71375"/>
    <w:rsid w:val="00E73425"/>
    <w:rsid w:val="00E73C02"/>
    <w:rsid w:val="00E75496"/>
    <w:rsid w:val="00E75BE5"/>
    <w:rsid w:val="00E7628E"/>
    <w:rsid w:val="00E77577"/>
    <w:rsid w:val="00E8006C"/>
    <w:rsid w:val="00E8125D"/>
    <w:rsid w:val="00E862B4"/>
    <w:rsid w:val="00E86AEA"/>
    <w:rsid w:val="00E90C7E"/>
    <w:rsid w:val="00E921F7"/>
    <w:rsid w:val="00E9274F"/>
    <w:rsid w:val="00EA1872"/>
    <w:rsid w:val="00EA2572"/>
    <w:rsid w:val="00EA2820"/>
    <w:rsid w:val="00EA6137"/>
    <w:rsid w:val="00EB03F5"/>
    <w:rsid w:val="00EB263C"/>
    <w:rsid w:val="00EB4862"/>
    <w:rsid w:val="00EC09FD"/>
    <w:rsid w:val="00EC1386"/>
    <w:rsid w:val="00EC1C10"/>
    <w:rsid w:val="00EC1CD1"/>
    <w:rsid w:val="00EC4103"/>
    <w:rsid w:val="00ED175B"/>
    <w:rsid w:val="00ED22CA"/>
    <w:rsid w:val="00ED29AD"/>
    <w:rsid w:val="00ED377B"/>
    <w:rsid w:val="00ED49F3"/>
    <w:rsid w:val="00ED7A03"/>
    <w:rsid w:val="00EE35DE"/>
    <w:rsid w:val="00EE4E64"/>
    <w:rsid w:val="00EE4FC3"/>
    <w:rsid w:val="00EE50D2"/>
    <w:rsid w:val="00EF0E88"/>
    <w:rsid w:val="00EF1E56"/>
    <w:rsid w:val="00EF26A5"/>
    <w:rsid w:val="00EF335B"/>
    <w:rsid w:val="00EF4B50"/>
    <w:rsid w:val="00EF5821"/>
    <w:rsid w:val="00EF5FA2"/>
    <w:rsid w:val="00EF662A"/>
    <w:rsid w:val="00EF6CB9"/>
    <w:rsid w:val="00EF6E5B"/>
    <w:rsid w:val="00EF7435"/>
    <w:rsid w:val="00EF7544"/>
    <w:rsid w:val="00EF7A99"/>
    <w:rsid w:val="00F00C6E"/>
    <w:rsid w:val="00F017F1"/>
    <w:rsid w:val="00F02F53"/>
    <w:rsid w:val="00F07039"/>
    <w:rsid w:val="00F10EB1"/>
    <w:rsid w:val="00F12786"/>
    <w:rsid w:val="00F14553"/>
    <w:rsid w:val="00F154DF"/>
    <w:rsid w:val="00F15735"/>
    <w:rsid w:val="00F15932"/>
    <w:rsid w:val="00F15ADB"/>
    <w:rsid w:val="00F17FB6"/>
    <w:rsid w:val="00F20A3B"/>
    <w:rsid w:val="00F210C4"/>
    <w:rsid w:val="00F213B5"/>
    <w:rsid w:val="00F2244C"/>
    <w:rsid w:val="00F22471"/>
    <w:rsid w:val="00F23AB0"/>
    <w:rsid w:val="00F24053"/>
    <w:rsid w:val="00F2448E"/>
    <w:rsid w:val="00F25271"/>
    <w:rsid w:val="00F25DD3"/>
    <w:rsid w:val="00F26527"/>
    <w:rsid w:val="00F26A10"/>
    <w:rsid w:val="00F27161"/>
    <w:rsid w:val="00F33C48"/>
    <w:rsid w:val="00F33E2D"/>
    <w:rsid w:val="00F37534"/>
    <w:rsid w:val="00F3776D"/>
    <w:rsid w:val="00F41AD2"/>
    <w:rsid w:val="00F4308E"/>
    <w:rsid w:val="00F45FC6"/>
    <w:rsid w:val="00F463F5"/>
    <w:rsid w:val="00F465FD"/>
    <w:rsid w:val="00F520CA"/>
    <w:rsid w:val="00F543D6"/>
    <w:rsid w:val="00F56864"/>
    <w:rsid w:val="00F573E5"/>
    <w:rsid w:val="00F602B2"/>
    <w:rsid w:val="00F61450"/>
    <w:rsid w:val="00F64547"/>
    <w:rsid w:val="00F654FD"/>
    <w:rsid w:val="00F65DC0"/>
    <w:rsid w:val="00F65EC5"/>
    <w:rsid w:val="00F660D7"/>
    <w:rsid w:val="00F67545"/>
    <w:rsid w:val="00F7355C"/>
    <w:rsid w:val="00F73E4D"/>
    <w:rsid w:val="00F73FBF"/>
    <w:rsid w:val="00F768B2"/>
    <w:rsid w:val="00F76E12"/>
    <w:rsid w:val="00F80221"/>
    <w:rsid w:val="00F81BA5"/>
    <w:rsid w:val="00F82D25"/>
    <w:rsid w:val="00F8562F"/>
    <w:rsid w:val="00F86F4B"/>
    <w:rsid w:val="00F90216"/>
    <w:rsid w:val="00F90307"/>
    <w:rsid w:val="00F9294A"/>
    <w:rsid w:val="00F92A3D"/>
    <w:rsid w:val="00F967F9"/>
    <w:rsid w:val="00F97A74"/>
    <w:rsid w:val="00FA2DB4"/>
    <w:rsid w:val="00FA371D"/>
    <w:rsid w:val="00FA6053"/>
    <w:rsid w:val="00FA631A"/>
    <w:rsid w:val="00FA6507"/>
    <w:rsid w:val="00FA6DB0"/>
    <w:rsid w:val="00FB0E25"/>
    <w:rsid w:val="00FB2FE8"/>
    <w:rsid w:val="00FB4555"/>
    <w:rsid w:val="00FB4F40"/>
    <w:rsid w:val="00FC02DA"/>
    <w:rsid w:val="00FC054C"/>
    <w:rsid w:val="00FC4CC7"/>
    <w:rsid w:val="00FD2CCC"/>
    <w:rsid w:val="00FD3BBA"/>
    <w:rsid w:val="00FD4326"/>
    <w:rsid w:val="00FD7D7A"/>
    <w:rsid w:val="00FE2734"/>
    <w:rsid w:val="00FE4A0B"/>
    <w:rsid w:val="00FE5ACA"/>
    <w:rsid w:val="00FE6C26"/>
    <w:rsid w:val="00FF1D9A"/>
    <w:rsid w:val="00FF301B"/>
    <w:rsid w:val="00FF39F2"/>
    <w:rsid w:val="00FF3E15"/>
    <w:rsid w:val="00FF4A85"/>
    <w:rsid w:val="00FF5C79"/>
    <w:rsid w:val="00FF6971"/>
    <w:rsid w:val="00FF7B9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character" w:styleId="FollowedHyperlink">
    <w:name w:val="FollowedHyperlink"/>
    <w:basedOn w:val="DefaultParagraphFont"/>
    <w:uiPriority w:val="99"/>
    <w:semiHidden/>
    <w:unhideWhenUsed/>
    <w:rsid w:val="006049D1"/>
    <w:rPr>
      <w:color w:val="800080" w:themeColor="followedHyperlink"/>
      <w:u w:val="single"/>
    </w:rPr>
  </w:style>
  <w:style w:type="paragraph" w:customStyle="1" w:styleId="tv2131">
    <w:name w:val="tv2131"/>
    <w:basedOn w:val="Normal"/>
    <w:rsid w:val="00436F9E"/>
    <w:pPr>
      <w:spacing w:line="360" w:lineRule="auto"/>
      <w:ind w:firstLine="335"/>
    </w:pPr>
    <w:rPr>
      <w:rFonts w:eastAsia="Times New Roman"/>
      <w:color w:val="414142"/>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character" w:styleId="FollowedHyperlink">
    <w:name w:val="FollowedHyperlink"/>
    <w:basedOn w:val="DefaultParagraphFont"/>
    <w:uiPriority w:val="99"/>
    <w:semiHidden/>
    <w:unhideWhenUsed/>
    <w:rsid w:val="006049D1"/>
    <w:rPr>
      <w:color w:val="800080" w:themeColor="followedHyperlink"/>
      <w:u w:val="single"/>
    </w:rPr>
  </w:style>
  <w:style w:type="paragraph" w:customStyle="1" w:styleId="tv2131">
    <w:name w:val="tv2131"/>
    <w:basedOn w:val="Normal"/>
    <w:rsid w:val="00436F9E"/>
    <w:pPr>
      <w:spacing w:line="360" w:lineRule="auto"/>
      <w:ind w:firstLine="335"/>
    </w:pPr>
    <w:rPr>
      <w:rFonts w:eastAsia="Times New Roman"/>
      <w:color w:val="414142"/>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36452016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20902418">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1056775682">
      <w:bodyDiv w:val="1"/>
      <w:marLeft w:val="0"/>
      <w:marRight w:val="0"/>
      <w:marTop w:val="0"/>
      <w:marBottom w:val="0"/>
      <w:divBdr>
        <w:top w:val="none" w:sz="0" w:space="0" w:color="auto"/>
        <w:left w:val="none" w:sz="0" w:space="0" w:color="auto"/>
        <w:bottom w:val="none" w:sz="0" w:space="0" w:color="auto"/>
        <w:right w:val="none" w:sz="0" w:space="0" w:color="auto"/>
      </w:divBdr>
    </w:div>
    <w:div w:id="1121995710">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91086724">
      <w:bodyDiv w:val="1"/>
      <w:marLeft w:val="0"/>
      <w:marRight w:val="0"/>
      <w:marTop w:val="0"/>
      <w:marBottom w:val="0"/>
      <w:divBdr>
        <w:top w:val="none" w:sz="0" w:space="0" w:color="auto"/>
        <w:left w:val="none" w:sz="0" w:space="0" w:color="auto"/>
        <w:bottom w:val="none" w:sz="0" w:space="0" w:color="auto"/>
        <w:right w:val="none" w:sz="0" w:space="0" w:color="auto"/>
      </w:divBdr>
    </w:div>
    <w:div w:id="1405832350">
      <w:bodyDiv w:val="1"/>
      <w:marLeft w:val="0"/>
      <w:marRight w:val="0"/>
      <w:marTop w:val="0"/>
      <w:marBottom w:val="0"/>
      <w:divBdr>
        <w:top w:val="none" w:sz="0" w:space="0" w:color="auto"/>
        <w:left w:val="none" w:sz="0" w:space="0" w:color="auto"/>
        <w:bottom w:val="none" w:sz="0" w:space="0" w:color="auto"/>
        <w:right w:val="none" w:sz="0" w:space="0" w:color="auto"/>
      </w:divBdr>
      <w:divsChild>
        <w:div w:id="1237741715">
          <w:marLeft w:val="0"/>
          <w:marRight w:val="0"/>
          <w:marTop w:val="0"/>
          <w:marBottom w:val="0"/>
          <w:divBdr>
            <w:top w:val="none" w:sz="0" w:space="0" w:color="auto"/>
            <w:left w:val="none" w:sz="0" w:space="0" w:color="auto"/>
            <w:bottom w:val="none" w:sz="0" w:space="0" w:color="auto"/>
            <w:right w:val="none" w:sz="0" w:space="0" w:color="auto"/>
          </w:divBdr>
          <w:divsChild>
            <w:div w:id="1085491210">
              <w:marLeft w:val="0"/>
              <w:marRight w:val="0"/>
              <w:marTop w:val="0"/>
              <w:marBottom w:val="0"/>
              <w:divBdr>
                <w:top w:val="none" w:sz="0" w:space="0" w:color="auto"/>
                <w:left w:val="none" w:sz="0" w:space="0" w:color="auto"/>
                <w:bottom w:val="none" w:sz="0" w:space="0" w:color="auto"/>
                <w:right w:val="none" w:sz="0" w:space="0" w:color="auto"/>
              </w:divBdr>
              <w:divsChild>
                <w:div w:id="1619023569">
                  <w:marLeft w:val="0"/>
                  <w:marRight w:val="0"/>
                  <w:marTop w:val="0"/>
                  <w:marBottom w:val="0"/>
                  <w:divBdr>
                    <w:top w:val="none" w:sz="0" w:space="0" w:color="auto"/>
                    <w:left w:val="none" w:sz="0" w:space="0" w:color="auto"/>
                    <w:bottom w:val="none" w:sz="0" w:space="0" w:color="auto"/>
                    <w:right w:val="none" w:sz="0" w:space="0" w:color="auto"/>
                  </w:divBdr>
                  <w:divsChild>
                    <w:div w:id="2119179679">
                      <w:marLeft w:val="0"/>
                      <w:marRight w:val="0"/>
                      <w:marTop w:val="0"/>
                      <w:marBottom w:val="0"/>
                      <w:divBdr>
                        <w:top w:val="none" w:sz="0" w:space="0" w:color="auto"/>
                        <w:left w:val="none" w:sz="0" w:space="0" w:color="auto"/>
                        <w:bottom w:val="none" w:sz="0" w:space="0" w:color="auto"/>
                        <w:right w:val="none" w:sz="0" w:space="0" w:color="auto"/>
                      </w:divBdr>
                      <w:divsChild>
                        <w:div w:id="1702854508">
                          <w:marLeft w:val="0"/>
                          <w:marRight w:val="0"/>
                          <w:marTop w:val="335"/>
                          <w:marBottom w:val="0"/>
                          <w:divBdr>
                            <w:top w:val="none" w:sz="0" w:space="0" w:color="auto"/>
                            <w:left w:val="none" w:sz="0" w:space="0" w:color="auto"/>
                            <w:bottom w:val="none" w:sz="0" w:space="0" w:color="auto"/>
                            <w:right w:val="none" w:sz="0" w:space="0" w:color="auto"/>
                          </w:divBdr>
                          <w:divsChild>
                            <w:div w:id="8661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189287">
      <w:bodyDiv w:val="1"/>
      <w:marLeft w:val="0"/>
      <w:marRight w:val="0"/>
      <w:marTop w:val="0"/>
      <w:marBottom w:val="0"/>
      <w:divBdr>
        <w:top w:val="none" w:sz="0" w:space="0" w:color="auto"/>
        <w:left w:val="none" w:sz="0" w:space="0" w:color="auto"/>
        <w:bottom w:val="none" w:sz="0" w:space="0" w:color="auto"/>
        <w:right w:val="none" w:sz="0" w:space="0" w:color="auto"/>
      </w:divBdr>
    </w:div>
    <w:div w:id="1467815820">
      <w:bodyDiv w:val="1"/>
      <w:marLeft w:val="0"/>
      <w:marRight w:val="0"/>
      <w:marTop w:val="0"/>
      <w:marBottom w:val="0"/>
      <w:divBdr>
        <w:top w:val="none" w:sz="0" w:space="0" w:color="auto"/>
        <w:left w:val="none" w:sz="0" w:space="0" w:color="auto"/>
        <w:bottom w:val="none" w:sz="0" w:space="0" w:color="auto"/>
        <w:right w:val="none" w:sz="0" w:space="0" w:color="auto"/>
      </w:divBdr>
      <w:divsChild>
        <w:div w:id="560561029">
          <w:marLeft w:val="0"/>
          <w:marRight w:val="0"/>
          <w:marTop w:val="0"/>
          <w:marBottom w:val="0"/>
          <w:divBdr>
            <w:top w:val="none" w:sz="0" w:space="0" w:color="auto"/>
            <w:left w:val="none" w:sz="0" w:space="0" w:color="auto"/>
            <w:bottom w:val="none" w:sz="0" w:space="0" w:color="auto"/>
            <w:right w:val="none" w:sz="0" w:space="0" w:color="auto"/>
          </w:divBdr>
          <w:divsChild>
            <w:div w:id="106318387">
              <w:marLeft w:val="0"/>
              <w:marRight w:val="0"/>
              <w:marTop w:val="0"/>
              <w:marBottom w:val="0"/>
              <w:divBdr>
                <w:top w:val="none" w:sz="0" w:space="0" w:color="auto"/>
                <w:left w:val="none" w:sz="0" w:space="0" w:color="auto"/>
                <w:bottom w:val="none" w:sz="0" w:space="0" w:color="auto"/>
                <w:right w:val="none" w:sz="0" w:space="0" w:color="auto"/>
              </w:divBdr>
              <w:divsChild>
                <w:div w:id="1904559349">
                  <w:marLeft w:val="0"/>
                  <w:marRight w:val="0"/>
                  <w:marTop w:val="0"/>
                  <w:marBottom w:val="0"/>
                  <w:divBdr>
                    <w:top w:val="none" w:sz="0" w:space="0" w:color="auto"/>
                    <w:left w:val="none" w:sz="0" w:space="0" w:color="auto"/>
                    <w:bottom w:val="none" w:sz="0" w:space="0" w:color="auto"/>
                    <w:right w:val="none" w:sz="0" w:space="0" w:color="auto"/>
                  </w:divBdr>
                  <w:divsChild>
                    <w:div w:id="2004620542">
                      <w:marLeft w:val="0"/>
                      <w:marRight w:val="0"/>
                      <w:marTop w:val="0"/>
                      <w:marBottom w:val="0"/>
                      <w:divBdr>
                        <w:top w:val="none" w:sz="0" w:space="0" w:color="auto"/>
                        <w:left w:val="none" w:sz="0" w:space="0" w:color="auto"/>
                        <w:bottom w:val="none" w:sz="0" w:space="0" w:color="auto"/>
                        <w:right w:val="none" w:sz="0" w:space="0" w:color="auto"/>
                      </w:divBdr>
                      <w:divsChild>
                        <w:div w:id="1535772722">
                          <w:marLeft w:val="0"/>
                          <w:marRight w:val="0"/>
                          <w:marTop w:val="335"/>
                          <w:marBottom w:val="0"/>
                          <w:divBdr>
                            <w:top w:val="none" w:sz="0" w:space="0" w:color="auto"/>
                            <w:left w:val="none" w:sz="0" w:space="0" w:color="auto"/>
                            <w:bottom w:val="none" w:sz="0" w:space="0" w:color="auto"/>
                            <w:right w:val="none" w:sz="0" w:space="0" w:color="auto"/>
                          </w:divBdr>
                          <w:divsChild>
                            <w:div w:id="1451655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666008829">
      <w:bodyDiv w:val="1"/>
      <w:marLeft w:val="0"/>
      <w:marRight w:val="0"/>
      <w:marTop w:val="0"/>
      <w:marBottom w:val="0"/>
      <w:divBdr>
        <w:top w:val="none" w:sz="0" w:space="0" w:color="auto"/>
        <w:left w:val="none" w:sz="0" w:space="0" w:color="auto"/>
        <w:bottom w:val="none" w:sz="0" w:space="0" w:color="auto"/>
        <w:right w:val="none" w:sz="0" w:space="0" w:color="auto"/>
      </w:divBdr>
    </w:div>
    <w:div w:id="1682197250">
      <w:bodyDiv w:val="1"/>
      <w:marLeft w:val="0"/>
      <w:marRight w:val="0"/>
      <w:marTop w:val="0"/>
      <w:marBottom w:val="0"/>
      <w:divBdr>
        <w:top w:val="none" w:sz="0" w:space="0" w:color="auto"/>
        <w:left w:val="none" w:sz="0" w:space="0" w:color="auto"/>
        <w:bottom w:val="none" w:sz="0" w:space="0" w:color="auto"/>
        <w:right w:val="none" w:sz="0" w:space="0" w:color="auto"/>
      </w:divBdr>
    </w:div>
    <w:div w:id="1908107876">
      <w:bodyDiv w:val="1"/>
      <w:marLeft w:val="0"/>
      <w:marRight w:val="0"/>
      <w:marTop w:val="0"/>
      <w:marBottom w:val="0"/>
      <w:divBdr>
        <w:top w:val="none" w:sz="0" w:space="0" w:color="auto"/>
        <w:left w:val="none" w:sz="0" w:space="0" w:color="auto"/>
        <w:bottom w:val="none" w:sz="0" w:space="0" w:color="auto"/>
        <w:right w:val="none" w:sz="0" w:space="0" w:color="auto"/>
      </w:divBdr>
    </w:div>
    <w:div w:id="2040428800">
      <w:bodyDiv w:val="1"/>
      <w:marLeft w:val="0"/>
      <w:marRight w:val="0"/>
      <w:marTop w:val="0"/>
      <w:marBottom w:val="0"/>
      <w:divBdr>
        <w:top w:val="none" w:sz="0" w:space="0" w:color="auto"/>
        <w:left w:val="none" w:sz="0" w:space="0" w:color="auto"/>
        <w:bottom w:val="none" w:sz="0" w:space="0" w:color="auto"/>
        <w:right w:val="none" w:sz="0" w:space="0" w:color="auto"/>
      </w:divBdr>
    </w:div>
    <w:div w:id="2124808193">
      <w:bodyDiv w:val="1"/>
      <w:marLeft w:val="0"/>
      <w:marRight w:val="0"/>
      <w:marTop w:val="0"/>
      <w:marBottom w:val="0"/>
      <w:divBdr>
        <w:top w:val="none" w:sz="0" w:space="0" w:color="auto"/>
        <w:left w:val="none" w:sz="0" w:space="0" w:color="auto"/>
        <w:bottom w:val="none" w:sz="0" w:space="0" w:color="auto"/>
        <w:right w:val="none" w:sz="0" w:space="0" w:color="auto"/>
      </w:divBdr>
    </w:div>
    <w:div w:id="213293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f.org/what_we_do/jeremie/calls-for-expression-of-interest/2010_Jeremie_Latvia_003_1/2008_Call_for_EOI_JEREMIE_Latvia_JER003_1.htm?lang=-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ur-lex.europa.eu/eli/reg/2014/651?locale=LV" TargetMode="External"/><Relationship Id="rId4" Type="http://schemas.microsoft.com/office/2007/relationships/stylesWithEffects" Target="stylesWithEffects.xml"/><Relationship Id="rId9" Type="http://schemas.openxmlformats.org/officeDocument/2006/relationships/hyperlink" Target="http://eur-lex.europa.eu/eli/reg/2014/651?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96080-FD7B-48D4-A10E-173CB8A7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19182</Words>
  <Characters>10934</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2008.gada 25.novembra noteikumos Nr.983 „Noteikumi par atbalsta piešķiršanu tehnoloģiju pārneses un riska kapitāla jomā””</vt:lpstr>
    </vt:vector>
  </TitlesOfParts>
  <Company>LR Ekonomikas ministrija</Company>
  <LinksUpToDate>false</LinksUpToDate>
  <CharactersWithSpaces>30056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2008.gada 25.novembra noteikumos Nr.983 „Noteikumi par atbalsta piešķiršanu tehnoloģiju pārneses un riska kapitāla jomā””</dc:title>
  <dc:subject>Ministru kabineta noteikumu projekta „Grozījumi Ministru kabineta 2008.gada 25.novembra noteikumos Nr.983 „Noteikumi par atbalsta piešķiršanu tehnoloģiju pārneses un riska kapitāla jomā”” sākotnējās ietekmes novērtējuma ziņojums sākotnējās ietekmes novērtējuma ziņojums (anotācija)</dc:subject>
  <dc:creator>Agita Nicmane</dc:creator>
  <dc:description>67013203, Agita.Nicmane@em.gov.lv</dc:description>
  <cp:lastModifiedBy>Agita Nicmane</cp:lastModifiedBy>
  <cp:revision>3</cp:revision>
  <cp:lastPrinted>2015-07-16T12:45:00Z</cp:lastPrinted>
  <dcterms:created xsi:type="dcterms:W3CDTF">2015-09-10T07:55:00Z</dcterms:created>
  <dcterms:modified xsi:type="dcterms:W3CDTF">2015-09-10T08:04:00Z</dcterms:modified>
</cp:coreProperties>
</file>