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65A39" w14:textId="77777777"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bookmarkStart w:id="2" w:name="OLE_LINK7"/>
      <w:r w:rsidR="00C37F73" w:rsidRPr="00526181">
        <w:rPr>
          <w:rFonts w:ascii="Times New Roman" w:eastAsia="Times New Roman" w:hAnsi="Times New Roman" w:cs="Times New Roman"/>
          <w:b/>
          <w:bCs/>
          <w:sz w:val="28"/>
          <w:szCs w:val="28"/>
          <w:lang w:eastAsia="lv-LV"/>
        </w:rPr>
        <w:t>„</w:t>
      </w:r>
      <w:r w:rsidR="001B0A39" w:rsidRPr="001B0A39">
        <w:t xml:space="preserve"> </w:t>
      </w:r>
      <w:r w:rsidR="001B0A39" w:rsidRPr="001B0A39">
        <w:rPr>
          <w:rFonts w:ascii="Times New Roman" w:hAnsi="Times New Roman" w:cs="Times New Roman"/>
          <w:b/>
          <w:sz w:val="28"/>
          <w:szCs w:val="28"/>
        </w:rPr>
        <w:t>Par valstij dividendēs izmaksājamo sabiedrības ar ierobežotu atbildību „Standartizācijas, akreditācijas un metroloģijas centrs” peļņas daļu</w:t>
      </w:r>
      <w:r w:rsidR="00C37F73" w:rsidRPr="00526181">
        <w:rPr>
          <w:rFonts w:ascii="Times New Roman" w:eastAsia="Times New Roman" w:hAnsi="Times New Roman" w:cs="Times New Roman"/>
          <w:b/>
          <w:bCs/>
          <w:sz w:val="28"/>
          <w:szCs w:val="28"/>
          <w:lang w:eastAsia="lv-LV"/>
        </w:rPr>
        <w:t xml:space="preserve">” </w:t>
      </w:r>
      <w:bookmarkEnd w:id="0"/>
      <w:bookmarkEnd w:id="1"/>
      <w:bookmarkEnd w:id="2"/>
      <w:r w:rsidRPr="00526181">
        <w:rPr>
          <w:rFonts w:ascii="Times New Roman" w:eastAsia="Times New Roman" w:hAnsi="Times New Roman" w:cs="Times New Roman"/>
          <w:b/>
          <w:bCs/>
          <w:sz w:val="28"/>
          <w:szCs w:val="28"/>
          <w:lang w:eastAsia="lv-LV"/>
        </w:rPr>
        <w:t xml:space="preserve">sākotnējās ietekmes </w:t>
      </w:r>
      <w:r w:rsidR="00865DF9">
        <w:rPr>
          <w:rFonts w:ascii="Times New Roman" w:eastAsia="Times New Roman" w:hAnsi="Times New Roman" w:cs="Times New Roman"/>
          <w:b/>
          <w:bCs/>
          <w:sz w:val="28"/>
          <w:szCs w:val="28"/>
          <w:lang w:eastAsia="lv-LV"/>
        </w:rPr>
        <w:t>novērtējuma ziņojums (anotācija)</w:t>
      </w: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60"/>
        <w:gridCol w:w="5861"/>
      </w:tblGrid>
      <w:tr w:rsidR="00FF5633" w:rsidRPr="00A86C6E" w14:paraId="448E8C37" w14:textId="77777777"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14:paraId="706DEF9F"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I. Tiesību akta projekta izstrādes nepieciešamība</w:t>
            </w:r>
          </w:p>
        </w:tc>
      </w:tr>
      <w:tr w:rsidR="00FF5633" w:rsidRPr="00A86C6E" w14:paraId="48A44906" w14:textId="77777777"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14:paraId="2BA5F1B9" w14:textId="77777777" w:rsidR="00FF5633" w:rsidRPr="00A86C6E" w:rsidRDefault="004B0DD0" w:rsidP="004B0DD0">
            <w:pPr>
              <w:spacing w:after="0"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14:paraId="18371496" w14:textId="77777777" w:rsidR="00FF5633" w:rsidRPr="00A86C6E" w:rsidRDefault="00FF5633" w:rsidP="004B0DD0">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14:paraId="141D71D2" w14:textId="77777777" w:rsidR="00FF5633" w:rsidRPr="00A86C6E" w:rsidRDefault="002D3908" w:rsidP="004B0DD0">
            <w:pPr>
              <w:spacing w:after="0" w:line="240" w:lineRule="auto"/>
              <w:jc w:val="both"/>
              <w:rPr>
                <w:rFonts w:ascii="Times New Roman" w:eastAsia="Times New Roman" w:hAnsi="Times New Roman" w:cs="Times New Roman"/>
                <w:sz w:val="28"/>
                <w:szCs w:val="28"/>
                <w:lang w:eastAsia="lv-LV"/>
              </w:rPr>
            </w:pPr>
            <w:r w:rsidRPr="00A86C6E">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sidR="0057669A" w:rsidRPr="00A86C6E">
              <w:rPr>
                <w:rFonts w:ascii="Times New Roman" w:hAnsi="Times New Roman" w:cs="Times New Roman"/>
                <w:sz w:val="28"/>
                <w:szCs w:val="28"/>
              </w:rPr>
              <w:t>s</w:t>
            </w:r>
            <w:r w:rsidRPr="00A86C6E">
              <w:rPr>
                <w:rFonts w:ascii="Times New Roman" w:hAnsi="Times New Roman" w:cs="Times New Roman"/>
                <w:sz w:val="28"/>
                <w:szCs w:val="28"/>
              </w:rPr>
              <w:t xml:space="preserve">, kas paredz, ka Ministru kabinets </w:t>
            </w:r>
            <w:r w:rsidR="0057669A" w:rsidRPr="00A86C6E">
              <w:rPr>
                <w:rFonts w:ascii="Times New Roman" w:hAnsi="Times New Roman" w:cs="Times New Roman"/>
                <w:sz w:val="28"/>
                <w:szCs w:val="28"/>
              </w:rPr>
              <w:t xml:space="preserve">pēc kapitāla daļu turētāja priekšlikuma kapitālsabiedrībai </w:t>
            </w:r>
            <w:r w:rsidRPr="00A86C6E">
              <w:rPr>
                <w:rFonts w:ascii="Times New Roman" w:hAnsi="Times New Roman" w:cs="Times New Roman"/>
                <w:sz w:val="28"/>
                <w:szCs w:val="28"/>
              </w:rPr>
              <w:t>var noteikt atšķirīgu dividendēs izmaksājamo peļņas daļu.</w:t>
            </w:r>
            <w:r w:rsidR="0057669A" w:rsidRPr="00A86C6E">
              <w:rPr>
                <w:rFonts w:ascii="Times New Roman" w:hAnsi="Times New Roman" w:cs="Times New Roman"/>
                <w:sz w:val="28"/>
                <w:szCs w:val="28"/>
              </w:rPr>
              <w:t xml:space="preserve"> </w:t>
            </w:r>
          </w:p>
        </w:tc>
      </w:tr>
      <w:tr w:rsidR="00FF5633" w:rsidRPr="00A86C6E" w14:paraId="2816C009"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61924CCF" w14:textId="77777777" w:rsidR="00FF5633" w:rsidRPr="00A86C6E" w:rsidRDefault="004B0DD0" w:rsidP="004B0DD0">
            <w:pPr>
              <w:spacing w:after="0"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14:paraId="4499950A"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14:paraId="52F7736E" w14:textId="77777777" w:rsidR="001B0A39" w:rsidRPr="001B0A39" w:rsidRDefault="001B0A39" w:rsidP="00DC2BE8">
            <w:pPr>
              <w:spacing w:after="0" w:line="240" w:lineRule="auto"/>
              <w:ind w:firstLine="474"/>
              <w:jc w:val="both"/>
              <w:rPr>
                <w:rFonts w:ascii="Times New Roman" w:eastAsia="Times New Roman" w:hAnsi="Times New Roman" w:cs="Times New Roman"/>
                <w:sz w:val="28"/>
                <w:szCs w:val="28"/>
                <w:lang w:eastAsia="lv-LV"/>
              </w:rPr>
            </w:pPr>
            <w:r w:rsidRPr="001B0A39">
              <w:rPr>
                <w:rFonts w:ascii="Times New Roman" w:eastAsia="Times New Roman" w:hAnsi="Times New Roman" w:cs="Times New Roman"/>
                <w:sz w:val="28"/>
                <w:szCs w:val="28"/>
                <w:lang w:eastAsia="lv-LV"/>
              </w:rPr>
              <w:t xml:space="preserve">Sabiedrība ar ierobežotu atbildību „Standartizācijas, akreditācijas un metroloģijas centrs” (turpmāk – </w:t>
            </w:r>
            <w:r w:rsidR="00DC2BE8">
              <w:rPr>
                <w:rFonts w:ascii="Times New Roman" w:eastAsia="Times New Roman" w:hAnsi="Times New Roman" w:cs="Times New Roman"/>
                <w:sz w:val="28"/>
                <w:szCs w:val="28"/>
                <w:lang w:eastAsia="lv-LV"/>
              </w:rPr>
              <w:t>Sabiedrība</w:t>
            </w:r>
            <w:r w:rsidRPr="001B0A39">
              <w:rPr>
                <w:rFonts w:ascii="Times New Roman" w:eastAsia="Times New Roman" w:hAnsi="Times New Roman" w:cs="Times New Roman"/>
                <w:sz w:val="28"/>
                <w:szCs w:val="28"/>
                <w:lang w:eastAsia="lv-LV"/>
              </w:rPr>
              <w:t xml:space="preserve">) ir 100% valsts kapitālsabiedrība, kas veic valsts deleģētos uzdevumus atbilstoši </w:t>
            </w:r>
            <w:r w:rsidRPr="001B0A39">
              <w:rPr>
                <w:rFonts w:ascii="Times New Roman" w:eastAsia="Calibri" w:hAnsi="Times New Roman" w:cs="Times New Roman"/>
                <w:sz w:val="28"/>
                <w:szCs w:val="28"/>
                <w:lang w:eastAsia="lv-LV"/>
              </w:rPr>
              <w:t>Standartizācijas likumā, likumā „Par atbilstības novērtēšanu” un likumā „Par mērījumu vienotību” noteiktajam pilnvarojumam.</w:t>
            </w:r>
          </w:p>
          <w:p w14:paraId="3A63EB95" w14:textId="393073C1" w:rsidR="00286E9B" w:rsidRDefault="006E2148" w:rsidP="006E2148">
            <w:pPr>
              <w:spacing w:after="0" w:line="240" w:lineRule="auto"/>
              <w:ind w:firstLine="47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Sabiedrības kārtējā dalībnieku sapulce 2015.gada 23.aprīlī apstiprināja Sabiedrības 2014.gada pārskatu. </w:t>
            </w:r>
            <w:r w:rsidR="009A157E">
              <w:rPr>
                <w:rFonts w:ascii="Times New Roman" w:eastAsia="Times New Roman" w:hAnsi="Times New Roman" w:cs="Times New Roman"/>
                <w:sz w:val="28"/>
                <w:szCs w:val="28"/>
                <w:lang w:eastAsia="lv-LV"/>
              </w:rPr>
              <w:t>S</w:t>
            </w:r>
            <w:r w:rsidR="001B0A39" w:rsidRPr="001B0A39">
              <w:rPr>
                <w:rFonts w:ascii="Times New Roman" w:eastAsia="Times New Roman" w:hAnsi="Times New Roman" w:cs="Times New Roman"/>
                <w:sz w:val="28"/>
                <w:szCs w:val="28"/>
                <w:lang w:eastAsia="lv-LV"/>
              </w:rPr>
              <w:t xml:space="preserve">abiedrības </w:t>
            </w:r>
            <w:r w:rsidR="00DC2BE8">
              <w:rPr>
                <w:rFonts w:ascii="Times New Roman" w:eastAsia="Times New Roman" w:hAnsi="Times New Roman" w:cs="Times New Roman"/>
                <w:sz w:val="28"/>
                <w:szCs w:val="28"/>
                <w:lang w:eastAsia="lv-LV"/>
              </w:rPr>
              <w:t>2014.gada pārskata gada peļņa ir 56 341 euro</w:t>
            </w:r>
            <w:r w:rsidR="001B0A39" w:rsidRPr="001B0A39">
              <w:rPr>
                <w:rFonts w:ascii="Times New Roman" w:eastAsia="Times New Roman" w:hAnsi="Times New Roman" w:cs="Times New Roman"/>
                <w:sz w:val="28"/>
                <w:szCs w:val="28"/>
                <w:lang w:eastAsia="lv-LV"/>
              </w:rPr>
              <w:t xml:space="preserve">. </w:t>
            </w:r>
            <w:r w:rsidR="00DC2BE8" w:rsidRPr="00DC2BE8">
              <w:rPr>
                <w:rFonts w:ascii="Times New Roman" w:eastAsia="Times New Roman" w:hAnsi="Times New Roman" w:cs="Times New Roman"/>
                <w:sz w:val="28"/>
                <w:szCs w:val="28"/>
                <w:lang w:eastAsia="lv-LV"/>
              </w:rPr>
              <w:t>MK noteikumu Nr.1471 4.</w:t>
            </w:r>
            <w:r w:rsidR="00DC2BE8" w:rsidRPr="00DC2BE8">
              <w:rPr>
                <w:rFonts w:ascii="Times New Roman" w:eastAsia="Times New Roman" w:hAnsi="Times New Roman" w:cs="Times New Roman"/>
                <w:sz w:val="28"/>
                <w:szCs w:val="28"/>
                <w:vertAlign w:val="superscript"/>
                <w:lang w:eastAsia="lv-LV"/>
              </w:rPr>
              <w:t>2</w:t>
            </w:r>
            <w:r w:rsidR="00DC2BE8">
              <w:rPr>
                <w:rFonts w:ascii="Times New Roman" w:eastAsia="Times New Roman" w:hAnsi="Times New Roman" w:cs="Times New Roman"/>
                <w:sz w:val="28"/>
                <w:szCs w:val="28"/>
                <w:lang w:eastAsia="lv-LV"/>
              </w:rPr>
              <w:t>punkts nosaka, ka minimālo dividendēs izmaksājamo peļņas daļu kapitālsabiedrībām, kurās visas kapitāla daļas pieder valstij 2015.gadā (par 2014.gada pārskata gadu)</w:t>
            </w:r>
            <w:r w:rsidR="000D2F45">
              <w:rPr>
                <w:rFonts w:ascii="Times New Roman" w:eastAsia="Times New Roman" w:hAnsi="Times New Roman" w:cs="Times New Roman"/>
                <w:sz w:val="28"/>
                <w:szCs w:val="28"/>
                <w:lang w:eastAsia="lv-LV"/>
              </w:rPr>
              <w:t xml:space="preserve"> nosaka un aprēķina 90 procentu apmērā. No minētā izriet, ka </w:t>
            </w:r>
            <w:r w:rsidR="001B0A39" w:rsidRPr="001B0A39">
              <w:rPr>
                <w:rFonts w:ascii="Times New Roman" w:eastAsia="Times New Roman" w:hAnsi="Times New Roman" w:cs="Times New Roman"/>
                <w:sz w:val="28"/>
                <w:szCs w:val="28"/>
                <w:lang w:eastAsia="lv-LV"/>
              </w:rPr>
              <w:t>atbilstoši MK noteikumu Nr.1471 4.</w:t>
            </w:r>
            <w:r w:rsidR="00DC2BE8">
              <w:rPr>
                <w:rFonts w:ascii="Times New Roman" w:eastAsia="Times New Roman" w:hAnsi="Times New Roman" w:cs="Times New Roman"/>
                <w:sz w:val="28"/>
                <w:szCs w:val="28"/>
                <w:vertAlign w:val="superscript"/>
                <w:lang w:eastAsia="lv-LV"/>
              </w:rPr>
              <w:t>2</w:t>
            </w:r>
            <w:r w:rsidR="001B0A39" w:rsidRPr="001B0A39">
              <w:rPr>
                <w:rFonts w:ascii="Times New Roman" w:eastAsia="Times New Roman" w:hAnsi="Times New Roman" w:cs="Times New Roman"/>
                <w:sz w:val="28"/>
                <w:szCs w:val="28"/>
                <w:lang w:eastAsia="lv-LV"/>
              </w:rPr>
              <w:t xml:space="preserve">punktam valstij dividendēs izmaksājamā peļņas daļa (90% no </w:t>
            </w:r>
            <w:r w:rsidR="000D2F45">
              <w:rPr>
                <w:rFonts w:ascii="Times New Roman" w:eastAsia="Times New Roman" w:hAnsi="Times New Roman" w:cs="Times New Roman"/>
                <w:sz w:val="28"/>
                <w:szCs w:val="28"/>
                <w:lang w:eastAsia="lv-LV"/>
              </w:rPr>
              <w:t xml:space="preserve">Sabiedrības </w:t>
            </w:r>
            <w:r w:rsidR="00DC2BE8">
              <w:rPr>
                <w:rFonts w:ascii="Times New Roman" w:eastAsia="Times New Roman" w:hAnsi="Times New Roman" w:cs="Times New Roman"/>
                <w:sz w:val="28"/>
                <w:szCs w:val="28"/>
                <w:lang w:eastAsia="lv-LV"/>
              </w:rPr>
              <w:t xml:space="preserve">tīrās </w:t>
            </w:r>
            <w:r w:rsidR="000D2F45">
              <w:rPr>
                <w:rFonts w:ascii="Times New Roman" w:eastAsia="Times New Roman" w:hAnsi="Times New Roman" w:cs="Times New Roman"/>
                <w:sz w:val="28"/>
                <w:szCs w:val="28"/>
                <w:lang w:eastAsia="lv-LV"/>
              </w:rPr>
              <w:t xml:space="preserve">peļņas) </w:t>
            </w:r>
            <w:r w:rsidR="006814B6">
              <w:rPr>
                <w:rFonts w:ascii="Times New Roman" w:eastAsia="Times New Roman" w:hAnsi="Times New Roman" w:cs="Times New Roman"/>
                <w:sz w:val="28"/>
                <w:szCs w:val="28"/>
                <w:lang w:eastAsia="lv-LV"/>
              </w:rPr>
              <w:t>ir</w:t>
            </w:r>
            <w:r w:rsidR="000D2F45">
              <w:rPr>
                <w:rFonts w:ascii="Times New Roman" w:eastAsia="Times New Roman" w:hAnsi="Times New Roman" w:cs="Times New Roman"/>
                <w:sz w:val="28"/>
                <w:szCs w:val="28"/>
                <w:lang w:eastAsia="lv-LV"/>
              </w:rPr>
              <w:t xml:space="preserve"> 50 707 euro</w:t>
            </w:r>
            <w:r w:rsidR="001B0A39" w:rsidRPr="001B0A39">
              <w:rPr>
                <w:rFonts w:ascii="Times New Roman" w:eastAsia="Times New Roman" w:hAnsi="Times New Roman" w:cs="Times New Roman"/>
                <w:sz w:val="28"/>
                <w:szCs w:val="28"/>
                <w:lang w:eastAsia="lv-LV"/>
              </w:rPr>
              <w:t xml:space="preserve">. </w:t>
            </w:r>
          </w:p>
          <w:p w14:paraId="265179A3" w14:textId="58149723" w:rsidR="00286E9B" w:rsidRDefault="00286E9B" w:rsidP="000D2F45">
            <w:pPr>
              <w:spacing w:after="0" w:line="240" w:lineRule="auto"/>
              <w:ind w:firstLine="47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Svarīgi ir nodalīt peļņas daļu, kas gūta no </w:t>
            </w:r>
            <w:r w:rsidRPr="00286E9B">
              <w:rPr>
                <w:rFonts w:ascii="Times New Roman" w:eastAsia="Times New Roman" w:hAnsi="Times New Roman" w:cs="Times New Roman"/>
                <w:sz w:val="28"/>
                <w:szCs w:val="28"/>
                <w:lang w:eastAsia="lv-LV"/>
              </w:rPr>
              <w:t>Sabiedrības struk</w:t>
            </w:r>
            <w:r>
              <w:rPr>
                <w:rFonts w:ascii="Times New Roman" w:eastAsia="Times New Roman" w:hAnsi="Times New Roman" w:cs="Times New Roman"/>
                <w:sz w:val="28"/>
                <w:szCs w:val="28"/>
                <w:lang w:eastAsia="lv-LV"/>
              </w:rPr>
              <w:t>tūrvienības</w:t>
            </w:r>
            <w:r w:rsidRPr="00286E9B">
              <w:rPr>
                <w:rFonts w:ascii="Times New Roman" w:eastAsia="Times New Roman" w:hAnsi="Times New Roman" w:cs="Times New Roman"/>
                <w:sz w:val="28"/>
                <w:szCs w:val="28"/>
                <w:lang w:eastAsia="lv-LV"/>
              </w:rPr>
              <w:t xml:space="preserve"> Latvijas nacionāl</w:t>
            </w:r>
            <w:r>
              <w:rPr>
                <w:rFonts w:ascii="Times New Roman" w:eastAsia="Times New Roman" w:hAnsi="Times New Roman" w:cs="Times New Roman"/>
                <w:sz w:val="28"/>
                <w:szCs w:val="28"/>
                <w:lang w:eastAsia="lv-LV"/>
              </w:rPr>
              <w:t>ā</w:t>
            </w:r>
            <w:r w:rsidRPr="00286E9B">
              <w:rPr>
                <w:rFonts w:ascii="Times New Roman" w:eastAsia="Times New Roman" w:hAnsi="Times New Roman" w:cs="Times New Roman"/>
                <w:sz w:val="28"/>
                <w:szCs w:val="28"/>
                <w:lang w:eastAsia="lv-LV"/>
              </w:rPr>
              <w:t xml:space="preserve"> akreditācijas bi</w:t>
            </w:r>
            <w:r>
              <w:rPr>
                <w:rFonts w:ascii="Times New Roman" w:eastAsia="Times New Roman" w:hAnsi="Times New Roman" w:cs="Times New Roman"/>
                <w:sz w:val="28"/>
                <w:szCs w:val="28"/>
                <w:lang w:eastAsia="lv-LV"/>
              </w:rPr>
              <w:t>roja</w:t>
            </w:r>
            <w:r w:rsidRPr="00286E9B">
              <w:rPr>
                <w:rFonts w:ascii="Times New Roman" w:eastAsia="Times New Roman" w:hAnsi="Times New Roman" w:cs="Times New Roman"/>
                <w:sz w:val="28"/>
                <w:szCs w:val="28"/>
                <w:lang w:eastAsia="lv-LV"/>
              </w:rPr>
              <w:t xml:space="preserve"> (turpmāk </w:t>
            </w:r>
            <w:r>
              <w:rPr>
                <w:rFonts w:ascii="Times New Roman" w:eastAsia="Times New Roman" w:hAnsi="Times New Roman" w:cs="Times New Roman"/>
                <w:sz w:val="28"/>
                <w:szCs w:val="28"/>
                <w:lang w:eastAsia="lv-LV"/>
              </w:rPr>
              <w:t>–</w:t>
            </w:r>
            <w:r w:rsidRPr="00286E9B">
              <w:rPr>
                <w:rFonts w:ascii="Times New Roman" w:eastAsia="Times New Roman" w:hAnsi="Times New Roman" w:cs="Times New Roman"/>
                <w:sz w:val="28"/>
                <w:szCs w:val="28"/>
                <w:lang w:eastAsia="lv-LV"/>
              </w:rPr>
              <w:t xml:space="preserve"> LATAK</w:t>
            </w:r>
            <w:r>
              <w:rPr>
                <w:rFonts w:ascii="Times New Roman" w:eastAsia="Times New Roman" w:hAnsi="Times New Roman" w:cs="Times New Roman"/>
                <w:sz w:val="28"/>
                <w:szCs w:val="28"/>
                <w:lang w:eastAsia="lv-LV"/>
              </w:rPr>
              <w:t>) ieņēmumiem, jo uz LATAK darbību, tajā skaitā peļņas izlietošanu ir attiecināma</w:t>
            </w:r>
            <w:r w:rsidRPr="00286E9B">
              <w:rPr>
                <w:rFonts w:ascii="Times New Roman" w:eastAsia="Times New Roman" w:hAnsi="Times New Roman" w:cs="Times New Roman"/>
                <w:sz w:val="28"/>
                <w:szCs w:val="28"/>
                <w:lang w:eastAsia="lv-LV"/>
              </w:rPr>
              <w:t xml:space="preserve"> Eiropas Komi</w:t>
            </w:r>
            <w:r w:rsidR="00CF2FEA">
              <w:rPr>
                <w:rFonts w:ascii="Times New Roman" w:eastAsia="Times New Roman" w:hAnsi="Times New Roman" w:cs="Times New Roman"/>
                <w:sz w:val="28"/>
                <w:szCs w:val="28"/>
                <w:lang w:eastAsia="lv-LV"/>
              </w:rPr>
              <w:t>sijas 2008.gada 9.jūlija Regula</w:t>
            </w:r>
            <w:r w:rsidRPr="00286E9B">
              <w:rPr>
                <w:rFonts w:ascii="Times New Roman" w:eastAsia="Times New Roman" w:hAnsi="Times New Roman" w:cs="Times New Roman"/>
                <w:sz w:val="28"/>
                <w:szCs w:val="28"/>
                <w:lang w:eastAsia="lv-LV"/>
              </w:rPr>
              <w:t xml:space="preserve"> (ES) Nr.765/2008 </w:t>
            </w:r>
            <w:r w:rsidRPr="00286E9B">
              <w:rPr>
                <w:rFonts w:ascii="Times New Roman" w:eastAsia="Times New Roman" w:hAnsi="Times New Roman" w:cs="Times New Roman"/>
                <w:i/>
                <w:sz w:val="28"/>
                <w:szCs w:val="28"/>
                <w:lang w:eastAsia="lv-LV"/>
              </w:rPr>
              <w:t>ar ko nosaka akreditācijas un tirgus uzraudzības prasības attiecībā uz produktu tirdzniecību un atceļ Regulu (EKK) Nr.339/93</w:t>
            </w:r>
            <w:r w:rsidRPr="00286E9B">
              <w:rPr>
                <w:rFonts w:ascii="Times New Roman" w:eastAsia="Times New Roman" w:hAnsi="Times New Roman" w:cs="Times New Roman"/>
                <w:sz w:val="28"/>
                <w:szCs w:val="28"/>
                <w:lang w:eastAsia="lv-LV"/>
              </w:rPr>
              <w:t xml:space="preserve"> (turpmāk – Regula (ES) Nr.765/2008)</w:t>
            </w:r>
            <w:r>
              <w:rPr>
                <w:rFonts w:ascii="Times New Roman" w:eastAsia="Times New Roman" w:hAnsi="Times New Roman" w:cs="Times New Roman"/>
                <w:sz w:val="28"/>
                <w:szCs w:val="28"/>
                <w:lang w:eastAsia="lv-LV"/>
              </w:rPr>
              <w:t>.</w:t>
            </w:r>
          </w:p>
          <w:p w14:paraId="1EB43922" w14:textId="77777777" w:rsidR="001B0A39" w:rsidRPr="00CF2FEA" w:rsidRDefault="00286E9B" w:rsidP="000D2F45">
            <w:pPr>
              <w:spacing w:after="0" w:line="240" w:lineRule="auto"/>
              <w:ind w:firstLine="474"/>
              <w:jc w:val="both"/>
              <w:rPr>
                <w:rFonts w:ascii="Times New Roman" w:eastAsia="Times New Roman" w:hAnsi="Times New Roman" w:cs="Times New Roman"/>
                <w:sz w:val="28"/>
                <w:szCs w:val="28"/>
                <w:lang w:eastAsia="lv-LV"/>
              </w:rPr>
            </w:pPr>
            <w:r w:rsidRPr="00CF2FEA">
              <w:rPr>
                <w:rFonts w:ascii="Times New Roman" w:eastAsia="Times New Roman" w:hAnsi="Times New Roman" w:cs="Times New Roman"/>
                <w:sz w:val="28"/>
                <w:szCs w:val="28"/>
                <w:lang w:eastAsia="lv-LV"/>
              </w:rPr>
              <w:lastRenderedPageBreak/>
              <w:t xml:space="preserve"> </w:t>
            </w:r>
            <w:r w:rsidR="001B0A39" w:rsidRPr="00CF2FEA">
              <w:rPr>
                <w:rFonts w:ascii="Times New Roman" w:eastAsia="Times New Roman" w:hAnsi="Times New Roman" w:cs="Times New Roman"/>
                <w:sz w:val="28"/>
                <w:szCs w:val="28"/>
                <w:lang w:eastAsia="lv-LV"/>
              </w:rPr>
              <w:t>S</w:t>
            </w:r>
            <w:r w:rsidR="000D2F45" w:rsidRPr="00CF2FEA">
              <w:rPr>
                <w:rFonts w:ascii="Times New Roman" w:eastAsia="Times New Roman" w:hAnsi="Times New Roman" w:cs="Times New Roman"/>
                <w:sz w:val="28"/>
                <w:szCs w:val="28"/>
                <w:lang w:eastAsia="lv-LV"/>
              </w:rPr>
              <w:t xml:space="preserve">askaņā ar uzskaites datiem Sabiedrības </w:t>
            </w:r>
            <w:r w:rsidR="001B0A39" w:rsidRPr="00CF2FEA">
              <w:rPr>
                <w:rFonts w:ascii="Times New Roman" w:eastAsia="Times New Roman" w:hAnsi="Times New Roman" w:cs="Times New Roman"/>
                <w:sz w:val="28"/>
                <w:szCs w:val="28"/>
                <w:lang w:eastAsia="lv-LV"/>
              </w:rPr>
              <w:t xml:space="preserve">pārskata gada peļņa attiecināma proporcionāli uz </w:t>
            </w:r>
            <w:r w:rsidR="000D2F45" w:rsidRPr="00CF2FEA">
              <w:rPr>
                <w:rFonts w:ascii="Times New Roman" w:eastAsia="Times New Roman" w:hAnsi="Times New Roman" w:cs="Times New Roman"/>
                <w:sz w:val="28"/>
                <w:szCs w:val="28"/>
                <w:lang w:eastAsia="lv-LV"/>
              </w:rPr>
              <w:t xml:space="preserve">Sabiedrības </w:t>
            </w:r>
            <w:r w:rsidR="001B0A39" w:rsidRPr="00CF2FEA">
              <w:rPr>
                <w:rFonts w:ascii="Times New Roman" w:eastAsia="Times New Roman" w:hAnsi="Times New Roman" w:cs="Times New Roman"/>
                <w:sz w:val="28"/>
                <w:szCs w:val="28"/>
                <w:lang w:eastAsia="lv-LV"/>
              </w:rPr>
              <w:t>struk</w:t>
            </w:r>
            <w:r w:rsidR="000D2F45" w:rsidRPr="00CF2FEA">
              <w:rPr>
                <w:rFonts w:ascii="Times New Roman" w:eastAsia="Times New Roman" w:hAnsi="Times New Roman" w:cs="Times New Roman"/>
                <w:sz w:val="28"/>
                <w:szCs w:val="28"/>
                <w:lang w:eastAsia="lv-LV"/>
              </w:rPr>
              <w:t xml:space="preserve">tūrvienībām -  uz </w:t>
            </w:r>
            <w:r w:rsidR="00A81D50" w:rsidRPr="00CF2FEA">
              <w:rPr>
                <w:rFonts w:ascii="Times New Roman" w:eastAsia="Times New Roman" w:hAnsi="Times New Roman" w:cs="Times New Roman"/>
                <w:sz w:val="28"/>
                <w:szCs w:val="28"/>
                <w:lang w:eastAsia="lv-LV"/>
              </w:rPr>
              <w:t>LATAK</w:t>
            </w:r>
            <w:r w:rsidR="000D2F45" w:rsidRPr="00CF2FEA">
              <w:rPr>
                <w:rFonts w:ascii="Times New Roman" w:eastAsia="Times New Roman" w:hAnsi="Times New Roman" w:cs="Times New Roman"/>
                <w:sz w:val="28"/>
                <w:szCs w:val="28"/>
                <w:lang w:eastAsia="lv-LV"/>
              </w:rPr>
              <w:t xml:space="preserve"> 66%</w:t>
            </w:r>
            <w:r w:rsidR="001B0A39" w:rsidRPr="00CF2FEA">
              <w:rPr>
                <w:rFonts w:ascii="Times New Roman" w:eastAsia="Times New Roman" w:hAnsi="Times New Roman" w:cs="Times New Roman"/>
                <w:sz w:val="28"/>
                <w:szCs w:val="28"/>
                <w:lang w:eastAsia="lv-LV"/>
              </w:rPr>
              <w:t xml:space="preserve">, kas </w:t>
            </w:r>
            <w:r w:rsidR="000D2F45" w:rsidRPr="00CF2FEA">
              <w:rPr>
                <w:rFonts w:ascii="Times New Roman" w:eastAsia="Times New Roman" w:hAnsi="Times New Roman" w:cs="Times New Roman"/>
                <w:sz w:val="28"/>
                <w:szCs w:val="28"/>
                <w:lang w:eastAsia="lv-LV"/>
              </w:rPr>
              <w:t>ir</w:t>
            </w:r>
            <w:r w:rsidR="001B0A39" w:rsidRPr="00CF2FEA">
              <w:rPr>
                <w:rFonts w:ascii="Times New Roman" w:eastAsia="Times New Roman" w:hAnsi="Times New Roman" w:cs="Times New Roman"/>
                <w:sz w:val="28"/>
                <w:szCs w:val="28"/>
                <w:lang w:eastAsia="lv-LV"/>
              </w:rPr>
              <w:t xml:space="preserve"> </w:t>
            </w:r>
            <w:r w:rsidR="000D2F45" w:rsidRPr="00CF2FEA">
              <w:rPr>
                <w:rFonts w:ascii="Times New Roman" w:eastAsia="Times New Roman" w:hAnsi="Times New Roman" w:cs="Times New Roman"/>
                <w:sz w:val="28"/>
                <w:szCs w:val="28"/>
                <w:lang w:eastAsia="lv-LV"/>
              </w:rPr>
              <w:t>36 738 euro, savukārt u</w:t>
            </w:r>
            <w:r w:rsidR="001B0A39" w:rsidRPr="00CF2FEA">
              <w:rPr>
                <w:rFonts w:ascii="Times New Roman" w:eastAsia="Times New Roman" w:hAnsi="Times New Roman" w:cs="Times New Roman"/>
                <w:sz w:val="28"/>
                <w:szCs w:val="28"/>
                <w:lang w:eastAsia="lv-LV"/>
              </w:rPr>
              <w:t xml:space="preserve">z </w:t>
            </w:r>
            <w:r w:rsidRPr="00CF2FEA">
              <w:rPr>
                <w:rFonts w:ascii="Times New Roman" w:eastAsia="Times New Roman" w:hAnsi="Times New Roman" w:cs="Times New Roman"/>
                <w:sz w:val="28"/>
                <w:szCs w:val="28"/>
                <w:lang w:eastAsia="lv-LV"/>
              </w:rPr>
              <w:t xml:space="preserve">abām </w:t>
            </w:r>
            <w:r w:rsidR="001B0A39" w:rsidRPr="00CF2FEA">
              <w:rPr>
                <w:rFonts w:ascii="Times New Roman" w:eastAsia="Times New Roman" w:hAnsi="Times New Roman" w:cs="Times New Roman"/>
                <w:sz w:val="28"/>
                <w:szCs w:val="28"/>
                <w:lang w:eastAsia="lv-LV"/>
              </w:rPr>
              <w:t xml:space="preserve">pārējām </w:t>
            </w:r>
            <w:r w:rsidR="000D2F45" w:rsidRPr="00CF2FEA">
              <w:rPr>
                <w:rFonts w:ascii="Times New Roman" w:eastAsia="Times New Roman" w:hAnsi="Times New Roman" w:cs="Times New Roman"/>
                <w:sz w:val="28"/>
                <w:szCs w:val="28"/>
                <w:lang w:eastAsia="lv-LV"/>
              </w:rPr>
              <w:t xml:space="preserve">Sabiedrības struktūrvienībām </w:t>
            </w:r>
            <w:r w:rsidR="0020596A" w:rsidRPr="00CF2FEA">
              <w:rPr>
                <w:rFonts w:ascii="Times New Roman" w:eastAsia="Times New Roman" w:hAnsi="Times New Roman" w:cs="Times New Roman"/>
                <w:sz w:val="28"/>
                <w:szCs w:val="28"/>
                <w:lang w:eastAsia="lv-LV"/>
              </w:rPr>
              <w:t>(</w:t>
            </w:r>
            <w:r w:rsidRPr="00CF2FEA">
              <w:rPr>
                <w:rFonts w:ascii="Times New Roman" w:eastAsia="Times New Roman" w:hAnsi="Times New Roman" w:cs="Times New Roman"/>
                <w:sz w:val="28"/>
                <w:szCs w:val="28"/>
                <w:lang w:eastAsia="lv-LV"/>
              </w:rPr>
              <w:t>Metroloģijas birojs un Standartizācijas birojs</w:t>
            </w:r>
            <w:r w:rsidR="0020596A" w:rsidRPr="00CF2FEA">
              <w:rPr>
                <w:rFonts w:ascii="Times New Roman" w:eastAsia="Times New Roman" w:hAnsi="Times New Roman" w:cs="Times New Roman"/>
                <w:sz w:val="28"/>
                <w:szCs w:val="28"/>
                <w:lang w:eastAsia="lv-LV"/>
              </w:rPr>
              <w:t xml:space="preserve">) </w:t>
            </w:r>
            <w:r w:rsidRPr="00CF2FEA">
              <w:rPr>
                <w:rFonts w:ascii="Times New Roman" w:eastAsia="Times New Roman" w:hAnsi="Times New Roman" w:cs="Times New Roman"/>
                <w:sz w:val="28"/>
                <w:szCs w:val="28"/>
                <w:lang w:eastAsia="lv-LV"/>
              </w:rPr>
              <w:t xml:space="preserve">kopā </w:t>
            </w:r>
            <w:r w:rsidR="000D2F45" w:rsidRPr="00CF2FEA">
              <w:rPr>
                <w:rFonts w:ascii="Times New Roman" w:eastAsia="Times New Roman" w:hAnsi="Times New Roman" w:cs="Times New Roman"/>
                <w:sz w:val="28"/>
                <w:szCs w:val="28"/>
                <w:lang w:eastAsia="lv-LV"/>
              </w:rPr>
              <w:t xml:space="preserve">ir attiecināma </w:t>
            </w:r>
            <w:r w:rsidR="001B0A39" w:rsidRPr="00CF2FEA">
              <w:rPr>
                <w:rFonts w:ascii="Times New Roman" w:eastAsia="Times New Roman" w:hAnsi="Times New Roman" w:cs="Times New Roman"/>
                <w:sz w:val="28"/>
                <w:szCs w:val="28"/>
                <w:lang w:eastAsia="lv-LV"/>
              </w:rPr>
              <w:t xml:space="preserve"> peļņa</w:t>
            </w:r>
            <w:r w:rsidR="000D2F45" w:rsidRPr="00CF2FEA">
              <w:rPr>
                <w:rFonts w:ascii="Times New Roman" w:eastAsia="Times New Roman" w:hAnsi="Times New Roman" w:cs="Times New Roman"/>
                <w:sz w:val="28"/>
                <w:szCs w:val="28"/>
                <w:lang w:eastAsia="lv-LV"/>
              </w:rPr>
              <w:t xml:space="preserve">s daļa </w:t>
            </w:r>
            <w:r w:rsidR="0069739F" w:rsidRPr="00CF2FEA">
              <w:rPr>
                <w:rFonts w:ascii="Times New Roman" w:eastAsia="Times New Roman" w:hAnsi="Times New Roman" w:cs="Times New Roman"/>
                <w:sz w:val="28"/>
                <w:szCs w:val="28"/>
                <w:lang w:eastAsia="lv-LV"/>
              </w:rPr>
              <w:t>3</w:t>
            </w:r>
            <w:r w:rsidR="000D2F45" w:rsidRPr="00CF2FEA">
              <w:rPr>
                <w:rFonts w:ascii="Times New Roman" w:eastAsia="Times New Roman" w:hAnsi="Times New Roman" w:cs="Times New Roman"/>
                <w:sz w:val="28"/>
                <w:szCs w:val="28"/>
                <w:lang w:eastAsia="lv-LV"/>
              </w:rPr>
              <w:t xml:space="preserve">4% apmērā, t.i., </w:t>
            </w:r>
            <w:r w:rsidR="001B0A39" w:rsidRPr="00CF2FEA">
              <w:rPr>
                <w:rFonts w:ascii="Times New Roman" w:eastAsia="Times New Roman" w:hAnsi="Times New Roman" w:cs="Times New Roman"/>
                <w:sz w:val="28"/>
                <w:szCs w:val="28"/>
                <w:lang w:eastAsia="lv-LV"/>
              </w:rPr>
              <w:t>19</w:t>
            </w:r>
            <w:r w:rsidR="000D2F45" w:rsidRPr="00CF2FEA">
              <w:rPr>
                <w:rFonts w:ascii="Times New Roman" w:eastAsia="Times New Roman" w:hAnsi="Times New Roman" w:cs="Times New Roman"/>
                <w:sz w:val="28"/>
                <w:szCs w:val="28"/>
                <w:lang w:eastAsia="lv-LV"/>
              </w:rPr>
              <w:t> 603 euro</w:t>
            </w:r>
            <w:r w:rsidR="001B0A39" w:rsidRPr="00CF2FEA">
              <w:rPr>
                <w:rFonts w:ascii="Times New Roman" w:eastAsia="Times New Roman" w:hAnsi="Times New Roman" w:cs="Times New Roman"/>
                <w:sz w:val="28"/>
                <w:szCs w:val="28"/>
                <w:lang w:eastAsia="lv-LV"/>
              </w:rPr>
              <w:t>.</w:t>
            </w:r>
          </w:p>
          <w:p w14:paraId="03009BCE" w14:textId="148CA6E1" w:rsidR="006E2148" w:rsidRPr="006E2148" w:rsidRDefault="006E2148" w:rsidP="006E2148">
            <w:pPr>
              <w:tabs>
                <w:tab w:val="num" w:pos="1140"/>
              </w:tabs>
              <w:spacing w:after="0" w:line="240" w:lineRule="auto"/>
              <w:ind w:firstLine="61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kārtējā dalībnieku sapulce 2015.gada 23.aprīlī pieņēma lēmumu, i</w:t>
            </w:r>
            <w:r w:rsidRPr="006E2148">
              <w:rPr>
                <w:rFonts w:ascii="Times New Roman" w:eastAsia="Times New Roman" w:hAnsi="Times New Roman" w:cs="Times New Roman"/>
                <w:sz w:val="28"/>
                <w:szCs w:val="28"/>
                <w:lang w:eastAsia="lv-LV"/>
              </w:rPr>
              <w:t xml:space="preserve">evērojot to, ka Sabiedrība 2014.gadu ir noslēgusi ar peļņu 56 341 euro apmērā, </w:t>
            </w:r>
            <w:r w:rsidR="0093383A">
              <w:rPr>
                <w:rFonts w:ascii="Times New Roman" w:eastAsia="Times New Roman" w:hAnsi="Times New Roman" w:cs="Times New Roman"/>
                <w:sz w:val="28"/>
                <w:szCs w:val="28"/>
                <w:lang w:eastAsia="lv-LV"/>
              </w:rPr>
              <w:t>bet</w:t>
            </w:r>
            <w:r w:rsidR="0093383A" w:rsidRPr="006E2148">
              <w:rPr>
                <w:rFonts w:ascii="Times New Roman" w:eastAsia="Times New Roman" w:hAnsi="Times New Roman" w:cs="Times New Roman"/>
                <w:sz w:val="28"/>
                <w:szCs w:val="28"/>
                <w:lang w:eastAsia="lv-LV"/>
              </w:rPr>
              <w:t xml:space="preserve"> </w:t>
            </w:r>
            <w:r w:rsidRPr="006E2148">
              <w:rPr>
                <w:rFonts w:ascii="Times New Roman" w:eastAsia="Times New Roman" w:hAnsi="Times New Roman" w:cs="Times New Roman"/>
                <w:sz w:val="28"/>
                <w:szCs w:val="28"/>
                <w:lang w:eastAsia="lv-LV"/>
              </w:rPr>
              <w:t>iepriekšējo gadu</w:t>
            </w:r>
            <w:r w:rsidR="0093383A">
              <w:rPr>
                <w:rFonts w:ascii="Times New Roman" w:eastAsia="Times New Roman" w:hAnsi="Times New Roman" w:cs="Times New Roman"/>
                <w:sz w:val="28"/>
                <w:szCs w:val="28"/>
                <w:lang w:eastAsia="lv-LV"/>
              </w:rPr>
              <w:t xml:space="preserve"> uzkrātie</w:t>
            </w:r>
            <w:r w:rsidRPr="006E2148">
              <w:rPr>
                <w:rFonts w:ascii="Times New Roman" w:eastAsia="Times New Roman" w:hAnsi="Times New Roman" w:cs="Times New Roman"/>
                <w:sz w:val="28"/>
                <w:szCs w:val="28"/>
                <w:lang w:eastAsia="lv-LV"/>
              </w:rPr>
              <w:t xml:space="preserve"> zaudējumi ir 36 565 euro, konceptuāli atbalstīt, ka Sabiedrības peļņas daļu, kas gūta no </w:t>
            </w:r>
            <w:r w:rsidR="00CF2FEA">
              <w:rPr>
                <w:rFonts w:ascii="Times New Roman" w:eastAsia="Times New Roman" w:hAnsi="Times New Roman" w:cs="Times New Roman"/>
                <w:sz w:val="28"/>
                <w:szCs w:val="28"/>
                <w:lang w:eastAsia="lv-LV"/>
              </w:rPr>
              <w:t>LATAK</w:t>
            </w:r>
            <w:r w:rsidRPr="006E2148">
              <w:rPr>
                <w:rFonts w:ascii="Times New Roman" w:eastAsia="Times New Roman" w:hAnsi="Times New Roman" w:cs="Times New Roman"/>
                <w:sz w:val="28"/>
                <w:szCs w:val="28"/>
                <w:lang w:eastAsia="lv-LV"/>
              </w:rPr>
              <w:t xml:space="preserve"> ienākumiem, novirzīt </w:t>
            </w:r>
            <w:r w:rsidR="00CF2FEA">
              <w:rPr>
                <w:rFonts w:ascii="Times New Roman" w:eastAsia="Times New Roman" w:hAnsi="Times New Roman" w:cs="Times New Roman"/>
                <w:sz w:val="28"/>
                <w:szCs w:val="28"/>
                <w:lang w:eastAsia="lv-LV"/>
              </w:rPr>
              <w:t xml:space="preserve">LATAK </w:t>
            </w:r>
            <w:r w:rsidRPr="006E2148">
              <w:rPr>
                <w:rFonts w:ascii="Times New Roman" w:eastAsia="Times New Roman" w:hAnsi="Times New Roman" w:cs="Times New Roman"/>
                <w:sz w:val="28"/>
                <w:szCs w:val="28"/>
                <w:lang w:eastAsia="lv-LV"/>
              </w:rPr>
              <w:t xml:space="preserve">akreditācijas procesu un atbalsta informatīvās sistēmas projekta ieviešanai, savukārt peļņas daļu, kas gūta no pārējo Sabiedrības struktūrvienību ienākumiem, novirzīt Sabiedrības zaudējumu segšanai. </w:t>
            </w:r>
            <w:r>
              <w:rPr>
                <w:rFonts w:ascii="Times New Roman" w:eastAsia="Times New Roman" w:hAnsi="Times New Roman" w:cs="Times New Roman"/>
                <w:sz w:val="28"/>
                <w:szCs w:val="28"/>
                <w:lang w:eastAsia="lv-LV"/>
              </w:rPr>
              <w:t>Vienlaikus arī nolēma v</w:t>
            </w:r>
            <w:r w:rsidRPr="006E2148">
              <w:rPr>
                <w:rFonts w:ascii="Times New Roman" w:eastAsia="Times New Roman" w:hAnsi="Times New Roman" w:cs="Times New Roman"/>
                <w:sz w:val="28"/>
                <w:szCs w:val="28"/>
                <w:lang w:eastAsia="lv-LV"/>
              </w:rPr>
              <w:t xml:space="preserve">irzīt izskatīšanai Ministru kabinetā priekšlikumu par atšķirīgas dividendēs izmaksājamās minimālās peļņas daļas noteikšanu (0% apmērā), lūdzot noteikt, ka Sabiedrībai nav jāmaksā dividendes no tīrās peļņas par 2014.gadu, un Ekonomikas ministrijai kā Sabiedrības kapitāla daļu turētājai nodrošināt, ka Sabiedrības 2014.gadā gūtā peļņa tiek novirzīta </w:t>
            </w:r>
            <w:r>
              <w:rPr>
                <w:rFonts w:ascii="Times New Roman" w:eastAsia="Times New Roman" w:hAnsi="Times New Roman" w:cs="Times New Roman"/>
                <w:sz w:val="28"/>
                <w:szCs w:val="28"/>
                <w:lang w:eastAsia="lv-LV"/>
              </w:rPr>
              <w:t>iepriekš</w:t>
            </w:r>
            <w:r w:rsidRPr="006E2148">
              <w:rPr>
                <w:rFonts w:ascii="Times New Roman" w:eastAsia="Times New Roman" w:hAnsi="Times New Roman" w:cs="Times New Roman"/>
                <w:sz w:val="28"/>
                <w:szCs w:val="28"/>
                <w:lang w:eastAsia="lv-LV"/>
              </w:rPr>
              <w:t xml:space="preserve"> minētajiem mērķiem. Lēmumu par Sabiedrības peļņas izlietošanu pieņemt pēc attiecīga Minis</w:t>
            </w:r>
            <w:r w:rsidR="00183D55">
              <w:rPr>
                <w:rFonts w:ascii="Times New Roman" w:eastAsia="Times New Roman" w:hAnsi="Times New Roman" w:cs="Times New Roman"/>
                <w:sz w:val="28"/>
                <w:szCs w:val="28"/>
                <w:lang w:eastAsia="lv-LV"/>
              </w:rPr>
              <w:t>tru kabineta lēmuma pieņemšanas (saskaņā ar Publiskas perosnas kapitāla daļu un kapitālsabiedrību pārvaldības likuma 66.panta pirmās daļas otro punktu t</w:t>
            </w:r>
            <w:r w:rsidR="00183D55" w:rsidRPr="00183D55">
              <w:rPr>
                <w:rFonts w:ascii="Times New Roman" w:eastAsia="Times New Roman" w:hAnsi="Times New Roman" w:cs="Times New Roman"/>
                <w:sz w:val="28"/>
                <w:szCs w:val="28"/>
                <w:lang w:eastAsia="lv-LV"/>
              </w:rPr>
              <w:t>ikai dalībnieku sapu</w:t>
            </w:r>
            <w:r w:rsidR="00183D55">
              <w:rPr>
                <w:rFonts w:ascii="Times New Roman" w:eastAsia="Times New Roman" w:hAnsi="Times New Roman" w:cs="Times New Roman"/>
                <w:sz w:val="28"/>
                <w:szCs w:val="28"/>
                <w:lang w:eastAsia="lv-LV"/>
              </w:rPr>
              <w:t>lcei ir tiesības pieņemt lēmumu</w:t>
            </w:r>
            <w:r w:rsidR="00183D55" w:rsidRPr="00183D55">
              <w:rPr>
                <w:rFonts w:ascii="Times New Roman" w:eastAsia="Times New Roman" w:hAnsi="Times New Roman" w:cs="Times New Roman"/>
                <w:sz w:val="28"/>
                <w:szCs w:val="28"/>
                <w:lang w:eastAsia="lv-LV"/>
              </w:rPr>
              <w:t xml:space="preserve"> par</w:t>
            </w:r>
            <w:r w:rsidR="00183D55">
              <w:rPr>
                <w:rFonts w:ascii="Times New Roman" w:eastAsia="Times New Roman" w:hAnsi="Times New Roman" w:cs="Times New Roman"/>
                <w:sz w:val="28"/>
                <w:szCs w:val="28"/>
                <w:lang w:eastAsia="lv-LV"/>
              </w:rPr>
              <w:t xml:space="preserve"> peļņas izlietošanu).</w:t>
            </w:r>
          </w:p>
          <w:p w14:paraId="4965E821" w14:textId="77777777" w:rsidR="001B0A39" w:rsidRPr="001B0A39" w:rsidRDefault="001B0A39" w:rsidP="004173A7">
            <w:pPr>
              <w:spacing w:after="0" w:line="240" w:lineRule="auto"/>
              <w:ind w:firstLine="474"/>
              <w:jc w:val="both"/>
              <w:rPr>
                <w:rFonts w:ascii="Times New Roman" w:eastAsia="Times New Roman" w:hAnsi="Times New Roman" w:cs="Times New Roman"/>
                <w:sz w:val="28"/>
                <w:szCs w:val="28"/>
                <w:u w:val="single"/>
                <w:lang w:eastAsia="lv-LV"/>
              </w:rPr>
            </w:pPr>
            <w:r w:rsidRPr="001B0A39">
              <w:rPr>
                <w:rFonts w:ascii="Times New Roman" w:eastAsia="Times New Roman" w:hAnsi="Times New Roman" w:cs="Times New Roman"/>
                <w:sz w:val="28"/>
                <w:szCs w:val="28"/>
                <w:u w:val="single"/>
                <w:lang w:eastAsia="lv-LV"/>
              </w:rPr>
              <w:t>Risināmie jautājumi:</w:t>
            </w:r>
          </w:p>
          <w:p w14:paraId="65871FF7" w14:textId="77777777" w:rsidR="001B0A39" w:rsidRPr="00E81C26" w:rsidRDefault="001B0A39" w:rsidP="00E81C26">
            <w:pPr>
              <w:pStyle w:val="ListParagraph"/>
              <w:numPr>
                <w:ilvl w:val="0"/>
                <w:numId w:val="3"/>
              </w:numPr>
              <w:tabs>
                <w:tab w:val="left" w:pos="1041"/>
              </w:tabs>
              <w:spacing w:after="0" w:line="240" w:lineRule="auto"/>
              <w:ind w:left="48" w:firstLine="553"/>
              <w:jc w:val="both"/>
              <w:rPr>
                <w:rFonts w:ascii="Times New Roman" w:eastAsia="Times New Roman" w:hAnsi="Times New Roman"/>
                <w:sz w:val="28"/>
                <w:szCs w:val="28"/>
                <w:lang w:eastAsia="lv-LV"/>
              </w:rPr>
            </w:pPr>
            <w:r w:rsidRPr="00E81C26">
              <w:rPr>
                <w:rFonts w:ascii="Times New Roman" w:eastAsia="Times New Roman" w:hAnsi="Times New Roman"/>
                <w:sz w:val="28"/>
                <w:szCs w:val="28"/>
                <w:lang w:eastAsia="lv-LV"/>
              </w:rPr>
              <w:t xml:space="preserve">Valstij izmaksājot dividendēs </w:t>
            </w:r>
            <w:r w:rsidR="004173A7" w:rsidRPr="00E81C26">
              <w:rPr>
                <w:rFonts w:ascii="Times New Roman" w:eastAsia="Times New Roman" w:hAnsi="Times New Roman"/>
                <w:sz w:val="28"/>
                <w:szCs w:val="28"/>
                <w:lang w:eastAsia="lv-LV"/>
              </w:rPr>
              <w:t>S</w:t>
            </w:r>
            <w:r w:rsidR="00480A8F" w:rsidRPr="00E81C26">
              <w:rPr>
                <w:rFonts w:ascii="Times New Roman" w:eastAsia="Times New Roman" w:hAnsi="Times New Roman"/>
                <w:sz w:val="28"/>
                <w:szCs w:val="28"/>
                <w:lang w:eastAsia="lv-LV"/>
              </w:rPr>
              <w:t>abiedrības</w:t>
            </w:r>
            <w:r w:rsidRPr="00E81C26">
              <w:rPr>
                <w:rFonts w:ascii="Times New Roman" w:eastAsia="Times New Roman" w:hAnsi="Times New Roman"/>
                <w:sz w:val="28"/>
                <w:szCs w:val="28"/>
                <w:lang w:eastAsia="lv-LV"/>
              </w:rPr>
              <w:t xml:space="preserve"> 2014.gadā gūtās peļņas daļu, </w:t>
            </w:r>
            <w:r w:rsidR="00A81D50" w:rsidRPr="00E81C26">
              <w:rPr>
                <w:rFonts w:ascii="Times New Roman" w:eastAsia="Times New Roman" w:hAnsi="Times New Roman"/>
                <w:sz w:val="28"/>
                <w:szCs w:val="28"/>
                <w:lang w:eastAsia="lv-LV"/>
              </w:rPr>
              <w:t xml:space="preserve">kas gūta no LATAK ieņēmumiem, </w:t>
            </w:r>
            <w:r w:rsidRPr="00E81C26">
              <w:rPr>
                <w:rFonts w:ascii="Times New Roman" w:eastAsia="Times New Roman" w:hAnsi="Times New Roman"/>
                <w:sz w:val="28"/>
                <w:szCs w:val="28"/>
                <w:lang w:eastAsia="lv-LV"/>
              </w:rPr>
              <w:t>rodas tiesību kolīzija ar Eiropas Savienības tiešās piemērojamības tiesību akta prasībām, kas attiecas uz LATAK darbības principiem.</w:t>
            </w:r>
          </w:p>
          <w:p w14:paraId="0BE23FBE" w14:textId="1FD8A4C4" w:rsidR="001B0A39" w:rsidRDefault="001B0A39" w:rsidP="001B0A39">
            <w:pPr>
              <w:spacing w:after="0" w:line="240" w:lineRule="auto"/>
              <w:ind w:firstLine="601"/>
              <w:jc w:val="both"/>
              <w:rPr>
                <w:rFonts w:ascii="Times New Roman" w:eastAsia="Times New Roman" w:hAnsi="Times New Roman" w:cs="Times New Roman"/>
                <w:sz w:val="28"/>
                <w:szCs w:val="28"/>
                <w:lang w:eastAsia="lv-LV"/>
              </w:rPr>
            </w:pPr>
            <w:r w:rsidRPr="001B0A39">
              <w:rPr>
                <w:rFonts w:ascii="Times New Roman" w:eastAsia="Times New Roman" w:hAnsi="Times New Roman" w:cs="Times New Roman"/>
                <w:sz w:val="28"/>
                <w:szCs w:val="28"/>
                <w:lang w:eastAsia="lv-LV"/>
              </w:rPr>
              <w:t>Regula</w:t>
            </w:r>
            <w:r w:rsidR="00377B9D">
              <w:rPr>
                <w:rFonts w:ascii="Times New Roman" w:eastAsia="Times New Roman" w:hAnsi="Times New Roman" w:cs="Times New Roman"/>
                <w:sz w:val="28"/>
                <w:szCs w:val="28"/>
                <w:lang w:eastAsia="lv-LV"/>
              </w:rPr>
              <w:t>s (ES) Nr.765/2008</w:t>
            </w:r>
            <w:r w:rsidRPr="001B0A39">
              <w:rPr>
                <w:rFonts w:ascii="Times New Roman" w:eastAsia="Times New Roman" w:hAnsi="Times New Roman" w:cs="Times New Roman"/>
                <w:sz w:val="28"/>
                <w:szCs w:val="28"/>
                <w:lang w:eastAsia="lv-LV"/>
              </w:rPr>
              <w:t xml:space="preserve"> 4.panta 7.punkts paredz, ka valsts nacionālā akreditācijas institūcija savā darbībā ievēro bezpeļņas principu. Regulas </w:t>
            </w:r>
            <w:r w:rsidRPr="001B0A39">
              <w:rPr>
                <w:rFonts w:ascii="Times New Roman" w:eastAsia="Times New Roman" w:hAnsi="Times New Roman" w:cs="Times New Roman"/>
                <w:sz w:val="28"/>
                <w:szCs w:val="28"/>
                <w:lang w:eastAsia="lv-LV"/>
              </w:rPr>
              <w:lastRenderedPageBreak/>
              <w:t xml:space="preserve">(ES) Nr.765/2008 </w:t>
            </w:r>
            <w:r w:rsidR="00480A8F">
              <w:rPr>
                <w:rFonts w:ascii="Times New Roman" w:eastAsia="Times New Roman" w:hAnsi="Times New Roman" w:cs="Times New Roman"/>
                <w:sz w:val="28"/>
                <w:szCs w:val="28"/>
                <w:lang w:eastAsia="lv-LV"/>
              </w:rPr>
              <w:t>preambulas 14.apsvērums</w:t>
            </w:r>
            <w:r w:rsidRPr="001B0A39">
              <w:rPr>
                <w:rFonts w:ascii="Times New Roman" w:eastAsia="Times New Roman" w:hAnsi="Times New Roman" w:cs="Times New Roman"/>
                <w:sz w:val="28"/>
                <w:szCs w:val="28"/>
                <w:lang w:eastAsia="lv-LV"/>
              </w:rPr>
              <w:t xml:space="preserve">  skaidro bezpeļņas darbības būtību, proti, valsts nacionālās akreditācijas institūcijas bezp</w:t>
            </w:r>
            <w:r w:rsidR="00A81D50">
              <w:rPr>
                <w:rFonts w:ascii="Times New Roman" w:eastAsia="Times New Roman" w:hAnsi="Times New Roman" w:cs="Times New Roman"/>
                <w:sz w:val="28"/>
                <w:szCs w:val="28"/>
                <w:lang w:eastAsia="lv-LV"/>
              </w:rPr>
              <w:t xml:space="preserve">eļņas darbība būtu jāsaprot kā </w:t>
            </w:r>
            <w:r w:rsidRPr="001B0A39">
              <w:rPr>
                <w:rFonts w:ascii="Times New Roman" w:eastAsia="Times New Roman" w:hAnsi="Times New Roman" w:cs="Times New Roman"/>
                <w:sz w:val="28"/>
                <w:szCs w:val="28"/>
                <w:lang w:eastAsia="lv-LV"/>
              </w:rPr>
              <w:t>darbība, kuras mērķis nav saņemt jebkādus ieguvumus, lai palielinātu organizācijas īpašnieku vai biedru līdzekļus. Kaut gan šo struktūru mērķis nav peļņas palielināšana vai sadalīšana, tās var sniegt pakalpojumus par samaksu vai saņemt ienākumus. Šādu pakalpojumu radīto ieņēmumu pārpalikumu var izmantot ieguldījumiem, lai tālāk attīstītu valsts akreditācijas struktūru darbību, ciktāl tas atbilst šīs struktūras galvenajiem darbības virzieniem. Būtu jāuzsver, ka valsts akreditācijas struktūru galvenajam mērķim vajadzētu būt atbalstīt darbības, kas nav paredzētas peļņas iegūšanai, vai aktīvi tajās iesaist</w:t>
            </w:r>
            <w:r w:rsidR="00A81D50">
              <w:rPr>
                <w:rFonts w:ascii="Times New Roman" w:eastAsia="Times New Roman" w:hAnsi="Times New Roman" w:cs="Times New Roman"/>
                <w:sz w:val="28"/>
                <w:szCs w:val="28"/>
                <w:lang w:eastAsia="lv-LV"/>
              </w:rPr>
              <w:t>īties</w:t>
            </w:r>
            <w:r w:rsidRPr="001B0A39">
              <w:rPr>
                <w:rFonts w:ascii="Times New Roman" w:eastAsia="Times New Roman" w:hAnsi="Times New Roman" w:cs="Times New Roman"/>
                <w:sz w:val="28"/>
                <w:szCs w:val="28"/>
                <w:lang w:eastAsia="lv-LV"/>
              </w:rPr>
              <w:t>.</w:t>
            </w:r>
          </w:p>
          <w:p w14:paraId="01B41CEA" w14:textId="1427C5F3" w:rsidR="00480A8F" w:rsidRPr="009547B8" w:rsidRDefault="00480A8F" w:rsidP="001B0A39">
            <w:pPr>
              <w:spacing w:after="0" w:line="240" w:lineRule="auto"/>
              <w:ind w:firstLine="601"/>
              <w:jc w:val="both"/>
              <w:rPr>
                <w:rFonts w:ascii="Times New Roman" w:eastAsia="Times New Roman" w:hAnsi="Times New Roman" w:cs="Times New Roman"/>
                <w:sz w:val="28"/>
                <w:szCs w:val="28"/>
                <w:lang w:eastAsia="lv-LV"/>
              </w:rPr>
            </w:pPr>
            <w:r w:rsidRPr="009547B8">
              <w:rPr>
                <w:rFonts w:ascii="Times New Roman" w:eastAsia="Times New Roman" w:hAnsi="Times New Roman" w:cs="Times New Roman"/>
                <w:sz w:val="28"/>
                <w:szCs w:val="28"/>
                <w:lang w:eastAsia="lv-LV"/>
              </w:rPr>
              <w:t>L</w:t>
            </w:r>
            <w:r w:rsidR="00A81D50" w:rsidRPr="009547B8">
              <w:rPr>
                <w:rFonts w:ascii="Times New Roman" w:eastAsia="Times New Roman" w:hAnsi="Times New Roman" w:cs="Times New Roman"/>
                <w:sz w:val="28"/>
                <w:szCs w:val="28"/>
                <w:lang w:eastAsia="lv-LV"/>
              </w:rPr>
              <w:t>īdz ar to Sabiedrības peļņas daļ</w:t>
            </w:r>
            <w:r w:rsidRPr="009547B8">
              <w:rPr>
                <w:rFonts w:ascii="Times New Roman" w:eastAsia="Times New Roman" w:hAnsi="Times New Roman" w:cs="Times New Roman"/>
                <w:sz w:val="28"/>
                <w:szCs w:val="28"/>
                <w:lang w:eastAsia="lv-LV"/>
              </w:rPr>
              <w:t xml:space="preserve">a 36 738 </w:t>
            </w:r>
            <w:r w:rsidRPr="009547B8">
              <w:rPr>
                <w:rFonts w:ascii="Times New Roman" w:eastAsia="Times New Roman" w:hAnsi="Times New Roman" w:cs="Times New Roman"/>
                <w:i/>
                <w:sz w:val="28"/>
                <w:szCs w:val="28"/>
                <w:lang w:eastAsia="lv-LV"/>
              </w:rPr>
              <w:t>euro</w:t>
            </w:r>
            <w:r w:rsidRPr="009547B8">
              <w:rPr>
                <w:rFonts w:ascii="Times New Roman" w:eastAsia="Times New Roman" w:hAnsi="Times New Roman" w:cs="Times New Roman"/>
                <w:sz w:val="28"/>
                <w:szCs w:val="28"/>
                <w:lang w:eastAsia="lv-LV"/>
              </w:rPr>
              <w:t xml:space="preserve">, kas gūta no </w:t>
            </w:r>
            <w:r w:rsidR="008B181B">
              <w:rPr>
                <w:rFonts w:ascii="Times New Roman" w:eastAsia="Times New Roman" w:hAnsi="Times New Roman" w:cs="Times New Roman"/>
                <w:sz w:val="28"/>
                <w:szCs w:val="28"/>
                <w:lang w:eastAsia="lv-LV"/>
              </w:rPr>
              <w:t>LATAK</w:t>
            </w:r>
            <w:r w:rsidRPr="009547B8">
              <w:rPr>
                <w:rFonts w:ascii="Times New Roman" w:eastAsia="Times New Roman" w:hAnsi="Times New Roman" w:cs="Times New Roman"/>
                <w:sz w:val="28"/>
                <w:szCs w:val="28"/>
                <w:lang w:eastAsia="lv-LV"/>
              </w:rPr>
              <w:t xml:space="preserve"> ienākumiem, novirzāma </w:t>
            </w:r>
            <w:r w:rsidR="008B181B">
              <w:rPr>
                <w:rFonts w:ascii="Times New Roman" w:eastAsia="Times New Roman" w:hAnsi="Times New Roman" w:cs="Times New Roman"/>
                <w:sz w:val="28"/>
                <w:szCs w:val="28"/>
                <w:lang w:eastAsia="lv-LV"/>
              </w:rPr>
              <w:t>LATAK</w:t>
            </w:r>
            <w:r w:rsidRPr="009547B8">
              <w:rPr>
                <w:rFonts w:ascii="Times New Roman" w:eastAsia="Times New Roman" w:hAnsi="Times New Roman" w:cs="Times New Roman"/>
                <w:sz w:val="28"/>
                <w:szCs w:val="28"/>
                <w:lang w:eastAsia="lv-LV"/>
              </w:rPr>
              <w:t xml:space="preserve"> akreditācijas procesu un atbalsta informatīvās sistēmas projekta ieviešanai.</w:t>
            </w:r>
          </w:p>
          <w:p w14:paraId="1FA9B47A" w14:textId="77777777" w:rsidR="004173A7" w:rsidRPr="00210F27" w:rsidRDefault="004173A7" w:rsidP="004173A7">
            <w:pPr>
              <w:spacing w:after="0" w:line="240" w:lineRule="auto"/>
              <w:ind w:firstLine="601"/>
              <w:jc w:val="both"/>
              <w:rPr>
                <w:rFonts w:ascii="Times New Roman" w:eastAsia="Times New Roman" w:hAnsi="Times New Roman" w:cs="Times New Roman"/>
                <w:sz w:val="28"/>
                <w:szCs w:val="28"/>
                <w:lang w:eastAsia="lv-LV"/>
              </w:rPr>
            </w:pPr>
            <w:r w:rsidRPr="00210F27">
              <w:rPr>
                <w:rFonts w:ascii="Times New Roman" w:eastAsia="Times New Roman" w:hAnsi="Times New Roman" w:cs="Times New Roman"/>
                <w:sz w:val="28"/>
                <w:szCs w:val="28"/>
                <w:lang w:eastAsia="lv-LV"/>
              </w:rPr>
              <w:t>2015.gadā plānots uzsākt LATAK klientu pārvaldības un biznesa procesu automatizācijas projekta tehniskās specifikācijas izstrādi, kā arī veikt iepirkumu par investīciju projekta izstrādi. Investīciju projekta specifikācijas izstrādei un projekta realizācijai 2015.gadā provizoriskā investīciju ieguldījumu summa plānota 77 000 euro. Projekta  izstrādes un ieviešanas kopējās izmaksas sagaidāmas apmēram 140 000 euro, papildus tehniskā aprīkojuma iepirkums apmēram 80 000 euro. Sabiedrībai nepieciešams saglabāt likviditāti un nodrošināt projekta realizācijai nepieciešamo finanšu līdzekļu apjomu.</w:t>
            </w:r>
          </w:p>
          <w:p w14:paraId="74D9BC61" w14:textId="5535C2B3" w:rsidR="001B0A39" w:rsidRPr="00210F27" w:rsidRDefault="00D1158E" w:rsidP="00D1158E">
            <w:pPr>
              <w:tabs>
                <w:tab w:val="left" w:pos="1116"/>
              </w:tabs>
              <w:spacing w:after="0" w:line="240" w:lineRule="auto"/>
              <w:ind w:firstLine="60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Attiecībā uz Sabiedrības</w:t>
            </w:r>
            <w:r w:rsidR="001B0A39" w:rsidRPr="00210F27">
              <w:rPr>
                <w:rFonts w:ascii="Times New Roman" w:eastAsia="Times New Roman" w:hAnsi="Times New Roman" w:cs="Times New Roman"/>
                <w:sz w:val="28"/>
                <w:szCs w:val="28"/>
                <w:lang w:eastAsia="lv-LV"/>
              </w:rPr>
              <w:t xml:space="preserve"> darbību Komercdarbības atbalsta kontroles likumā noteiktās normas piemērojamas vienlaikus</w:t>
            </w:r>
            <w:r w:rsidR="00377B9D">
              <w:rPr>
                <w:rFonts w:ascii="Times New Roman" w:eastAsia="Times New Roman" w:hAnsi="Times New Roman" w:cs="Times New Roman"/>
                <w:sz w:val="28"/>
                <w:szCs w:val="28"/>
                <w:lang w:eastAsia="lv-LV"/>
              </w:rPr>
              <w:t>,</w:t>
            </w:r>
            <w:r w:rsidR="001B0A39" w:rsidRPr="00210F2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ņemot vērā, ka Sabiedrība</w:t>
            </w:r>
            <w:r w:rsidR="001B0A39" w:rsidRPr="00210F27">
              <w:rPr>
                <w:rFonts w:ascii="Times New Roman" w:eastAsia="Times New Roman" w:hAnsi="Times New Roman" w:cs="Times New Roman"/>
                <w:sz w:val="28"/>
                <w:szCs w:val="28"/>
                <w:lang w:eastAsia="lv-LV"/>
              </w:rPr>
              <w:t xml:space="preserve"> pēc būtības</w:t>
            </w:r>
            <w:r w:rsidR="008B181B">
              <w:rPr>
                <w:rFonts w:ascii="Times New Roman" w:eastAsia="Times New Roman" w:hAnsi="Times New Roman" w:cs="Times New Roman"/>
                <w:sz w:val="28"/>
                <w:szCs w:val="28"/>
                <w:lang w:eastAsia="lv-LV"/>
              </w:rPr>
              <w:t>,</w:t>
            </w:r>
            <w:r w:rsidR="001B0A39" w:rsidRPr="00210F27">
              <w:rPr>
                <w:rFonts w:ascii="Times New Roman" w:eastAsia="Times New Roman" w:hAnsi="Times New Roman" w:cs="Times New Roman"/>
                <w:sz w:val="28"/>
                <w:szCs w:val="28"/>
                <w:lang w:eastAsia="lv-LV"/>
              </w:rPr>
              <w:t xml:space="preserve"> pirmkārt</w:t>
            </w:r>
            <w:r w:rsidR="008B181B">
              <w:rPr>
                <w:rFonts w:ascii="Times New Roman" w:eastAsia="Times New Roman" w:hAnsi="Times New Roman" w:cs="Times New Roman"/>
                <w:sz w:val="28"/>
                <w:szCs w:val="28"/>
                <w:lang w:eastAsia="lv-LV"/>
              </w:rPr>
              <w:t>,</w:t>
            </w:r>
            <w:r w:rsidR="001B0A39" w:rsidRPr="00210F27">
              <w:rPr>
                <w:rFonts w:ascii="Times New Roman" w:eastAsia="Times New Roman" w:hAnsi="Times New Roman" w:cs="Times New Roman"/>
                <w:sz w:val="28"/>
                <w:szCs w:val="28"/>
                <w:lang w:eastAsia="lv-LV"/>
              </w:rPr>
              <w:t xml:space="preserve"> veic valsts </w:t>
            </w:r>
            <w:r>
              <w:rPr>
                <w:rFonts w:ascii="Times New Roman" w:eastAsia="Times New Roman" w:hAnsi="Times New Roman" w:cs="Times New Roman"/>
                <w:sz w:val="28"/>
                <w:szCs w:val="28"/>
                <w:lang w:eastAsia="lv-LV"/>
              </w:rPr>
              <w:t>pārvaldes</w:t>
            </w:r>
            <w:r w:rsidR="001B0A39" w:rsidRPr="00210F27">
              <w:rPr>
                <w:rFonts w:ascii="Times New Roman" w:eastAsia="Times New Roman" w:hAnsi="Times New Roman" w:cs="Times New Roman"/>
                <w:sz w:val="28"/>
                <w:szCs w:val="28"/>
                <w:lang w:eastAsia="lv-LV"/>
              </w:rPr>
              <w:t xml:space="preserve"> uzdevumus saskaņā ar Standartizācijas likumā, likumā „Par atbilstības novērtēšanu” un likumā „Par mērījumu vienotību” ietverto deleģējumu.</w:t>
            </w:r>
          </w:p>
          <w:p w14:paraId="601CDB0F" w14:textId="2EBBB681" w:rsidR="00FF5633" w:rsidRDefault="001B0A39" w:rsidP="00D1158E">
            <w:pPr>
              <w:pStyle w:val="ListParagraph"/>
              <w:spacing w:after="0" w:line="240" w:lineRule="auto"/>
              <w:ind w:left="0" w:firstLine="615"/>
              <w:jc w:val="both"/>
              <w:rPr>
                <w:rFonts w:ascii="Times New Roman" w:eastAsia="Times New Roman" w:hAnsi="Times New Roman"/>
                <w:sz w:val="28"/>
                <w:szCs w:val="28"/>
                <w:lang w:eastAsia="lv-LV"/>
              </w:rPr>
            </w:pPr>
            <w:r w:rsidRPr="00210F27">
              <w:rPr>
                <w:rFonts w:ascii="Times New Roman" w:eastAsia="Times New Roman" w:hAnsi="Times New Roman"/>
                <w:sz w:val="28"/>
                <w:szCs w:val="28"/>
                <w:lang w:eastAsia="lv-LV"/>
              </w:rPr>
              <w:t>Saskaņā ar iepriekšminētajiem nozares likumiem un starptautiskaji</w:t>
            </w:r>
            <w:r w:rsidR="00D1158E">
              <w:rPr>
                <w:rFonts w:ascii="Times New Roman" w:eastAsia="Times New Roman" w:hAnsi="Times New Roman"/>
                <w:sz w:val="28"/>
                <w:szCs w:val="28"/>
                <w:lang w:eastAsia="lv-LV"/>
              </w:rPr>
              <w:t xml:space="preserve">em normatīvajiem </w:t>
            </w:r>
            <w:r w:rsidR="00D1158E">
              <w:rPr>
                <w:rFonts w:ascii="Times New Roman" w:eastAsia="Times New Roman" w:hAnsi="Times New Roman"/>
                <w:sz w:val="28"/>
                <w:szCs w:val="28"/>
                <w:lang w:eastAsia="lv-LV"/>
              </w:rPr>
              <w:lastRenderedPageBreak/>
              <w:t>aktiem Sabiedrība</w:t>
            </w:r>
            <w:r w:rsidRPr="00210F27">
              <w:rPr>
                <w:rFonts w:ascii="Times New Roman" w:eastAsia="Times New Roman" w:hAnsi="Times New Roman"/>
                <w:sz w:val="28"/>
                <w:szCs w:val="28"/>
                <w:lang w:eastAsia="lv-LV"/>
              </w:rPr>
              <w:t xml:space="preserve"> nekonkurē privātajā sektorā, bet nodrošina valsts </w:t>
            </w:r>
            <w:r w:rsidR="00D1158E">
              <w:rPr>
                <w:rFonts w:ascii="Times New Roman" w:eastAsia="Times New Roman" w:hAnsi="Times New Roman"/>
                <w:sz w:val="28"/>
                <w:szCs w:val="28"/>
                <w:lang w:eastAsia="lv-LV"/>
              </w:rPr>
              <w:t>pārvaldes uzdevumu</w:t>
            </w:r>
            <w:r w:rsidRPr="00210F27">
              <w:rPr>
                <w:rFonts w:ascii="Times New Roman" w:eastAsia="Times New Roman" w:hAnsi="Times New Roman"/>
                <w:sz w:val="28"/>
                <w:szCs w:val="28"/>
                <w:lang w:eastAsia="lv-LV"/>
              </w:rPr>
              <w:t xml:space="preserve"> veikšanu standartizācijas, akreditācijas un metroloģijas jomās, kas netieši ietekmē Latvijas komersantu konkurētspēju, kā arī valsts institūci</w:t>
            </w:r>
            <w:r w:rsidR="00D1158E">
              <w:rPr>
                <w:rFonts w:ascii="Times New Roman" w:eastAsia="Times New Roman" w:hAnsi="Times New Roman"/>
                <w:sz w:val="28"/>
                <w:szCs w:val="28"/>
                <w:lang w:eastAsia="lv-LV"/>
              </w:rPr>
              <w:t>ju darbību, kas izmanto Sabiedrības</w:t>
            </w:r>
            <w:r w:rsidRPr="00210F27">
              <w:rPr>
                <w:rFonts w:ascii="Times New Roman" w:eastAsia="Times New Roman" w:hAnsi="Times New Roman"/>
                <w:sz w:val="28"/>
                <w:szCs w:val="28"/>
                <w:lang w:eastAsia="lv-LV"/>
              </w:rPr>
              <w:t xml:space="preserve"> pakalpojumus standartizācijas, akreditācijas un metroloģijas jomās.</w:t>
            </w:r>
          </w:p>
          <w:p w14:paraId="70860AE0" w14:textId="43B62508" w:rsidR="00E50B7B" w:rsidRDefault="003A45ED" w:rsidP="003A45ED">
            <w:pPr>
              <w:spacing w:after="0" w:line="240" w:lineRule="auto"/>
              <w:ind w:firstLine="601"/>
              <w:jc w:val="both"/>
              <w:rPr>
                <w:rFonts w:ascii="Times New Roman" w:eastAsia="Times New Roman" w:hAnsi="Times New Roman"/>
                <w:sz w:val="28"/>
                <w:szCs w:val="28"/>
                <w:lang w:eastAsia="lv-LV"/>
              </w:rPr>
            </w:pPr>
            <w:r>
              <w:rPr>
                <w:rFonts w:ascii="Times New Roman" w:eastAsia="Times New Roman" w:hAnsi="Times New Roman" w:cs="Times New Roman"/>
                <w:sz w:val="28"/>
                <w:szCs w:val="28"/>
                <w:lang w:eastAsia="lv-LV"/>
              </w:rPr>
              <w:t>Pēc apstiprinātā Sabiedrības 2014.gada pārskata S</w:t>
            </w:r>
            <w:r w:rsidRPr="003A45ED">
              <w:rPr>
                <w:rFonts w:ascii="Times New Roman" w:eastAsia="Times New Roman" w:hAnsi="Times New Roman" w:cs="Times New Roman"/>
                <w:sz w:val="28"/>
                <w:szCs w:val="28"/>
                <w:lang w:eastAsia="lv-LV"/>
              </w:rPr>
              <w:t xml:space="preserve">abiedrības iepriekšējo gadu </w:t>
            </w:r>
            <w:r>
              <w:rPr>
                <w:rFonts w:ascii="Times New Roman" w:eastAsia="Times New Roman" w:hAnsi="Times New Roman" w:cs="Times New Roman"/>
                <w:sz w:val="28"/>
                <w:szCs w:val="28"/>
                <w:lang w:eastAsia="lv-LV"/>
              </w:rPr>
              <w:t xml:space="preserve">uzkrātie </w:t>
            </w:r>
            <w:r w:rsidRPr="003A45ED">
              <w:rPr>
                <w:rFonts w:ascii="Times New Roman" w:eastAsia="Times New Roman" w:hAnsi="Times New Roman" w:cs="Times New Roman"/>
                <w:sz w:val="28"/>
                <w:szCs w:val="28"/>
                <w:lang w:eastAsia="lv-LV"/>
              </w:rPr>
              <w:t xml:space="preserve">zaudējumi ir 36 565 euro. </w:t>
            </w:r>
            <w:r>
              <w:rPr>
                <w:rFonts w:ascii="Times New Roman" w:eastAsia="Times New Roman" w:hAnsi="Times New Roman" w:cs="Times New Roman"/>
                <w:sz w:val="28"/>
                <w:szCs w:val="28"/>
                <w:lang w:eastAsia="lv-LV"/>
              </w:rPr>
              <w:t>Lai nodrošinātu Sabiedrības</w:t>
            </w:r>
            <w:r w:rsidR="00E50B7B" w:rsidRPr="00210F27">
              <w:rPr>
                <w:rFonts w:ascii="Times New Roman" w:eastAsia="Times New Roman" w:hAnsi="Times New Roman" w:cs="Times New Roman"/>
                <w:sz w:val="28"/>
                <w:szCs w:val="28"/>
                <w:lang w:eastAsia="lv-LV"/>
              </w:rPr>
              <w:t xml:space="preserve"> ilgtspējīgu attīstību, maksimāli izmantojot pašu finanšu resursus, </w:t>
            </w:r>
            <w:r>
              <w:rPr>
                <w:rFonts w:ascii="Times New Roman" w:eastAsia="Times New Roman" w:hAnsi="Times New Roman" w:cs="Times New Roman"/>
                <w:sz w:val="28"/>
                <w:szCs w:val="28"/>
                <w:lang w:eastAsia="lv-LV"/>
              </w:rPr>
              <w:t>p</w:t>
            </w:r>
            <w:r>
              <w:rPr>
                <w:rFonts w:ascii="Times New Roman" w:eastAsia="Times New Roman" w:hAnsi="Times New Roman"/>
                <w:sz w:val="28"/>
                <w:szCs w:val="28"/>
                <w:lang w:eastAsia="lv-LV"/>
              </w:rPr>
              <w:t>eļņas daļa</w:t>
            </w:r>
            <w:r w:rsidR="00E50B7B" w:rsidRPr="00210F27">
              <w:rPr>
                <w:rFonts w:ascii="Times New Roman" w:eastAsia="Times New Roman" w:hAnsi="Times New Roman"/>
                <w:sz w:val="28"/>
                <w:szCs w:val="28"/>
                <w:lang w:eastAsia="lv-LV"/>
              </w:rPr>
              <w:t xml:space="preserve"> 19</w:t>
            </w:r>
            <w:r>
              <w:rPr>
                <w:rFonts w:ascii="Times New Roman" w:eastAsia="Times New Roman" w:hAnsi="Times New Roman"/>
                <w:sz w:val="28"/>
                <w:szCs w:val="28"/>
                <w:lang w:eastAsia="lv-LV"/>
              </w:rPr>
              <w:t xml:space="preserve"> 603 euro</w:t>
            </w:r>
            <w:r w:rsidR="00E50B7B" w:rsidRPr="00210F27">
              <w:rPr>
                <w:rFonts w:ascii="Times New Roman" w:eastAsia="Times New Roman" w:hAnsi="Times New Roman"/>
                <w:sz w:val="28"/>
                <w:szCs w:val="28"/>
                <w:lang w:eastAsia="lv-LV"/>
              </w:rPr>
              <w:t xml:space="preserve">, kas gūta no pārējo Sabiedrības struktūrvienību </w:t>
            </w:r>
            <w:r>
              <w:rPr>
                <w:rFonts w:ascii="Times New Roman" w:eastAsia="Times New Roman" w:hAnsi="Times New Roman"/>
                <w:sz w:val="28"/>
                <w:szCs w:val="28"/>
                <w:lang w:eastAsia="lv-LV"/>
              </w:rPr>
              <w:t xml:space="preserve">(Standartizācijas birojs un Metroloģijas birojs) </w:t>
            </w:r>
            <w:r w:rsidR="00E50B7B" w:rsidRPr="00210F27">
              <w:rPr>
                <w:rFonts w:ascii="Times New Roman" w:eastAsia="Times New Roman" w:hAnsi="Times New Roman"/>
                <w:sz w:val="28"/>
                <w:szCs w:val="28"/>
                <w:lang w:eastAsia="lv-LV"/>
              </w:rPr>
              <w:t xml:space="preserve">ienākumiem, </w:t>
            </w:r>
            <w:r>
              <w:rPr>
                <w:rFonts w:ascii="Times New Roman" w:eastAsia="Times New Roman" w:hAnsi="Times New Roman"/>
                <w:sz w:val="28"/>
                <w:szCs w:val="28"/>
                <w:lang w:eastAsia="lv-LV"/>
              </w:rPr>
              <w:t>būtu novirzāma</w:t>
            </w:r>
            <w:r w:rsidR="00E50B7B" w:rsidRPr="00210F27">
              <w:rPr>
                <w:rFonts w:ascii="Times New Roman" w:eastAsia="Times New Roman" w:hAnsi="Times New Roman"/>
                <w:sz w:val="28"/>
                <w:szCs w:val="28"/>
                <w:lang w:eastAsia="lv-LV"/>
              </w:rPr>
              <w:t xml:space="preserve"> Sabiedrības iepriekšējo pārskata periodu zaudējumu segšanai.  </w:t>
            </w:r>
          </w:p>
          <w:p w14:paraId="62AFDFAE" w14:textId="3E92CDCC" w:rsidR="00535AAA" w:rsidRPr="000A19C0" w:rsidRDefault="00535AAA" w:rsidP="00377B9D">
            <w:pPr>
              <w:spacing w:line="240" w:lineRule="auto"/>
              <w:ind w:firstLine="615"/>
              <w:jc w:val="both"/>
              <w:rPr>
                <w:rFonts w:ascii="Times New Roman" w:hAnsi="Times New Roman"/>
                <w:sz w:val="28"/>
                <w:szCs w:val="28"/>
              </w:rPr>
            </w:pPr>
            <w:r w:rsidRPr="000A19C0">
              <w:rPr>
                <w:rFonts w:ascii="Times New Roman" w:hAnsi="Times New Roman"/>
                <w:sz w:val="28"/>
                <w:szCs w:val="28"/>
              </w:rPr>
              <w:t xml:space="preserve"> Ar Sabiedrības rīcībā atstāto peļņas daļu tiks kompensēti iepriekšējo gadu zaudējumi, kas </w:t>
            </w:r>
            <w:r w:rsidR="00E11220">
              <w:rPr>
                <w:rFonts w:ascii="Times New Roman" w:hAnsi="Times New Roman"/>
                <w:sz w:val="28"/>
                <w:szCs w:val="28"/>
              </w:rPr>
              <w:t>radušies saistībā ar valsts piešķirtās dotācijas apmēra samazinājumu, taču attiecīgi nesamazinot veicam</w:t>
            </w:r>
            <w:r w:rsidR="00A7596D">
              <w:rPr>
                <w:rFonts w:ascii="Times New Roman" w:hAnsi="Times New Roman"/>
                <w:sz w:val="28"/>
                <w:szCs w:val="28"/>
              </w:rPr>
              <w:t>o</w:t>
            </w:r>
            <w:r w:rsidR="00E11220">
              <w:rPr>
                <w:rFonts w:ascii="Times New Roman" w:hAnsi="Times New Roman"/>
                <w:sz w:val="28"/>
                <w:szCs w:val="28"/>
              </w:rPr>
              <w:t xml:space="preserve"> valsts pārvaldes uzdevumu</w:t>
            </w:r>
            <w:r w:rsidR="00A7596D">
              <w:rPr>
                <w:rFonts w:ascii="Times New Roman" w:hAnsi="Times New Roman"/>
                <w:sz w:val="28"/>
                <w:szCs w:val="28"/>
              </w:rPr>
              <w:t xml:space="preserve"> apjomu</w:t>
            </w:r>
            <w:r w:rsidR="00E11220">
              <w:rPr>
                <w:rFonts w:ascii="Times New Roman" w:hAnsi="Times New Roman"/>
                <w:sz w:val="28"/>
                <w:szCs w:val="28"/>
              </w:rPr>
              <w:t xml:space="preserve">, tajā skaitā papildus izmaksas ir radījusi arī </w:t>
            </w:r>
            <w:r w:rsidRPr="000A19C0">
              <w:rPr>
                <w:rFonts w:ascii="Times New Roman" w:hAnsi="Times New Roman"/>
                <w:sz w:val="28"/>
                <w:szCs w:val="28"/>
              </w:rPr>
              <w:t>Sabiedrības struktūras iekšēj</w:t>
            </w:r>
            <w:r w:rsidR="00E11220">
              <w:rPr>
                <w:rFonts w:ascii="Times New Roman" w:hAnsi="Times New Roman"/>
                <w:sz w:val="28"/>
                <w:szCs w:val="28"/>
              </w:rPr>
              <w:t xml:space="preserve">ā </w:t>
            </w:r>
            <w:r w:rsidRPr="000A19C0">
              <w:rPr>
                <w:rFonts w:ascii="Times New Roman" w:hAnsi="Times New Roman"/>
                <w:sz w:val="28"/>
                <w:szCs w:val="28"/>
              </w:rPr>
              <w:t>reorganizācij</w:t>
            </w:r>
            <w:r w:rsidR="00E11220">
              <w:rPr>
                <w:rFonts w:ascii="Times New Roman" w:hAnsi="Times New Roman"/>
                <w:sz w:val="28"/>
                <w:szCs w:val="28"/>
              </w:rPr>
              <w:t>a</w:t>
            </w:r>
            <w:r w:rsidRPr="000A19C0">
              <w:rPr>
                <w:rFonts w:ascii="Times New Roman" w:hAnsi="Times New Roman"/>
                <w:sz w:val="28"/>
                <w:szCs w:val="28"/>
              </w:rPr>
              <w:t xml:space="preserve">, </w:t>
            </w:r>
            <w:r w:rsidR="00E11220">
              <w:rPr>
                <w:rFonts w:ascii="Times New Roman" w:hAnsi="Times New Roman"/>
                <w:sz w:val="28"/>
                <w:szCs w:val="28"/>
              </w:rPr>
              <w:t xml:space="preserve">kas tika veikta, </w:t>
            </w:r>
            <w:r w:rsidRPr="000A19C0">
              <w:rPr>
                <w:rFonts w:ascii="Times New Roman" w:hAnsi="Times New Roman"/>
                <w:sz w:val="28"/>
                <w:szCs w:val="28"/>
              </w:rPr>
              <w:t xml:space="preserve">lai nodrošinātu </w:t>
            </w:r>
            <w:r w:rsidR="00897C68">
              <w:rPr>
                <w:rFonts w:ascii="Times New Roman" w:hAnsi="Times New Roman"/>
                <w:sz w:val="28"/>
                <w:szCs w:val="28"/>
              </w:rPr>
              <w:t>Ministru kabineta</w:t>
            </w:r>
            <w:r w:rsidRPr="000A19C0">
              <w:rPr>
                <w:rFonts w:ascii="Times New Roman" w:hAnsi="Times New Roman"/>
                <w:sz w:val="28"/>
                <w:szCs w:val="28"/>
              </w:rPr>
              <w:t xml:space="preserve"> 2009.gada 20.janvāra noteikumu Nr.60 “Noteikumi par obligātajām prasībām ārstniecības iestādēm un to struktūrvienībām” izpildi</w:t>
            </w:r>
            <w:r w:rsidR="00CD65CD">
              <w:rPr>
                <w:rFonts w:ascii="Times New Roman" w:hAnsi="Times New Roman"/>
                <w:sz w:val="28"/>
                <w:szCs w:val="28"/>
              </w:rPr>
              <w:t>.</w:t>
            </w:r>
            <w:r w:rsidR="00E11220">
              <w:rPr>
                <w:rFonts w:ascii="Times New Roman" w:hAnsi="Times New Roman"/>
                <w:sz w:val="28"/>
                <w:szCs w:val="28"/>
              </w:rPr>
              <w:t xml:space="preserve"> </w:t>
            </w:r>
            <w:r w:rsidR="00F75AF6" w:rsidRPr="001B0A39">
              <w:rPr>
                <w:rFonts w:ascii="Times New Roman" w:eastAsia="Times New Roman" w:hAnsi="Times New Roman"/>
                <w:sz w:val="28"/>
                <w:szCs w:val="28"/>
                <w:lang w:eastAsia="lv-LV"/>
              </w:rPr>
              <w:t>Laika period</w:t>
            </w:r>
            <w:r w:rsidR="00F75AF6">
              <w:rPr>
                <w:rFonts w:ascii="Times New Roman" w:eastAsia="Times New Roman" w:hAnsi="Times New Roman"/>
                <w:sz w:val="28"/>
                <w:szCs w:val="28"/>
                <w:lang w:eastAsia="lv-LV"/>
              </w:rPr>
              <w:t>ā no 2009.gada līdz 2013.gadam v</w:t>
            </w:r>
            <w:r w:rsidR="00F75AF6" w:rsidRPr="001B0A39">
              <w:rPr>
                <w:rFonts w:ascii="Times New Roman" w:eastAsia="Times New Roman" w:hAnsi="Times New Roman"/>
                <w:sz w:val="28"/>
                <w:szCs w:val="28"/>
                <w:lang w:eastAsia="lv-LV"/>
              </w:rPr>
              <w:t>alsts budžeta finansējums standartizācijas, akreditācijas un metroloģijas uzdevumu veikšanai tika samazināts vairāk kā 2 reizes – no 869</w:t>
            </w:r>
            <w:r w:rsidR="00F75AF6">
              <w:rPr>
                <w:rFonts w:ascii="Times New Roman" w:eastAsia="Times New Roman" w:hAnsi="Times New Roman"/>
                <w:sz w:val="28"/>
                <w:szCs w:val="28"/>
                <w:lang w:eastAsia="lv-LV"/>
              </w:rPr>
              <w:t xml:space="preserve"> </w:t>
            </w:r>
            <w:r w:rsidR="00F75AF6" w:rsidRPr="001B0A39">
              <w:rPr>
                <w:rFonts w:ascii="Times New Roman" w:eastAsia="Times New Roman" w:hAnsi="Times New Roman"/>
                <w:sz w:val="28"/>
                <w:szCs w:val="28"/>
                <w:lang w:eastAsia="lv-LV"/>
              </w:rPr>
              <w:t xml:space="preserve">831 </w:t>
            </w:r>
            <w:r w:rsidR="00F75AF6">
              <w:rPr>
                <w:rFonts w:ascii="Times New Roman" w:eastAsia="Times New Roman" w:hAnsi="Times New Roman"/>
                <w:sz w:val="28"/>
                <w:szCs w:val="28"/>
                <w:lang w:eastAsia="lv-LV"/>
              </w:rPr>
              <w:t>euro</w:t>
            </w:r>
            <w:r w:rsidR="00F75AF6" w:rsidRPr="001B0A39">
              <w:rPr>
                <w:rFonts w:ascii="Times New Roman" w:eastAsia="Times New Roman" w:hAnsi="Times New Roman"/>
                <w:sz w:val="28"/>
                <w:szCs w:val="28"/>
                <w:lang w:eastAsia="lv-LV"/>
              </w:rPr>
              <w:t xml:space="preserve"> līdz 384</w:t>
            </w:r>
            <w:r w:rsidR="00F75AF6">
              <w:rPr>
                <w:rFonts w:ascii="Times New Roman" w:eastAsia="Times New Roman" w:hAnsi="Times New Roman"/>
                <w:sz w:val="28"/>
                <w:szCs w:val="28"/>
                <w:lang w:eastAsia="lv-LV"/>
              </w:rPr>
              <w:t xml:space="preserve"> </w:t>
            </w:r>
            <w:r w:rsidR="00F75AF6" w:rsidRPr="001B0A39">
              <w:rPr>
                <w:rFonts w:ascii="Times New Roman" w:eastAsia="Times New Roman" w:hAnsi="Times New Roman"/>
                <w:sz w:val="28"/>
                <w:szCs w:val="28"/>
                <w:lang w:eastAsia="lv-LV"/>
              </w:rPr>
              <w:t xml:space="preserve">271 </w:t>
            </w:r>
            <w:r w:rsidR="00F75AF6">
              <w:rPr>
                <w:rFonts w:ascii="Times New Roman" w:eastAsia="Times New Roman" w:hAnsi="Times New Roman"/>
                <w:sz w:val="28"/>
                <w:szCs w:val="28"/>
                <w:lang w:eastAsia="lv-LV"/>
              </w:rPr>
              <w:t xml:space="preserve">euro. </w:t>
            </w:r>
            <w:r w:rsidR="00F75AF6" w:rsidRPr="001B0A39">
              <w:rPr>
                <w:rFonts w:ascii="Times New Roman" w:eastAsia="Times New Roman" w:hAnsi="Times New Roman"/>
                <w:sz w:val="28"/>
                <w:szCs w:val="28"/>
                <w:lang w:eastAsia="lv-LV"/>
              </w:rPr>
              <w:t>2009.gadā dotācijas apjoms bija 70% no kopējiem ieņēmumiem, 2011.gadā - 47%, 2012. gadā – 44%, 2013.gadā – 40%, 2014. gadā – 39%.</w:t>
            </w:r>
            <w:r w:rsidR="00105F77">
              <w:rPr>
                <w:rFonts w:ascii="Times New Roman" w:hAnsi="Times New Roman"/>
                <w:sz w:val="28"/>
                <w:szCs w:val="28"/>
              </w:rPr>
              <w:t xml:space="preserve"> </w:t>
            </w:r>
            <w:r w:rsidR="00E11220">
              <w:rPr>
                <w:rFonts w:ascii="Times New Roman" w:hAnsi="Times New Roman"/>
                <w:sz w:val="28"/>
                <w:szCs w:val="28"/>
              </w:rPr>
              <w:t>Tāpat arī b</w:t>
            </w:r>
            <w:r w:rsidRPr="000A19C0">
              <w:rPr>
                <w:rFonts w:ascii="Times New Roman" w:hAnsi="Times New Roman"/>
                <w:sz w:val="28"/>
                <w:szCs w:val="28"/>
              </w:rPr>
              <w:t xml:space="preserve">ūtisku ietekmi uz izmaksu pieaugumu rada arī ilgtermiņa ieguldījumu amortizācijas atskaitījumu summas (2011.gadā - 51 126 euro, 2012.gadā -17 150 euro, 2013.gadā – 16 505 euro, 2014.gadā 28 393 euro), kas veidojas </w:t>
            </w:r>
            <w:r w:rsidR="00105F77">
              <w:rPr>
                <w:rFonts w:ascii="Times New Roman" w:hAnsi="Times New Roman"/>
                <w:sz w:val="28"/>
                <w:szCs w:val="28"/>
              </w:rPr>
              <w:t xml:space="preserve"> 2009.gadā </w:t>
            </w:r>
            <w:r w:rsidRPr="000A19C0">
              <w:rPr>
                <w:rFonts w:ascii="Times New Roman" w:hAnsi="Times New Roman"/>
                <w:sz w:val="28"/>
                <w:szCs w:val="28"/>
              </w:rPr>
              <w:t>pārņemto Latvijas nacionālo etalonu uzskaites vērtības</w:t>
            </w:r>
            <w:r w:rsidR="00F75AF6">
              <w:rPr>
                <w:rFonts w:ascii="Times New Roman" w:hAnsi="Times New Roman"/>
                <w:sz w:val="28"/>
                <w:szCs w:val="28"/>
              </w:rPr>
              <w:t xml:space="preserve"> </w:t>
            </w:r>
            <w:r w:rsidR="00105F77">
              <w:rPr>
                <w:rFonts w:ascii="Times New Roman" w:hAnsi="Times New Roman"/>
                <w:sz w:val="28"/>
                <w:szCs w:val="28"/>
              </w:rPr>
              <w:t>no likvidējamās Metroloģijas un akreditācijas biroja</w:t>
            </w:r>
            <w:r w:rsidRPr="000A19C0">
              <w:rPr>
                <w:rFonts w:ascii="Times New Roman" w:hAnsi="Times New Roman"/>
                <w:sz w:val="28"/>
                <w:szCs w:val="28"/>
              </w:rPr>
              <w:t xml:space="preserve">. Sabiedrības maksas pakalpojumu ieņēmumi nenodrošina pozitīvu </w:t>
            </w:r>
            <w:r w:rsidRPr="000A19C0">
              <w:rPr>
                <w:rFonts w:ascii="Times New Roman" w:hAnsi="Times New Roman"/>
                <w:sz w:val="28"/>
                <w:szCs w:val="28"/>
              </w:rPr>
              <w:lastRenderedPageBreak/>
              <w:t xml:space="preserve">finanšu darbības rezultātu un naudas plūsmu, kas liecina par nepietiekošo valsts finansējumu iepriekšējos pārskata gados. Sabiedrības struktūrvienību darbības mērķis nav peļņas gūšana, jo Sabiedrība veic valsts deleģēto </w:t>
            </w:r>
            <w:r w:rsidR="00564DC7">
              <w:rPr>
                <w:rFonts w:ascii="Times New Roman" w:hAnsi="Times New Roman"/>
                <w:sz w:val="28"/>
                <w:szCs w:val="28"/>
              </w:rPr>
              <w:t>uzdevumu</w:t>
            </w:r>
            <w:r w:rsidRPr="000A19C0">
              <w:rPr>
                <w:rFonts w:ascii="Times New Roman" w:hAnsi="Times New Roman"/>
                <w:sz w:val="28"/>
                <w:szCs w:val="28"/>
              </w:rPr>
              <w:t xml:space="preserve"> izpildi,  nodrošina uzņēmējus, valsts pārvaldi un patērētājus ar ticamiem atbilstības novērtēšanas pakalpojumiem, kas ietver standartizāciju, akreditāciju un metroloģiju.</w:t>
            </w:r>
          </w:p>
          <w:p w14:paraId="72633ADB" w14:textId="11551547" w:rsidR="00535AAA" w:rsidRPr="00E32FC4" w:rsidRDefault="00535AAA" w:rsidP="00535AAA">
            <w:pPr>
              <w:pStyle w:val="PlainText"/>
              <w:jc w:val="both"/>
              <w:rPr>
                <w:rFonts w:ascii="Times New Roman" w:hAnsi="Times New Roman" w:cs="Times New Roman"/>
                <w:sz w:val="28"/>
                <w:szCs w:val="28"/>
              </w:rPr>
            </w:pPr>
            <w:r>
              <w:rPr>
                <w:rFonts w:ascii="Times New Roman" w:hAnsi="Times New Roman" w:cs="Times New Roman"/>
                <w:sz w:val="28"/>
                <w:szCs w:val="28"/>
              </w:rPr>
              <w:t xml:space="preserve">    Dividenžu izmaksa radīs negatīvu ietekmi uz Sabiedrības naudas plūsmu, kas var negatīvi ietekmēt </w:t>
            </w:r>
            <w:r w:rsidRPr="007F4C91">
              <w:rPr>
                <w:rFonts w:ascii="Times New Roman" w:eastAsia="Times New Roman" w:hAnsi="Times New Roman"/>
                <w:sz w:val="28"/>
                <w:szCs w:val="28"/>
                <w:lang w:eastAsia="lv-LV"/>
              </w:rPr>
              <w:t xml:space="preserve">Standartizācijas biroja </w:t>
            </w:r>
            <w:r w:rsidRPr="007F4C91">
              <w:rPr>
                <w:rFonts w:ascii="Times New Roman" w:hAnsi="Times New Roman"/>
                <w:bCs/>
                <w:sz w:val="28"/>
                <w:szCs w:val="28"/>
              </w:rPr>
              <w:t xml:space="preserve">pārvaldības un atbalsta struktūru automatizācijas </w:t>
            </w:r>
            <w:r>
              <w:rPr>
                <w:rFonts w:ascii="Times New Roman" w:hAnsi="Times New Roman"/>
                <w:bCs/>
                <w:sz w:val="28"/>
                <w:szCs w:val="28"/>
              </w:rPr>
              <w:t>i</w:t>
            </w:r>
            <w:r w:rsidRPr="007F4C91">
              <w:rPr>
                <w:rFonts w:ascii="Times New Roman" w:hAnsi="Times New Roman"/>
                <w:bCs/>
                <w:sz w:val="28"/>
                <w:szCs w:val="28"/>
              </w:rPr>
              <w:t xml:space="preserve">nformācijas tehnoloģiju </w:t>
            </w:r>
            <w:r>
              <w:rPr>
                <w:rFonts w:ascii="Times New Roman" w:hAnsi="Times New Roman"/>
                <w:bCs/>
                <w:sz w:val="28"/>
                <w:szCs w:val="28"/>
              </w:rPr>
              <w:t xml:space="preserve">sistēmas uzturēšanas un pilnveidošanas iespējas. </w:t>
            </w:r>
            <w:r>
              <w:rPr>
                <w:rFonts w:ascii="Times New Roman" w:hAnsi="Times New Roman" w:cs="Times New Roman"/>
                <w:sz w:val="28"/>
                <w:szCs w:val="28"/>
              </w:rPr>
              <w:t xml:space="preserve">Sistēmas darbība nodrošina </w:t>
            </w:r>
            <w:r w:rsidRPr="00E32FC4">
              <w:rPr>
                <w:rFonts w:ascii="Times New Roman" w:hAnsi="Times New Roman" w:cs="Times New Roman"/>
                <w:sz w:val="28"/>
                <w:szCs w:val="28"/>
              </w:rPr>
              <w:t>Nacionālās standartu izstrādes/adaptācijas informācijas tehnoloģiju sistēmas saderīb</w:t>
            </w:r>
            <w:r>
              <w:rPr>
                <w:rFonts w:ascii="Times New Roman" w:hAnsi="Times New Roman" w:cs="Times New Roman"/>
                <w:sz w:val="28"/>
                <w:szCs w:val="28"/>
              </w:rPr>
              <w:t>u</w:t>
            </w:r>
            <w:r w:rsidRPr="00E32FC4">
              <w:rPr>
                <w:rFonts w:ascii="Times New Roman" w:hAnsi="Times New Roman" w:cs="Times New Roman"/>
                <w:sz w:val="28"/>
                <w:szCs w:val="28"/>
              </w:rPr>
              <w:t xml:space="preserve"> ar Eiropas standartizācijas komitejas (CEN) un Eiropas Elektrotehnikas standartizācijas komitejas (CENELEC) un Starptautiskās Standartizācijas organizācijas (ISO) informācijas sistēmām. Sistēmas darbības traucējumi var radīt </w:t>
            </w:r>
            <w:r>
              <w:rPr>
                <w:rFonts w:ascii="Times New Roman" w:hAnsi="Times New Roman" w:cs="Times New Roman"/>
                <w:sz w:val="28"/>
                <w:szCs w:val="28"/>
              </w:rPr>
              <w:t>t</w:t>
            </w:r>
            <w:r w:rsidRPr="00E32FC4">
              <w:rPr>
                <w:rFonts w:ascii="Times New Roman" w:hAnsi="Times New Roman" w:cs="Times New Roman"/>
                <w:sz w:val="28"/>
                <w:szCs w:val="28"/>
              </w:rPr>
              <w:t>ermiņ</w:t>
            </w:r>
            <w:r>
              <w:rPr>
                <w:rFonts w:ascii="Times New Roman" w:hAnsi="Times New Roman" w:cs="Times New Roman"/>
                <w:sz w:val="28"/>
                <w:szCs w:val="28"/>
              </w:rPr>
              <w:t>a</w:t>
            </w:r>
            <w:r w:rsidRPr="00E32FC4">
              <w:rPr>
                <w:rFonts w:ascii="Times New Roman" w:hAnsi="Times New Roman" w:cs="Times New Roman"/>
                <w:sz w:val="28"/>
                <w:szCs w:val="28"/>
              </w:rPr>
              <w:t xml:space="preserve"> </w:t>
            </w:r>
            <w:r>
              <w:rPr>
                <w:rFonts w:ascii="Times New Roman" w:hAnsi="Times New Roman" w:cs="Times New Roman"/>
                <w:sz w:val="28"/>
                <w:szCs w:val="28"/>
              </w:rPr>
              <w:t>kavēšanu</w:t>
            </w:r>
            <w:r w:rsidRPr="00E32FC4">
              <w:rPr>
                <w:rFonts w:ascii="Times New Roman" w:hAnsi="Times New Roman" w:cs="Times New Roman"/>
                <w:sz w:val="28"/>
                <w:szCs w:val="28"/>
              </w:rPr>
              <w:t xml:space="preserve"> Eiropas standartu pārņemšanas procedūrā, kā arī </w:t>
            </w:r>
            <w:r>
              <w:rPr>
                <w:rFonts w:ascii="Times New Roman" w:hAnsi="Times New Roman" w:cs="Times New Roman"/>
                <w:sz w:val="28"/>
                <w:szCs w:val="28"/>
              </w:rPr>
              <w:t xml:space="preserve">uzņēmējiem tiks </w:t>
            </w:r>
            <w:r w:rsidRPr="00E32FC4">
              <w:rPr>
                <w:rFonts w:ascii="Times New Roman" w:hAnsi="Times New Roman" w:cs="Times New Roman"/>
                <w:sz w:val="28"/>
                <w:szCs w:val="28"/>
              </w:rPr>
              <w:t>traucēta piekļuve Eiropas standartiem un to</w:t>
            </w:r>
            <w:r>
              <w:rPr>
                <w:rFonts w:ascii="Times New Roman" w:hAnsi="Times New Roman" w:cs="Times New Roman"/>
                <w:sz w:val="28"/>
                <w:szCs w:val="28"/>
              </w:rPr>
              <w:t xml:space="preserve"> </w:t>
            </w:r>
            <w:r w:rsidRPr="00E32FC4">
              <w:rPr>
                <w:rFonts w:ascii="Times New Roman" w:hAnsi="Times New Roman" w:cs="Times New Roman"/>
                <w:sz w:val="28"/>
                <w:szCs w:val="28"/>
              </w:rPr>
              <w:t>projektiem.</w:t>
            </w:r>
          </w:p>
          <w:p w14:paraId="63D5EB07" w14:textId="59A18481" w:rsidR="00535AAA" w:rsidRDefault="00535AAA" w:rsidP="00535AAA">
            <w:pPr>
              <w:pStyle w:val="ListParagraph"/>
              <w:spacing w:line="240" w:lineRule="auto"/>
              <w:ind w:left="4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4971CE">
              <w:rPr>
                <w:rFonts w:ascii="Times New Roman" w:eastAsia="Times New Roman" w:hAnsi="Times New Roman"/>
                <w:sz w:val="28"/>
                <w:szCs w:val="28"/>
                <w:lang w:eastAsia="lv-LV"/>
              </w:rPr>
              <w:t>Tāpat arī dividenžu izmaksas gadījumā</w:t>
            </w:r>
            <w:r>
              <w:rPr>
                <w:rFonts w:ascii="Times New Roman" w:eastAsia="Times New Roman" w:hAnsi="Times New Roman"/>
                <w:sz w:val="28"/>
                <w:szCs w:val="28"/>
                <w:lang w:eastAsia="lv-LV"/>
              </w:rPr>
              <w:t xml:space="preserve"> pastāv risks, ka nebūs iespējams novirzīt finanšu līdzekļus </w:t>
            </w:r>
            <w:r w:rsidRPr="007F4C91">
              <w:rPr>
                <w:rFonts w:ascii="Times New Roman" w:eastAsia="Times New Roman" w:hAnsi="Times New Roman"/>
                <w:sz w:val="28"/>
                <w:szCs w:val="28"/>
                <w:lang w:eastAsia="lv-LV"/>
              </w:rPr>
              <w:t>Metroloģijas biroja</w:t>
            </w:r>
            <w:r>
              <w:rPr>
                <w:rFonts w:ascii="Times New Roman" w:eastAsia="Times New Roman" w:hAnsi="Times New Roman"/>
                <w:sz w:val="28"/>
                <w:szCs w:val="28"/>
                <w:lang w:eastAsia="lv-LV"/>
              </w:rPr>
              <w:t xml:space="preserve"> </w:t>
            </w:r>
            <w:r w:rsidR="00556066">
              <w:rPr>
                <w:rFonts w:ascii="Times New Roman" w:eastAsia="Times New Roman" w:hAnsi="Times New Roman"/>
                <w:sz w:val="28"/>
                <w:szCs w:val="28"/>
                <w:lang w:eastAsia="lv-LV"/>
              </w:rPr>
              <w:t>tehnoloģiskā aprīkojuma nodrošināšanai un modernizācijai</w:t>
            </w:r>
            <w:r>
              <w:rPr>
                <w:rFonts w:ascii="Times New Roman" w:eastAsia="Times New Roman" w:hAnsi="Times New Roman"/>
                <w:sz w:val="28"/>
                <w:szCs w:val="28"/>
                <w:lang w:eastAsia="lv-LV"/>
              </w:rPr>
              <w:t>, kas nepieciešam</w:t>
            </w:r>
            <w:r w:rsidR="003623A5">
              <w:rPr>
                <w:rFonts w:ascii="Times New Roman" w:eastAsia="Times New Roman" w:hAnsi="Times New Roman"/>
                <w:sz w:val="28"/>
                <w:szCs w:val="28"/>
                <w:lang w:eastAsia="lv-LV"/>
              </w:rPr>
              <w:t>s</w:t>
            </w:r>
            <w:r>
              <w:rPr>
                <w:rFonts w:ascii="Times New Roman" w:eastAsia="Times New Roman" w:hAnsi="Times New Roman"/>
                <w:sz w:val="28"/>
                <w:szCs w:val="28"/>
                <w:lang w:eastAsia="lv-LV"/>
              </w:rPr>
              <w:t xml:space="preserve"> L</w:t>
            </w:r>
            <w:r w:rsidRPr="007F4C91">
              <w:rPr>
                <w:rFonts w:ascii="Times New Roman" w:eastAsia="Times New Roman" w:hAnsi="Times New Roman"/>
                <w:sz w:val="28"/>
                <w:szCs w:val="28"/>
                <w:lang w:eastAsia="lv-LV"/>
              </w:rPr>
              <w:t>atvijas nacionālo etalonu</w:t>
            </w:r>
            <w:r>
              <w:rPr>
                <w:rFonts w:ascii="Times New Roman" w:eastAsia="Times New Roman" w:hAnsi="Times New Roman"/>
                <w:sz w:val="28"/>
                <w:szCs w:val="28"/>
                <w:lang w:eastAsia="lv-LV"/>
              </w:rPr>
              <w:t xml:space="preserve"> darbībai precīzu mērījumu veikšanai saskaņā ar mērvienību etalonu uzturēšanas procedūrām</w:t>
            </w:r>
            <w:r w:rsidR="00EF38AC">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nodrošinot veikto mērījumu ticamību un izsekojamību atbilstoši starptautiskajos līgumos uzņemtajām saistībām metroloģijas jomā.</w:t>
            </w:r>
          </w:p>
          <w:p w14:paraId="6B4A4C68" w14:textId="77777777" w:rsidR="004C05CC" w:rsidRDefault="004C05CC" w:rsidP="00535AAA">
            <w:pPr>
              <w:pStyle w:val="ListParagraph"/>
              <w:spacing w:line="240" w:lineRule="auto"/>
              <w:ind w:left="48"/>
              <w:jc w:val="both"/>
              <w:rPr>
                <w:rFonts w:ascii="Times New Roman" w:eastAsia="Times New Roman" w:hAnsi="Times New Roman"/>
                <w:sz w:val="28"/>
                <w:szCs w:val="28"/>
                <w:lang w:eastAsia="lv-LV"/>
              </w:rPr>
            </w:pPr>
          </w:p>
          <w:p w14:paraId="109853A8" w14:textId="46C17368" w:rsidR="00CD65CD" w:rsidRPr="007F4C91" w:rsidRDefault="001879E7" w:rsidP="00535AAA">
            <w:pPr>
              <w:pStyle w:val="ListParagraph"/>
              <w:spacing w:line="240" w:lineRule="auto"/>
              <w:ind w:left="4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CD65CD">
              <w:rPr>
                <w:rFonts w:ascii="Times New Roman" w:eastAsia="Times New Roman" w:hAnsi="Times New Roman"/>
                <w:sz w:val="28"/>
                <w:szCs w:val="28"/>
                <w:lang w:eastAsia="lv-LV"/>
              </w:rPr>
              <w:t>aglabājot 2014.gada peļņu Sabiedrības rīcībā tiktu nodrošināta pieeja brīviem naudas līdzekļiem</w:t>
            </w:r>
            <w:r w:rsidR="002023A5">
              <w:rPr>
                <w:rFonts w:ascii="Times New Roman" w:eastAsia="Times New Roman" w:hAnsi="Times New Roman"/>
                <w:sz w:val="28"/>
                <w:szCs w:val="28"/>
                <w:lang w:eastAsia="lv-LV"/>
              </w:rPr>
              <w:t>, rezultātā stabilizējot Sabiedrības naudas plūsmu un nodrošinot deleģēto valsts pārvaldes uzdevumu pienācīgu izpildi.</w:t>
            </w:r>
          </w:p>
          <w:p w14:paraId="498901CC" w14:textId="39654F8D" w:rsidR="00210F27" w:rsidRPr="00A86C6E" w:rsidRDefault="00CD42EA" w:rsidP="000411B0">
            <w:pPr>
              <w:pStyle w:val="NoSpacing"/>
              <w:jc w:val="both"/>
              <w:rPr>
                <w:lang w:eastAsia="lv-LV"/>
              </w:rPr>
            </w:pPr>
            <w:r w:rsidRPr="000411B0">
              <w:rPr>
                <w:rFonts w:ascii="Times New Roman" w:hAnsi="Times New Roman" w:cs="Times New Roman"/>
                <w:sz w:val="28"/>
                <w:szCs w:val="28"/>
                <w:lang w:eastAsia="lv-LV"/>
              </w:rPr>
              <w:lastRenderedPageBreak/>
              <w:t>Atbilstoši MK noteikumu Nr.1471 5.punktā paredzētajai kārtībai un ņemot vērā iepriekš minēto</w:t>
            </w:r>
            <w:r w:rsidR="00210F27" w:rsidRPr="000411B0">
              <w:rPr>
                <w:rFonts w:ascii="Times New Roman" w:hAnsi="Times New Roman" w:cs="Times New Roman"/>
                <w:sz w:val="28"/>
                <w:szCs w:val="28"/>
                <w:lang w:eastAsia="lv-LV"/>
              </w:rPr>
              <w:t xml:space="preserve">, </w:t>
            </w:r>
            <w:r w:rsidRPr="000411B0">
              <w:rPr>
                <w:rFonts w:ascii="Times New Roman" w:hAnsi="Times New Roman" w:cs="Times New Roman"/>
                <w:sz w:val="28"/>
                <w:szCs w:val="28"/>
                <w:lang w:eastAsia="lv-LV"/>
              </w:rPr>
              <w:t>ir nepieciešams pieņemt Ministru kabineta lēmumu par atšķirīgu Sabiedrībai dividendēs izmaksājamo minimālo peļņas daļu, nosakot, ka Sabiedrībai dividendes no 2014.gada pārskata gada peļņas nav jāmaksā.</w:t>
            </w:r>
            <w:r>
              <w:rPr>
                <w:lang w:eastAsia="lv-LV"/>
              </w:rPr>
              <w:t xml:space="preserve"> </w:t>
            </w:r>
          </w:p>
        </w:tc>
      </w:tr>
      <w:tr w:rsidR="00FF5633" w:rsidRPr="00A86C6E" w14:paraId="50E4052C"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0BD1D358" w14:textId="77777777" w:rsidR="00FF5633" w:rsidRPr="00A86C6E"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14:paraId="0BA581AE"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14:paraId="676CB837" w14:textId="77777777" w:rsidR="00FF5633" w:rsidRPr="00A86C6E" w:rsidRDefault="001B0A39" w:rsidP="00FF563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SIA “Standartizācijas, akreditācijas un metroloģijas centrs” un Ekonomikas</w:t>
            </w:r>
            <w:r w:rsidR="004B0DD0" w:rsidRPr="00A86C6E">
              <w:rPr>
                <w:rFonts w:ascii="Times New Roman" w:eastAsia="Times New Roman" w:hAnsi="Times New Roman" w:cs="Times New Roman"/>
                <w:sz w:val="28"/>
                <w:szCs w:val="28"/>
                <w:lang w:eastAsia="lv-LV"/>
              </w:rPr>
              <w:t xml:space="preserve"> ministrija</w:t>
            </w:r>
          </w:p>
        </w:tc>
      </w:tr>
      <w:tr w:rsidR="00526181" w:rsidRPr="00A86C6E" w14:paraId="54385B62"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56A7581A" w14:textId="77777777" w:rsidR="00526181" w:rsidRPr="00A86C6E"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14:paraId="6CEBC598" w14:textId="77777777" w:rsidR="00526181" w:rsidRPr="00A86C6E" w:rsidRDefault="00526181"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14:paraId="2C08447E" w14:textId="3DB89C52" w:rsidR="00526181" w:rsidRPr="00A86C6E" w:rsidRDefault="001A7E20" w:rsidP="001A7E20">
            <w:pPr>
              <w:spacing w:after="0" w:line="240" w:lineRule="auto"/>
              <w:ind w:firstLine="60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w:t>
            </w:r>
            <w:r w:rsidRPr="001A7E20">
              <w:rPr>
                <w:rFonts w:ascii="Times New Roman" w:eastAsia="Times New Roman" w:hAnsi="Times New Roman" w:cs="Times New Roman"/>
                <w:sz w:val="28"/>
                <w:szCs w:val="28"/>
                <w:lang w:eastAsia="lv-LV"/>
              </w:rPr>
              <w:t xml:space="preserve">Publiskas personas kapitāla daļu un kapitālsabiedrību pārvaldības likuma pārejas noteikumu 11.punktu </w:t>
            </w:r>
            <w:r>
              <w:rPr>
                <w:rFonts w:ascii="Times New Roman" w:eastAsia="Times New Roman" w:hAnsi="Times New Roman" w:cs="Times New Roman"/>
                <w:sz w:val="28"/>
                <w:szCs w:val="28"/>
                <w:lang w:eastAsia="lv-LV"/>
              </w:rPr>
              <w:t>p</w:t>
            </w:r>
            <w:r w:rsidRPr="001A7E20">
              <w:rPr>
                <w:rFonts w:ascii="Times New Roman" w:eastAsia="Times New Roman" w:hAnsi="Times New Roman" w:cs="Times New Roman"/>
                <w:sz w:val="28"/>
                <w:szCs w:val="28"/>
                <w:lang w:eastAsia="lv-LV"/>
              </w:rPr>
              <w:t>ubliskas personas augstākā lēmējinstitūcija saskaņā ar šā likuma 7.pantu līdz 2016.gada 1.janvārim pieņem lēmumu par tās tiešo līdzdalību kapitālsabiedrībās.</w:t>
            </w:r>
            <w:r>
              <w:rPr>
                <w:rFonts w:ascii="Times New Roman" w:eastAsia="Times New Roman" w:hAnsi="Times New Roman" w:cs="Times New Roman"/>
                <w:sz w:val="28"/>
                <w:szCs w:val="28"/>
                <w:lang w:eastAsia="lv-LV"/>
              </w:rPr>
              <w:t xml:space="preserve"> Ņemot vērā minēto, </w:t>
            </w:r>
            <w:r w:rsidRPr="001A7E20">
              <w:rPr>
                <w:rFonts w:ascii="Times New Roman" w:eastAsia="Times New Roman" w:hAnsi="Times New Roman" w:cs="Times New Roman"/>
                <w:sz w:val="28"/>
                <w:szCs w:val="28"/>
                <w:lang w:eastAsia="lv-LV"/>
              </w:rPr>
              <w:t xml:space="preserve">Ekonomikas ministrija, ievērojot Publiskas personas kapitāla daļu un kapitālsabiedrību pārvaldības likuma 7.pantu un pārejas noteikumu 11.punktu, līdz šī gada beigām </w:t>
            </w:r>
            <w:r>
              <w:rPr>
                <w:rFonts w:ascii="Times New Roman" w:eastAsia="Times New Roman" w:hAnsi="Times New Roman" w:cs="Times New Roman"/>
                <w:sz w:val="28"/>
                <w:szCs w:val="28"/>
                <w:lang w:eastAsia="lv-LV"/>
              </w:rPr>
              <w:t>pārvērtēs</w:t>
            </w:r>
            <w:r w:rsidRPr="001A7E20">
              <w:rPr>
                <w:rFonts w:ascii="Times New Roman" w:eastAsia="Times New Roman" w:hAnsi="Times New Roman" w:cs="Times New Roman"/>
                <w:sz w:val="28"/>
                <w:szCs w:val="28"/>
                <w:lang w:eastAsia="lv-LV"/>
              </w:rPr>
              <w:t xml:space="preserve"> valsts līdzdalības </w:t>
            </w:r>
            <w:r>
              <w:rPr>
                <w:rFonts w:ascii="Times New Roman" w:eastAsia="Times New Roman" w:hAnsi="Times New Roman" w:cs="Times New Roman"/>
                <w:sz w:val="28"/>
                <w:szCs w:val="28"/>
                <w:lang w:eastAsia="lv-LV"/>
              </w:rPr>
              <w:t>nepieciešamību</w:t>
            </w:r>
            <w:r w:rsidRPr="001A7E2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Sabiedrībā</w:t>
            </w:r>
            <w:r w:rsidRPr="001A7E20">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virzīs šī</w:t>
            </w:r>
            <w:r w:rsidRPr="001A7E20">
              <w:rPr>
                <w:rFonts w:ascii="Times New Roman" w:eastAsia="Times New Roman" w:hAnsi="Times New Roman" w:cs="Times New Roman"/>
                <w:sz w:val="28"/>
                <w:szCs w:val="28"/>
                <w:lang w:eastAsia="lv-LV"/>
              </w:rPr>
              <w:t xml:space="preserve"> jautājum</w:t>
            </w:r>
            <w:r>
              <w:rPr>
                <w:rFonts w:ascii="Times New Roman" w:eastAsia="Times New Roman" w:hAnsi="Times New Roman" w:cs="Times New Roman"/>
                <w:sz w:val="28"/>
                <w:szCs w:val="28"/>
                <w:lang w:eastAsia="lv-LV"/>
              </w:rPr>
              <w:t>a</w:t>
            </w:r>
            <w:r w:rsidRPr="001A7E20">
              <w:rPr>
                <w:rFonts w:ascii="Times New Roman" w:eastAsia="Times New Roman" w:hAnsi="Times New Roman" w:cs="Times New Roman"/>
                <w:sz w:val="28"/>
                <w:szCs w:val="28"/>
                <w:lang w:eastAsia="lv-LV"/>
              </w:rPr>
              <w:t xml:space="preserve"> izskatīšan</w:t>
            </w:r>
            <w:r>
              <w:rPr>
                <w:rFonts w:ascii="Times New Roman" w:eastAsia="Times New Roman" w:hAnsi="Times New Roman" w:cs="Times New Roman"/>
                <w:sz w:val="28"/>
                <w:szCs w:val="28"/>
                <w:lang w:eastAsia="lv-LV"/>
              </w:rPr>
              <w:t>u</w:t>
            </w:r>
            <w:r w:rsidRPr="001A7E20">
              <w:rPr>
                <w:rFonts w:ascii="Times New Roman" w:eastAsia="Times New Roman" w:hAnsi="Times New Roman" w:cs="Times New Roman"/>
                <w:sz w:val="28"/>
                <w:szCs w:val="28"/>
                <w:lang w:eastAsia="lv-LV"/>
              </w:rPr>
              <w:t xml:space="preserve"> Ministru kabinetā. Ņemot vērā faktu, ka </w:t>
            </w:r>
            <w:r>
              <w:rPr>
                <w:rFonts w:ascii="Times New Roman" w:eastAsia="Times New Roman" w:hAnsi="Times New Roman" w:cs="Times New Roman"/>
                <w:sz w:val="28"/>
                <w:szCs w:val="28"/>
                <w:lang w:eastAsia="lv-LV"/>
              </w:rPr>
              <w:t>Sabiedrība</w:t>
            </w:r>
            <w:r w:rsidRPr="001A7E20">
              <w:rPr>
                <w:rFonts w:ascii="Times New Roman" w:eastAsia="Times New Roman" w:hAnsi="Times New Roman" w:cs="Times New Roman"/>
                <w:sz w:val="28"/>
                <w:szCs w:val="28"/>
                <w:lang w:eastAsia="lv-LV"/>
              </w:rPr>
              <w:t xml:space="preserve"> pēc būtības pilda tai deleģētos valsts pārvaldes uzdevumus un  sniedz publiskos pakalpojumus, Ekonomikas ministrija izvērtēs iespēju </w:t>
            </w:r>
            <w:r>
              <w:rPr>
                <w:rFonts w:ascii="Times New Roman" w:eastAsia="Times New Roman" w:hAnsi="Times New Roman" w:cs="Times New Roman"/>
                <w:sz w:val="28"/>
                <w:szCs w:val="28"/>
                <w:lang w:eastAsia="lv-LV"/>
              </w:rPr>
              <w:t>Sabiedrību</w:t>
            </w:r>
            <w:r w:rsidRPr="001A7E20">
              <w:rPr>
                <w:rFonts w:ascii="Times New Roman" w:eastAsia="Times New Roman" w:hAnsi="Times New Roman" w:cs="Times New Roman"/>
                <w:sz w:val="28"/>
                <w:szCs w:val="28"/>
                <w:lang w:eastAsia="lv-LV"/>
              </w:rPr>
              <w:t xml:space="preserve"> pārveidot par valsts aģentūru, tādējādi netieši norādot uz bezpeļņas principa ievērošanu </w:t>
            </w:r>
            <w:r>
              <w:rPr>
                <w:rFonts w:ascii="Times New Roman" w:eastAsia="Times New Roman" w:hAnsi="Times New Roman" w:cs="Times New Roman"/>
                <w:sz w:val="28"/>
                <w:szCs w:val="28"/>
                <w:lang w:eastAsia="lv-LV"/>
              </w:rPr>
              <w:t>Sabiedrības</w:t>
            </w:r>
            <w:r w:rsidRPr="001A7E20">
              <w:rPr>
                <w:rFonts w:ascii="Times New Roman" w:eastAsia="Times New Roman" w:hAnsi="Times New Roman" w:cs="Times New Roman"/>
                <w:sz w:val="28"/>
                <w:szCs w:val="28"/>
                <w:lang w:eastAsia="lv-LV"/>
              </w:rPr>
              <w:t xml:space="preserve"> darbībā.</w:t>
            </w:r>
          </w:p>
        </w:tc>
      </w:tr>
    </w:tbl>
    <w:p w14:paraId="11168EA1" w14:textId="77777777" w:rsidR="00526181" w:rsidRPr="00A86C6E" w:rsidRDefault="00526181" w:rsidP="00526181">
      <w:pPr>
        <w:spacing w:after="0" w:line="240" w:lineRule="auto"/>
      </w:pPr>
      <w:r w:rsidRPr="00A86C6E">
        <w:t xml:space="preserve"> </w:t>
      </w:r>
    </w:p>
    <w:p w14:paraId="296A69AA" w14:textId="77777777" w:rsidR="00FF5633" w:rsidRPr="00A86C6E" w:rsidRDefault="00FF5633" w:rsidP="00526181">
      <w:pPr>
        <w:spacing w:after="0" w:line="240" w:lineRule="auto"/>
        <w:rPr>
          <w:rFonts w:ascii="Times New Roman" w:eastAsia="Times New Roman" w:hAnsi="Times New Roman" w:cs="Times New Roman"/>
          <w:vanish/>
          <w:color w:val="414142"/>
          <w:sz w:val="28"/>
          <w:szCs w:val="28"/>
          <w:lang w:eastAsia="lv-LV"/>
        </w:rPr>
      </w:pPr>
    </w:p>
    <w:p w14:paraId="72647AEB" w14:textId="77777777" w:rsidR="00FF5633" w:rsidRPr="00A86C6E"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9"/>
        <w:gridCol w:w="1687"/>
        <w:gridCol w:w="1406"/>
        <w:gridCol w:w="1265"/>
        <w:gridCol w:w="1266"/>
        <w:gridCol w:w="1266"/>
      </w:tblGrid>
      <w:tr w:rsidR="00FF5633" w:rsidRPr="00A86C6E" w14:paraId="256E04B1" w14:textId="77777777" w:rsidTr="00BE6EA4">
        <w:trPr>
          <w:trHeight w:val="360"/>
        </w:trPr>
        <w:tc>
          <w:tcPr>
            <w:tcW w:w="9309" w:type="dxa"/>
            <w:gridSpan w:val="6"/>
            <w:tcBorders>
              <w:top w:val="outset" w:sz="6" w:space="0" w:color="414142"/>
              <w:left w:val="outset" w:sz="6" w:space="0" w:color="414142"/>
              <w:bottom w:val="outset" w:sz="6" w:space="0" w:color="414142"/>
              <w:right w:val="outset" w:sz="6" w:space="0" w:color="414142"/>
            </w:tcBorders>
            <w:vAlign w:val="center"/>
            <w:hideMark/>
          </w:tcPr>
          <w:p w14:paraId="13CC733F"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A86C6E">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A86C6E" w14:paraId="7B403B57" w14:textId="77777777" w:rsidTr="00BE6EA4">
        <w:tc>
          <w:tcPr>
            <w:tcW w:w="2419" w:type="dxa"/>
            <w:vMerge w:val="restart"/>
            <w:tcBorders>
              <w:top w:val="outset" w:sz="6" w:space="0" w:color="414142"/>
              <w:left w:val="outset" w:sz="6" w:space="0" w:color="414142"/>
              <w:bottom w:val="outset" w:sz="6" w:space="0" w:color="414142"/>
              <w:right w:val="outset" w:sz="6" w:space="0" w:color="414142"/>
            </w:tcBorders>
            <w:vAlign w:val="center"/>
            <w:hideMark/>
          </w:tcPr>
          <w:p w14:paraId="08B6B4C0"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Rādītāji</w:t>
            </w:r>
          </w:p>
        </w:tc>
        <w:tc>
          <w:tcPr>
            <w:tcW w:w="309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40D0F0" w14:textId="77777777" w:rsidR="00FF5633" w:rsidRPr="00A86C6E" w:rsidRDefault="007A6431"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2015</w:t>
            </w:r>
          </w:p>
        </w:tc>
        <w:tc>
          <w:tcPr>
            <w:tcW w:w="3797" w:type="dxa"/>
            <w:gridSpan w:val="3"/>
            <w:tcBorders>
              <w:top w:val="outset" w:sz="6" w:space="0" w:color="414142"/>
              <w:left w:val="outset" w:sz="6" w:space="0" w:color="414142"/>
              <w:bottom w:val="outset" w:sz="6" w:space="0" w:color="414142"/>
              <w:right w:val="outset" w:sz="6" w:space="0" w:color="414142"/>
            </w:tcBorders>
            <w:vAlign w:val="center"/>
            <w:hideMark/>
          </w:tcPr>
          <w:p w14:paraId="259C60F4" w14:textId="77777777" w:rsidR="00FF5633" w:rsidRPr="00A86C6E"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Turpmākie trīs gadi (</w:t>
            </w:r>
            <w:r w:rsidR="00526181" w:rsidRPr="00A86C6E">
              <w:rPr>
                <w:rFonts w:ascii="Times New Roman" w:eastAsia="Times New Roman" w:hAnsi="Times New Roman" w:cs="Times New Roman"/>
                <w:i/>
                <w:sz w:val="28"/>
                <w:szCs w:val="28"/>
                <w:lang w:eastAsia="lv-LV"/>
              </w:rPr>
              <w:t>euro</w:t>
            </w:r>
            <w:r w:rsidRPr="00A86C6E">
              <w:rPr>
                <w:rFonts w:ascii="Times New Roman" w:eastAsia="Times New Roman" w:hAnsi="Times New Roman" w:cs="Times New Roman"/>
                <w:sz w:val="28"/>
                <w:szCs w:val="28"/>
                <w:lang w:eastAsia="lv-LV"/>
              </w:rPr>
              <w:t>)</w:t>
            </w:r>
          </w:p>
        </w:tc>
      </w:tr>
      <w:tr w:rsidR="00FF5633" w:rsidRPr="00A86C6E" w14:paraId="09259F10"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6A317C7A" w14:textId="77777777" w:rsidR="00FF5633" w:rsidRPr="00A86C6E" w:rsidRDefault="00FF5633" w:rsidP="00FF5633">
            <w:pPr>
              <w:spacing w:after="0" w:line="240" w:lineRule="auto"/>
              <w:rPr>
                <w:rFonts w:ascii="Times New Roman" w:eastAsia="Times New Roman" w:hAnsi="Times New Roman" w:cs="Times New Roman"/>
                <w:b/>
                <w:bCs/>
                <w:sz w:val="28"/>
                <w:szCs w:val="28"/>
                <w:lang w:eastAsia="lv-LV"/>
              </w:rPr>
            </w:pPr>
          </w:p>
        </w:tc>
        <w:tc>
          <w:tcPr>
            <w:tcW w:w="3093" w:type="dxa"/>
            <w:gridSpan w:val="2"/>
            <w:vMerge/>
            <w:tcBorders>
              <w:top w:val="outset" w:sz="6" w:space="0" w:color="414142"/>
              <w:left w:val="outset" w:sz="6" w:space="0" w:color="414142"/>
              <w:bottom w:val="outset" w:sz="6" w:space="0" w:color="414142"/>
              <w:right w:val="outset" w:sz="6" w:space="0" w:color="414142"/>
            </w:tcBorders>
            <w:vAlign w:val="center"/>
            <w:hideMark/>
          </w:tcPr>
          <w:p w14:paraId="0781488A" w14:textId="77777777" w:rsidR="00FF5633" w:rsidRPr="00A86C6E" w:rsidRDefault="00FF5633" w:rsidP="00FF5633">
            <w:pPr>
              <w:spacing w:after="0" w:line="240" w:lineRule="auto"/>
              <w:rPr>
                <w:rFonts w:ascii="Times New Roman" w:eastAsia="Times New Roman" w:hAnsi="Times New Roman" w:cs="Times New Roman"/>
                <w:b/>
                <w:bCs/>
                <w:sz w:val="28"/>
                <w:szCs w:val="28"/>
                <w:lang w:eastAsia="lv-LV"/>
              </w:rPr>
            </w:pP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05C87F0C" w14:textId="77777777" w:rsidR="00FF5633" w:rsidRPr="00A86C6E" w:rsidRDefault="007A6431"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77BEA993" w14:textId="77777777" w:rsidR="00FF5633" w:rsidRPr="00A86C6E" w:rsidRDefault="007A6431"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687C71C6" w14:textId="77777777" w:rsidR="00FF5633" w:rsidRPr="00A86C6E" w:rsidRDefault="007A6431"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2018</w:t>
            </w:r>
          </w:p>
        </w:tc>
      </w:tr>
      <w:tr w:rsidR="00FF5633" w:rsidRPr="00A86C6E" w14:paraId="2C5EF835"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0353CC08" w14:textId="77777777" w:rsidR="00FF5633" w:rsidRPr="00A86C6E" w:rsidRDefault="00FF5633" w:rsidP="00FF5633">
            <w:pPr>
              <w:spacing w:after="0" w:line="240" w:lineRule="auto"/>
              <w:rPr>
                <w:rFonts w:ascii="Times New Roman" w:eastAsia="Times New Roman" w:hAnsi="Times New Roman" w:cs="Times New Roman"/>
                <w:b/>
                <w:bCs/>
                <w:sz w:val="28"/>
                <w:szCs w:val="28"/>
                <w:lang w:eastAsia="lv-LV"/>
              </w:rPr>
            </w:pPr>
          </w:p>
        </w:tc>
        <w:tc>
          <w:tcPr>
            <w:tcW w:w="1687" w:type="dxa"/>
            <w:tcBorders>
              <w:top w:val="outset" w:sz="6" w:space="0" w:color="414142"/>
              <w:left w:val="outset" w:sz="6" w:space="0" w:color="414142"/>
              <w:bottom w:val="outset" w:sz="6" w:space="0" w:color="414142"/>
              <w:right w:val="outset" w:sz="6" w:space="0" w:color="414142"/>
            </w:tcBorders>
            <w:vAlign w:val="center"/>
            <w:hideMark/>
          </w:tcPr>
          <w:p w14:paraId="40C7109E" w14:textId="77777777"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saskaņā ar valsts budžetu kārtējam gadam</w:t>
            </w:r>
          </w:p>
        </w:tc>
        <w:tc>
          <w:tcPr>
            <w:tcW w:w="1406" w:type="dxa"/>
            <w:tcBorders>
              <w:top w:val="outset" w:sz="6" w:space="0" w:color="414142"/>
              <w:left w:val="outset" w:sz="6" w:space="0" w:color="414142"/>
              <w:bottom w:val="outset" w:sz="6" w:space="0" w:color="414142"/>
              <w:right w:val="outset" w:sz="6" w:space="0" w:color="414142"/>
            </w:tcBorders>
            <w:vAlign w:val="center"/>
            <w:hideMark/>
          </w:tcPr>
          <w:p w14:paraId="2FD562B5" w14:textId="77777777"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kārtējā gadā, salīdzinot ar valsts budžetu kārtējam gadam</w:t>
            </w: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2838740D" w14:textId="77777777"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salīdzinot ar kārtējo (n) gadu</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18C8D657" w14:textId="77777777"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salīdzinot ar kārtējo (n) gadu</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6BD3833F" w14:textId="77777777"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salīdzinot ar kārtējo (n) gadu</w:t>
            </w:r>
          </w:p>
        </w:tc>
      </w:tr>
      <w:tr w:rsidR="00FF5633" w:rsidRPr="00A86C6E" w14:paraId="6120CCF3" w14:textId="77777777" w:rsidTr="00BE6EA4">
        <w:tc>
          <w:tcPr>
            <w:tcW w:w="2419" w:type="dxa"/>
            <w:tcBorders>
              <w:top w:val="outset" w:sz="6" w:space="0" w:color="414142"/>
              <w:left w:val="outset" w:sz="6" w:space="0" w:color="414142"/>
              <w:bottom w:val="outset" w:sz="6" w:space="0" w:color="414142"/>
              <w:right w:val="outset" w:sz="6" w:space="0" w:color="414142"/>
            </w:tcBorders>
            <w:vAlign w:val="center"/>
            <w:hideMark/>
          </w:tcPr>
          <w:p w14:paraId="5264C785"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lastRenderedPageBreak/>
              <w:t>1</w:t>
            </w:r>
          </w:p>
        </w:tc>
        <w:tc>
          <w:tcPr>
            <w:tcW w:w="1687" w:type="dxa"/>
            <w:tcBorders>
              <w:top w:val="outset" w:sz="6" w:space="0" w:color="414142"/>
              <w:left w:val="outset" w:sz="6" w:space="0" w:color="414142"/>
              <w:bottom w:val="outset" w:sz="6" w:space="0" w:color="414142"/>
              <w:right w:val="outset" w:sz="6" w:space="0" w:color="414142"/>
            </w:tcBorders>
            <w:vAlign w:val="center"/>
            <w:hideMark/>
          </w:tcPr>
          <w:p w14:paraId="7F4710FB"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w:t>
            </w:r>
          </w:p>
        </w:tc>
        <w:tc>
          <w:tcPr>
            <w:tcW w:w="1406" w:type="dxa"/>
            <w:tcBorders>
              <w:top w:val="outset" w:sz="6" w:space="0" w:color="414142"/>
              <w:left w:val="outset" w:sz="6" w:space="0" w:color="414142"/>
              <w:bottom w:val="outset" w:sz="6" w:space="0" w:color="414142"/>
              <w:right w:val="outset" w:sz="6" w:space="0" w:color="414142"/>
            </w:tcBorders>
            <w:vAlign w:val="center"/>
            <w:hideMark/>
          </w:tcPr>
          <w:p w14:paraId="64635AF4"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w:t>
            </w: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52A52086"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4</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23DDA560"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091E0E8C"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w:t>
            </w:r>
          </w:p>
        </w:tc>
      </w:tr>
      <w:tr w:rsidR="00BE6EA4" w:rsidRPr="00A86C6E" w14:paraId="1A8DD0D3"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2637A0B"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 Budžeta ieņēmumi:</w:t>
            </w:r>
          </w:p>
        </w:tc>
        <w:tc>
          <w:tcPr>
            <w:tcW w:w="1687" w:type="dxa"/>
            <w:tcBorders>
              <w:top w:val="outset" w:sz="6" w:space="0" w:color="414142"/>
              <w:left w:val="outset" w:sz="6" w:space="0" w:color="414142"/>
              <w:bottom w:val="outset" w:sz="6" w:space="0" w:color="414142"/>
              <w:right w:val="outset" w:sz="6" w:space="0" w:color="414142"/>
            </w:tcBorders>
            <w:hideMark/>
          </w:tcPr>
          <w:p w14:paraId="7D4DC3D2"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C01E7A">
              <w:rPr>
                <w:rFonts w:ascii="Times New Roman" w:eastAsia="Times New Roman" w:hAnsi="Times New Roman" w:cs="Times New Roman"/>
                <w:sz w:val="28"/>
                <w:szCs w:val="28"/>
                <w:lang w:eastAsia="lv-LV"/>
              </w:rPr>
              <w:t>125 098 489</w:t>
            </w:r>
          </w:p>
        </w:tc>
        <w:tc>
          <w:tcPr>
            <w:tcW w:w="1406" w:type="dxa"/>
            <w:tcBorders>
              <w:top w:val="outset" w:sz="6" w:space="0" w:color="414142"/>
              <w:left w:val="outset" w:sz="6" w:space="0" w:color="414142"/>
              <w:bottom w:val="outset" w:sz="6" w:space="0" w:color="414142"/>
              <w:right w:val="outset" w:sz="6" w:space="0" w:color="414142"/>
            </w:tcBorders>
            <w:hideMark/>
          </w:tcPr>
          <w:p w14:paraId="2B5E4899" w14:textId="77777777" w:rsidR="00BE6EA4" w:rsidRPr="00A86C6E" w:rsidRDefault="007A6431" w:rsidP="00BE6E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-50 707</w:t>
            </w:r>
          </w:p>
        </w:tc>
        <w:tc>
          <w:tcPr>
            <w:tcW w:w="1265" w:type="dxa"/>
            <w:tcBorders>
              <w:top w:val="outset" w:sz="6" w:space="0" w:color="414142"/>
              <w:left w:val="outset" w:sz="6" w:space="0" w:color="414142"/>
              <w:bottom w:val="outset" w:sz="6" w:space="0" w:color="414142"/>
              <w:right w:val="outset" w:sz="6" w:space="0" w:color="414142"/>
            </w:tcBorders>
            <w:hideMark/>
          </w:tcPr>
          <w:p w14:paraId="5B13F26B"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2747CEBC"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08D2D04D"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FF5633" w:rsidRPr="00A86C6E" w14:paraId="2039EA62"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D90E0A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1.1. valsts pamatbudžets, tai skaitā ieņēmumi no maksas pakalpojumiem un citi pašu ieņēmumi</w:t>
            </w:r>
          </w:p>
        </w:tc>
        <w:tc>
          <w:tcPr>
            <w:tcW w:w="1687" w:type="dxa"/>
            <w:tcBorders>
              <w:top w:val="outset" w:sz="6" w:space="0" w:color="414142"/>
              <w:left w:val="outset" w:sz="6" w:space="0" w:color="414142"/>
              <w:bottom w:val="outset" w:sz="6" w:space="0" w:color="414142"/>
              <w:right w:val="outset" w:sz="6" w:space="0" w:color="414142"/>
            </w:tcBorders>
            <w:hideMark/>
          </w:tcPr>
          <w:p w14:paraId="4A06603F" w14:textId="77777777" w:rsidR="00FF5633" w:rsidRPr="00A86C6E" w:rsidRDefault="00FF5633" w:rsidP="00C411AD">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C01E7A" w:rsidRPr="00C01E7A">
              <w:rPr>
                <w:rFonts w:ascii="Times New Roman" w:eastAsia="Times New Roman" w:hAnsi="Times New Roman" w:cs="Times New Roman"/>
                <w:sz w:val="28"/>
                <w:szCs w:val="28"/>
                <w:lang w:eastAsia="lv-LV"/>
              </w:rPr>
              <w:t>125 098 489</w:t>
            </w:r>
          </w:p>
        </w:tc>
        <w:tc>
          <w:tcPr>
            <w:tcW w:w="1406" w:type="dxa"/>
            <w:tcBorders>
              <w:top w:val="outset" w:sz="6" w:space="0" w:color="414142"/>
              <w:left w:val="outset" w:sz="6" w:space="0" w:color="414142"/>
              <w:bottom w:val="outset" w:sz="6" w:space="0" w:color="414142"/>
              <w:right w:val="outset" w:sz="6" w:space="0" w:color="414142"/>
            </w:tcBorders>
            <w:hideMark/>
          </w:tcPr>
          <w:p w14:paraId="71A72FF8" w14:textId="77777777" w:rsidR="00FF5633" w:rsidRPr="00A86C6E" w:rsidRDefault="007A6431" w:rsidP="001D6CD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-50 707</w:t>
            </w:r>
          </w:p>
        </w:tc>
        <w:tc>
          <w:tcPr>
            <w:tcW w:w="1265" w:type="dxa"/>
            <w:tcBorders>
              <w:top w:val="outset" w:sz="6" w:space="0" w:color="414142"/>
              <w:left w:val="outset" w:sz="6" w:space="0" w:color="414142"/>
              <w:bottom w:val="outset" w:sz="6" w:space="0" w:color="414142"/>
              <w:right w:val="outset" w:sz="6" w:space="0" w:color="414142"/>
            </w:tcBorders>
            <w:hideMark/>
          </w:tcPr>
          <w:p w14:paraId="35E82A3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6A75F43"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DFE4F6C"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1322B61A"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8E166B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1.2. valsts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2A2EBF18"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5E65C72C"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196B97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0E55622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CA2F87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2179B12F"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35B0BC9E"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1.3. pašvaldību budžets</w:t>
            </w:r>
          </w:p>
        </w:tc>
        <w:tc>
          <w:tcPr>
            <w:tcW w:w="1687" w:type="dxa"/>
            <w:tcBorders>
              <w:top w:val="outset" w:sz="6" w:space="0" w:color="414142"/>
              <w:left w:val="outset" w:sz="6" w:space="0" w:color="414142"/>
              <w:bottom w:val="outset" w:sz="6" w:space="0" w:color="414142"/>
              <w:right w:val="outset" w:sz="6" w:space="0" w:color="414142"/>
            </w:tcBorders>
            <w:hideMark/>
          </w:tcPr>
          <w:p w14:paraId="5840C39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479BD7DC"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0B4FD9F"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A72896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70E7A62"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269E140C"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48F18A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 Budžeta izdevumi:</w:t>
            </w:r>
          </w:p>
        </w:tc>
        <w:tc>
          <w:tcPr>
            <w:tcW w:w="1687" w:type="dxa"/>
            <w:tcBorders>
              <w:top w:val="outset" w:sz="6" w:space="0" w:color="414142"/>
              <w:left w:val="outset" w:sz="6" w:space="0" w:color="414142"/>
              <w:bottom w:val="outset" w:sz="6" w:space="0" w:color="414142"/>
              <w:right w:val="outset" w:sz="6" w:space="0" w:color="414142"/>
            </w:tcBorders>
            <w:hideMark/>
          </w:tcPr>
          <w:p w14:paraId="10B1FB4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406" w:type="dxa"/>
            <w:tcBorders>
              <w:top w:val="outset" w:sz="6" w:space="0" w:color="414142"/>
              <w:left w:val="outset" w:sz="6" w:space="0" w:color="414142"/>
              <w:bottom w:val="outset" w:sz="6" w:space="0" w:color="414142"/>
              <w:right w:val="outset" w:sz="6" w:space="0" w:color="414142"/>
            </w:tcBorders>
            <w:hideMark/>
          </w:tcPr>
          <w:p w14:paraId="17011A73"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65" w:type="dxa"/>
            <w:tcBorders>
              <w:top w:val="outset" w:sz="6" w:space="0" w:color="414142"/>
              <w:left w:val="outset" w:sz="6" w:space="0" w:color="414142"/>
              <w:bottom w:val="outset" w:sz="6" w:space="0" w:color="414142"/>
              <w:right w:val="outset" w:sz="6" w:space="0" w:color="414142"/>
            </w:tcBorders>
            <w:hideMark/>
          </w:tcPr>
          <w:p w14:paraId="206070D7"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2ED5B163"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5702EF2A"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FF5633" w:rsidRPr="00A86C6E" w14:paraId="2FCC32C7"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1973D88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2.1. valsts pamatbudžets</w:t>
            </w:r>
          </w:p>
        </w:tc>
        <w:tc>
          <w:tcPr>
            <w:tcW w:w="1687" w:type="dxa"/>
            <w:tcBorders>
              <w:top w:val="outset" w:sz="6" w:space="0" w:color="414142"/>
              <w:left w:val="outset" w:sz="6" w:space="0" w:color="414142"/>
              <w:bottom w:val="outset" w:sz="6" w:space="0" w:color="414142"/>
              <w:right w:val="outset" w:sz="6" w:space="0" w:color="414142"/>
            </w:tcBorders>
            <w:hideMark/>
          </w:tcPr>
          <w:p w14:paraId="0C4616B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77E277B8"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617B6BE"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6CA7C4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10D8C4C"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7BCFD10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7C4B6D0"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2.2. valsts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60A61E1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5FDCE14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7BB0582"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CCF2638"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1F9EB97"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18D00922"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E91E25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2.3. pašvaldību budžets</w:t>
            </w:r>
          </w:p>
        </w:tc>
        <w:tc>
          <w:tcPr>
            <w:tcW w:w="1687" w:type="dxa"/>
            <w:tcBorders>
              <w:top w:val="outset" w:sz="6" w:space="0" w:color="414142"/>
              <w:left w:val="outset" w:sz="6" w:space="0" w:color="414142"/>
              <w:bottom w:val="outset" w:sz="6" w:space="0" w:color="414142"/>
              <w:right w:val="outset" w:sz="6" w:space="0" w:color="414142"/>
            </w:tcBorders>
            <w:hideMark/>
          </w:tcPr>
          <w:p w14:paraId="6DA4E87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6A76F45F"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7089C3F0"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02ECFD0"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4EE741B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BE6EA4" w:rsidRPr="00A86C6E" w14:paraId="588AF893"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FFB0B0E"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 Finansiālā ietekme:</w:t>
            </w:r>
          </w:p>
        </w:tc>
        <w:tc>
          <w:tcPr>
            <w:tcW w:w="1687" w:type="dxa"/>
            <w:tcBorders>
              <w:top w:val="outset" w:sz="6" w:space="0" w:color="414142"/>
              <w:left w:val="outset" w:sz="6" w:space="0" w:color="414142"/>
              <w:bottom w:val="outset" w:sz="6" w:space="0" w:color="414142"/>
              <w:right w:val="outset" w:sz="6" w:space="0" w:color="414142"/>
            </w:tcBorders>
            <w:hideMark/>
          </w:tcPr>
          <w:p w14:paraId="5CE410A5"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C01E7A" w:rsidRPr="00C01E7A">
              <w:rPr>
                <w:rFonts w:ascii="Times New Roman" w:eastAsia="Times New Roman" w:hAnsi="Times New Roman" w:cs="Times New Roman"/>
                <w:sz w:val="28"/>
                <w:szCs w:val="28"/>
                <w:lang w:eastAsia="lv-LV"/>
              </w:rPr>
              <w:t>125 098 489</w:t>
            </w:r>
          </w:p>
        </w:tc>
        <w:tc>
          <w:tcPr>
            <w:tcW w:w="1406" w:type="dxa"/>
            <w:tcBorders>
              <w:top w:val="outset" w:sz="6" w:space="0" w:color="414142"/>
              <w:left w:val="outset" w:sz="6" w:space="0" w:color="414142"/>
              <w:bottom w:val="outset" w:sz="6" w:space="0" w:color="414142"/>
              <w:right w:val="outset" w:sz="6" w:space="0" w:color="414142"/>
            </w:tcBorders>
            <w:hideMark/>
          </w:tcPr>
          <w:p w14:paraId="345F6DD2" w14:textId="77777777" w:rsidR="00BE6EA4" w:rsidRPr="00A86C6E" w:rsidRDefault="007A6431" w:rsidP="00BE6E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-50 707</w:t>
            </w:r>
          </w:p>
        </w:tc>
        <w:tc>
          <w:tcPr>
            <w:tcW w:w="1265" w:type="dxa"/>
            <w:tcBorders>
              <w:top w:val="outset" w:sz="6" w:space="0" w:color="414142"/>
              <w:left w:val="outset" w:sz="6" w:space="0" w:color="414142"/>
              <w:bottom w:val="outset" w:sz="6" w:space="0" w:color="414142"/>
              <w:right w:val="outset" w:sz="6" w:space="0" w:color="414142"/>
            </w:tcBorders>
            <w:hideMark/>
          </w:tcPr>
          <w:p w14:paraId="4C04EFFF"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7477FA40"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39C869AE" w14:textId="77777777" w:rsidR="00BE6EA4" w:rsidRPr="00A86C6E" w:rsidRDefault="00BE6EA4" w:rsidP="00BE6EA4">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C411AD" w:rsidRPr="00A86C6E" w14:paraId="7299019D"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66EFA5D" w14:textId="77777777"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3.1. valsts pamatbudžets</w:t>
            </w:r>
          </w:p>
        </w:tc>
        <w:tc>
          <w:tcPr>
            <w:tcW w:w="1687" w:type="dxa"/>
            <w:tcBorders>
              <w:top w:val="outset" w:sz="6" w:space="0" w:color="414142"/>
              <w:left w:val="outset" w:sz="6" w:space="0" w:color="414142"/>
              <w:bottom w:val="outset" w:sz="6" w:space="0" w:color="414142"/>
              <w:right w:val="outset" w:sz="6" w:space="0" w:color="414142"/>
            </w:tcBorders>
            <w:hideMark/>
          </w:tcPr>
          <w:p w14:paraId="4A87AF41" w14:textId="77777777" w:rsidR="00C411AD" w:rsidRPr="00A86C6E" w:rsidRDefault="00C411AD" w:rsidP="00C411AD">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C01E7A" w:rsidRPr="00C01E7A">
              <w:rPr>
                <w:rFonts w:ascii="Times New Roman" w:eastAsia="Times New Roman" w:hAnsi="Times New Roman" w:cs="Times New Roman"/>
                <w:sz w:val="28"/>
                <w:szCs w:val="28"/>
                <w:lang w:eastAsia="lv-LV"/>
              </w:rPr>
              <w:t>125 098 489</w:t>
            </w:r>
          </w:p>
        </w:tc>
        <w:tc>
          <w:tcPr>
            <w:tcW w:w="1406" w:type="dxa"/>
            <w:tcBorders>
              <w:top w:val="outset" w:sz="6" w:space="0" w:color="414142"/>
              <w:left w:val="outset" w:sz="6" w:space="0" w:color="414142"/>
              <w:bottom w:val="outset" w:sz="6" w:space="0" w:color="414142"/>
              <w:right w:val="outset" w:sz="6" w:space="0" w:color="414142"/>
            </w:tcBorders>
            <w:hideMark/>
          </w:tcPr>
          <w:p w14:paraId="525B38EA" w14:textId="77777777" w:rsidR="00C411AD" w:rsidRPr="00A86C6E" w:rsidRDefault="007A6431" w:rsidP="00C411A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-50 707</w:t>
            </w:r>
          </w:p>
        </w:tc>
        <w:tc>
          <w:tcPr>
            <w:tcW w:w="1265" w:type="dxa"/>
            <w:tcBorders>
              <w:top w:val="outset" w:sz="6" w:space="0" w:color="414142"/>
              <w:left w:val="outset" w:sz="6" w:space="0" w:color="414142"/>
              <w:bottom w:val="outset" w:sz="6" w:space="0" w:color="414142"/>
              <w:right w:val="outset" w:sz="6" w:space="0" w:color="414142"/>
            </w:tcBorders>
            <w:hideMark/>
          </w:tcPr>
          <w:p w14:paraId="10A33CDB" w14:textId="77777777"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0</w:t>
            </w:r>
          </w:p>
        </w:tc>
        <w:tc>
          <w:tcPr>
            <w:tcW w:w="1266" w:type="dxa"/>
            <w:tcBorders>
              <w:top w:val="outset" w:sz="6" w:space="0" w:color="414142"/>
              <w:left w:val="outset" w:sz="6" w:space="0" w:color="414142"/>
              <w:bottom w:val="outset" w:sz="6" w:space="0" w:color="414142"/>
              <w:right w:val="outset" w:sz="6" w:space="0" w:color="414142"/>
            </w:tcBorders>
            <w:hideMark/>
          </w:tcPr>
          <w:p w14:paraId="61625AD9" w14:textId="77777777"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0</w:t>
            </w:r>
          </w:p>
        </w:tc>
        <w:tc>
          <w:tcPr>
            <w:tcW w:w="1266" w:type="dxa"/>
            <w:tcBorders>
              <w:top w:val="outset" w:sz="6" w:space="0" w:color="414142"/>
              <w:left w:val="outset" w:sz="6" w:space="0" w:color="414142"/>
              <w:bottom w:val="outset" w:sz="6" w:space="0" w:color="414142"/>
              <w:right w:val="outset" w:sz="6" w:space="0" w:color="414142"/>
            </w:tcBorders>
            <w:hideMark/>
          </w:tcPr>
          <w:p w14:paraId="15442701" w14:textId="77777777"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0</w:t>
            </w:r>
          </w:p>
        </w:tc>
      </w:tr>
      <w:tr w:rsidR="00FF5633" w:rsidRPr="00A86C6E" w14:paraId="06E0FAA1"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2DFE35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3.2.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12214B7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2258B307"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FD8E01F"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E1AD12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65D7122B"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7BE339D5" w14:textId="77777777" w:rsidTr="00BE6EA4">
        <w:tc>
          <w:tcPr>
            <w:tcW w:w="2419" w:type="dxa"/>
            <w:tcBorders>
              <w:top w:val="outset" w:sz="6" w:space="0" w:color="414142"/>
              <w:left w:val="outset" w:sz="6" w:space="0" w:color="414142"/>
              <w:bottom w:val="single" w:sz="4" w:space="0" w:color="auto"/>
              <w:right w:val="outset" w:sz="6" w:space="0" w:color="414142"/>
            </w:tcBorders>
            <w:hideMark/>
          </w:tcPr>
          <w:p w14:paraId="7FFBA16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3.3. pašvaldību budžets</w:t>
            </w:r>
          </w:p>
          <w:p w14:paraId="736B6E4A" w14:textId="77777777" w:rsidR="00932BE3" w:rsidRPr="00A86C6E" w:rsidRDefault="00932BE3" w:rsidP="00FF5633">
            <w:pPr>
              <w:spacing w:after="0" w:line="240" w:lineRule="auto"/>
              <w:rPr>
                <w:rFonts w:ascii="Times New Roman" w:eastAsia="Times New Roman" w:hAnsi="Times New Roman" w:cs="Times New Roman"/>
                <w:sz w:val="28"/>
                <w:szCs w:val="28"/>
                <w:lang w:eastAsia="lv-LV"/>
              </w:rPr>
            </w:pPr>
          </w:p>
        </w:tc>
        <w:tc>
          <w:tcPr>
            <w:tcW w:w="1687" w:type="dxa"/>
            <w:tcBorders>
              <w:top w:val="outset" w:sz="6" w:space="0" w:color="414142"/>
              <w:left w:val="outset" w:sz="6" w:space="0" w:color="414142"/>
              <w:bottom w:val="single" w:sz="4" w:space="0" w:color="auto"/>
              <w:right w:val="outset" w:sz="6" w:space="0" w:color="414142"/>
            </w:tcBorders>
            <w:hideMark/>
          </w:tcPr>
          <w:p w14:paraId="7B72FB8C"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single" w:sz="4" w:space="0" w:color="auto"/>
              <w:right w:val="outset" w:sz="6" w:space="0" w:color="414142"/>
            </w:tcBorders>
            <w:hideMark/>
          </w:tcPr>
          <w:p w14:paraId="0529350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single" w:sz="4" w:space="0" w:color="auto"/>
              <w:right w:val="outset" w:sz="6" w:space="0" w:color="414142"/>
            </w:tcBorders>
            <w:hideMark/>
          </w:tcPr>
          <w:p w14:paraId="18E326AE"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single" w:sz="4" w:space="0" w:color="auto"/>
              <w:right w:val="outset" w:sz="6" w:space="0" w:color="414142"/>
            </w:tcBorders>
            <w:hideMark/>
          </w:tcPr>
          <w:p w14:paraId="5D4FA758"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single" w:sz="4" w:space="0" w:color="auto"/>
              <w:right w:val="outset" w:sz="6" w:space="0" w:color="414142"/>
            </w:tcBorders>
            <w:hideMark/>
          </w:tcPr>
          <w:p w14:paraId="53D3B568"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3F0293E6" w14:textId="77777777" w:rsidTr="00BE6EA4">
        <w:tc>
          <w:tcPr>
            <w:tcW w:w="2419" w:type="dxa"/>
            <w:vMerge w:val="restart"/>
            <w:tcBorders>
              <w:top w:val="single" w:sz="4" w:space="0" w:color="auto"/>
              <w:left w:val="single" w:sz="4" w:space="0" w:color="auto"/>
              <w:bottom w:val="single" w:sz="4" w:space="0" w:color="auto"/>
              <w:right w:val="single" w:sz="4" w:space="0" w:color="auto"/>
            </w:tcBorders>
            <w:hideMark/>
          </w:tcPr>
          <w:p w14:paraId="572EA587"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687" w:type="dxa"/>
            <w:vMerge w:val="restart"/>
            <w:tcBorders>
              <w:top w:val="single" w:sz="4" w:space="0" w:color="auto"/>
              <w:left w:val="single" w:sz="4" w:space="0" w:color="auto"/>
              <w:bottom w:val="single" w:sz="4" w:space="0" w:color="auto"/>
              <w:right w:val="single" w:sz="4" w:space="0" w:color="auto"/>
            </w:tcBorders>
            <w:hideMark/>
          </w:tcPr>
          <w:p w14:paraId="3390FD57"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X</w:t>
            </w:r>
          </w:p>
        </w:tc>
        <w:tc>
          <w:tcPr>
            <w:tcW w:w="1406" w:type="dxa"/>
            <w:tcBorders>
              <w:top w:val="single" w:sz="4" w:space="0" w:color="auto"/>
              <w:left w:val="single" w:sz="4" w:space="0" w:color="auto"/>
              <w:bottom w:val="single" w:sz="4" w:space="0" w:color="auto"/>
              <w:right w:val="single" w:sz="4" w:space="0" w:color="auto"/>
            </w:tcBorders>
            <w:hideMark/>
          </w:tcPr>
          <w:p w14:paraId="5C53CF8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single" w:sz="4" w:space="0" w:color="auto"/>
              <w:left w:val="single" w:sz="4" w:space="0" w:color="auto"/>
              <w:bottom w:val="single" w:sz="4" w:space="0" w:color="auto"/>
              <w:right w:val="single" w:sz="4" w:space="0" w:color="auto"/>
            </w:tcBorders>
            <w:hideMark/>
          </w:tcPr>
          <w:p w14:paraId="164CDDC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single" w:sz="4" w:space="0" w:color="auto"/>
              <w:left w:val="single" w:sz="4" w:space="0" w:color="auto"/>
              <w:bottom w:val="single" w:sz="4" w:space="0" w:color="auto"/>
              <w:right w:val="single" w:sz="4" w:space="0" w:color="auto"/>
            </w:tcBorders>
            <w:hideMark/>
          </w:tcPr>
          <w:p w14:paraId="1DE531E7"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single" w:sz="4" w:space="0" w:color="auto"/>
              <w:left w:val="single" w:sz="4" w:space="0" w:color="auto"/>
              <w:bottom w:val="single" w:sz="4" w:space="0" w:color="auto"/>
              <w:right w:val="single" w:sz="4" w:space="0" w:color="auto"/>
            </w:tcBorders>
            <w:hideMark/>
          </w:tcPr>
          <w:p w14:paraId="7CB82223"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45BFDBB5" w14:textId="77777777" w:rsidTr="00BE6EA4">
        <w:tc>
          <w:tcPr>
            <w:tcW w:w="2419" w:type="dxa"/>
            <w:vMerge/>
            <w:tcBorders>
              <w:top w:val="single" w:sz="4" w:space="0" w:color="auto"/>
              <w:left w:val="outset" w:sz="6" w:space="0" w:color="414142"/>
              <w:bottom w:val="outset" w:sz="6" w:space="0" w:color="414142"/>
              <w:right w:val="outset" w:sz="6" w:space="0" w:color="414142"/>
            </w:tcBorders>
            <w:vAlign w:val="center"/>
            <w:hideMark/>
          </w:tcPr>
          <w:p w14:paraId="60F0A9B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687" w:type="dxa"/>
            <w:vMerge/>
            <w:tcBorders>
              <w:top w:val="single" w:sz="4" w:space="0" w:color="auto"/>
              <w:left w:val="outset" w:sz="6" w:space="0" w:color="414142"/>
              <w:bottom w:val="outset" w:sz="6" w:space="0" w:color="414142"/>
              <w:right w:val="outset" w:sz="6" w:space="0" w:color="414142"/>
            </w:tcBorders>
            <w:vAlign w:val="center"/>
            <w:hideMark/>
          </w:tcPr>
          <w:p w14:paraId="0BAB65B7"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single" w:sz="4" w:space="0" w:color="auto"/>
              <w:left w:val="outset" w:sz="6" w:space="0" w:color="414142"/>
              <w:bottom w:val="outset" w:sz="6" w:space="0" w:color="414142"/>
              <w:right w:val="outset" w:sz="6" w:space="0" w:color="414142"/>
            </w:tcBorders>
            <w:hideMark/>
          </w:tcPr>
          <w:p w14:paraId="4969D29B"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single" w:sz="4" w:space="0" w:color="auto"/>
              <w:left w:val="outset" w:sz="6" w:space="0" w:color="414142"/>
              <w:bottom w:val="outset" w:sz="6" w:space="0" w:color="414142"/>
              <w:right w:val="outset" w:sz="6" w:space="0" w:color="414142"/>
            </w:tcBorders>
            <w:hideMark/>
          </w:tcPr>
          <w:p w14:paraId="7BC155D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single" w:sz="4" w:space="0" w:color="auto"/>
              <w:left w:val="outset" w:sz="6" w:space="0" w:color="414142"/>
              <w:bottom w:val="outset" w:sz="6" w:space="0" w:color="414142"/>
              <w:right w:val="outset" w:sz="6" w:space="0" w:color="414142"/>
            </w:tcBorders>
            <w:hideMark/>
          </w:tcPr>
          <w:p w14:paraId="430697D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single" w:sz="4" w:space="0" w:color="auto"/>
              <w:left w:val="outset" w:sz="6" w:space="0" w:color="414142"/>
              <w:bottom w:val="outset" w:sz="6" w:space="0" w:color="414142"/>
              <w:right w:val="outset" w:sz="6" w:space="0" w:color="414142"/>
            </w:tcBorders>
            <w:hideMark/>
          </w:tcPr>
          <w:p w14:paraId="6EFB9CEB"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58657796"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6C5C7DCD"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3353138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1520741D"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1913491D"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3E8A97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FB9079A"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4F0E4E2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7A98AC3"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 Precizēta finansiālā ietekme:</w:t>
            </w:r>
          </w:p>
        </w:tc>
        <w:tc>
          <w:tcPr>
            <w:tcW w:w="1687" w:type="dxa"/>
            <w:vMerge w:val="restart"/>
            <w:tcBorders>
              <w:top w:val="outset" w:sz="6" w:space="0" w:color="414142"/>
              <w:left w:val="outset" w:sz="6" w:space="0" w:color="414142"/>
              <w:bottom w:val="outset" w:sz="6" w:space="0" w:color="414142"/>
              <w:right w:val="outset" w:sz="6" w:space="0" w:color="414142"/>
            </w:tcBorders>
            <w:hideMark/>
          </w:tcPr>
          <w:p w14:paraId="4E3D2970"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X</w:t>
            </w:r>
          </w:p>
        </w:tc>
        <w:tc>
          <w:tcPr>
            <w:tcW w:w="1406" w:type="dxa"/>
            <w:tcBorders>
              <w:top w:val="outset" w:sz="6" w:space="0" w:color="414142"/>
              <w:left w:val="outset" w:sz="6" w:space="0" w:color="414142"/>
              <w:bottom w:val="outset" w:sz="6" w:space="0" w:color="414142"/>
              <w:right w:val="outset" w:sz="6" w:space="0" w:color="414142"/>
            </w:tcBorders>
            <w:hideMark/>
          </w:tcPr>
          <w:p w14:paraId="1B6B9C4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A5753E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33A349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B00216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4779EA7C"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2D7F61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lastRenderedPageBreak/>
              <w:t>5.1. valsts pamatbudžets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6207DF36"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630B105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A7E4E1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A85BD1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7B2F55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7A3EB148"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2B256A8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5.2. speciālais 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5574312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658D9D6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4DC26CD"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0CC94AA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141F41D"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14:paraId="7A56493F"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2241290"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5.3. pašvaldību 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4CE8FE72"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217636FB"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F27ED4F"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49C7DD65"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385428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FF5633" w:rsidRPr="00A86C6E" w14:paraId="5AFD03D7"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B450107"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890"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1454F3A" w14:textId="77777777" w:rsidR="00FF5633" w:rsidRPr="00A86C6E" w:rsidRDefault="00BE6EA4" w:rsidP="00FF563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attiecināms</w:t>
            </w:r>
          </w:p>
        </w:tc>
      </w:tr>
      <w:tr w:rsidR="00FF5633" w:rsidRPr="00A86C6E" w14:paraId="6E397838"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3789298C"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6.1. detalizēts ieņēmumu aprēķins</w:t>
            </w:r>
          </w:p>
        </w:tc>
        <w:tc>
          <w:tcPr>
            <w:tcW w:w="6890" w:type="dxa"/>
            <w:gridSpan w:val="5"/>
            <w:vMerge/>
            <w:tcBorders>
              <w:top w:val="outset" w:sz="6" w:space="0" w:color="414142"/>
              <w:left w:val="outset" w:sz="6" w:space="0" w:color="414142"/>
              <w:bottom w:val="outset" w:sz="6" w:space="0" w:color="414142"/>
              <w:right w:val="outset" w:sz="6" w:space="0" w:color="414142"/>
            </w:tcBorders>
            <w:vAlign w:val="center"/>
            <w:hideMark/>
          </w:tcPr>
          <w:p w14:paraId="240BA80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r>
      <w:tr w:rsidR="00FF5633" w:rsidRPr="00A86C6E" w14:paraId="013A43A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2DC5E339"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6.2. detalizēts izdevumu aprēķins</w:t>
            </w:r>
          </w:p>
        </w:tc>
        <w:tc>
          <w:tcPr>
            <w:tcW w:w="6890" w:type="dxa"/>
            <w:gridSpan w:val="5"/>
            <w:vMerge/>
            <w:tcBorders>
              <w:top w:val="outset" w:sz="6" w:space="0" w:color="414142"/>
              <w:left w:val="outset" w:sz="6" w:space="0" w:color="414142"/>
              <w:bottom w:val="outset" w:sz="6" w:space="0" w:color="414142"/>
              <w:right w:val="outset" w:sz="6" w:space="0" w:color="414142"/>
            </w:tcBorders>
            <w:vAlign w:val="center"/>
            <w:hideMark/>
          </w:tcPr>
          <w:p w14:paraId="1BAAC452"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p>
        </w:tc>
      </w:tr>
      <w:tr w:rsidR="00FF5633" w:rsidRPr="00A86C6E" w14:paraId="45E21F1C" w14:textId="77777777" w:rsidTr="00BE6EA4">
        <w:trPr>
          <w:trHeight w:val="555"/>
        </w:trPr>
        <w:tc>
          <w:tcPr>
            <w:tcW w:w="2419" w:type="dxa"/>
            <w:tcBorders>
              <w:top w:val="outset" w:sz="6" w:space="0" w:color="414142"/>
              <w:left w:val="outset" w:sz="6" w:space="0" w:color="414142"/>
              <w:bottom w:val="outset" w:sz="6" w:space="0" w:color="414142"/>
              <w:right w:val="outset" w:sz="6" w:space="0" w:color="414142"/>
            </w:tcBorders>
            <w:hideMark/>
          </w:tcPr>
          <w:p w14:paraId="33410FB1"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7. Cita informācija</w:t>
            </w:r>
          </w:p>
        </w:tc>
        <w:tc>
          <w:tcPr>
            <w:tcW w:w="6890" w:type="dxa"/>
            <w:gridSpan w:val="5"/>
            <w:tcBorders>
              <w:top w:val="outset" w:sz="6" w:space="0" w:color="414142"/>
              <w:left w:val="outset" w:sz="6" w:space="0" w:color="414142"/>
              <w:bottom w:val="outset" w:sz="6" w:space="0" w:color="414142"/>
              <w:right w:val="outset" w:sz="6" w:space="0" w:color="414142"/>
            </w:tcBorders>
            <w:hideMark/>
          </w:tcPr>
          <w:p w14:paraId="6203C67A" w14:textId="79D61DAD" w:rsidR="00FF5633" w:rsidRPr="00A86C6E" w:rsidRDefault="00B34015" w:rsidP="00B34015">
            <w:pPr>
              <w:spacing w:after="0" w:line="240" w:lineRule="auto"/>
              <w:jc w:val="both"/>
              <w:rPr>
                <w:rFonts w:ascii="Times New Roman" w:eastAsia="Times New Roman" w:hAnsi="Times New Roman" w:cs="Times New Roman"/>
                <w:sz w:val="28"/>
                <w:szCs w:val="28"/>
                <w:lang w:eastAsia="lv-LV"/>
              </w:rPr>
            </w:pPr>
            <w:r w:rsidRPr="001B0A39">
              <w:rPr>
                <w:rFonts w:ascii="Times New Roman" w:eastAsia="Times New Roman" w:hAnsi="Times New Roman" w:cs="Times New Roman"/>
                <w:sz w:val="28"/>
                <w:szCs w:val="28"/>
                <w:lang w:eastAsia="lv-LV"/>
              </w:rPr>
              <w:t xml:space="preserve">2014.gadā dažādos nodokļos kopā samaksāti 462 407 </w:t>
            </w:r>
            <w:r>
              <w:rPr>
                <w:rFonts w:ascii="Times New Roman" w:eastAsia="Times New Roman" w:hAnsi="Times New Roman" w:cs="Times New Roman"/>
                <w:sz w:val="28"/>
                <w:szCs w:val="28"/>
                <w:lang w:eastAsia="lv-LV"/>
              </w:rPr>
              <w:t>euro</w:t>
            </w:r>
            <w:r w:rsidRPr="001B0A39">
              <w:rPr>
                <w:rFonts w:ascii="Times New Roman" w:eastAsia="Times New Roman" w:hAnsi="Times New Roman" w:cs="Times New Roman"/>
                <w:sz w:val="28"/>
                <w:szCs w:val="28"/>
                <w:lang w:eastAsia="lv-LV"/>
              </w:rPr>
              <w:t>, tajā skaitā darbaspēka nodokļi (iedzīvotāju ienākuma nodoklis (IIN), darba devēja un darba ņēmēja valsts sociālās apdrošināšanas obligātās iemaksas).</w:t>
            </w:r>
          </w:p>
        </w:tc>
      </w:tr>
    </w:tbl>
    <w:p w14:paraId="65B97730" w14:textId="77777777" w:rsidR="00BE6EA4" w:rsidRDefault="00BE6EA4" w:rsidP="00FF5633">
      <w:pPr>
        <w:spacing w:after="0" w:line="240" w:lineRule="auto"/>
        <w:rPr>
          <w:rFonts w:ascii="Times New Roman" w:eastAsia="Times New Roman" w:hAnsi="Times New Roman" w:cs="Times New Roman"/>
          <w:color w:val="414142"/>
          <w:sz w:val="28"/>
          <w:szCs w:val="28"/>
          <w:lang w:eastAsia="lv-LV"/>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2388"/>
        <w:gridCol w:w="6467"/>
      </w:tblGrid>
      <w:tr w:rsidR="00BE6EA4" w:rsidRPr="00BE6EA4" w14:paraId="6762967B" w14:textId="77777777" w:rsidTr="00070355">
        <w:tc>
          <w:tcPr>
            <w:tcW w:w="5000" w:type="pct"/>
            <w:gridSpan w:val="3"/>
            <w:tcBorders>
              <w:top w:val="outset" w:sz="6" w:space="0" w:color="auto"/>
              <w:left w:val="outset" w:sz="6" w:space="0" w:color="auto"/>
              <w:bottom w:val="outset" w:sz="6" w:space="0" w:color="auto"/>
              <w:right w:val="outset" w:sz="6" w:space="0" w:color="auto"/>
            </w:tcBorders>
            <w:vAlign w:val="center"/>
          </w:tcPr>
          <w:p w14:paraId="0001FD64" w14:textId="3A63C50F" w:rsidR="00BE6EA4" w:rsidRPr="00A60399" w:rsidRDefault="00BE6EA4" w:rsidP="00A60399">
            <w:pPr>
              <w:tabs>
                <w:tab w:val="center" w:pos="4153"/>
                <w:tab w:val="right" w:pos="8306"/>
              </w:tabs>
              <w:spacing w:after="0" w:line="240" w:lineRule="auto"/>
              <w:jc w:val="center"/>
              <w:rPr>
                <w:rFonts w:ascii="Times New Roman" w:eastAsia="Times New Roman" w:hAnsi="Times New Roman" w:cs="Times New Roman"/>
                <w:b/>
                <w:bCs/>
                <w:sz w:val="28"/>
                <w:szCs w:val="24"/>
                <w:lang w:eastAsia="lv-LV"/>
              </w:rPr>
            </w:pPr>
            <w:r w:rsidRPr="00BE6EA4">
              <w:rPr>
                <w:rFonts w:ascii="Times New Roman" w:eastAsia="Times New Roman" w:hAnsi="Times New Roman" w:cs="Times New Roman"/>
                <w:b/>
                <w:bCs/>
                <w:sz w:val="28"/>
                <w:szCs w:val="24"/>
                <w:lang w:eastAsia="lv-LV"/>
              </w:rPr>
              <w:t>V. Tiesību akta projekta atbilstība Latvijas Republikas starptautiskajām saistībām</w:t>
            </w:r>
          </w:p>
        </w:tc>
      </w:tr>
      <w:tr w:rsidR="00BE6EA4" w:rsidRPr="00BE6EA4" w14:paraId="43A84EDF" w14:textId="77777777" w:rsidTr="00070355">
        <w:tc>
          <w:tcPr>
            <w:tcW w:w="228" w:type="pct"/>
            <w:tcBorders>
              <w:top w:val="outset" w:sz="6" w:space="0" w:color="auto"/>
              <w:left w:val="outset" w:sz="6" w:space="0" w:color="auto"/>
              <w:bottom w:val="outset" w:sz="6" w:space="0" w:color="auto"/>
              <w:right w:val="outset" w:sz="6" w:space="0" w:color="auto"/>
            </w:tcBorders>
          </w:tcPr>
          <w:p w14:paraId="4C33CC85" w14:textId="77777777" w:rsidR="00BE6EA4" w:rsidRPr="00BE6EA4" w:rsidRDefault="00BE6EA4" w:rsidP="00BE6EA4">
            <w:pPr>
              <w:spacing w:after="0" w:line="240" w:lineRule="auto"/>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1.</w:t>
            </w:r>
          </w:p>
        </w:tc>
        <w:tc>
          <w:tcPr>
            <w:tcW w:w="1287" w:type="pct"/>
            <w:tcBorders>
              <w:top w:val="outset" w:sz="6" w:space="0" w:color="auto"/>
              <w:left w:val="outset" w:sz="6" w:space="0" w:color="auto"/>
              <w:bottom w:val="outset" w:sz="6" w:space="0" w:color="auto"/>
              <w:right w:val="outset" w:sz="6" w:space="0" w:color="auto"/>
            </w:tcBorders>
          </w:tcPr>
          <w:p w14:paraId="7A39D7DD" w14:textId="77777777" w:rsidR="00BE6EA4" w:rsidRPr="00BE6EA4" w:rsidRDefault="00BE6EA4" w:rsidP="00BE6EA4">
            <w:pPr>
              <w:spacing w:after="0" w:line="240" w:lineRule="auto"/>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Saistības pret Eiropas Savienību</w:t>
            </w:r>
          </w:p>
        </w:tc>
        <w:tc>
          <w:tcPr>
            <w:tcW w:w="3484" w:type="pct"/>
            <w:tcBorders>
              <w:top w:val="outset" w:sz="6" w:space="0" w:color="auto"/>
              <w:left w:val="outset" w:sz="6" w:space="0" w:color="auto"/>
              <w:bottom w:val="outset" w:sz="6" w:space="0" w:color="auto"/>
              <w:right w:val="outset" w:sz="6" w:space="0" w:color="auto"/>
            </w:tcBorders>
          </w:tcPr>
          <w:p w14:paraId="181B396A" w14:textId="77777777" w:rsidR="00BE6EA4" w:rsidRDefault="00BE6EA4" w:rsidP="004B06B1">
            <w:pPr>
              <w:spacing w:after="0" w:line="240" w:lineRule="auto"/>
              <w:ind w:left="112"/>
              <w:jc w:val="both"/>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Eiropas Komisijas 2008.gada 9.jūlija Regula (ES) Nr.765/2008 ar ko nosaka akreditācijas un tirgus uzraudzības prasības attiecībā uz produktu tirdzniecību un atceļ Regulu (EKK) Nr.339/93.</w:t>
            </w:r>
          </w:p>
          <w:p w14:paraId="6776625C" w14:textId="77777777" w:rsidR="004B06B1" w:rsidRPr="00BE6EA4" w:rsidRDefault="004B06B1" w:rsidP="004B06B1">
            <w:pPr>
              <w:spacing w:after="0" w:line="240" w:lineRule="auto"/>
              <w:ind w:left="112"/>
              <w:jc w:val="both"/>
              <w:rPr>
                <w:rFonts w:ascii="Times New Roman" w:eastAsia="Times New Roman" w:hAnsi="Times New Roman" w:cs="Times New Roman"/>
                <w:sz w:val="28"/>
                <w:szCs w:val="24"/>
                <w:lang w:eastAsia="lv-LV"/>
              </w:rPr>
            </w:pPr>
            <w:r w:rsidRPr="004B06B1">
              <w:rPr>
                <w:rFonts w:ascii="Times New Roman" w:eastAsia="Times New Roman" w:hAnsi="Times New Roman" w:cs="Times New Roman"/>
                <w:sz w:val="28"/>
                <w:szCs w:val="24"/>
                <w:lang w:eastAsia="lv-LV"/>
              </w:rPr>
              <w:t>Regulas (ES) Nr.765/2008 4.panta 7.punktā valstij nav piešķirta rīcības brīvība.</w:t>
            </w:r>
          </w:p>
        </w:tc>
      </w:tr>
      <w:tr w:rsidR="00BE6EA4" w:rsidRPr="00BE6EA4" w14:paraId="34D9FB1D" w14:textId="77777777" w:rsidTr="00070355">
        <w:tc>
          <w:tcPr>
            <w:tcW w:w="228" w:type="pct"/>
            <w:tcBorders>
              <w:top w:val="outset" w:sz="6" w:space="0" w:color="auto"/>
              <w:left w:val="outset" w:sz="6" w:space="0" w:color="auto"/>
              <w:bottom w:val="outset" w:sz="6" w:space="0" w:color="auto"/>
              <w:right w:val="outset" w:sz="6" w:space="0" w:color="auto"/>
            </w:tcBorders>
          </w:tcPr>
          <w:p w14:paraId="2AE6869F" w14:textId="77777777" w:rsidR="00BE6EA4" w:rsidRPr="00BE6EA4" w:rsidRDefault="00BE6EA4" w:rsidP="00BE6EA4">
            <w:pPr>
              <w:spacing w:after="0" w:line="240" w:lineRule="auto"/>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2.</w:t>
            </w:r>
          </w:p>
        </w:tc>
        <w:tc>
          <w:tcPr>
            <w:tcW w:w="1287" w:type="pct"/>
            <w:tcBorders>
              <w:top w:val="outset" w:sz="6" w:space="0" w:color="auto"/>
              <w:left w:val="outset" w:sz="6" w:space="0" w:color="auto"/>
              <w:bottom w:val="outset" w:sz="6" w:space="0" w:color="auto"/>
              <w:right w:val="outset" w:sz="6" w:space="0" w:color="auto"/>
            </w:tcBorders>
          </w:tcPr>
          <w:p w14:paraId="68C751C8" w14:textId="77777777" w:rsidR="00BE6EA4" w:rsidRPr="00BE6EA4" w:rsidRDefault="00BE6EA4" w:rsidP="00BE6EA4">
            <w:pPr>
              <w:spacing w:after="0" w:line="240" w:lineRule="auto"/>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Citas starptautiskās saistības</w:t>
            </w:r>
          </w:p>
        </w:tc>
        <w:tc>
          <w:tcPr>
            <w:tcW w:w="3484" w:type="pct"/>
            <w:tcBorders>
              <w:top w:val="outset" w:sz="6" w:space="0" w:color="auto"/>
              <w:left w:val="outset" w:sz="6" w:space="0" w:color="auto"/>
              <w:bottom w:val="outset" w:sz="6" w:space="0" w:color="auto"/>
              <w:right w:val="outset" w:sz="6" w:space="0" w:color="auto"/>
            </w:tcBorders>
          </w:tcPr>
          <w:p w14:paraId="4199658F" w14:textId="77777777" w:rsidR="00BE6EA4" w:rsidRPr="00BE6EA4" w:rsidRDefault="00BE6EA4" w:rsidP="00BE6EA4">
            <w:pPr>
              <w:spacing w:after="0" w:line="240" w:lineRule="auto"/>
              <w:ind w:left="112"/>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Nav attiecināms</w:t>
            </w:r>
          </w:p>
        </w:tc>
      </w:tr>
      <w:tr w:rsidR="00BE6EA4" w:rsidRPr="00BE6EA4" w14:paraId="351BC60D" w14:textId="77777777" w:rsidTr="00070355">
        <w:tc>
          <w:tcPr>
            <w:tcW w:w="228" w:type="pct"/>
            <w:tcBorders>
              <w:top w:val="outset" w:sz="6" w:space="0" w:color="auto"/>
              <w:left w:val="outset" w:sz="6" w:space="0" w:color="auto"/>
              <w:bottom w:val="outset" w:sz="6" w:space="0" w:color="auto"/>
              <w:right w:val="outset" w:sz="6" w:space="0" w:color="auto"/>
            </w:tcBorders>
          </w:tcPr>
          <w:p w14:paraId="29834B0C" w14:textId="77777777" w:rsidR="00BE6EA4" w:rsidRPr="00BE6EA4" w:rsidRDefault="00BE6EA4" w:rsidP="00BE6EA4">
            <w:pPr>
              <w:spacing w:after="0" w:line="240" w:lineRule="auto"/>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3.</w:t>
            </w:r>
          </w:p>
        </w:tc>
        <w:tc>
          <w:tcPr>
            <w:tcW w:w="1287" w:type="pct"/>
            <w:tcBorders>
              <w:top w:val="outset" w:sz="6" w:space="0" w:color="auto"/>
              <w:left w:val="outset" w:sz="6" w:space="0" w:color="auto"/>
              <w:bottom w:val="outset" w:sz="6" w:space="0" w:color="auto"/>
              <w:right w:val="outset" w:sz="6" w:space="0" w:color="auto"/>
            </w:tcBorders>
          </w:tcPr>
          <w:p w14:paraId="2CE2D816" w14:textId="77777777" w:rsidR="00BE6EA4" w:rsidRPr="00BE6EA4" w:rsidRDefault="00BE6EA4" w:rsidP="00BE6EA4">
            <w:pPr>
              <w:spacing w:after="0" w:line="240" w:lineRule="auto"/>
              <w:rPr>
                <w:rFonts w:ascii="Times New Roman" w:eastAsia="Times New Roman" w:hAnsi="Times New Roman" w:cs="Times New Roman"/>
                <w:sz w:val="28"/>
                <w:szCs w:val="24"/>
                <w:lang w:eastAsia="lv-LV"/>
              </w:rPr>
            </w:pPr>
            <w:r w:rsidRPr="00BE6EA4">
              <w:rPr>
                <w:rFonts w:ascii="Times New Roman" w:eastAsia="Times New Roman" w:hAnsi="Times New Roman" w:cs="Times New Roman"/>
                <w:sz w:val="28"/>
                <w:szCs w:val="24"/>
                <w:lang w:eastAsia="lv-LV"/>
              </w:rPr>
              <w:t>Cita informācija</w:t>
            </w:r>
          </w:p>
        </w:tc>
        <w:tc>
          <w:tcPr>
            <w:tcW w:w="3484" w:type="pct"/>
            <w:tcBorders>
              <w:top w:val="outset" w:sz="6" w:space="0" w:color="auto"/>
              <w:left w:val="outset" w:sz="6" w:space="0" w:color="auto"/>
              <w:bottom w:val="outset" w:sz="6" w:space="0" w:color="auto"/>
              <w:right w:val="outset" w:sz="6" w:space="0" w:color="auto"/>
            </w:tcBorders>
          </w:tcPr>
          <w:p w14:paraId="15889DD6" w14:textId="205CD49A" w:rsidR="00BE6EA4" w:rsidRPr="00BE6EA4" w:rsidRDefault="004B06B1" w:rsidP="00A60399">
            <w:pPr>
              <w:spacing w:after="0" w:line="240" w:lineRule="auto"/>
              <w:ind w:left="112"/>
              <w:jc w:val="both"/>
              <w:rPr>
                <w:rFonts w:ascii="Times New Roman" w:eastAsia="Times New Roman" w:hAnsi="Times New Roman" w:cs="Times New Roman"/>
                <w:sz w:val="28"/>
                <w:szCs w:val="24"/>
                <w:lang w:eastAsia="lv-LV"/>
              </w:rPr>
            </w:pPr>
            <w:r w:rsidRPr="004B06B1">
              <w:rPr>
                <w:rFonts w:ascii="Times New Roman" w:eastAsia="Times New Roman" w:hAnsi="Times New Roman" w:cs="Times New Roman"/>
                <w:sz w:val="28"/>
                <w:szCs w:val="24"/>
                <w:lang w:eastAsia="lv-LV"/>
              </w:rPr>
              <w:t xml:space="preserve">2013.gada rudenī Eiropas akreditācijas kooperācija, saskaņā ar Regulas (ES) Nr.765/2008 14. panta 6. punktu ir atzīta par Eiropas akreditācijas infrastruktūras uzturētāju. LATAK ir </w:t>
            </w:r>
            <w:r w:rsidR="00A60399" w:rsidRPr="00A60399">
              <w:rPr>
                <w:rFonts w:ascii="Times New Roman" w:eastAsia="Times New Roman" w:hAnsi="Times New Roman" w:cs="Times New Roman"/>
                <w:sz w:val="28"/>
                <w:szCs w:val="24"/>
                <w:lang w:eastAsia="lv-LV"/>
              </w:rPr>
              <w:t>Eiropas akreditācijas kooperācija</w:t>
            </w:r>
            <w:r w:rsidR="00A60399">
              <w:rPr>
                <w:rFonts w:ascii="Times New Roman" w:eastAsia="Times New Roman" w:hAnsi="Times New Roman" w:cs="Times New Roman"/>
                <w:sz w:val="28"/>
                <w:szCs w:val="24"/>
                <w:lang w:eastAsia="lv-LV"/>
              </w:rPr>
              <w:t>s</w:t>
            </w:r>
            <w:r w:rsidRPr="004B06B1">
              <w:rPr>
                <w:rFonts w:ascii="Times New Roman" w:eastAsia="Times New Roman" w:hAnsi="Times New Roman" w:cs="Times New Roman"/>
                <w:sz w:val="28"/>
                <w:szCs w:val="24"/>
                <w:lang w:eastAsia="lv-LV"/>
              </w:rPr>
              <w:t xml:space="preserve"> biedrs. 2013.gada rudenī </w:t>
            </w:r>
            <w:r w:rsidR="00A60399" w:rsidRPr="00A60399">
              <w:rPr>
                <w:rFonts w:ascii="Times New Roman" w:eastAsia="Times New Roman" w:hAnsi="Times New Roman" w:cs="Times New Roman"/>
                <w:sz w:val="28"/>
                <w:szCs w:val="24"/>
                <w:lang w:eastAsia="lv-LV"/>
              </w:rPr>
              <w:t>Eiropas akreditācijas kooperācija</w:t>
            </w:r>
            <w:r w:rsidRPr="004B06B1">
              <w:rPr>
                <w:rFonts w:ascii="Times New Roman" w:eastAsia="Times New Roman" w:hAnsi="Times New Roman" w:cs="Times New Roman"/>
                <w:sz w:val="28"/>
                <w:szCs w:val="24"/>
                <w:lang w:eastAsia="lv-LV"/>
              </w:rPr>
              <w:t xml:space="preserve"> veica LATAK auditu, pārbaudot arī LATAK </w:t>
            </w:r>
            <w:r w:rsidRPr="004B06B1">
              <w:rPr>
                <w:rFonts w:ascii="Times New Roman" w:eastAsia="Times New Roman" w:hAnsi="Times New Roman" w:cs="Times New Roman"/>
                <w:sz w:val="28"/>
                <w:szCs w:val="24"/>
                <w:lang w:eastAsia="lv-LV"/>
              </w:rPr>
              <w:lastRenderedPageBreak/>
              <w:t>atbilstību Regulas (ES) Nr.765/2008 4.panta prasībām, tai skaitā bezpeļņas principa ievērošanu LATAK darbībā.</w:t>
            </w:r>
          </w:p>
        </w:tc>
      </w:tr>
    </w:tbl>
    <w:p w14:paraId="0589BA1E" w14:textId="77777777" w:rsidR="00BE6EA4" w:rsidRPr="00BE6EA4" w:rsidRDefault="00BE6EA4" w:rsidP="00BE6EA4">
      <w:pPr>
        <w:spacing w:after="0" w:line="240" w:lineRule="auto"/>
        <w:rPr>
          <w:rFonts w:ascii="Times New Roman" w:eastAsia="Times New Roman" w:hAnsi="Times New Roman" w:cs="Times New Roman"/>
          <w:vanish/>
          <w:sz w:val="28"/>
          <w:szCs w:val="24"/>
          <w:lang w:eastAsia="lv-LV"/>
        </w:rPr>
      </w:pPr>
    </w:p>
    <w:p w14:paraId="0FB5B8C3" w14:textId="77777777" w:rsidR="00BE6EA4" w:rsidRPr="00BE6EA4" w:rsidRDefault="00BE6EA4" w:rsidP="00FF5633">
      <w:pPr>
        <w:spacing w:after="0" w:line="240" w:lineRule="auto"/>
        <w:rPr>
          <w:rFonts w:ascii="Times New Roman" w:eastAsia="Times New Roman" w:hAnsi="Times New Roman" w:cs="Times New Roman"/>
          <w:color w:val="414142"/>
          <w:sz w:val="32"/>
          <w:szCs w:val="28"/>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3441"/>
        <w:gridCol w:w="5312"/>
      </w:tblGrid>
      <w:tr w:rsidR="00FF5633" w:rsidRPr="00A86C6E" w14:paraId="7C847F31" w14:textId="77777777" w:rsidTr="00BE6EA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7DDC98" w14:textId="77777777"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A86C6E">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A86C6E" w14:paraId="52B75E93" w14:textId="77777777" w:rsidTr="00BE6EA4">
        <w:trPr>
          <w:trHeight w:val="420"/>
        </w:trPr>
        <w:tc>
          <w:tcPr>
            <w:tcW w:w="322" w:type="pct"/>
            <w:tcBorders>
              <w:top w:val="outset" w:sz="6" w:space="0" w:color="414142"/>
              <w:left w:val="outset" w:sz="6" w:space="0" w:color="414142"/>
              <w:bottom w:val="outset" w:sz="6" w:space="0" w:color="414142"/>
              <w:right w:val="outset" w:sz="6" w:space="0" w:color="414142"/>
            </w:tcBorders>
            <w:hideMark/>
          </w:tcPr>
          <w:p w14:paraId="0210820D"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w:t>
            </w:r>
          </w:p>
        </w:tc>
        <w:tc>
          <w:tcPr>
            <w:tcW w:w="1839" w:type="pct"/>
            <w:tcBorders>
              <w:top w:val="outset" w:sz="6" w:space="0" w:color="414142"/>
              <w:left w:val="outset" w:sz="6" w:space="0" w:color="414142"/>
              <w:bottom w:val="outset" w:sz="6" w:space="0" w:color="414142"/>
              <w:right w:val="outset" w:sz="6" w:space="0" w:color="414142"/>
            </w:tcBorders>
            <w:hideMark/>
          </w:tcPr>
          <w:p w14:paraId="4E59DAF4"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Projekta izpildē iesaistītās institūcijas</w:t>
            </w:r>
          </w:p>
        </w:tc>
        <w:tc>
          <w:tcPr>
            <w:tcW w:w="2839" w:type="pct"/>
            <w:tcBorders>
              <w:top w:val="outset" w:sz="6" w:space="0" w:color="414142"/>
              <w:left w:val="outset" w:sz="6" w:space="0" w:color="414142"/>
              <w:bottom w:val="outset" w:sz="6" w:space="0" w:color="414142"/>
              <w:right w:val="outset" w:sz="6" w:space="0" w:color="414142"/>
            </w:tcBorders>
            <w:hideMark/>
          </w:tcPr>
          <w:p w14:paraId="68319F41" w14:textId="77777777" w:rsidR="00FF5633" w:rsidRPr="00A86C6E" w:rsidRDefault="00BE6EA4" w:rsidP="001D6CD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SIA “Standartizācijas, akreditācijas un metroloģijas centrs”</w:t>
            </w:r>
          </w:p>
        </w:tc>
      </w:tr>
      <w:tr w:rsidR="00FF5633" w:rsidRPr="00A86C6E" w14:paraId="427818B2" w14:textId="77777777" w:rsidTr="00BE6EA4">
        <w:trPr>
          <w:trHeight w:val="450"/>
        </w:trPr>
        <w:tc>
          <w:tcPr>
            <w:tcW w:w="322" w:type="pct"/>
            <w:tcBorders>
              <w:top w:val="outset" w:sz="6" w:space="0" w:color="414142"/>
              <w:left w:val="outset" w:sz="6" w:space="0" w:color="414142"/>
              <w:bottom w:val="outset" w:sz="6" w:space="0" w:color="414142"/>
              <w:right w:val="outset" w:sz="6" w:space="0" w:color="414142"/>
            </w:tcBorders>
            <w:hideMark/>
          </w:tcPr>
          <w:p w14:paraId="5FB3FEB3" w14:textId="77777777"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w:t>
            </w:r>
          </w:p>
        </w:tc>
        <w:tc>
          <w:tcPr>
            <w:tcW w:w="1839" w:type="pct"/>
            <w:tcBorders>
              <w:top w:val="outset" w:sz="6" w:space="0" w:color="414142"/>
              <w:left w:val="outset" w:sz="6" w:space="0" w:color="414142"/>
              <w:bottom w:val="outset" w:sz="6" w:space="0" w:color="414142"/>
              <w:right w:val="outset" w:sz="6" w:space="0" w:color="414142"/>
            </w:tcBorders>
            <w:hideMark/>
          </w:tcPr>
          <w:p w14:paraId="173EF5F1" w14:textId="77777777" w:rsidR="00FF5633" w:rsidRPr="00A86C6E" w:rsidRDefault="00FF5633" w:rsidP="00E64EEA">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39" w:type="pct"/>
            <w:tcBorders>
              <w:top w:val="outset" w:sz="6" w:space="0" w:color="414142"/>
              <w:left w:val="outset" w:sz="6" w:space="0" w:color="414142"/>
              <w:bottom w:val="outset" w:sz="6" w:space="0" w:color="414142"/>
              <w:right w:val="outset" w:sz="6" w:space="0" w:color="414142"/>
            </w:tcBorders>
            <w:hideMark/>
          </w:tcPr>
          <w:p w14:paraId="656DDB04" w14:textId="77777777" w:rsidR="00FF5633" w:rsidRPr="00A86C6E"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Nav</w:t>
            </w:r>
            <w:r w:rsidR="00BE6EA4">
              <w:rPr>
                <w:rFonts w:ascii="Times New Roman" w:eastAsia="Times New Roman" w:hAnsi="Times New Roman" w:cs="Times New Roman"/>
                <w:sz w:val="28"/>
                <w:szCs w:val="28"/>
                <w:lang w:eastAsia="lv-LV"/>
              </w:rPr>
              <w:t xml:space="preserve"> attiecināms</w:t>
            </w:r>
          </w:p>
        </w:tc>
      </w:tr>
      <w:tr w:rsidR="00FF5633" w:rsidRPr="00A86C6E" w14:paraId="318F4D77" w14:textId="77777777" w:rsidTr="00BE6EA4">
        <w:trPr>
          <w:trHeight w:val="390"/>
        </w:trPr>
        <w:tc>
          <w:tcPr>
            <w:tcW w:w="322" w:type="pct"/>
            <w:tcBorders>
              <w:top w:val="outset" w:sz="6" w:space="0" w:color="414142"/>
              <w:left w:val="outset" w:sz="6" w:space="0" w:color="414142"/>
              <w:bottom w:val="outset" w:sz="6" w:space="0" w:color="414142"/>
              <w:right w:val="outset" w:sz="6" w:space="0" w:color="414142"/>
            </w:tcBorders>
            <w:hideMark/>
          </w:tcPr>
          <w:p w14:paraId="14584241" w14:textId="77777777" w:rsidR="00FF5633" w:rsidRPr="00A86C6E" w:rsidRDefault="00FF5633" w:rsidP="00526181">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w:t>
            </w:r>
          </w:p>
        </w:tc>
        <w:tc>
          <w:tcPr>
            <w:tcW w:w="1839" w:type="pct"/>
            <w:tcBorders>
              <w:top w:val="outset" w:sz="6" w:space="0" w:color="414142"/>
              <w:left w:val="outset" w:sz="6" w:space="0" w:color="414142"/>
              <w:bottom w:val="outset" w:sz="6" w:space="0" w:color="414142"/>
              <w:right w:val="outset" w:sz="6" w:space="0" w:color="414142"/>
            </w:tcBorders>
            <w:hideMark/>
          </w:tcPr>
          <w:p w14:paraId="18F26612" w14:textId="77777777" w:rsidR="00FF5633" w:rsidRPr="00A86C6E" w:rsidRDefault="00FF5633" w:rsidP="00526181">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Cita informācija</w:t>
            </w:r>
          </w:p>
        </w:tc>
        <w:tc>
          <w:tcPr>
            <w:tcW w:w="2839" w:type="pct"/>
            <w:tcBorders>
              <w:top w:val="outset" w:sz="6" w:space="0" w:color="414142"/>
              <w:left w:val="outset" w:sz="6" w:space="0" w:color="414142"/>
              <w:bottom w:val="outset" w:sz="6" w:space="0" w:color="414142"/>
              <w:right w:val="outset" w:sz="6" w:space="0" w:color="414142"/>
            </w:tcBorders>
            <w:hideMark/>
          </w:tcPr>
          <w:p w14:paraId="61F5E642" w14:textId="4ECCE52F" w:rsidR="00FF5633" w:rsidRPr="00A86C6E" w:rsidRDefault="001852A5" w:rsidP="000411B0">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xml:space="preserve">Nav </w:t>
            </w:r>
          </w:p>
        </w:tc>
      </w:tr>
    </w:tbl>
    <w:p w14:paraId="2A4C7A91" w14:textId="77777777" w:rsidR="00BE6EA4" w:rsidRPr="00BE6EA4" w:rsidRDefault="00BE6EA4" w:rsidP="00BE6EA4">
      <w:pPr>
        <w:pStyle w:val="naisf"/>
        <w:tabs>
          <w:tab w:val="left" w:pos="6804"/>
        </w:tabs>
        <w:ind w:firstLine="0"/>
        <w:rPr>
          <w:sz w:val="28"/>
          <w:szCs w:val="28"/>
        </w:rPr>
      </w:pPr>
      <w:r w:rsidRPr="00BE6EA4">
        <w:rPr>
          <w:sz w:val="28"/>
          <w:szCs w:val="28"/>
        </w:rPr>
        <w:t xml:space="preserve">Anotācijas II, IV, VI sadaļa – </w:t>
      </w:r>
      <w:r>
        <w:rPr>
          <w:sz w:val="28"/>
          <w:szCs w:val="28"/>
        </w:rPr>
        <w:t>projekts šīs jomas neskar.</w:t>
      </w:r>
    </w:p>
    <w:p w14:paraId="7E1B4B08" w14:textId="77777777" w:rsidR="000411B0" w:rsidRDefault="000411B0" w:rsidP="00BE6EA4">
      <w:pPr>
        <w:pStyle w:val="naisf"/>
        <w:tabs>
          <w:tab w:val="left" w:pos="6521"/>
        </w:tabs>
        <w:ind w:firstLine="0"/>
        <w:rPr>
          <w:sz w:val="28"/>
          <w:szCs w:val="28"/>
        </w:rPr>
      </w:pPr>
    </w:p>
    <w:p w14:paraId="1A34AFF6" w14:textId="77777777" w:rsidR="006816BE" w:rsidRDefault="006816BE" w:rsidP="00BE6EA4">
      <w:pPr>
        <w:pStyle w:val="naisf"/>
        <w:tabs>
          <w:tab w:val="left" w:pos="6521"/>
        </w:tabs>
        <w:ind w:firstLine="0"/>
        <w:rPr>
          <w:sz w:val="28"/>
          <w:szCs w:val="28"/>
        </w:rPr>
      </w:pPr>
    </w:p>
    <w:p w14:paraId="73C8C30D" w14:textId="77777777" w:rsidR="00BE6EA4" w:rsidRPr="00BE6EA4" w:rsidRDefault="00BE6EA4" w:rsidP="00BE6EA4">
      <w:pPr>
        <w:pStyle w:val="naisf"/>
        <w:tabs>
          <w:tab w:val="left" w:pos="6521"/>
        </w:tabs>
        <w:ind w:firstLine="0"/>
        <w:rPr>
          <w:sz w:val="28"/>
          <w:szCs w:val="28"/>
        </w:rPr>
      </w:pPr>
      <w:r w:rsidRPr="00BE6EA4">
        <w:rPr>
          <w:sz w:val="28"/>
          <w:szCs w:val="28"/>
        </w:rPr>
        <w:t>Ekonomikas  ministre</w:t>
      </w:r>
      <w:r w:rsidRPr="00BE6EA4">
        <w:rPr>
          <w:sz w:val="28"/>
          <w:szCs w:val="28"/>
        </w:rPr>
        <w:tab/>
        <w:t>D.Reizniece</w:t>
      </w:r>
      <w:r>
        <w:rPr>
          <w:sz w:val="28"/>
          <w:szCs w:val="28"/>
        </w:rPr>
        <w:t>-Ozola</w:t>
      </w:r>
    </w:p>
    <w:p w14:paraId="43C68A91" w14:textId="77777777" w:rsidR="00BE6EA4" w:rsidRDefault="00BE6EA4" w:rsidP="00BE6EA4">
      <w:pPr>
        <w:pStyle w:val="naisf"/>
        <w:tabs>
          <w:tab w:val="left" w:pos="6804"/>
        </w:tabs>
        <w:rPr>
          <w:sz w:val="28"/>
          <w:szCs w:val="28"/>
        </w:rPr>
      </w:pPr>
    </w:p>
    <w:p w14:paraId="724F415D" w14:textId="77777777" w:rsidR="006816BE" w:rsidRPr="00BE6EA4" w:rsidRDefault="006816BE" w:rsidP="00BE6EA4">
      <w:pPr>
        <w:pStyle w:val="naisf"/>
        <w:tabs>
          <w:tab w:val="left" w:pos="6804"/>
        </w:tabs>
        <w:rPr>
          <w:sz w:val="28"/>
          <w:szCs w:val="28"/>
        </w:rPr>
      </w:pPr>
    </w:p>
    <w:p w14:paraId="736C40A2" w14:textId="77777777" w:rsidR="000411B0" w:rsidRDefault="00BE6EA4" w:rsidP="00BE6EA4">
      <w:pPr>
        <w:pStyle w:val="naisf"/>
        <w:tabs>
          <w:tab w:val="left" w:pos="6804"/>
        </w:tabs>
        <w:ind w:firstLine="0"/>
        <w:rPr>
          <w:sz w:val="28"/>
          <w:szCs w:val="28"/>
        </w:rPr>
      </w:pPr>
      <w:r w:rsidRPr="00BE6EA4">
        <w:rPr>
          <w:sz w:val="28"/>
          <w:szCs w:val="28"/>
        </w:rPr>
        <w:t>Vīza:</w:t>
      </w:r>
      <w:r w:rsidR="000411B0">
        <w:rPr>
          <w:sz w:val="28"/>
          <w:szCs w:val="28"/>
        </w:rPr>
        <w:t xml:space="preserve"> </w:t>
      </w:r>
    </w:p>
    <w:p w14:paraId="444FC2D5" w14:textId="00A0AD85" w:rsidR="00BE6EA4" w:rsidRPr="00BE6EA4" w:rsidRDefault="000411B0" w:rsidP="00BE6EA4">
      <w:pPr>
        <w:pStyle w:val="naisf"/>
        <w:tabs>
          <w:tab w:val="left" w:pos="6804"/>
        </w:tabs>
        <w:ind w:firstLine="0"/>
        <w:rPr>
          <w:sz w:val="28"/>
          <w:szCs w:val="28"/>
        </w:rPr>
      </w:pPr>
      <w:r>
        <w:rPr>
          <w:sz w:val="28"/>
          <w:szCs w:val="28"/>
        </w:rPr>
        <w:t>V</w:t>
      </w:r>
      <w:r w:rsidR="00BE6EA4">
        <w:rPr>
          <w:sz w:val="28"/>
          <w:szCs w:val="28"/>
        </w:rPr>
        <w:t>alsts sekretār</w:t>
      </w:r>
      <w:r w:rsidR="009E20BB">
        <w:rPr>
          <w:sz w:val="28"/>
          <w:szCs w:val="28"/>
        </w:rPr>
        <w:t>s</w:t>
      </w:r>
      <w:r w:rsidR="009E20BB">
        <w:rPr>
          <w:sz w:val="28"/>
          <w:szCs w:val="28"/>
        </w:rPr>
        <w:tab/>
        <w:t>R.Beinarovičs</w:t>
      </w:r>
    </w:p>
    <w:p w14:paraId="71E1CA50" w14:textId="77777777" w:rsidR="000411B0" w:rsidRDefault="000411B0" w:rsidP="00C37F73">
      <w:pPr>
        <w:tabs>
          <w:tab w:val="left" w:pos="5325"/>
        </w:tabs>
        <w:spacing w:after="0" w:line="240" w:lineRule="auto"/>
        <w:jc w:val="both"/>
        <w:rPr>
          <w:rFonts w:ascii="Times New Roman" w:hAnsi="Times New Roman" w:cs="Times New Roman"/>
          <w:sz w:val="20"/>
          <w:szCs w:val="20"/>
        </w:rPr>
      </w:pPr>
    </w:p>
    <w:p w14:paraId="658B742F" w14:textId="77777777" w:rsidR="006816BE" w:rsidRDefault="006816BE" w:rsidP="00C37F73">
      <w:pPr>
        <w:tabs>
          <w:tab w:val="left" w:pos="5325"/>
        </w:tabs>
        <w:spacing w:after="0" w:line="240" w:lineRule="auto"/>
        <w:jc w:val="both"/>
        <w:rPr>
          <w:rFonts w:ascii="Times New Roman" w:hAnsi="Times New Roman" w:cs="Times New Roman"/>
          <w:sz w:val="20"/>
          <w:szCs w:val="20"/>
        </w:rPr>
      </w:pPr>
    </w:p>
    <w:p w14:paraId="31F52264" w14:textId="77777777" w:rsidR="006816BE" w:rsidRDefault="006816BE" w:rsidP="00C37F73">
      <w:pPr>
        <w:tabs>
          <w:tab w:val="left" w:pos="5325"/>
        </w:tabs>
        <w:spacing w:after="0" w:line="240" w:lineRule="auto"/>
        <w:jc w:val="both"/>
        <w:rPr>
          <w:rFonts w:ascii="Times New Roman" w:hAnsi="Times New Roman" w:cs="Times New Roman"/>
          <w:sz w:val="20"/>
          <w:szCs w:val="20"/>
        </w:rPr>
      </w:pPr>
    </w:p>
    <w:p w14:paraId="40F43399" w14:textId="77777777" w:rsidR="000411B0" w:rsidRDefault="000411B0" w:rsidP="00C37F73">
      <w:pPr>
        <w:tabs>
          <w:tab w:val="left" w:pos="5325"/>
        </w:tabs>
        <w:spacing w:after="0" w:line="240" w:lineRule="auto"/>
        <w:jc w:val="both"/>
        <w:rPr>
          <w:rFonts w:ascii="Times New Roman" w:hAnsi="Times New Roman" w:cs="Times New Roman"/>
          <w:sz w:val="20"/>
          <w:szCs w:val="20"/>
        </w:rPr>
      </w:pPr>
    </w:p>
    <w:p w14:paraId="5330810C" w14:textId="28F8D692" w:rsidR="001852A5" w:rsidRPr="000411B0" w:rsidRDefault="00792E1B" w:rsidP="00C37F73">
      <w:pPr>
        <w:tabs>
          <w:tab w:val="left" w:pos="5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009B6C3D" w:rsidRPr="000411B0">
        <w:rPr>
          <w:rFonts w:ascii="Times New Roman" w:hAnsi="Times New Roman" w:cs="Times New Roman"/>
          <w:sz w:val="20"/>
          <w:szCs w:val="20"/>
        </w:rPr>
        <w:t>.</w:t>
      </w:r>
      <w:r w:rsidR="00BE6EA4" w:rsidRPr="000411B0">
        <w:rPr>
          <w:rFonts w:ascii="Times New Roman" w:hAnsi="Times New Roman" w:cs="Times New Roman"/>
          <w:sz w:val="20"/>
          <w:szCs w:val="20"/>
        </w:rPr>
        <w:t>0</w:t>
      </w:r>
      <w:r w:rsidR="009E20BB">
        <w:rPr>
          <w:rFonts w:ascii="Times New Roman" w:hAnsi="Times New Roman" w:cs="Times New Roman"/>
          <w:sz w:val="20"/>
          <w:szCs w:val="20"/>
        </w:rPr>
        <w:t>7</w:t>
      </w:r>
      <w:r w:rsidR="00C77D4B" w:rsidRPr="000411B0">
        <w:rPr>
          <w:rFonts w:ascii="Times New Roman" w:hAnsi="Times New Roman" w:cs="Times New Roman"/>
          <w:sz w:val="20"/>
          <w:szCs w:val="20"/>
        </w:rPr>
        <w:t>.</w:t>
      </w:r>
      <w:r w:rsidR="00E64EEA" w:rsidRPr="000411B0">
        <w:rPr>
          <w:rFonts w:ascii="Times New Roman" w:hAnsi="Times New Roman" w:cs="Times New Roman"/>
          <w:sz w:val="20"/>
          <w:szCs w:val="20"/>
        </w:rPr>
        <w:t>201</w:t>
      </w:r>
      <w:r w:rsidR="00BE6EA4" w:rsidRPr="000411B0">
        <w:rPr>
          <w:rFonts w:ascii="Times New Roman" w:hAnsi="Times New Roman" w:cs="Times New Roman"/>
          <w:sz w:val="20"/>
          <w:szCs w:val="20"/>
        </w:rPr>
        <w:t>5</w:t>
      </w:r>
      <w:r w:rsidR="00E64EEA" w:rsidRPr="000411B0">
        <w:rPr>
          <w:rFonts w:ascii="Times New Roman" w:hAnsi="Times New Roman" w:cs="Times New Roman"/>
          <w:sz w:val="20"/>
          <w:szCs w:val="20"/>
        </w:rPr>
        <w:t>.</w:t>
      </w:r>
      <w:r w:rsidR="001852A5" w:rsidRPr="000411B0">
        <w:rPr>
          <w:rFonts w:ascii="Times New Roman" w:hAnsi="Times New Roman" w:cs="Times New Roman"/>
          <w:sz w:val="20"/>
          <w:szCs w:val="20"/>
        </w:rPr>
        <w:t xml:space="preserve"> </w:t>
      </w:r>
      <w:r>
        <w:rPr>
          <w:rFonts w:ascii="Times New Roman" w:hAnsi="Times New Roman" w:cs="Times New Roman"/>
          <w:sz w:val="20"/>
          <w:szCs w:val="20"/>
        </w:rPr>
        <w:t>1</w:t>
      </w:r>
      <w:r w:rsidR="001879E7">
        <w:rPr>
          <w:rFonts w:ascii="Times New Roman" w:hAnsi="Times New Roman" w:cs="Times New Roman"/>
          <w:sz w:val="20"/>
          <w:szCs w:val="20"/>
        </w:rPr>
        <w:t>7:24</w:t>
      </w:r>
      <w:bookmarkStart w:id="3" w:name="_GoBack"/>
      <w:bookmarkEnd w:id="3"/>
    </w:p>
    <w:p w14:paraId="06D398B5" w14:textId="25C3EF95" w:rsidR="001852A5" w:rsidRPr="000411B0" w:rsidRDefault="006816BE" w:rsidP="00C37F73">
      <w:pPr>
        <w:tabs>
          <w:tab w:val="left" w:pos="5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1879E7">
        <w:rPr>
          <w:rFonts w:ascii="Times New Roman" w:hAnsi="Times New Roman" w:cs="Times New Roman"/>
          <w:sz w:val="20"/>
          <w:szCs w:val="20"/>
        </w:rPr>
        <w:t>79</w:t>
      </w:r>
    </w:p>
    <w:p w14:paraId="7E960814" w14:textId="77777777" w:rsidR="00BE6EA4" w:rsidRPr="000411B0" w:rsidRDefault="00BE6EA4" w:rsidP="00BE6EA4">
      <w:pPr>
        <w:tabs>
          <w:tab w:val="left" w:pos="5325"/>
        </w:tabs>
        <w:spacing w:after="0" w:line="240" w:lineRule="auto"/>
        <w:jc w:val="both"/>
        <w:rPr>
          <w:rFonts w:ascii="Times New Roman" w:hAnsi="Times New Roman" w:cs="Times New Roman"/>
          <w:sz w:val="20"/>
          <w:szCs w:val="20"/>
        </w:rPr>
      </w:pPr>
      <w:r w:rsidRPr="000411B0">
        <w:rPr>
          <w:rFonts w:ascii="Times New Roman" w:hAnsi="Times New Roman" w:cs="Times New Roman"/>
          <w:sz w:val="20"/>
          <w:szCs w:val="20"/>
        </w:rPr>
        <w:t>M.Duļbinska</w:t>
      </w:r>
    </w:p>
    <w:p w14:paraId="5CC0ED89" w14:textId="77777777" w:rsidR="00BE6EA4" w:rsidRPr="000411B0" w:rsidRDefault="00BE6EA4" w:rsidP="00BE6EA4">
      <w:pPr>
        <w:tabs>
          <w:tab w:val="left" w:pos="5325"/>
        </w:tabs>
        <w:spacing w:after="0" w:line="240" w:lineRule="auto"/>
        <w:jc w:val="both"/>
        <w:rPr>
          <w:rFonts w:ascii="Times New Roman" w:hAnsi="Times New Roman" w:cs="Times New Roman"/>
          <w:sz w:val="20"/>
          <w:szCs w:val="20"/>
        </w:rPr>
      </w:pPr>
      <w:r w:rsidRPr="000411B0">
        <w:rPr>
          <w:rFonts w:ascii="Times New Roman" w:hAnsi="Times New Roman" w:cs="Times New Roman"/>
          <w:sz w:val="20"/>
          <w:szCs w:val="20"/>
        </w:rPr>
        <w:t xml:space="preserve">67517723, </w:t>
      </w:r>
      <w:hyperlink r:id="rId8" w:history="1">
        <w:r w:rsidRPr="000411B0">
          <w:rPr>
            <w:rStyle w:val="Hyperlink"/>
            <w:rFonts w:ascii="Times New Roman" w:hAnsi="Times New Roman" w:cs="Times New Roman"/>
            <w:sz w:val="20"/>
            <w:szCs w:val="20"/>
          </w:rPr>
          <w:t>Malda.Dulbinska@samc.lv</w:t>
        </w:r>
      </w:hyperlink>
    </w:p>
    <w:p w14:paraId="70658DCA" w14:textId="77777777" w:rsidR="00BE6EA4" w:rsidRPr="000411B0" w:rsidRDefault="00BE6EA4" w:rsidP="00BE6EA4">
      <w:pPr>
        <w:tabs>
          <w:tab w:val="left" w:pos="5325"/>
        </w:tabs>
        <w:spacing w:after="0" w:line="240" w:lineRule="auto"/>
        <w:jc w:val="both"/>
        <w:rPr>
          <w:rFonts w:ascii="Times New Roman" w:hAnsi="Times New Roman" w:cs="Times New Roman"/>
          <w:sz w:val="20"/>
          <w:szCs w:val="20"/>
        </w:rPr>
      </w:pPr>
      <w:r w:rsidRPr="000411B0">
        <w:rPr>
          <w:rFonts w:ascii="Times New Roman" w:hAnsi="Times New Roman" w:cs="Times New Roman"/>
          <w:sz w:val="20"/>
          <w:szCs w:val="20"/>
        </w:rPr>
        <w:t>D.Spaliņa</w:t>
      </w:r>
    </w:p>
    <w:p w14:paraId="4DD4E184" w14:textId="0AD361EE" w:rsidR="00526181" w:rsidRPr="000411B0" w:rsidRDefault="00BE6EA4" w:rsidP="00BE6EA4">
      <w:pPr>
        <w:tabs>
          <w:tab w:val="left" w:pos="5325"/>
        </w:tabs>
        <w:spacing w:after="0" w:line="240" w:lineRule="auto"/>
        <w:jc w:val="both"/>
        <w:rPr>
          <w:rFonts w:ascii="Times New Roman" w:hAnsi="Times New Roman" w:cs="Times New Roman"/>
          <w:sz w:val="20"/>
          <w:szCs w:val="20"/>
        </w:rPr>
      </w:pPr>
      <w:r w:rsidRPr="000411B0">
        <w:rPr>
          <w:rFonts w:ascii="Times New Roman" w:hAnsi="Times New Roman" w:cs="Times New Roman"/>
          <w:sz w:val="20"/>
          <w:szCs w:val="20"/>
        </w:rPr>
        <w:t xml:space="preserve">67013110, </w:t>
      </w:r>
      <w:hyperlink r:id="rId9" w:history="1">
        <w:r w:rsidRPr="000411B0">
          <w:rPr>
            <w:rStyle w:val="Hyperlink"/>
            <w:rFonts w:ascii="Times New Roman" w:hAnsi="Times New Roman" w:cs="Times New Roman"/>
            <w:sz w:val="20"/>
            <w:szCs w:val="20"/>
          </w:rPr>
          <w:t>Dace.Spalina@em.gov.lv</w:t>
        </w:r>
      </w:hyperlink>
      <w:r w:rsidRPr="000411B0">
        <w:rPr>
          <w:rFonts w:ascii="Times New Roman" w:hAnsi="Times New Roman" w:cs="Times New Roman"/>
          <w:sz w:val="20"/>
          <w:szCs w:val="20"/>
        </w:rPr>
        <w:t xml:space="preserve"> </w:t>
      </w:r>
    </w:p>
    <w:sectPr w:rsidR="00526181" w:rsidRPr="000411B0" w:rsidSect="003D2C52">
      <w:headerReference w:type="default" r:id="rId10"/>
      <w:footerReference w:type="default" r:id="rId11"/>
      <w:footerReference w:type="first" r:id="rId12"/>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2ACA9" w14:textId="77777777" w:rsidR="00527A71" w:rsidRDefault="00527A71" w:rsidP="00526181">
      <w:pPr>
        <w:spacing w:after="0" w:line="240" w:lineRule="auto"/>
      </w:pPr>
      <w:r>
        <w:separator/>
      </w:r>
    </w:p>
  </w:endnote>
  <w:endnote w:type="continuationSeparator" w:id="0">
    <w:p w14:paraId="75F605CC" w14:textId="77777777" w:rsidR="00527A71" w:rsidRDefault="00527A71" w:rsidP="0052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0A04" w14:textId="7B1EBF31" w:rsidR="0075760A" w:rsidRPr="005132FB" w:rsidRDefault="005132FB" w:rsidP="005132FB">
    <w:pPr>
      <w:pStyle w:val="Footer"/>
      <w:jc w:val="both"/>
      <w:rPr>
        <w:sz w:val="24"/>
        <w:szCs w:val="24"/>
      </w:rPr>
    </w:pPr>
    <w:r>
      <w:rPr>
        <w:rFonts w:ascii="Times New Roman" w:hAnsi="Times New Roman" w:cs="Times New Roman"/>
        <w:sz w:val="24"/>
        <w:szCs w:val="24"/>
      </w:rPr>
      <w:t>EMA</w:t>
    </w:r>
    <w:r w:rsidRPr="005132FB">
      <w:rPr>
        <w:rFonts w:ascii="Times New Roman" w:hAnsi="Times New Roman" w:cs="Times New Roman"/>
        <w:sz w:val="24"/>
        <w:szCs w:val="24"/>
      </w:rPr>
      <w:t>not_</w:t>
    </w:r>
    <w:r w:rsidR="00792E1B">
      <w:rPr>
        <w:rFonts w:ascii="Times New Roman" w:hAnsi="Times New Roman" w:cs="Times New Roman"/>
        <w:sz w:val="24"/>
        <w:szCs w:val="24"/>
      </w:rPr>
      <w:t>23</w:t>
    </w:r>
    <w:r w:rsidR="009E20BB">
      <w:rPr>
        <w:rFonts w:ascii="Times New Roman" w:hAnsi="Times New Roman" w:cs="Times New Roman"/>
        <w:sz w:val="24"/>
        <w:szCs w:val="24"/>
      </w:rPr>
      <w:t>07</w:t>
    </w:r>
    <w:r>
      <w:rPr>
        <w:rFonts w:ascii="Times New Roman" w:hAnsi="Times New Roman" w:cs="Times New Roman"/>
        <w:sz w:val="24"/>
        <w:szCs w:val="24"/>
      </w:rPr>
      <w:t>15_SAMC</w:t>
    </w:r>
    <w:r w:rsidRPr="005132FB">
      <w:rPr>
        <w:rFonts w:ascii="Times New Roman" w:hAnsi="Times New Roman" w:cs="Times New Roman"/>
        <w:sz w:val="24"/>
        <w:szCs w:val="24"/>
      </w:rPr>
      <w:t xml:space="preserve">; </w:t>
    </w:r>
    <w:r w:rsidRPr="005132FB">
      <w:rPr>
        <w:rFonts w:ascii="Times New Roman" w:eastAsia="Times New Roman" w:hAnsi="Times New Roman" w:cs="Times New Roman"/>
        <w:bCs/>
        <w:sz w:val="24"/>
        <w:szCs w:val="24"/>
        <w:lang w:eastAsia="lv-LV"/>
      </w:rPr>
      <w:t>Ministru kabineta rīkojuma projekta „</w:t>
    </w:r>
    <w:r w:rsidRPr="005132FB">
      <w:t xml:space="preserve"> </w:t>
    </w:r>
    <w:r w:rsidRPr="005132FB">
      <w:rPr>
        <w:rFonts w:ascii="Times New Roman" w:hAnsi="Times New Roman" w:cs="Times New Roman"/>
        <w:sz w:val="24"/>
        <w:szCs w:val="24"/>
      </w:rPr>
      <w:t>Par valstij dividendēs izmaksājamo sabiedrības ar ierobežotu atbildību „Standartizācijas, akreditācijas un metroloģijas centrs” peļņas daļu</w:t>
    </w:r>
    <w:r w:rsidRPr="005132FB">
      <w:rPr>
        <w:rFonts w:ascii="Times New Roman" w:eastAsia="Times New Roman" w:hAnsi="Times New Roman" w:cs="Times New Roman"/>
        <w:bCs/>
        <w:sz w:val="24"/>
        <w:szCs w:val="24"/>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4A3E" w14:textId="54C4D140" w:rsidR="0075760A" w:rsidRPr="005132FB" w:rsidRDefault="005132FB" w:rsidP="005132FB">
    <w:pPr>
      <w:pStyle w:val="Footer"/>
      <w:jc w:val="both"/>
      <w:rPr>
        <w:sz w:val="24"/>
        <w:szCs w:val="24"/>
      </w:rPr>
    </w:pPr>
    <w:r>
      <w:rPr>
        <w:rFonts w:ascii="Times New Roman" w:hAnsi="Times New Roman" w:cs="Times New Roman"/>
        <w:sz w:val="24"/>
        <w:szCs w:val="24"/>
      </w:rPr>
      <w:t>EMA</w:t>
    </w:r>
    <w:r w:rsidR="0075760A" w:rsidRPr="005132FB">
      <w:rPr>
        <w:rFonts w:ascii="Times New Roman" w:hAnsi="Times New Roman" w:cs="Times New Roman"/>
        <w:sz w:val="24"/>
        <w:szCs w:val="24"/>
      </w:rPr>
      <w:t>not_</w:t>
    </w:r>
    <w:r w:rsidR="00792E1B">
      <w:rPr>
        <w:rFonts w:ascii="Times New Roman" w:hAnsi="Times New Roman" w:cs="Times New Roman"/>
        <w:sz w:val="24"/>
        <w:szCs w:val="24"/>
      </w:rPr>
      <w:t>23</w:t>
    </w:r>
    <w:r w:rsidR="009E20BB">
      <w:rPr>
        <w:rFonts w:ascii="Times New Roman" w:hAnsi="Times New Roman" w:cs="Times New Roman"/>
        <w:sz w:val="24"/>
        <w:szCs w:val="24"/>
      </w:rPr>
      <w:t>07</w:t>
    </w:r>
    <w:r>
      <w:rPr>
        <w:rFonts w:ascii="Times New Roman" w:hAnsi="Times New Roman" w:cs="Times New Roman"/>
        <w:sz w:val="24"/>
        <w:szCs w:val="24"/>
      </w:rPr>
      <w:t>15_SAMC</w:t>
    </w:r>
    <w:r w:rsidR="0075760A" w:rsidRPr="005132FB">
      <w:rPr>
        <w:rFonts w:ascii="Times New Roman" w:hAnsi="Times New Roman" w:cs="Times New Roman"/>
        <w:sz w:val="24"/>
        <w:szCs w:val="24"/>
      </w:rPr>
      <w:t xml:space="preserve">; </w:t>
    </w:r>
    <w:r w:rsidR="0075760A" w:rsidRPr="005132FB">
      <w:rPr>
        <w:rFonts w:ascii="Times New Roman" w:eastAsia="Times New Roman" w:hAnsi="Times New Roman" w:cs="Times New Roman"/>
        <w:bCs/>
        <w:sz w:val="24"/>
        <w:szCs w:val="24"/>
        <w:lang w:eastAsia="lv-LV"/>
      </w:rPr>
      <w:t>Ministru kabineta rīkojuma projekta „</w:t>
    </w:r>
    <w:r w:rsidRPr="005132FB">
      <w:t xml:space="preserve"> </w:t>
    </w:r>
    <w:r w:rsidRPr="005132FB">
      <w:rPr>
        <w:rFonts w:ascii="Times New Roman" w:hAnsi="Times New Roman" w:cs="Times New Roman"/>
        <w:sz w:val="24"/>
        <w:szCs w:val="24"/>
      </w:rPr>
      <w:t>Par valstij dividendēs izmaksājamo sabiedrības ar ierobežotu atbildību „Standartizācijas, akreditācijas un metroloģijas centrs” peļņas daļu</w:t>
    </w:r>
    <w:r w:rsidR="0075760A" w:rsidRPr="005132FB">
      <w:rPr>
        <w:rFonts w:ascii="Times New Roman" w:eastAsia="Times New Roman" w:hAnsi="Times New Roman" w:cs="Times New Roman"/>
        <w:bCs/>
        <w:sz w:val="24"/>
        <w:szCs w:val="24"/>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A6AD" w14:textId="77777777" w:rsidR="00527A71" w:rsidRDefault="00527A71" w:rsidP="00526181">
      <w:pPr>
        <w:spacing w:after="0" w:line="240" w:lineRule="auto"/>
      </w:pPr>
      <w:r>
        <w:separator/>
      </w:r>
    </w:p>
  </w:footnote>
  <w:footnote w:type="continuationSeparator" w:id="0">
    <w:p w14:paraId="486EECB4" w14:textId="77777777" w:rsidR="00527A71" w:rsidRDefault="00527A71" w:rsidP="00526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361"/>
      <w:docPartObj>
        <w:docPartGallery w:val="Page Numbers (Top of Page)"/>
        <w:docPartUnique/>
      </w:docPartObj>
    </w:sdtPr>
    <w:sdtEndPr/>
    <w:sdtContent>
      <w:p w14:paraId="1AF4AA4B" w14:textId="77777777" w:rsidR="0075760A" w:rsidRDefault="00435E0A">
        <w:pPr>
          <w:pStyle w:val="Header"/>
          <w:jc w:val="center"/>
        </w:pPr>
        <w:r>
          <w:fldChar w:fldCharType="begin"/>
        </w:r>
        <w:r>
          <w:instrText xml:space="preserve"> PAGE   \* MERGEFORMAT </w:instrText>
        </w:r>
        <w:r>
          <w:fldChar w:fldCharType="separate"/>
        </w:r>
        <w:r w:rsidR="00167F92">
          <w:rPr>
            <w:noProof/>
          </w:rPr>
          <w:t>8</w:t>
        </w:r>
        <w:r>
          <w:rPr>
            <w:noProof/>
          </w:rPr>
          <w:fldChar w:fldCharType="end"/>
        </w:r>
      </w:p>
    </w:sdtContent>
  </w:sdt>
  <w:p w14:paraId="3735C54E" w14:textId="77777777" w:rsidR="0075760A" w:rsidRDefault="00757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33B0"/>
    <w:multiLevelType w:val="hybridMultilevel"/>
    <w:tmpl w:val="4E2ECDF2"/>
    <w:lvl w:ilvl="0" w:tplc="31F25AEA">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1" w15:restartNumberingAfterBreak="0">
    <w:nsid w:val="17A84710"/>
    <w:multiLevelType w:val="multilevel"/>
    <w:tmpl w:val="FCBAF3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33"/>
    <w:rsid w:val="00010894"/>
    <w:rsid w:val="0002337C"/>
    <w:rsid w:val="0003164F"/>
    <w:rsid w:val="000411B0"/>
    <w:rsid w:val="0004329E"/>
    <w:rsid w:val="00050775"/>
    <w:rsid w:val="00067C6F"/>
    <w:rsid w:val="00070355"/>
    <w:rsid w:val="00086471"/>
    <w:rsid w:val="000B6641"/>
    <w:rsid w:val="000B7AE0"/>
    <w:rsid w:val="000C74E7"/>
    <w:rsid w:val="000D0DC2"/>
    <w:rsid w:val="000D2F45"/>
    <w:rsid w:val="000E0D53"/>
    <w:rsid w:val="000F253A"/>
    <w:rsid w:val="001005F5"/>
    <w:rsid w:val="00105F77"/>
    <w:rsid w:val="001239EB"/>
    <w:rsid w:val="00151E28"/>
    <w:rsid w:val="00167F92"/>
    <w:rsid w:val="00183D55"/>
    <w:rsid w:val="001852A5"/>
    <w:rsid w:val="001879E7"/>
    <w:rsid w:val="0019739F"/>
    <w:rsid w:val="001A7E20"/>
    <w:rsid w:val="001B0A39"/>
    <w:rsid w:val="001B6CDB"/>
    <w:rsid w:val="001D6CDE"/>
    <w:rsid w:val="001F024D"/>
    <w:rsid w:val="002023A5"/>
    <w:rsid w:val="0020596A"/>
    <w:rsid w:val="00210F27"/>
    <w:rsid w:val="00215A0F"/>
    <w:rsid w:val="00233178"/>
    <w:rsid w:val="00243A0C"/>
    <w:rsid w:val="0026076E"/>
    <w:rsid w:val="00286E9B"/>
    <w:rsid w:val="002B4D34"/>
    <w:rsid w:val="002B6D83"/>
    <w:rsid w:val="002D2B91"/>
    <w:rsid w:val="002D3908"/>
    <w:rsid w:val="00307F7D"/>
    <w:rsid w:val="00311EDB"/>
    <w:rsid w:val="0031589E"/>
    <w:rsid w:val="0032033A"/>
    <w:rsid w:val="00320E07"/>
    <w:rsid w:val="00324280"/>
    <w:rsid w:val="00354C62"/>
    <w:rsid w:val="003623A5"/>
    <w:rsid w:val="0036422B"/>
    <w:rsid w:val="00377B9D"/>
    <w:rsid w:val="003A45ED"/>
    <w:rsid w:val="003B0C94"/>
    <w:rsid w:val="003B72A9"/>
    <w:rsid w:val="003D0F8F"/>
    <w:rsid w:val="003D2C52"/>
    <w:rsid w:val="003D6EA7"/>
    <w:rsid w:val="003E3E37"/>
    <w:rsid w:val="003E53D5"/>
    <w:rsid w:val="003F2137"/>
    <w:rsid w:val="003F600F"/>
    <w:rsid w:val="004173A7"/>
    <w:rsid w:val="004203A9"/>
    <w:rsid w:val="00435E0A"/>
    <w:rsid w:val="00437213"/>
    <w:rsid w:val="004451FC"/>
    <w:rsid w:val="00472E22"/>
    <w:rsid w:val="0047728C"/>
    <w:rsid w:val="00480A8F"/>
    <w:rsid w:val="0049554C"/>
    <w:rsid w:val="004971CE"/>
    <w:rsid w:val="004B06B1"/>
    <w:rsid w:val="004B0DD0"/>
    <w:rsid w:val="004B32F7"/>
    <w:rsid w:val="004B3650"/>
    <w:rsid w:val="004B6876"/>
    <w:rsid w:val="004B76A6"/>
    <w:rsid w:val="004C05CC"/>
    <w:rsid w:val="004E18ED"/>
    <w:rsid w:val="004E2103"/>
    <w:rsid w:val="005132FB"/>
    <w:rsid w:val="00525D47"/>
    <w:rsid w:val="00526181"/>
    <w:rsid w:val="00527A71"/>
    <w:rsid w:val="00535AAA"/>
    <w:rsid w:val="00543A19"/>
    <w:rsid w:val="00556066"/>
    <w:rsid w:val="00564DC7"/>
    <w:rsid w:val="0057669A"/>
    <w:rsid w:val="005837F0"/>
    <w:rsid w:val="00595CFC"/>
    <w:rsid w:val="005A7873"/>
    <w:rsid w:val="005B0DA4"/>
    <w:rsid w:val="005C443E"/>
    <w:rsid w:val="005E6AA1"/>
    <w:rsid w:val="0060594C"/>
    <w:rsid w:val="006363E3"/>
    <w:rsid w:val="006706DF"/>
    <w:rsid w:val="00672218"/>
    <w:rsid w:val="006814B6"/>
    <w:rsid w:val="006816BE"/>
    <w:rsid w:val="0069739F"/>
    <w:rsid w:val="006A19A1"/>
    <w:rsid w:val="006A2774"/>
    <w:rsid w:val="006A3709"/>
    <w:rsid w:val="006A42E1"/>
    <w:rsid w:val="006B1BCF"/>
    <w:rsid w:val="006B6607"/>
    <w:rsid w:val="006D7DEC"/>
    <w:rsid w:val="006D7EB8"/>
    <w:rsid w:val="006E2148"/>
    <w:rsid w:val="006E426D"/>
    <w:rsid w:val="00701C83"/>
    <w:rsid w:val="00725104"/>
    <w:rsid w:val="007444FC"/>
    <w:rsid w:val="0074632E"/>
    <w:rsid w:val="00747D89"/>
    <w:rsid w:val="007515E5"/>
    <w:rsid w:val="0075760A"/>
    <w:rsid w:val="00775F7F"/>
    <w:rsid w:val="007773F6"/>
    <w:rsid w:val="0078777C"/>
    <w:rsid w:val="00792E1B"/>
    <w:rsid w:val="007A6431"/>
    <w:rsid w:val="007F73C6"/>
    <w:rsid w:val="00807CD9"/>
    <w:rsid w:val="00820047"/>
    <w:rsid w:val="00822CA4"/>
    <w:rsid w:val="00824AC9"/>
    <w:rsid w:val="0083254B"/>
    <w:rsid w:val="00832DC9"/>
    <w:rsid w:val="00843AF2"/>
    <w:rsid w:val="0085331A"/>
    <w:rsid w:val="00865DF9"/>
    <w:rsid w:val="008679FC"/>
    <w:rsid w:val="00881671"/>
    <w:rsid w:val="008844EA"/>
    <w:rsid w:val="008943F2"/>
    <w:rsid w:val="00897C68"/>
    <w:rsid w:val="008A4E69"/>
    <w:rsid w:val="008A76F9"/>
    <w:rsid w:val="008A7DFF"/>
    <w:rsid w:val="008B181B"/>
    <w:rsid w:val="008B795A"/>
    <w:rsid w:val="008C64FE"/>
    <w:rsid w:val="008D57CC"/>
    <w:rsid w:val="008E512A"/>
    <w:rsid w:val="008F7373"/>
    <w:rsid w:val="009129B1"/>
    <w:rsid w:val="009151BE"/>
    <w:rsid w:val="0092123C"/>
    <w:rsid w:val="00926B1D"/>
    <w:rsid w:val="00932BE3"/>
    <w:rsid w:val="0093383A"/>
    <w:rsid w:val="009547B8"/>
    <w:rsid w:val="00965F65"/>
    <w:rsid w:val="009A157E"/>
    <w:rsid w:val="009A29B0"/>
    <w:rsid w:val="009B6400"/>
    <w:rsid w:val="009B6C3D"/>
    <w:rsid w:val="009C3DCD"/>
    <w:rsid w:val="009C6D70"/>
    <w:rsid w:val="009D2B44"/>
    <w:rsid w:val="009E20BB"/>
    <w:rsid w:val="009F01D4"/>
    <w:rsid w:val="00A03AD4"/>
    <w:rsid w:val="00A0521D"/>
    <w:rsid w:val="00A103C5"/>
    <w:rsid w:val="00A3036B"/>
    <w:rsid w:val="00A53563"/>
    <w:rsid w:val="00A60399"/>
    <w:rsid w:val="00A65020"/>
    <w:rsid w:val="00A72824"/>
    <w:rsid w:val="00A7596D"/>
    <w:rsid w:val="00A81D50"/>
    <w:rsid w:val="00A85C52"/>
    <w:rsid w:val="00A86C6E"/>
    <w:rsid w:val="00A9004C"/>
    <w:rsid w:val="00A972AE"/>
    <w:rsid w:val="00AA1543"/>
    <w:rsid w:val="00AA20E0"/>
    <w:rsid w:val="00AA2692"/>
    <w:rsid w:val="00AA26F3"/>
    <w:rsid w:val="00AB3B25"/>
    <w:rsid w:val="00AC4CC0"/>
    <w:rsid w:val="00AE1610"/>
    <w:rsid w:val="00AE48A6"/>
    <w:rsid w:val="00AE51E9"/>
    <w:rsid w:val="00B16BE1"/>
    <w:rsid w:val="00B33924"/>
    <w:rsid w:val="00B34015"/>
    <w:rsid w:val="00B6288E"/>
    <w:rsid w:val="00B92BFA"/>
    <w:rsid w:val="00BD79D9"/>
    <w:rsid w:val="00BE6EA4"/>
    <w:rsid w:val="00BF05AA"/>
    <w:rsid w:val="00BF6488"/>
    <w:rsid w:val="00C0053C"/>
    <w:rsid w:val="00C01E7A"/>
    <w:rsid w:val="00C356BA"/>
    <w:rsid w:val="00C37F73"/>
    <w:rsid w:val="00C411AD"/>
    <w:rsid w:val="00C47B39"/>
    <w:rsid w:val="00C670C4"/>
    <w:rsid w:val="00C70DF0"/>
    <w:rsid w:val="00C74CF3"/>
    <w:rsid w:val="00C77D4B"/>
    <w:rsid w:val="00C96716"/>
    <w:rsid w:val="00CA1414"/>
    <w:rsid w:val="00CA34EF"/>
    <w:rsid w:val="00CA78EE"/>
    <w:rsid w:val="00CC2CC8"/>
    <w:rsid w:val="00CD42EA"/>
    <w:rsid w:val="00CD62C3"/>
    <w:rsid w:val="00CD65CD"/>
    <w:rsid w:val="00CF2FEA"/>
    <w:rsid w:val="00CF6A65"/>
    <w:rsid w:val="00D1158E"/>
    <w:rsid w:val="00D14720"/>
    <w:rsid w:val="00D317A0"/>
    <w:rsid w:val="00D33054"/>
    <w:rsid w:val="00D55FD8"/>
    <w:rsid w:val="00D72DEE"/>
    <w:rsid w:val="00D77360"/>
    <w:rsid w:val="00D92C59"/>
    <w:rsid w:val="00D93523"/>
    <w:rsid w:val="00D95800"/>
    <w:rsid w:val="00D96B6D"/>
    <w:rsid w:val="00DB6721"/>
    <w:rsid w:val="00DC1495"/>
    <w:rsid w:val="00DC2BE8"/>
    <w:rsid w:val="00DC40D0"/>
    <w:rsid w:val="00DE297A"/>
    <w:rsid w:val="00E11220"/>
    <w:rsid w:val="00E2609C"/>
    <w:rsid w:val="00E26487"/>
    <w:rsid w:val="00E3330D"/>
    <w:rsid w:val="00E50B7B"/>
    <w:rsid w:val="00E51666"/>
    <w:rsid w:val="00E55051"/>
    <w:rsid w:val="00E60397"/>
    <w:rsid w:val="00E61B8B"/>
    <w:rsid w:val="00E64EEA"/>
    <w:rsid w:val="00E75364"/>
    <w:rsid w:val="00E81918"/>
    <w:rsid w:val="00E81C26"/>
    <w:rsid w:val="00E84887"/>
    <w:rsid w:val="00EB07E1"/>
    <w:rsid w:val="00ED1ECE"/>
    <w:rsid w:val="00EE021B"/>
    <w:rsid w:val="00EE314A"/>
    <w:rsid w:val="00EF3725"/>
    <w:rsid w:val="00EF38AC"/>
    <w:rsid w:val="00F2192E"/>
    <w:rsid w:val="00F326B7"/>
    <w:rsid w:val="00F3481F"/>
    <w:rsid w:val="00F57507"/>
    <w:rsid w:val="00F75AF6"/>
    <w:rsid w:val="00F80DB3"/>
    <w:rsid w:val="00F85595"/>
    <w:rsid w:val="00F875B3"/>
    <w:rsid w:val="00F93F30"/>
    <w:rsid w:val="00FB089A"/>
    <w:rsid w:val="00FB7FD5"/>
    <w:rsid w:val="00FF5633"/>
    <w:rsid w:val="00FF7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BD71"/>
  <w15:docId w15:val="{7045E5B2-B999-4E08-9F3C-56EAC6D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D93523"/>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6EA4"/>
    <w:rPr>
      <w:color w:val="0000FF" w:themeColor="hyperlink"/>
      <w:u w:val="single"/>
    </w:rPr>
  </w:style>
  <w:style w:type="character" w:styleId="CommentReference">
    <w:name w:val="annotation reference"/>
    <w:basedOn w:val="DefaultParagraphFont"/>
    <w:uiPriority w:val="99"/>
    <w:semiHidden/>
    <w:unhideWhenUsed/>
    <w:rsid w:val="00A81D50"/>
    <w:rPr>
      <w:sz w:val="16"/>
      <w:szCs w:val="16"/>
    </w:rPr>
  </w:style>
  <w:style w:type="paragraph" w:styleId="CommentText">
    <w:name w:val="annotation text"/>
    <w:basedOn w:val="Normal"/>
    <w:link w:val="CommentTextChar"/>
    <w:uiPriority w:val="99"/>
    <w:semiHidden/>
    <w:unhideWhenUsed/>
    <w:rsid w:val="00A81D50"/>
    <w:pPr>
      <w:spacing w:line="240" w:lineRule="auto"/>
    </w:pPr>
    <w:rPr>
      <w:sz w:val="20"/>
      <w:szCs w:val="20"/>
    </w:rPr>
  </w:style>
  <w:style w:type="character" w:customStyle="1" w:styleId="CommentTextChar">
    <w:name w:val="Comment Text Char"/>
    <w:basedOn w:val="DefaultParagraphFont"/>
    <w:link w:val="CommentText"/>
    <w:uiPriority w:val="99"/>
    <w:semiHidden/>
    <w:rsid w:val="00A81D50"/>
    <w:rPr>
      <w:sz w:val="20"/>
      <w:szCs w:val="20"/>
    </w:rPr>
  </w:style>
  <w:style w:type="paragraph" w:styleId="CommentSubject">
    <w:name w:val="annotation subject"/>
    <w:basedOn w:val="CommentText"/>
    <w:next w:val="CommentText"/>
    <w:link w:val="CommentSubjectChar"/>
    <w:uiPriority w:val="99"/>
    <w:semiHidden/>
    <w:unhideWhenUsed/>
    <w:rsid w:val="00A81D50"/>
    <w:rPr>
      <w:b/>
      <w:bCs/>
    </w:rPr>
  </w:style>
  <w:style w:type="character" w:customStyle="1" w:styleId="CommentSubjectChar">
    <w:name w:val="Comment Subject Char"/>
    <w:basedOn w:val="CommentTextChar"/>
    <w:link w:val="CommentSubject"/>
    <w:uiPriority w:val="99"/>
    <w:semiHidden/>
    <w:rsid w:val="00A81D50"/>
    <w:rPr>
      <w:b/>
      <w:bCs/>
      <w:sz w:val="20"/>
      <w:szCs w:val="20"/>
    </w:rPr>
  </w:style>
  <w:style w:type="paragraph" w:styleId="PlainText">
    <w:name w:val="Plain Text"/>
    <w:basedOn w:val="Normal"/>
    <w:link w:val="PlainTextChar"/>
    <w:uiPriority w:val="99"/>
    <w:semiHidden/>
    <w:unhideWhenUsed/>
    <w:rsid w:val="00535AA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35AAA"/>
    <w:rPr>
      <w:rFonts w:ascii="Calibri" w:hAnsi="Calibri" w:cs="Consolas"/>
      <w:szCs w:val="21"/>
    </w:rPr>
  </w:style>
  <w:style w:type="paragraph" w:styleId="NoSpacing">
    <w:name w:val="No Spacing"/>
    <w:uiPriority w:val="1"/>
    <w:qFormat/>
    <w:rsid w:val="00041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79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da.Dulbinska@samc.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palin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A457A-F9F1-4831-937F-242A7C89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9157</Words>
  <Characters>5220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 Par valstij dividendēs izmaksājamo sabiedrības ar ierobežotu atbildību „Standartizācijas, akreditācijas un metroloģijas centrs” peļņas daļu” sākotnējās ietekmes novērtējuma ziņojums (anotācija)</vt:lpstr>
    </vt:vector>
  </TitlesOfParts>
  <Company>Veselības ministrija</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valstij dividendēs izmaksājamo sabiedrības ar ierobežotu atbildību „Standartizācijas, akreditācijas un metroloģijas centrs” peļņas daļu” sākotnējās ietekmes novērtējuma ziņojums (anotācija)</dc:title>
  <dc:subject>Anotācija</dc:subject>
  <dc:creator>Dace Spaliņa</dc:creator>
  <cp:keywords/>
  <dc:description/>
  <cp:lastModifiedBy>Dace Spaliņa</cp:lastModifiedBy>
  <cp:revision>9</cp:revision>
  <cp:lastPrinted>2014-06-18T06:18:00Z</cp:lastPrinted>
  <dcterms:created xsi:type="dcterms:W3CDTF">2015-07-23T12:37:00Z</dcterms:created>
  <dcterms:modified xsi:type="dcterms:W3CDTF">2015-07-23T14:24:00Z</dcterms:modified>
</cp:coreProperties>
</file>