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2FA42" w14:textId="77777777" w:rsidR="003D5C72" w:rsidRPr="00273D30" w:rsidRDefault="003D5C72" w:rsidP="00EE28A1">
      <w:pPr>
        <w:ind w:firstLine="720"/>
        <w:jc w:val="center"/>
        <w:rPr>
          <w:sz w:val="24"/>
          <w:szCs w:val="24"/>
        </w:rPr>
      </w:pPr>
      <w:r w:rsidRPr="00273D30">
        <w:rPr>
          <w:b/>
          <w:sz w:val="24"/>
          <w:szCs w:val="24"/>
        </w:rPr>
        <w:t>Ministru kabineta noteikumu projekta</w:t>
      </w:r>
      <w:bookmarkStart w:id="0" w:name="OLE_LINK3"/>
      <w:bookmarkStart w:id="1" w:name="OLE_LINK4"/>
      <w:r w:rsidR="00CD6599" w:rsidRPr="00273D30">
        <w:rPr>
          <w:b/>
          <w:sz w:val="24"/>
          <w:szCs w:val="24"/>
        </w:rPr>
        <w:t xml:space="preserve"> </w:t>
      </w:r>
      <w:r w:rsidR="007079DF" w:rsidRPr="00273D30">
        <w:rPr>
          <w:rFonts w:ascii="Cambria" w:hAnsi="Cambria"/>
          <w:b/>
          <w:sz w:val="24"/>
          <w:szCs w:val="24"/>
        </w:rPr>
        <w:t>“</w:t>
      </w:r>
      <w:r w:rsidR="00126A07" w:rsidRPr="00273D30">
        <w:rPr>
          <w:b/>
          <w:sz w:val="24"/>
          <w:szCs w:val="24"/>
        </w:rPr>
        <w:t>Grozījumi Ministru kabineta 2013. gada 10. decembra noteikumos Nr. 1442 “Norvēģijas finanšu instrumenta 2009.–2014. gada perioda programmas “Inovācijas “zaļās” ražošanas jomā” atklāta projektu konkursa īstenošanas kārtība</w:t>
      </w:r>
      <w:bookmarkStart w:id="2" w:name="OLE_LINK5"/>
      <w:bookmarkStart w:id="3" w:name="OLE_LINK6"/>
      <w:bookmarkEnd w:id="0"/>
      <w:bookmarkEnd w:id="1"/>
      <w:r w:rsidR="00126A07" w:rsidRPr="00273D30">
        <w:rPr>
          <w:b/>
          <w:sz w:val="24"/>
          <w:szCs w:val="24"/>
        </w:rPr>
        <w:t>””</w:t>
      </w:r>
      <w:r w:rsidRPr="00273D30">
        <w:rPr>
          <w:sz w:val="24"/>
          <w:szCs w:val="24"/>
        </w:rPr>
        <w:t xml:space="preserve"> </w:t>
      </w:r>
      <w:r w:rsidRPr="00273D30">
        <w:rPr>
          <w:b/>
          <w:sz w:val="24"/>
          <w:szCs w:val="24"/>
        </w:rPr>
        <w:t>sākotnējās ietekmes novērtējuma ziņojums (anotācija)</w:t>
      </w:r>
      <w:bookmarkEnd w:id="2"/>
      <w:bookmarkEnd w:id="3"/>
    </w:p>
    <w:p w14:paraId="6E77A1CC" w14:textId="77777777" w:rsidR="003D5C72" w:rsidRPr="00273D30" w:rsidRDefault="003D5C72" w:rsidP="003D5C72">
      <w:pPr>
        <w:shd w:val="clear" w:color="auto" w:fill="FFFFFF"/>
        <w:spacing w:before="45" w:line="248" w:lineRule="atLeast"/>
        <w:ind w:firstLine="300"/>
        <w:jc w:val="center"/>
        <w:rPr>
          <w:rFonts w:ascii="Arial" w:eastAsia="Times New Roman" w:hAnsi="Arial" w:cs="Arial"/>
          <w:i/>
          <w:iCs/>
          <w:color w:val="414142"/>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D5C72" w:rsidRPr="00273D30" w14:paraId="1AD6EAAE" w14:textId="77777777" w:rsidTr="002D6D8A">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86F7A1" w14:textId="77777777" w:rsidR="003D5C72" w:rsidRPr="00273D30" w:rsidRDefault="003D5C72" w:rsidP="002D6D8A">
            <w:pPr>
              <w:spacing w:before="100" w:beforeAutospacing="1" w:after="100" w:afterAutospacing="1" w:line="293" w:lineRule="atLeast"/>
              <w:jc w:val="center"/>
              <w:rPr>
                <w:rFonts w:eastAsia="Times New Roman" w:cs="Times New Roman"/>
                <w:b/>
                <w:bCs/>
                <w:sz w:val="24"/>
                <w:szCs w:val="24"/>
              </w:rPr>
            </w:pPr>
            <w:r w:rsidRPr="00273D30">
              <w:rPr>
                <w:rFonts w:eastAsia="Times New Roman" w:cs="Times New Roman"/>
                <w:b/>
                <w:bCs/>
                <w:sz w:val="24"/>
                <w:szCs w:val="24"/>
              </w:rPr>
              <w:t>I. Tiesību akta projekta izstrādes nepieciešamība</w:t>
            </w:r>
          </w:p>
        </w:tc>
      </w:tr>
      <w:tr w:rsidR="003D5C72" w:rsidRPr="00273D30" w14:paraId="13B67335" w14:textId="77777777" w:rsidTr="006C7524">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1F5CD2F" w14:textId="77777777" w:rsidR="003D5C72" w:rsidRPr="00273D30" w:rsidRDefault="003D5C72" w:rsidP="002D6D8A">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0DCD51DA"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tcPr>
          <w:p w14:paraId="18C9E081" w14:textId="6984806E" w:rsidR="00A37CB6" w:rsidRPr="00273D30" w:rsidRDefault="00000184" w:rsidP="00F93CF2">
            <w:pPr>
              <w:pStyle w:val="BodyText"/>
              <w:tabs>
                <w:tab w:val="left" w:pos="814"/>
                <w:tab w:val="left" w:pos="1129"/>
              </w:tabs>
              <w:rPr>
                <w:sz w:val="24"/>
                <w:szCs w:val="24"/>
              </w:rPr>
            </w:pPr>
            <w:r w:rsidRPr="00273D30">
              <w:rPr>
                <w:bCs/>
                <w:sz w:val="24"/>
                <w:szCs w:val="24"/>
              </w:rPr>
              <w:t>Ministru kabineta noteikumu projekts</w:t>
            </w:r>
            <w:r w:rsidR="00B1476A" w:rsidRPr="00273D30">
              <w:rPr>
                <w:sz w:val="24"/>
                <w:szCs w:val="24"/>
              </w:rPr>
              <w:t xml:space="preserve"> </w:t>
            </w:r>
            <w:r w:rsidR="007079DF" w:rsidRPr="00273D30">
              <w:rPr>
                <w:rFonts w:ascii="Cambria" w:hAnsi="Cambria"/>
                <w:sz w:val="24"/>
                <w:szCs w:val="24"/>
              </w:rPr>
              <w:t>“</w:t>
            </w:r>
            <w:r w:rsidR="007079DF" w:rsidRPr="00273D30">
              <w:rPr>
                <w:sz w:val="24"/>
                <w:szCs w:val="24"/>
              </w:rPr>
              <w:t xml:space="preserve">Grozījumi Ministru kabineta 2013. gada 10. decembra noteikumos Nr. 1442 “Norvēģijas finanšu instrumenta 2009.–2014. gada perioda programmas “Inovācijas “zaļās” ražošanas jomā” atklāta projektu konkursa īstenošanas kārtība”” </w:t>
            </w:r>
            <w:r w:rsidRPr="00273D30">
              <w:rPr>
                <w:sz w:val="24"/>
                <w:szCs w:val="24"/>
              </w:rPr>
              <w:t>(turpmāk –</w:t>
            </w:r>
            <w:r w:rsidR="00F93CF2">
              <w:rPr>
                <w:sz w:val="24"/>
                <w:szCs w:val="24"/>
              </w:rPr>
              <w:t>N</w:t>
            </w:r>
            <w:r w:rsidR="00A24E1E" w:rsidRPr="00273D30">
              <w:rPr>
                <w:sz w:val="24"/>
                <w:szCs w:val="24"/>
              </w:rPr>
              <w:t>oteikumu</w:t>
            </w:r>
            <w:r w:rsidRPr="00273D30">
              <w:rPr>
                <w:sz w:val="24"/>
                <w:szCs w:val="24"/>
              </w:rPr>
              <w:t xml:space="preserve"> projekts) </w:t>
            </w:r>
            <w:r w:rsidR="000C738A" w:rsidRPr="008B3325">
              <w:rPr>
                <w:sz w:val="24"/>
                <w:szCs w:val="24"/>
              </w:rPr>
              <w:t>ir izstrādāts, lai atbilstoši</w:t>
            </w:r>
            <w:r w:rsidR="000C738A">
              <w:rPr>
                <w:sz w:val="24"/>
                <w:szCs w:val="24"/>
              </w:rPr>
              <w:t xml:space="preserve"> </w:t>
            </w:r>
            <w:r w:rsidR="000C738A" w:rsidRPr="00273D30">
              <w:rPr>
                <w:color w:val="000000"/>
                <w:sz w:val="24"/>
                <w:szCs w:val="24"/>
              </w:rPr>
              <w:t>Norvēģijas Ārlietu ministrijas 2011.gada 11.februāra Noteikum</w:t>
            </w:r>
            <w:r w:rsidR="000C738A">
              <w:rPr>
                <w:color w:val="000000"/>
                <w:sz w:val="24"/>
                <w:szCs w:val="24"/>
              </w:rPr>
              <w:t>u</w:t>
            </w:r>
            <w:r w:rsidR="000C738A" w:rsidRPr="00273D30">
              <w:rPr>
                <w:color w:val="000000"/>
                <w:sz w:val="24"/>
                <w:szCs w:val="24"/>
              </w:rPr>
              <w:t xml:space="preserve"> par Norvēģijas finanšu instrumenta ieviešanu 2009.-2014.gadā 7.14.panta 4.punkt</w:t>
            </w:r>
            <w:r w:rsidR="000C738A">
              <w:rPr>
                <w:color w:val="000000"/>
                <w:sz w:val="24"/>
                <w:szCs w:val="24"/>
              </w:rPr>
              <w:t>am</w:t>
            </w:r>
            <w:r w:rsidR="000C738A" w:rsidRPr="008B3325">
              <w:rPr>
                <w:sz w:val="24"/>
                <w:szCs w:val="24"/>
              </w:rPr>
              <w:t xml:space="preserve"> </w:t>
            </w:r>
            <w:r w:rsidR="00370B10" w:rsidRPr="00923AA6">
              <w:rPr>
                <w:sz w:val="24"/>
                <w:szCs w:val="24"/>
              </w:rPr>
              <w:t xml:space="preserve">un </w:t>
            </w:r>
            <w:proofErr w:type="spellStart"/>
            <w:r w:rsidR="00F93CF2">
              <w:rPr>
                <w:sz w:val="24"/>
                <w:szCs w:val="24"/>
              </w:rPr>
              <w:t>d</w:t>
            </w:r>
            <w:r w:rsidR="00A24E1E" w:rsidRPr="00923AA6">
              <w:rPr>
                <w:sz w:val="24"/>
                <w:szCs w:val="24"/>
              </w:rPr>
              <w:t>onorvalsts</w:t>
            </w:r>
            <w:proofErr w:type="spellEnd"/>
            <w:r w:rsidR="00A24E1E" w:rsidRPr="00923AA6">
              <w:rPr>
                <w:sz w:val="24"/>
                <w:szCs w:val="24"/>
              </w:rPr>
              <w:t xml:space="preserve"> 2015.gada 26.maijā sniegt</w:t>
            </w:r>
            <w:r w:rsidR="000C738A" w:rsidRPr="00923AA6">
              <w:rPr>
                <w:sz w:val="24"/>
                <w:szCs w:val="24"/>
              </w:rPr>
              <w:t>ajiem</w:t>
            </w:r>
            <w:r w:rsidR="00A24E1E" w:rsidRPr="00923AA6">
              <w:rPr>
                <w:sz w:val="24"/>
                <w:szCs w:val="24"/>
              </w:rPr>
              <w:t xml:space="preserve"> norādījum</w:t>
            </w:r>
            <w:r w:rsidR="000C738A" w:rsidRPr="00923AA6">
              <w:rPr>
                <w:sz w:val="24"/>
                <w:szCs w:val="24"/>
              </w:rPr>
              <w:t>iem nodrošinātu iespēju</w:t>
            </w:r>
            <w:r w:rsidR="000C738A">
              <w:rPr>
                <w:sz w:val="24"/>
                <w:szCs w:val="24"/>
              </w:rPr>
              <w:t xml:space="preserve"> </w:t>
            </w:r>
            <w:r w:rsidR="000C738A" w:rsidRPr="00273D30">
              <w:rPr>
                <w:sz w:val="24"/>
                <w:szCs w:val="24"/>
              </w:rPr>
              <w:t>programmas “Inovācijas “zaļās” ražošanas jomā” atklāta projektu konkursa</w:t>
            </w:r>
            <w:r w:rsidR="000C738A">
              <w:rPr>
                <w:sz w:val="24"/>
                <w:szCs w:val="24"/>
              </w:rPr>
              <w:t xml:space="preserve"> ietvaros atbalstīto projektu</w:t>
            </w:r>
            <w:r w:rsidR="00BC3EDD">
              <w:rPr>
                <w:sz w:val="24"/>
                <w:szCs w:val="24"/>
              </w:rPr>
              <w:t xml:space="preserve"> īstenotājiem</w:t>
            </w:r>
            <w:r w:rsidR="00F93CF2">
              <w:rPr>
                <w:sz w:val="24"/>
                <w:szCs w:val="24"/>
              </w:rPr>
              <w:t>,</w:t>
            </w:r>
            <w:r w:rsidR="000C738A">
              <w:rPr>
                <w:sz w:val="24"/>
                <w:szCs w:val="24"/>
              </w:rPr>
              <w:t xml:space="preserve"> </w:t>
            </w:r>
            <w:r w:rsidR="00BC3EDD">
              <w:rPr>
                <w:sz w:val="24"/>
                <w:szCs w:val="24"/>
              </w:rPr>
              <w:t>ja nepieciešams</w:t>
            </w:r>
            <w:r w:rsidR="00F93CF2">
              <w:rPr>
                <w:sz w:val="24"/>
                <w:szCs w:val="24"/>
              </w:rPr>
              <w:t>,</w:t>
            </w:r>
            <w:r w:rsidR="00BC3EDD">
              <w:rPr>
                <w:sz w:val="24"/>
                <w:szCs w:val="24"/>
              </w:rPr>
              <w:t xml:space="preserve"> pagarināt projektu </w:t>
            </w:r>
            <w:r w:rsidR="000C738A">
              <w:rPr>
                <w:sz w:val="24"/>
                <w:szCs w:val="24"/>
              </w:rPr>
              <w:t>īstenošanas termiņu līdz 2017.gada 30.aprīlim</w:t>
            </w:r>
            <w:r w:rsidR="00370B10" w:rsidRPr="00273D30">
              <w:rPr>
                <w:sz w:val="24"/>
                <w:szCs w:val="24"/>
              </w:rPr>
              <w:t>.</w:t>
            </w:r>
            <w:r w:rsidR="000C738A" w:rsidRPr="00273D30">
              <w:rPr>
                <w:sz w:val="24"/>
                <w:szCs w:val="24"/>
              </w:rPr>
              <w:t xml:space="preserve"> </w:t>
            </w:r>
          </w:p>
        </w:tc>
      </w:tr>
      <w:tr w:rsidR="003D5C72" w:rsidRPr="00273D30" w14:paraId="206963CF" w14:textId="77777777" w:rsidTr="002D6D8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6E7086" w14:textId="77777777" w:rsidR="003D5C72" w:rsidRPr="00273D30" w:rsidRDefault="003D5C72" w:rsidP="002D6D8A">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7CDFAE53"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C2FAAB4" w14:textId="07F2903E" w:rsidR="00BC3EDD" w:rsidRDefault="00E55578" w:rsidP="000355DF">
            <w:pPr>
              <w:tabs>
                <w:tab w:val="left" w:pos="814"/>
                <w:tab w:val="left" w:pos="1129"/>
              </w:tabs>
              <w:jc w:val="both"/>
              <w:rPr>
                <w:sz w:val="24"/>
                <w:szCs w:val="24"/>
              </w:rPr>
            </w:pPr>
            <w:r w:rsidRPr="00273D30">
              <w:rPr>
                <w:sz w:val="24"/>
                <w:szCs w:val="24"/>
              </w:rPr>
              <w:t>Norvēģijas finanšu instrumenta 2009</w:t>
            </w:r>
            <w:r w:rsidR="00CD6599" w:rsidRPr="00273D30">
              <w:rPr>
                <w:sz w:val="24"/>
                <w:szCs w:val="24"/>
              </w:rPr>
              <w:t xml:space="preserve">.-2014.gada perioda programmas </w:t>
            </w:r>
            <w:r w:rsidR="00CD6599" w:rsidRPr="00273D30">
              <w:rPr>
                <w:rFonts w:ascii="Cambria" w:hAnsi="Cambria"/>
                <w:sz w:val="24"/>
                <w:szCs w:val="24"/>
              </w:rPr>
              <w:t>"</w:t>
            </w:r>
            <w:r w:rsidR="00CD6599" w:rsidRPr="00273D30">
              <w:rPr>
                <w:sz w:val="24"/>
                <w:szCs w:val="24"/>
              </w:rPr>
              <w:t xml:space="preserve">Inovācijas </w:t>
            </w:r>
            <w:r w:rsidR="00CD6599" w:rsidRPr="00273D30">
              <w:rPr>
                <w:rFonts w:ascii="Cambria" w:hAnsi="Cambria"/>
                <w:sz w:val="24"/>
                <w:szCs w:val="24"/>
              </w:rPr>
              <w:t>"</w:t>
            </w:r>
            <w:r w:rsidR="00CD6599" w:rsidRPr="00273D30">
              <w:rPr>
                <w:sz w:val="24"/>
                <w:szCs w:val="24"/>
              </w:rPr>
              <w:t>zaļās</w:t>
            </w:r>
            <w:r w:rsidR="00CD6599" w:rsidRPr="00273D30">
              <w:rPr>
                <w:rFonts w:ascii="Cambria" w:hAnsi="Cambria"/>
                <w:sz w:val="24"/>
                <w:szCs w:val="24"/>
              </w:rPr>
              <w:t>"</w:t>
            </w:r>
            <w:r w:rsidR="00CD6599" w:rsidRPr="00273D30">
              <w:rPr>
                <w:sz w:val="24"/>
                <w:szCs w:val="24"/>
              </w:rPr>
              <w:t xml:space="preserve"> ražošanas jomā</w:t>
            </w:r>
            <w:r w:rsidR="00CD6599" w:rsidRPr="00273D30">
              <w:rPr>
                <w:rFonts w:ascii="Cambria" w:hAnsi="Cambria"/>
                <w:sz w:val="24"/>
                <w:szCs w:val="24"/>
              </w:rPr>
              <w:t>"</w:t>
            </w:r>
            <w:r w:rsidRPr="00273D30">
              <w:rPr>
                <w:sz w:val="24"/>
                <w:szCs w:val="24"/>
              </w:rPr>
              <w:t xml:space="preserve"> (turpmāk – Programma)</w:t>
            </w:r>
            <w:r w:rsidR="00B1476A" w:rsidRPr="00273D30">
              <w:rPr>
                <w:sz w:val="24"/>
                <w:szCs w:val="24"/>
              </w:rPr>
              <w:t xml:space="preserve"> ietvaros</w:t>
            </w:r>
            <w:r w:rsidRPr="00273D30">
              <w:rPr>
                <w:sz w:val="24"/>
                <w:szCs w:val="24"/>
              </w:rPr>
              <w:t xml:space="preserve"> </w:t>
            </w:r>
            <w:r w:rsidR="00C9466F" w:rsidRPr="00273D30">
              <w:rPr>
                <w:sz w:val="24"/>
                <w:szCs w:val="24"/>
              </w:rPr>
              <w:t>tika rīkotas divas atklāta projektu konkursa kārtas</w:t>
            </w:r>
            <w:r w:rsidR="00BC3EDD">
              <w:rPr>
                <w:sz w:val="24"/>
                <w:szCs w:val="24"/>
              </w:rPr>
              <w:t xml:space="preserve"> (pirmā kārt</w:t>
            </w:r>
            <w:r w:rsidR="008A6538">
              <w:rPr>
                <w:sz w:val="24"/>
                <w:szCs w:val="24"/>
              </w:rPr>
              <w:t>a:</w:t>
            </w:r>
            <w:r w:rsidR="00BC3EDD">
              <w:rPr>
                <w:sz w:val="24"/>
                <w:szCs w:val="24"/>
              </w:rPr>
              <w:t xml:space="preserve"> </w:t>
            </w:r>
            <w:r w:rsidR="008A6538">
              <w:rPr>
                <w:sz w:val="24"/>
                <w:szCs w:val="24"/>
              </w:rPr>
              <w:t>21.01.2014.-20.03.2014.; otrā kārta</w:t>
            </w:r>
            <w:r w:rsidR="008A6538" w:rsidRPr="008A6538">
              <w:rPr>
                <w:sz w:val="24"/>
                <w:szCs w:val="24"/>
              </w:rPr>
              <w:t>:14.11.2014.-16.01.2015.)</w:t>
            </w:r>
            <w:r w:rsidR="008A6538">
              <w:rPr>
                <w:sz w:val="24"/>
                <w:szCs w:val="24"/>
              </w:rPr>
              <w:t xml:space="preserve"> par kopējo atbalsta summu </w:t>
            </w:r>
            <w:r w:rsidR="00C9466F" w:rsidRPr="008A6538">
              <w:rPr>
                <w:sz w:val="24"/>
                <w:szCs w:val="24"/>
              </w:rPr>
              <w:t xml:space="preserve">7 769 107 </w:t>
            </w:r>
            <w:proofErr w:type="spellStart"/>
            <w:r w:rsidR="0096439B" w:rsidRPr="00EE28A1">
              <w:rPr>
                <w:i/>
                <w:sz w:val="24"/>
                <w:szCs w:val="24"/>
              </w:rPr>
              <w:t>euro</w:t>
            </w:r>
            <w:proofErr w:type="spellEnd"/>
            <w:r w:rsidR="00C9466F" w:rsidRPr="008A6538">
              <w:rPr>
                <w:sz w:val="24"/>
                <w:szCs w:val="24"/>
              </w:rPr>
              <w:t>. Pirmajā k</w:t>
            </w:r>
            <w:r w:rsidR="00B1476A" w:rsidRPr="008A6538">
              <w:rPr>
                <w:sz w:val="24"/>
                <w:szCs w:val="24"/>
              </w:rPr>
              <w:t xml:space="preserve">ārtā tika atbalstīti </w:t>
            </w:r>
            <w:r w:rsidR="00BC3EDD" w:rsidRPr="008A6538">
              <w:rPr>
                <w:sz w:val="24"/>
                <w:szCs w:val="24"/>
              </w:rPr>
              <w:t xml:space="preserve">un noslēgti līgumi par </w:t>
            </w:r>
            <w:r w:rsidR="00B1476A" w:rsidRPr="008A6538">
              <w:rPr>
                <w:sz w:val="24"/>
                <w:szCs w:val="24"/>
              </w:rPr>
              <w:t>3 projekti</w:t>
            </w:r>
            <w:r w:rsidR="00BC3EDD" w:rsidRPr="008A6538">
              <w:rPr>
                <w:sz w:val="24"/>
                <w:szCs w:val="24"/>
              </w:rPr>
              <w:t>em</w:t>
            </w:r>
            <w:r w:rsidR="00C9466F" w:rsidRPr="008A6538">
              <w:rPr>
                <w:sz w:val="24"/>
                <w:szCs w:val="24"/>
              </w:rPr>
              <w:t xml:space="preserve">, savukārt otrajā kārtā </w:t>
            </w:r>
            <w:r w:rsidR="008A6538" w:rsidRPr="008A6538">
              <w:rPr>
                <w:sz w:val="24"/>
                <w:szCs w:val="24"/>
              </w:rPr>
              <w:t xml:space="preserve">tika </w:t>
            </w:r>
            <w:r w:rsidR="00C9466F" w:rsidRPr="008A6538">
              <w:rPr>
                <w:sz w:val="24"/>
                <w:szCs w:val="24"/>
              </w:rPr>
              <w:t>apstiprināti 1</w:t>
            </w:r>
            <w:r w:rsidR="00BC3EDD" w:rsidRPr="008A6538">
              <w:rPr>
                <w:sz w:val="24"/>
                <w:szCs w:val="24"/>
              </w:rPr>
              <w:t>4</w:t>
            </w:r>
            <w:r w:rsidR="00C9466F" w:rsidRPr="008A6538">
              <w:rPr>
                <w:sz w:val="24"/>
                <w:szCs w:val="24"/>
              </w:rPr>
              <w:t xml:space="preserve"> projekti un </w:t>
            </w:r>
            <w:r w:rsidR="008A6538">
              <w:rPr>
                <w:sz w:val="24"/>
                <w:szCs w:val="24"/>
              </w:rPr>
              <w:t>līdz 2015.gada 14.augustam</w:t>
            </w:r>
            <w:r w:rsidR="00C9466F" w:rsidRPr="008A6538">
              <w:rPr>
                <w:sz w:val="24"/>
                <w:szCs w:val="24"/>
              </w:rPr>
              <w:t xml:space="preserve"> </w:t>
            </w:r>
            <w:r w:rsidR="00BC3EDD" w:rsidRPr="008A6538">
              <w:rPr>
                <w:sz w:val="24"/>
                <w:szCs w:val="24"/>
              </w:rPr>
              <w:t>ir no</w:t>
            </w:r>
            <w:r w:rsidR="009D0001">
              <w:rPr>
                <w:sz w:val="24"/>
                <w:szCs w:val="24"/>
              </w:rPr>
              <w:t>s</w:t>
            </w:r>
            <w:r w:rsidR="00BC3EDD" w:rsidRPr="008A6538">
              <w:rPr>
                <w:sz w:val="24"/>
                <w:szCs w:val="24"/>
              </w:rPr>
              <w:t>lēgti 1</w:t>
            </w:r>
            <w:r w:rsidR="008A6538" w:rsidRPr="008A6538">
              <w:rPr>
                <w:sz w:val="24"/>
                <w:szCs w:val="24"/>
              </w:rPr>
              <w:t xml:space="preserve">1 līgumi par projektu īstenošanu, </w:t>
            </w:r>
            <w:r w:rsidR="00BC3EDD" w:rsidRPr="008A6538">
              <w:rPr>
                <w:sz w:val="24"/>
                <w:szCs w:val="24"/>
              </w:rPr>
              <w:t xml:space="preserve"> </w:t>
            </w:r>
            <w:r w:rsidR="008A6538" w:rsidRPr="008A6538">
              <w:rPr>
                <w:sz w:val="24"/>
                <w:szCs w:val="24"/>
              </w:rPr>
              <w:t>divi</w:t>
            </w:r>
            <w:r w:rsidR="00BC3EDD" w:rsidRPr="008A6538">
              <w:rPr>
                <w:sz w:val="24"/>
                <w:szCs w:val="24"/>
              </w:rPr>
              <w:t xml:space="preserve"> līgumi</w:t>
            </w:r>
            <w:r w:rsidR="008A6538" w:rsidRPr="008A6538">
              <w:rPr>
                <w:sz w:val="24"/>
                <w:szCs w:val="24"/>
              </w:rPr>
              <w:t xml:space="preserve"> ir sagatavošanā un viens projekta pieteicējs atteicās no līguma slēgšan</w:t>
            </w:r>
            <w:r w:rsidR="008A6538">
              <w:rPr>
                <w:sz w:val="24"/>
                <w:szCs w:val="24"/>
              </w:rPr>
              <w:t>as</w:t>
            </w:r>
            <w:r w:rsidR="00BC3EDD" w:rsidRPr="008A6538">
              <w:rPr>
                <w:sz w:val="24"/>
                <w:szCs w:val="24"/>
              </w:rPr>
              <w:t>.</w:t>
            </w:r>
          </w:p>
          <w:p w14:paraId="3BB47B4E" w14:textId="4234BC6C" w:rsidR="004742F9" w:rsidRPr="008A6538" w:rsidRDefault="006A66ED" w:rsidP="000355DF">
            <w:pPr>
              <w:tabs>
                <w:tab w:val="left" w:pos="814"/>
                <w:tab w:val="left" w:pos="1129"/>
              </w:tabs>
              <w:jc w:val="both"/>
              <w:rPr>
                <w:sz w:val="24"/>
                <w:szCs w:val="24"/>
              </w:rPr>
            </w:pPr>
            <w:r>
              <w:rPr>
                <w:sz w:val="24"/>
                <w:szCs w:val="24"/>
              </w:rPr>
              <w:t xml:space="preserve">Pēc Programmas atklāta konkursa divām kārtām </w:t>
            </w:r>
            <w:r w:rsidR="007D76AE">
              <w:rPr>
                <w:sz w:val="24"/>
                <w:szCs w:val="24"/>
              </w:rPr>
              <w:t xml:space="preserve">ir izveidojies </w:t>
            </w:r>
            <w:r w:rsidR="004742F9">
              <w:rPr>
                <w:sz w:val="24"/>
                <w:szCs w:val="24"/>
              </w:rPr>
              <w:t>atklātā</w:t>
            </w:r>
            <w:r w:rsidR="007D76AE">
              <w:rPr>
                <w:sz w:val="24"/>
                <w:szCs w:val="24"/>
              </w:rPr>
              <w:t xml:space="preserve"> konkursa pieejamā finansējuma atlikums</w:t>
            </w:r>
            <w:r w:rsidR="004742F9">
              <w:rPr>
                <w:sz w:val="24"/>
                <w:szCs w:val="24"/>
              </w:rPr>
              <w:t xml:space="preserve">, kas atbilstoši </w:t>
            </w:r>
            <w:proofErr w:type="spellStart"/>
            <w:r w:rsidR="004742F9">
              <w:rPr>
                <w:sz w:val="24"/>
                <w:szCs w:val="24"/>
              </w:rPr>
              <w:t>donorvalsts</w:t>
            </w:r>
            <w:proofErr w:type="spellEnd"/>
            <w:r w:rsidR="004742F9">
              <w:rPr>
                <w:sz w:val="24"/>
                <w:szCs w:val="24"/>
              </w:rPr>
              <w:t xml:space="preserve"> 2015.gada 10. un 20.jūlija lēmumiem</w:t>
            </w:r>
            <w:r w:rsidR="004742F9" w:rsidRPr="004742F9">
              <w:rPr>
                <w:sz w:val="24"/>
                <w:szCs w:val="24"/>
              </w:rPr>
              <w:t xml:space="preserve"> ir pārdalīts</w:t>
            </w:r>
            <w:r w:rsidR="004742F9">
              <w:rPr>
                <w:sz w:val="24"/>
                <w:szCs w:val="24"/>
              </w:rPr>
              <w:t xml:space="preserve"> starp Programmas aktivitātēm</w:t>
            </w:r>
            <w:r w:rsidR="007D76AE">
              <w:rPr>
                <w:sz w:val="24"/>
                <w:szCs w:val="24"/>
              </w:rPr>
              <w:t xml:space="preserve">. Pēc </w:t>
            </w:r>
            <w:proofErr w:type="spellStart"/>
            <w:r w:rsidR="007D76AE">
              <w:rPr>
                <w:sz w:val="24"/>
                <w:szCs w:val="24"/>
              </w:rPr>
              <w:t>donorvalsts</w:t>
            </w:r>
            <w:proofErr w:type="spellEnd"/>
            <w:r w:rsidR="007D76AE">
              <w:rPr>
                <w:sz w:val="24"/>
                <w:szCs w:val="24"/>
              </w:rPr>
              <w:t xml:space="preserve"> lēmuma un veiktajiem grozījumiem Programmas līgumā, </w:t>
            </w:r>
            <w:r w:rsidR="004742F9" w:rsidRPr="004742F9">
              <w:rPr>
                <w:sz w:val="24"/>
                <w:szCs w:val="24"/>
              </w:rPr>
              <w:t>šobrīd</w:t>
            </w:r>
            <w:r w:rsidR="007D76AE">
              <w:rPr>
                <w:sz w:val="24"/>
                <w:szCs w:val="24"/>
              </w:rPr>
              <w:t xml:space="preserve"> kopējais</w:t>
            </w:r>
            <w:r w:rsidR="004742F9" w:rsidRPr="004742F9">
              <w:rPr>
                <w:sz w:val="24"/>
                <w:szCs w:val="24"/>
              </w:rPr>
              <w:t xml:space="preserve"> Programmas atklāta konkursa finansējums ir </w:t>
            </w:r>
            <w:r w:rsidR="004742F9" w:rsidRPr="00C778A7">
              <w:rPr>
                <w:color w:val="000000" w:themeColor="text1"/>
                <w:sz w:val="24"/>
                <w:szCs w:val="24"/>
              </w:rPr>
              <w:t xml:space="preserve">6 998 095 </w:t>
            </w:r>
            <w:proofErr w:type="spellStart"/>
            <w:r w:rsidR="004742F9" w:rsidRPr="00C778A7">
              <w:rPr>
                <w:i/>
                <w:color w:val="000000" w:themeColor="text1"/>
                <w:sz w:val="24"/>
                <w:szCs w:val="24"/>
              </w:rPr>
              <w:t>euro</w:t>
            </w:r>
            <w:proofErr w:type="spellEnd"/>
            <w:r w:rsidR="004742F9" w:rsidRPr="00C778A7">
              <w:rPr>
                <w:i/>
                <w:color w:val="000000" w:themeColor="text1"/>
                <w:sz w:val="24"/>
                <w:szCs w:val="24"/>
              </w:rPr>
              <w:t>.</w:t>
            </w:r>
          </w:p>
          <w:p w14:paraId="15EB36DB" w14:textId="4B7D4FDB" w:rsidR="000355DF" w:rsidRPr="00273D30" w:rsidRDefault="008A6538" w:rsidP="000355DF">
            <w:pPr>
              <w:tabs>
                <w:tab w:val="left" w:pos="814"/>
                <w:tab w:val="left" w:pos="1129"/>
              </w:tabs>
              <w:jc w:val="both"/>
              <w:rPr>
                <w:sz w:val="24"/>
                <w:szCs w:val="24"/>
              </w:rPr>
            </w:pPr>
            <w:r w:rsidRPr="008A6538">
              <w:rPr>
                <w:sz w:val="24"/>
                <w:szCs w:val="24"/>
              </w:rPr>
              <w:t>Noslēgtie l</w:t>
            </w:r>
            <w:r w:rsidR="000355DF" w:rsidRPr="008A6538">
              <w:rPr>
                <w:sz w:val="24"/>
                <w:szCs w:val="24"/>
              </w:rPr>
              <w:t xml:space="preserve">īgumi </w:t>
            </w:r>
            <w:r w:rsidRPr="008A6538">
              <w:rPr>
                <w:sz w:val="24"/>
                <w:szCs w:val="24"/>
              </w:rPr>
              <w:t>atbilstoši M</w:t>
            </w:r>
            <w:r>
              <w:rPr>
                <w:sz w:val="24"/>
                <w:szCs w:val="24"/>
              </w:rPr>
              <w:t>inistru kabineta 2013.gada 10.decembra noteikumu Nr.</w:t>
            </w:r>
            <w:r w:rsidRPr="008A6538">
              <w:rPr>
                <w:sz w:val="24"/>
                <w:szCs w:val="24"/>
              </w:rPr>
              <w:t>1442 “Norvēģijas finanšu instrumenta 2009.–2014. gada perioda programmas “Inovācijas “zaļās” ražošanas jomā” atklāta projektu konkursa īstenošanas kārtība””</w:t>
            </w:r>
            <w:r w:rsidR="00824817">
              <w:rPr>
                <w:sz w:val="24"/>
                <w:szCs w:val="24"/>
              </w:rPr>
              <w:t xml:space="preserve"> (turpmāk - MK noteikumi)</w:t>
            </w:r>
            <w:r w:rsidRPr="008A6538">
              <w:rPr>
                <w:sz w:val="24"/>
                <w:szCs w:val="24"/>
              </w:rPr>
              <w:t xml:space="preserve"> 40</w:t>
            </w:r>
            <w:r>
              <w:rPr>
                <w:sz w:val="24"/>
                <w:szCs w:val="24"/>
              </w:rPr>
              <w:t>.</w:t>
            </w:r>
            <w:r w:rsidRPr="008A6538">
              <w:rPr>
                <w:sz w:val="24"/>
                <w:szCs w:val="24"/>
              </w:rPr>
              <w:t xml:space="preserve"> un 40</w:t>
            </w:r>
            <w:r w:rsidRPr="008A6538">
              <w:rPr>
                <w:sz w:val="24"/>
                <w:szCs w:val="24"/>
                <w:vertAlign w:val="superscript"/>
              </w:rPr>
              <w:t>1</w:t>
            </w:r>
            <w:r w:rsidRPr="008A6538">
              <w:rPr>
                <w:sz w:val="24"/>
                <w:szCs w:val="24"/>
              </w:rPr>
              <w:t>.punktam paredz, ka projektu īstenošanas</w:t>
            </w:r>
            <w:r>
              <w:rPr>
                <w:sz w:val="24"/>
                <w:szCs w:val="24"/>
              </w:rPr>
              <w:t xml:space="preserve"> termiņš</w:t>
            </w:r>
            <w:r w:rsidRPr="008A6538">
              <w:rPr>
                <w:sz w:val="24"/>
                <w:szCs w:val="24"/>
              </w:rPr>
              <w:t xml:space="preserve"> nevar būt ilgāks par </w:t>
            </w:r>
            <w:r w:rsidR="000355DF" w:rsidRPr="008A6538">
              <w:rPr>
                <w:sz w:val="24"/>
                <w:szCs w:val="24"/>
              </w:rPr>
              <w:t>2016.gada 30.aprīli</w:t>
            </w:r>
            <w:r w:rsidRPr="008A6538">
              <w:rPr>
                <w:sz w:val="24"/>
                <w:szCs w:val="24"/>
              </w:rPr>
              <w:t>.</w:t>
            </w:r>
          </w:p>
          <w:p w14:paraId="7BA42906" w14:textId="77777777" w:rsidR="00FB6D43" w:rsidRPr="006F2587" w:rsidRDefault="00C9466F" w:rsidP="00C9466F">
            <w:pPr>
              <w:jc w:val="both"/>
              <w:rPr>
                <w:rFonts w:cs="Times New Roman"/>
                <w:sz w:val="24"/>
                <w:szCs w:val="24"/>
              </w:rPr>
            </w:pPr>
            <w:r w:rsidRPr="00273D30">
              <w:rPr>
                <w:sz w:val="24"/>
                <w:szCs w:val="24"/>
              </w:rPr>
              <w:t xml:space="preserve">Finanšu instrumenta birojs 2015.gada 26.maijā informēja Programmas vadošo iestādi (Finanšu ministriju) par iespēju pagarināt </w:t>
            </w:r>
            <w:r w:rsidR="00FF5168">
              <w:rPr>
                <w:sz w:val="24"/>
                <w:szCs w:val="24"/>
              </w:rPr>
              <w:t>Norvēģu finanšu instrumenta</w:t>
            </w:r>
            <w:r w:rsidRPr="00273D30">
              <w:rPr>
                <w:sz w:val="24"/>
                <w:szCs w:val="24"/>
              </w:rPr>
              <w:t xml:space="preserve"> projektu īstenošanas </w:t>
            </w:r>
            <w:r w:rsidRPr="00273D30">
              <w:rPr>
                <w:sz w:val="24"/>
                <w:szCs w:val="24"/>
              </w:rPr>
              <w:lastRenderedPageBreak/>
              <w:t xml:space="preserve">termiņu tiem līgumiem par projektu īstenošanu, kas noslēgti un par kuriem </w:t>
            </w:r>
            <w:r w:rsidR="00B1476A" w:rsidRPr="00273D30">
              <w:rPr>
                <w:sz w:val="24"/>
                <w:szCs w:val="24"/>
              </w:rPr>
              <w:t xml:space="preserve">līdz </w:t>
            </w:r>
            <w:r w:rsidR="00B1476A" w:rsidRPr="00273D30">
              <w:rPr>
                <w:rFonts w:cs="Times New Roman"/>
                <w:sz w:val="24"/>
                <w:szCs w:val="24"/>
              </w:rPr>
              <w:t xml:space="preserve">2015.gada 15.septembrim ir </w:t>
            </w:r>
            <w:r w:rsidRPr="00273D30">
              <w:rPr>
                <w:rFonts w:cs="Times New Roman"/>
                <w:sz w:val="24"/>
                <w:szCs w:val="24"/>
              </w:rPr>
              <w:t>ie</w:t>
            </w:r>
            <w:r w:rsidR="00B1476A" w:rsidRPr="00273D30">
              <w:rPr>
                <w:rFonts w:cs="Times New Roman"/>
                <w:sz w:val="24"/>
                <w:szCs w:val="24"/>
              </w:rPr>
              <w:t xml:space="preserve">sniegta </w:t>
            </w:r>
            <w:r w:rsidR="00B1476A" w:rsidRPr="006F2587">
              <w:rPr>
                <w:rFonts w:cs="Times New Roman"/>
                <w:sz w:val="24"/>
                <w:szCs w:val="24"/>
              </w:rPr>
              <w:t xml:space="preserve">informācija </w:t>
            </w:r>
            <w:proofErr w:type="spellStart"/>
            <w:r w:rsidR="00B1476A" w:rsidRPr="006F2587">
              <w:rPr>
                <w:rFonts w:cs="Times New Roman"/>
                <w:sz w:val="24"/>
                <w:szCs w:val="24"/>
              </w:rPr>
              <w:t>donorvalsts</w:t>
            </w:r>
            <w:proofErr w:type="spellEnd"/>
            <w:r w:rsidRPr="006F2587">
              <w:rPr>
                <w:rFonts w:cs="Times New Roman"/>
                <w:sz w:val="24"/>
                <w:szCs w:val="24"/>
              </w:rPr>
              <w:t xml:space="preserve"> informācijas sistēmā (turpmāk </w:t>
            </w:r>
            <w:r w:rsidR="00B1476A" w:rsidRPr="006F2587">
              <w:rPr>
                <w:rFonts w:cs="Times New Roman"/>
                <w:sz w:val="24"/>
                <w:szCs w:val="24"/>
              </w:rPr>
              <w:t xml:space="preserve">– </w:t>
            </w:r>
            <w:proofErr w:type="spellStart"/>
            <w:r w:rsidRPr="006F2587">
              <w:rPr>
                <w:rFonts w:cs="Times New Roman"/>
                <w:sz w:val="24"/>
                <w:szCs w:val="24"/>
              </w:rPr>
              <w:t>DoRIS</w:t>
            </w:r>
            <w:proofErr w:type="spellEnd"/>
            <w:r w:rsidRPr="006F2587">
              <w:rPr>
                <w:rFonts w:cs="Times New Roman"/>
                <w:sz w:val="24"/>
                <w:szCs w:val="24"/>
              </w:rPr>
              <w:t>).</w:t>
            </w:r>
          </w:p>
          <w:p w14:paraId="63C6D798" w14:textId="77777777" w:rsidR="00F01E4D" w:rsidRDefault="006F2587" w:rsidP="00C9466F">
            <w:pPr>
              <w:jc w:val="both"/>
              <w:rPr>
                <w:sz w:val="24"/>
                <w:szCs w:val="24"/>
              </w:rPr>
            </w:pPr>
            <w:r w:rsidRPr="006F2587">
              <w:rPr>
                <w:rFonts w:cs="Times New Roman"/>
                <w:sz w:val="24"/>
                <w:szCs w:val="24"/>
              </w:rPr>
              <w:t>Finanšu ministrija,</w:t>
            </w:r>
            <w:r>
              <w:rPr>
                <w:rFonts w:cs="Times New Roman"/>
                <w:sz w:val="24"/>
                <w:szCs w:val="24"/>
              </w:rPr>
              <w:t xml:space="preserve"> </w:t>
            </w:r>
            <w:r w:rsidRPr="006F2587">
              <w:rPr>
                <w:rFonts w:cs="Times New Roman"/>
                <w:sz w:val="24"/>
                <w:szCs w:val="24"/>
              </w:rPr>
              <w:t>lai nodr</w:t>
            </w:r>
            <w:r w:rsidR="009D0001">
              <w:rPr>
                <w:rFonts w:cs="Times New Roman"/>
                <w:sz w:val="24"/>
                <w:szCs w:val="24"/>
              </w:rPr>
              <w:t>o</w:t>
            </w:r>
            <w:r w:rsidRPr="006F2587">
              <w:rPr>
                <w:rFonts w:cs="Times New Roman"/>
                <w:sz w:val="24"/>
                <w:szCs w:val="24"/>
              </w:rPr>
              <w:t>šinātu vienotu proj</w:t>
            </w:r>
            <w:r>
              <w:rPr>
                <w:rFonts w:cs="Times New Roman"/>
                <w:sz w:val="24"/>
                <w:szCs w:val="24"/>
              </w:rPr>
              <w:t>ek</w:t>
            </w:r>
            <w:r w:rsidRPr="006F2587">
              <w:rPr>
                <w:rFonts w:cs="Times New Roman"/>
                <w:sz w:val="24"/>
                <w:szCs w:val="24"/>
              </w:rPr>
              <w:t>tu pag</w:t>
            </w:r>
            <w:r>
              <w:rPr>
                <w:rFonts w:cs="Times New Roman"/>
                <w:sz w:val="24"/>
                <w:szCs w:val="24"/>
              </w:rPr>
              <w:t>a</w:t>
            </w:r>
            <w:r w:rsidRPr="006F2587">
              <w:rPr>
                <w:rFonts w:cs="Times New Roman"/>
                <w:sz w:val="24"/>
                <w:szCs w:val="24"/>
              </w:rPr>
              <w:t xml:space="preserve">rinājuma vērtēšanas pieeju visās </w:t>
            </w:r>
            <w:r w:rsidRPr="006F2587">
              <w:rPr>
                <w:sz w:val="24"/>
                <w:szCs w:val="24"/>
              </w:rPr>
              <w:t>Ekonomikas zonas finanšu instrumenta un Norvēģijas finanšu instrumenta</w:t>
            </w:r>
            <w:r w:rsidRPr="006F2587">
              <w:rPr>
                <w:rFonts w:cs="Times New Roman"/>
                <w:sz w:val="24"/>
                <w:szCs w:val="24"/>
              </w:rPr>
              <w:t xml:space="preserve"> programmās ar 2015.gad 26.junijā vēstuli Nr.</w:t>
            </w:r>
            <w:r>
              <w:t xml:space="preserve"> </w:t>
            </w:r>
            <w:r w:rsidRPr="006F2587">
              <w:rPr>
                <w:rFonts w:cs="Times New Roman"/>
                <w:sz w:val="24"/>
                <w:szCs w:val="24"/>
              </w:rPr>
              <w:t>16-6-06/3403 un 2015.gada 31.jūlija vēstuli Nr.</w:t>
            </w:r>
            <w:r>
              <w:t xml:space="preserve"> </w:t>
            </w:r>
            <w:r w:rsidRPr="006F2587">
              <w:rPr>
                <w:rFonts w:cs="Times New Roman"/>
                <w:sz w:val="24"/>
                <w:szCs w:val="24"/>
              </w:rPr>
              <w:t>16-6-01.1/4132 sniedza skaidrojumu</w:t>
            </w:r>
            <w:r>
              <w:rPr>
                <w:rFonts w:cs="Times New Roman"/>
                <w:sz w:val="24"/>
                <w:szCs w:val="24"/>
              </w:rPr>
              <w:t xml:space="preserve"> programmu </w:t>
            </w:r>
            <w:proofErr w:type="spellStart"/>
            <w:r w:rsidRPr="00F01E4D">
              <w:rPr>
                <w:rFonts w:cs="Times New Roman"/>
                <w:sz w:val="24"/>
                <w:szCs w:val="24"/>
              </w:rPr>
              <w:t>apsaimniekotājiem</w:t>
            </w:r>
            <w:proofErr w:type="spellEnd"/>
            <w:r w:rsidRPr="00F01E4D">
              <w:rPr>
                <w:rFonts w:cs="Times New Roman"/>
                <w:sz w:val="24"/>
                <w:szCs w:val="24"/>
              </w:rPr>
              <w:t xml:space="preserve"> </w:t>
            </w:r>
            <w:r w:rsidRPr="00F01E4D">
              <w:rPr>
                <w:rFonts w:eastAsia="Times New Roman"/>
                <w:sz w:val="24"/>
                <w:szCs w:val="24"/>
              </w:rPr>
              <w:t>par projektu pagarinājuma pieprasījumu  nosacījumiem un</w:t>
            </w:r>
            <w:r w:rsidRPr="006F2587">
              <w:rPr>
                <w:rFonts w:eastAsia="Times New Roman"/>
                <w:b/>
                <w:sz w:val="24"/>
                <w:szCs w:val="24"/>
              </w:rPr>
              <w:t xml:space="preserve"> </w:t>
            </w:r>
            <w:r w:rsidR="00F01E4D">
              <w:rPr>
                <w:sz w:val="24"/>
                <w:szCs w:val="24"/>
              </w:rPr>
              <w:t>k</w:t>
            </w:r>
            <w:r w:rsidRPr="006F2587">
              <w:rPr>
                <w:sz w:val="24"/>
                <w:szCs w:val="24"/>
              </w:rPr>
              <w:t>ritēriji</w:t>
            </w:r>
            <w:r w:rsidR="00F01E4D">
              <w:rPr>
                <w:sz w:val="24"/>
                <w:szCs w:val="24"/>
              </w:rPr>
              <w:t>em</w:t>
            </w:r>
            <w:r w:rsidRPr="006F2587">
              <w:rPr>
                <w:sz w:val="24"/>
                <w:szCs w:val="24"/>
              </w:rPr>
              <w:t xml:space="preserve"> projekta īstenošanas termiņa pagarināšanai</w:t>
            </w:r>
            <w:r w:rsidR="00F01E4D">
              <w:rPr>
                <w:sz w:val="24"/>
                <w:szCs w:val="24"/>
              </w:rPr>
              <w:t xml:space="preserve">. </w:t>
            </w:r>
          </w:p>
          <w:p w14:paraId="5E49CB57" w14:textId="7D15D1DA" w:rsidR="003C66F2" w:rsidRPr="00F93CF2" w:rsidRDefault="006F2587" w:rsidP="00C9466F">
            <w:pPr>
              <w:jc w:val="both"/>
              <w:rPr>
                <w:rFonts w:cs="Times New Roman"/>
                <w:sz w:val="24"/>
                <w:szCs w:val="24"/>
              </w:rPr>
            </w:pPr>
            <w:r>
              <w:rPr>
                <w:rFonts w:cs="Times New Roman"/>
                <w:sz w:val="24"/>
                <w:szCs w:val="24"/>
              </w:rPr>
              <w:t>Līdz  ar to, l</w:t>
            </w:r>
            <w:r w:rsidR="00150797" w:rsidRPr="00273D30">
              <w:rPr>
                <w:rFonts w:cs="Times New Roman"/>
                <w:sz w:val="24"/>
                <w:szCs w:val="24"/>
              </w:rPr>
              <w:t xml:space="preserve">ai </w:t>
            </w:r>
            <w:r>
              <w:rPr>
                <w:rFonts w:cs="Times New Roman"/>
                <w:sz w:val="24"/>
                <w:szCs w:val="24"/>
              </w:rPr>
              <w:t>nodrošinātu vienādas ie</w:t>
            </w:r>
            <w:r w:rsidR="00485813">
              <w:rPr>
                <w:rFonts w:cs="Times New Roman"/>
                <w:sz w:val="24"/>
                <w:szCs w:val="24"/>
              </w:rPr>
              <w:t>sp</w:t>
            </w:r>
            <w:r>
              <w:rPr>
                <w:rFonts w:cs="Times New Roman"/>
                <w:sz w:val="24"/>
                <w:szCs w:val="24"/>
              </w:rPr>
              <w:t xml:space="preserve">ējas </w:t>
            </w:r>
            <w:r w:rsidR="00485813">
              <w:rPr>
                <w:rFonts w:cs="Times New Roman"/>
                <w:sz w:val="24"/>
                <w:szCs w:val="24"/>
              </w:rPr>
              <w:t xml:space="preserve">visiem </w:t>
            </w:r>
            <w:r w:rsidR="00F93CF2">
              <w:rPr>
                <w:sz w:val="24"/>
                <w:szCs w:val="24"/>
              </w:rPr>
              <w:t>Programmas</w:t>
            </w:r>
            <w:r w:rsidR="00485813" w:rsidRPr="00485813">
              <w:rPr>
                <w:sz w:val="24"/>
                <w:szCs w:val="24"/>
              </w:rPr>
              <w:t xml:space="preserve"> atklāta projektu konkursa </w:t>
            </w:r>
            <w:r>
              <w:rPr>
                <w:rFonts w:cs="Times New Roman"/>
                <w:sz w:val="24"/>
                <w:szCs w:val="24"/>
              </w:rPr>
              <w:t>projektu īstenotāji</w:t>
            </w:r>
            <w:r w:rsidR="00485813">
              <w:rPr>
                <w:rFonts w:cs="Times New Roman"/>
                <w:sz w:val="24"/>
                <w:szCs w:val="24"/>
              </w:rPr>
              <w:t xml:space="preserve">em pagarināt </w:t>
            </w:r>
            <w:r w:rsidR="00485813" w:rsidRPr="00F93CF2">
              <w:rPr>
                <w:rFonts w:cs="Times New Roman"/>
                <w:sz w:val="24"/>
                <w:szCs w:val="24"/>
              </w:rPr>
              <w:t xml:space="preserve">projektu īstenošanas termiņu līdz 2017.gada 30.aprīlim </w:t>
            </w:r>
            <w:r w:rsidR="00F01E4D" w:rsidRPr="00F93CF2">
              <w:rPr>
                <w:rFonts w:cs="Times New Roman"/>
                <w:sz w:val="24"/>
                <w:szCs w:val="24"/>
              </w:rPr>
              <w:t>un nodrošinātu tiesi</w:t>
            </w:r>
            <w:r w:rsidR="009D0001" w:rsidRPr="00F93CF2">
              <w:rPr>
                <w:rFonts w:cs="Times New Roman"/>
                <w:sz w:val="24"/>
                <w:szCs w:val="24"/>
              </w:rPr>
              <w:t>s</w:t>
            </w:r>
            <w:r w:rsidR="00F01E4D" w:rsidRPr="00F93CF2">
              <w:rPr>
                <w:rFonts w:cs="Times New Roman"/>
                <w:sz w:val="24"/>
                <w:szCs w:val="24"/>
              </w:rPr>
              <w:t>ku pamatu veikt attiecīgus grozījumus ar fin</w:t>
            </w:r>
            <w:r w:rsidR="009D0001" w:rsidRPr="00F93CF2">
              <w:rPr>
                <w:rFonts w:cs="Times New Roman"/>
                <w:sz w:val="24"/>
                <w:szCs w:val="24"/>
              </w:rPr>
              <w:t>an</w:t>
            </w:r>
            <w:r w:rsidR="00F01E4D" w:rsidRPr="00F93CF2">
              <w:rPr>
                <w:rFonts w:cs="Times New Roman"/>
                <w:sz w:val="24"/>
                <w:szCs w:val="24"/>
              </w:rPr>
              <w:t xml:space="preserve">sējuma saņēmējiem noslēgtajos līgumos </w:t>
            </w:r>
            <w:r w:rsidR="00150797" w:rsidRPr="00F93CF2">
              <w:rPr>
                <w:rFonts w:cs="Times New Roman"/>
                <w:sz w:val="24"/>
                <w:szCs w:val="24"/>
              </w:rPr>
              <w:t xml:space="preserve">nepieciešams veikt </w:t>
            </w:r>
            <w:r w:rsidR="00485813" w:rsidRPr="00F93CF2">
              <w:rPr>
                <w:rFonts w:cs="Times New Roman"/>
                <w:sz w:val="24"/>
                <w:szCs w:val="24"/>
              </w:rPr>
              <w:t xml:space="preserve">sekojošus </w:t>
            </w:r>
            <w:r w:rsidRPr="00F93CF2">
              <w:rPr>
                <w:rFonts w:cs="Times New Roman"/>
                <w:sz w:val="24"/>
                <w:szCs w:val="24"/>
              </w:rPr>
              <w:t>grozījumus</w:t>
            </w:r>
            <w:r w:rsidR="00150797" w:rsidRPr="00F93CF2">
              <w:rPr>
                <w:rFonts w:cs="Times New Roman"/>
                <w:sz w:val="24"/>
                <w:szCs w:val="24"/>
              </w:rPr>
              <w:t>:</w:t>
            </w:r>
            <w:r w:rsidRPr="00F93CF2">
              <w:rPr>
                <w:rFonts w:cs="Times New Roman"/>
                <w:sz w:val="24"/>
                <w:szCs w:val="24"/>
              </w:rPr>
              <w:t xml:space="preserve"> </w:t>
            </w:r>
          </w:p>
          <w:p w14:paraId="101F6228" w14:textId="0069CAEA" w:rsidR="0012132A" w:rsidRPr="00F93CF2" w:rsidRDefault="00A75B9F" w:rsidP="0012132A">
            <w:pPr>
              <w:pStyle w:val="ListParagraph"/>
              <w:numPr>
                <w:ilvl w:val="0"/>
                <w:numId w:val="13"/>
              </w:numPr>
              <w:jc w:val="both"/>
              <w:rPr>
                <w:rFonts w:cs="Times New Roman"/>
                <w:sz w:val="24"/>
                <w:szCs w:val="24"/>
              </w:rPr>
            </w:pPr>
            <w:r w:rsidRPr="00F93CF2">
              <w:rPr>
                <w:rFonts w:cs="Times New Roman"/>
                <w:sz w:val="24"/>
                <w:szCs w:val="24"/>
              </w:rPr>
              <w:t>Pamatojoties uz veiktajām izmaiņām Programmas līgumā par finansējuma pārdali</w:t>
            </w:r>
            <w:r w:rsidR="00F93CF2" w:rsidRPr="00F93CF2">
              <w:rPr>
                <w:rFonts w:cs="Times New Roman"/>
                <w:sz w:val="24"/>
                <w:szCs w:val="24"/>
              </w:rPr>
              <w:t>,</w:t>
            </w:r>
            <w:r w:rsidRPr="00F93CF2">
              <w:rPr>
                <w:rFonts w:cs="Times New Roman"/>
                <w:sz w:val="24"/>
                <w:szCs w:val="24"/>
              </w:rPr>
              <w:t xml:space="preserve"> un</w:t>
            </w:r>
            <w:r w:rsidR="00F93CF2" w:rsidRPr="00F93CF2">
              <w:rPr>
                <w:rFonts w:cs="Times New Roman"/>
                <w:sz w:val="24"/>
                <w:szCs w:val="24"/>
              </w:rPr>
              <w:t>, lai</w:t>
            </w:r>
            <w:r w:rsidRPr="00F93CF2">
              <w:rPr>
                <w:rFonts w:cs="Times New Roman"/>
                <w:sz w:val="24"/>
                <w:szCs w:val="24"/>
              </w:rPr>
              <w:t xml:space="preserve"> nodrošinātu precīzu atklāta konkursa pieejamo finansējumu, ir nepieciešams v</w:t>
            </w:r>
            <w:r w:rsidR="0012132A" w:rsidRPr="00F93CF2">
              <w:rPr>
                <w:rFonts w:cs="Times New Roman"/>
                <w:sz w:val="24"/>
                <w:szCs w:val="24"/>
              </w:rPr>
              <w:t>eikt labojumus un precizēt atklāta konkursa pieejamo summu (Noteikumu projekta 1.punkts).</w:t>
            </w:r>
          </w:p>
          <w:p w14:paraId="42DFCF35" w14:textId="557CA412" w:rsidR="0081623B" w:rsidRPr="00F93CF2" w:rsidRDefault="0081623B" w:rsidP="0081623B">
            <w:pPr>
              <w:pStyle w:val="ListParagraph"/>
              <w:numPr>
                <w:ilvl w:val="0"/>
                <w:numId w:val="13"/>
              </w:numPr>
              <w:jc w:val="both"/>
              <w:rPr>
                <w:rFonts w:cs="Times New Roman"/>
                <w:sz w:val="24"/>
                <w:szCs w:val="24"/>
              </w:rPr>
            </w:pPr>
            <w:r w:rsidRPr="00F93CF2">
              <w:rPr>
                <w:rFonts w:cs="Times New Roman"/>
                <w:sz w:val="24"/>
                <w:szCs w:val="24"/>
              </w:rPr>
              <w:t xml:space="preserve">Lai nodrošinātu noteikumos ietverto normu atbilstību  </w:t>
            </w:r>
            <w:r w:rsidRPr="00F93CF2">
              <w:rPr>
                <w:rFonts w:cs="Times New Roman"/>
                <w:bCs/>
                <w:sz w:val="24"/>
                <w:szCs w:val="24"/>
                <w:shd w:val="clear" w:color="auto" w:fill="FEFEFE"/>
              </w:rPr>
              <w:t>Komisijas regula</w:t>
            </w:r>
            <w:r w:rsidR="00F93CF2" w:rsidRPr="00F93CF2">
              <w:rPr>
                <w:rFonts w:cs="Times New Roman"/>
                <w:bCs/>
                <w:sz w:val="24"/>
                <w:szCs w:val="24"/>
                <w:shd w:val="clear" w:color="auto" w:fill="FEFEFE"/>
              </w:rPr>
              <w:t>s</w:t>
            </w:r>
            <w:r w:rsidRPr="00F93CF2">
              <w:rPr>
                <w:rFonts w:cs="Times New Roman"/>
                <w:bCs/>
                <w:sz w:val="24"/>
                <w:szCs w:val="24"/>
                <w:shd w:val="clear" w:color="auto" w:fill="FEFEFE"/>
              </w:rPr>
              <w:t xml:space="preserve"> Nr.1407/2013 nosacījumiem</w:t>
            </w:r>
            <w:r w:rsidR="00F93CF2" w:rsidRPr="00F93CF2">
              <w:rPr>
                <w:rFonts w:cs="Times New Roman"/>
                <w:bCs/>
                <w:sz w:val="24"/>
                <w:szCs w:val="24"/>
                <w:shd w:val="clear" w:color="auto" w:fill="FEFEFE"/>
              </w:rPr>
              <w:t>,</w:t>
            </w:r>
            <w:r w:rsidRPr="00F93CF2">
              <w:rPr>
                <w:rFonts w:cs="Times New Roman"/>
                <w:bCs/>
                <w:sz w:val="24"/>
                <w:szCs w:val="24"/>
                <w:shd w:val="clear" w:color="auto" w:fill="FEFEFE"/>
              </w:rPr>
              <w:t xml:space="preserve"> ir papildināti noteikumi ar Komisijas regulas 17.</w:t>
            </w:r>
            <w:r w:rsidR="00F93CF2" w:rsidRPr="00F93CF2">
              <w:rPr>
                <w:rFonts w:cs="Times New Roman"/>
                <w:bCs/>
                <w:sz w:val="24"/>
                <w:szCs w:val="24"/>
                <w:shd w:val="clear" w:color="auto" w:fill="FEFEFE"/>
              </w:rPr>
              <w:t xml:space="preserve"> un 18.punktā noteikto prasību</w:t>
            </w:r>
            <w:r w:rsidRPr="00F93CF2">
              <w:rPr>
                <w:rFonts w:cs="Times New Roman"/>
                <w:bCs/>
                <w:sz w:val="24"/>
                <w:szCs w:val="24"/>
                <w:shd w:val="clear" w:color="auto" w:fill="FEFEFE"/>
              </w:rPr>
              <w:t xml:space="preserve"> uzglabāt 10 gadus visu ar </w:t>
            </w:r>
            <w:proofErr w:type="spellStart"/>
            <w:r w:rsidRPr="00F93CF2">
              <w:rPr>
                <w:rFonts w:cs="Times New Roman"/>
                <w:bCs/>
                <w:i/>
                <w:sz w:val="24"/>
                <w:szCs w:val="24"/>
                <w:shd w:val="clear" w:color="auto" w:fill="FEFEFE"/>
              </w:rPr>
              <w:t>de</w:t>
            </w:r>
            <w:proofErr w:type="spellEnd"/>
            <w:r w:rsidRPr="00F93CF2">
              <w:rPr>
                <w:rFonts w:cs="Times New Roman"/>
                <w:bCs/>
                <w:i/>
                <w:sz w:val="24"/>
                <w:szCs w:val="24"/>
                <w:shd w:val="clear" w:color="auto" w:fill="FEFEFE"/>
              </w:rPr>
              <w:t xml:space="preserve"> </w:t>
            </w:r>
            <w:proofErr w:type="spellStart"/>
            <w:r w:rsidRPr="00F93CF2">
              <w:rPr>
                <w:rFonts w:cs="Times New Roman"/>
                <w:bCs/>
                <w:i/>
                <w:sz w:val="24"/>
                <w:szCs w:val="24"/>
                <w:shd w:val="clear" w:color="auto" w:fill="FEFEFE"/>
              </w:rPr>
              <w:t>minimis</w:t>
            </w:r>
            <w:proofErr w:type="spellEnd"/>
            <w:r w:rsidRPr="00F93CF2">
              <w:rPr>
                <w:rFonts w:cs="Times New Roman"/>
                <w:bCs/>
                <w:i/>
                <w:sz w:val="24"/>
                <w:szCs w:val="24"/>
                <w:shd w:val="clear" w:color="auto" w:fill="FEFEFE"/>
              </w:rPr>
              <w:t xml:space="preserve"> </w:t>
            </w:r>
            <w:r w:rsidRPr="00F93CF2">
              <w:rPr>
                <w:rFonts w:cs="Times New Roman"/>
                <w:bCs/>
                <w:sz w:val="24"/>
                <w:szCs w:val="24"/>
                <w:shd w:val="clear" w:color="auto" w:fill="FEFEFE"/>
              </w:rPr>
              <w:t xml:space="preserve">atbalsta </w:t>
            </w:r>
            <w:r w:rsidR="00F93CF2" w:rsidRPr="00F93CF2">
              <w:rPr>
                <w:rFonts w:cs="Times New Roman"/>
                <w:bCs/>
                <w:sz w:val="24"/>
                <w:szCs w:val="24"/>
                <w:shd w:val="clear" w:color="auto" w:fill="FEFEFE"/>
              </w:rPr>
              <w:t>sniegšanu saistīto  informāciju</w:t>
            </w:r>
            <w:r w:rsidRPr="00F93CF2">
              <w:rPr>
                <w:rFonts w:cs="Times New Roman"/>
                <w:bCs/>
                <w:sz w:val="24"/>
                <w:szCs w:val="24"/>
                <w:shd w:val="clear" w:color="auto" w:fill="FEFEFE"/>
              </w:rPr>
              <w:t xml:space="preserve"> </w:t>
            </w:r>
            <w:r w:rsidRPr="00F93CF2">
              <w:rPr>
                <w:rFonts w:eastAsia="Times New Roman" w:cs="Times New Roman"/>
                <w:sz w:val="24"/>
                <w:szCs w:val="24"/>
                <w:lang w:eastAsia="lv-LV"/>
              </w:rPr>
              <w:t xml:space="preserve">(Noteikumu projekta </w:t>
            </w:r>
            <w:r w:rsidR="008D79CA" w:rsidRPr="00F93CF2">
              <w:rPr>
                <w:rFonts w:eastAsia="Times New Roman" w:cs="Times New Roman"/>
                <w:sz w:val="24"/>
                <w:szCs w:val="24"/>
                <w:lang w:eastAsia="lv-LV"/>
              </w:rPr>
              <w:t>2</w:t>
            </w:r>
            <w:r w:rsidRPr="00F93CF2">
              <w:rPr>
                <w:rFonts w:eastAsia="Times New Roman" w:cs="Times New Roman"/>
                <w:sz w:val="24"/>
                <w:szCs w:val="24"/>
                <w:lang w:eastAsia="lv-LV"/>
              </w:rPr>
              <w:t>.punkts).</w:t>
            </w:r>
          </w:p>
          <w:p w14:paraId="47DDA959" w14:textId="29AF1870" w:rsidR="00485813" w:rsidRPr="00F93CF2" w:rsidRDefault="00485813" w:rsidP="0081623B">
            <w:pPr>
              <w:pStyle w:val="ListParagraph"/>
              <w:numPr>
                <w:ilvl w:val="0"/>
                <w:numId w:val="13"/>
              </w:numPr>
              <w:jc w:val="both"/>
              <w:rPr>
                <w:rFonts w:cs="Times New Roman"/>
                <w:sz w:val="24"/>
                <w:szCs w:val="24"/>
              </w:rPr>
            </w:pPr>
            <w:r w:rsidRPr="00F93CF2">
              <w:rPr>
                <w:sz w:val="24"/>
                <w:szCs w:val="24"/>
              </w:rPr>
              <w:t>Papildināt MK noteikumu 40.</w:t>
            </w:r>
            <w:r w:rsidR="00F93CF2">
              <w:rPr>
                <w:sz w:val="24"/>
                <w:szCs w:val="24"/>
              </w:rPr>
              <w:t xml:space="preserve"> </w:t>
            </w:r>
            <w:r w:rsidRPr="00F93CF2">
              <w:rPr>
                <w:sz w:val="24"/>
                <w:szCs w:val="24"/>
              </w:rPr>
              <w:t>un 40</w:t>
            </w:r>
            <w:r w:rsidRPr="00F93CF2">
              <w:rPr>
                <w:sz w:val="24"/>
                <w:szCs w:val="24"/>
                <w:vertAlign w:val="superscript"/>
              </w:rPr>
              <w:t>1</w:t>
            </w:r>
            <w:r w:rsidRPr="00F93CF2">
              <w:rPr>
                <w:sz w:val="24"/>
                <w:szCs w:val="24"/>
              </w:rPr>
              <w:t>.punktu ar nosa</w:t>
            </w:r>
            <w:r w:rsidR="00F01E4D" w:rsidRPr="00F93CF2">
              <w:rPr>
                <w:sz w:val="24"/>
                <w:szCs w:val="24"/>
              </w:rPr>
              <w:t>cī</w:t>
            </w:r>
            <w:r w:rsidRPr="00F93CF2">
              <w:rPr>
                <w:sz w:val="24"/>
                <w:szCs w:val="24"/>
              </w:rPr>
              <w:t xml:space="preserve">jumu, ka </w:t>
            </w:r>
            <w:r w:rsidRPr="00F93CF2">
              <w:rPr>
                <w:rFonts w:cs="Times New Roman"/>
                <w:color w:val="000000" w:themeColor="text1"/>
                <w:sz w:val="24"/>
                <w:szCs w:val="24"/>
              </w:rPr>
              <w:t>projekta maksimālais projekta īstenošanas termiņš var tikt pag</w:t>
            </w:r>
            <w:r w:rsidR="009D0001" w:rsidRPr="00F93CF2">
              <w:rPr>
                <w:rFonts w:cs="Times New Roman"/>
                <w:color w:val="000000" w:themeColor="text1"/>
                <w:sz w:val="24"/>
                <w:szCs w:val="24"/>
              </w:rPr>
              <w:t>a</w:t>
            </w:r>
            <w:r w:rsidRPr="00F93CF2">
              <w:rPr>
                <w:rFonts w:cs="Times New Roman"/>
                <w:color w:val="000000" w:themeColor="text1"/>
                <w:sz w:val="24"/>
                <w:szCs w:val="24"/>
              </w:rPr>
              <w:t>rināt</w:t>
            </w:r>
            <w:r w:rsidR="009D0001" w:rsidRPr="00F93CF2">
              <w:rPr>
                <w:rFonts w:cs="Times New Roman"/>
                <w:color w:val="000000" w:themeColor="text1"/>
                <w:sz w:val="24"/>
                <w:szCs w:val="24"/>
              </w:rPr>
              <w:t>s</w:t>
            </w:r>
            <w:r w:rsidRPr="00F93CF2">
              <w:rPr>
                <w:rFonts w:cs="Times New Roman"/>
                <w:color w:val="000000" w:themeColor="text1"/>
                <w:sz w:val="24"/>
                <w:szCs w:val="24"/>
              </w:rPr>
              <w:t xml:space="preserve"> līdz 2017.gada 30.aprīlim gadījumos, kad saņemts pozitīvs </w:t>
            </w:r>
            <w:proofErr w:type="spellStart"/>
            <w:r w:rsidRPr="00F93CF2">
              <w:rPr>
                <w:rFonts w:cs="Times New Roman"/>
                <w:color w:val="000000" w:themeColor="text1"/>
                <w:sz w:val="24"/>
                <w:szCs w:val="24"/>
              </w:rPr>
              <w:t>donorvalsts</w:t>
            </w:r>
            <w:proofErr w:type="spellEnd"/>
            <w:r w:rsidRPr="00F93CF2">
              <w:rPr>
                <w:rFonts w:cs="Times New Roman"/>
                <w:color w:val="000000" w:themeColor="text1"/>
                <w:sz w:val="24"/>
                <w:szCs w:val="24"/>
              </w:rPr>
              <w:t xml:space="preserve"> lēmum</w:t>
            </w:r>
            <w:r w:rsidR="0005444B" w:rsidRPr="00F93CF2">
              <w:rPr>
                <w:rFonts w:cs="Times New Roman"/>
                <w:color w:val="000000" w:themeColor="text1"/>
                <w:sz w:val="24"/>
                <w:szCs w:val="24"/>
              </w:rPr>
              <w:t>s</w:t>
            </w:r>
            <w:r w:rsidRPr="00F93CF2">
              <w:rPr>
                <w:rFonts w:cs="Times New Roman"/>
                <w:color w:val="000000" w:themeColor="text1"/>
                <w:sz w:val="24"/>
                <w:szCs w:val="24"/>
              </w:rPr>
              <w:t xml:space="preserve"> </w:t>
            </w:r>
            <w:r w:rsidRPr="00F93CF2">
              <w:rPr>
                <w:color w:val="000000"/>
                <w:sz w:val="24"/>
                <w:szCs w:val="24"/>
              </w:rPr>
              <w:t xml:space="preserve">(Noteikumu projekta </w:t>
            </w:r>
            <w:r w:rsidR="008D79CA" w:rsidRPr="00F93CF2">
              <w:rPr>
                <w:color w:val="000000"/>
                <w:sz w:val="24"/>
                <w:szCs w:val="24"/>
              </w:rPr>
              <w:t>3</w:t>
            </w:r>
            <w:r w:rsidRPr="00F93CF2">
              <w:rPr>
                <w:color w:val="000000"/>
                <w:sz w:val="24"/>
                <w:szCs w:val="24"/>
              </w:rPr>
              <w:t>.punkts)</w:t>
            </w:r>
            <w:r w:rsidR="0005444B" w:rsidRPr="00F93CF2">
              <w:rPr>
                <w:color w:val="000000"/>
                <w:sz w:val="24"/>
                <w:szCs w:val="24"/>
              </w:rPr>
              <w:t>.</w:t>
            </w:r>
            <w:r w:rsidRPr="00F93CF2">
              <w:rPr>
                <w:rFonts w:cs="Times New Roman"/>
                <w:color w:val="000000" w:themeColor="text1"/>
                <w:sz w:val="24"/>
                <w:szCs w:val="24"/>
              </w:rPr>
              <w:t xml:space="preserve"> </w:t>
            </w:r>
          </w:p>
          <w:p w14:paraId="1DB68943" w14:textId="25BA7B85" w:rsidR="0005444B" w:rsidRPr="00F93CF2" w:rsidRDefault="0005444B" w:rsidP="0081623B">
            <w:pPr>
              <w:pStyle w:val="ListParagraph"/>
              <w:numPr>
                <w:ilvl w:val="0"/>
                <w:numId w:val="13"/>
              </w:numPr>
              <w:jc w:val="both"/>
              <w:rPr>
                <w:rFonts w:cs="Times New Roman"/>
                <w:sz w:val="24"/>
                <w:szCs w:val="24"/>
              </w:rPr>
            </w:pPr>
            <w:r w:rsidRPr="00F93CF2">
              <w:rPr>
                <w:rFonts w:eastAsia="Calibri"/>
                <w:sz w:val="24"/>
                <w:szCs w:val="24"/>
              </w:rPr>
              <w:t>Lai nodrošinātu, ka nepārklājas MK noteikumu projekta 1.punktā noteiktais jaunais maksimālais projekta īstenošanas termiņš ar MK noteikumu 8</w:t>
            </w:r>
            <w:r w:rsidR="0081623B" w:rsidRPr="00F93CF2">
              <w:rPr>
                <w:rFonts w:eastAsia="Calibri"/>
                <w:sz w:val="24"/>
                <w:szCs w:val="24"/>
              </w:rPr>
              <w:t>0</w:t>
            </w:r>
            <w:r w:rsidRPr="00F93CF2">
              <w:rPr>
                <w:rFonts w:eastAsia="Calibri"/>
                <w:sz w:val="24"/>
                <w:szCs w:val="24"/>
              </w:rPr>
              <w:t>.punktā minēto, tiek svītrots 8</w:t>
            </w:r>
            <w:r w:rsidR="0081623B" w:rsidRPr="00F93CF2">
              <w:rPr>
                <w:rFonts w:eastAsia="Calibri"/>
                <w:sz w:val="24"/>
                <w:szCs w:val="24"/>
              </w:rPr>
              <w:t>0</w:t>
            </w:r>
            <w:r w:rsidRPr="00F93CF2">
              <w:rPr>
                <w:rFonts w:eastAsia="Calibri"/>
                <w:sz w:val="24"/>
                <w:szCs w:val="24"/>
              </w:rPr>
              <w:t>.punkts</w:t>
            </w:r>
            <w:r w:rsidRPr="00F93CF2">
              <w:rPr>
                <w:color w:val="000000"/>
                <w:sz w:val="24"/>
                <w:szCs w:val="24"/>
              </w:rPr>
              <w:t xml:space="preserve"> (MK noteikumu projekta </w:t>
            </w:r>
            <w:r w:rsidR="008D79CA" w:rsidRPr="00F93CF2">
              <w:rPr>
                <w:color w:val="000000"/>
                <w:sz w:val="24"/>
                <w:szCs w:val="24"/>
              </w:rPr>
              <w:t>4</w:t>
            </w:r>
            <w:r w:rsidRPr="00F93CF2">
              <w:rPr>
                <w:color w:val="000000"/>
                <w:sz w:val="24"/>
                <w:szCs w:val="24"/>
              </w:rPr>
              <w:t>.punkts).</w:t>
            </w:r>
            <w:r w:rsidRPr="00F93CF2">
              <w:rPr>
                <w:rFonts w:cs="Times New Roman"/>
                <w:color w:val="000000" w:themeColor="text1"/>
                <w:sz w:val="24"/>
                <w:szCs w:val="24"/>
              </w:rPr>
              <w:t xml:space="preserve"> </w:t>
            </w:r>
          </w:p>
          <w:p w14:paraId="7EBC7F37" w14:textId="7E216BD6" w:rsidR="00A37CB6" w:rsidRPr="00273D30" w:rsidRDefault="0005444B" w:rsidP="00F11C92">
            <w:pPr>
              <w:pStyle w:val="ListParagraph"/>
              <w:numPr>
                <w:ilvl w:val="0"/>
                <w:numId w:val="13"/>
              </w:numPr>
              <w:jc w:val="both"/>
              <w:rPr>
                <w:color w:val="000000"/>
              </w:rPr>
            </w:pPr>
            <w:r w:rsidRPr="00F93CF2">
              <w:rPr>
                <w:rFonts w:cs="Times New Roman"/>
                <w:sz w:val="24"/>
                <w:szCs w:val="24"/>
              </w:rPr>
              <w:t>Gad</w:t>
            </w:r>
            <w:r w:rsidR="009D0001" w:rsidRPr="00F93CF2">
              <w:rPr>
                <w:rFonts w:cs="Times New Roman"/>
                <w:sz w:val="24"/>
                <w:szCs w:val="24"/>
              </w:rPr>
              <w:t>ī</w:t>
            </w:r>
            <w:r w:rsidRPr="00F93CF2">
              <w:rPr>
                <w:rFonts w:cs="Times New Roman"/>
                <w:sz w:val="24"/>
                <w:szCs w:val="24"/>
              </w:rPr>
              <w:t>jumos, kad projekta īstenošanas termiņš tiks pagarināts, atklāta konkursa projekta līdzfinansējuma saņēmējiem tiks noteikts</w:t>
            </w:r>
            <w:r w:rsidRPr="0005444B">
              <w:rPr>
                <w:rFonts w:cs="Times New Roman"/>
                <w:sz w:val="24"/>
                <w:szCs w:val="24"/>
              </w:rPr>
              <w:t xml:space="preserve"> jauns projekta noslēguma pārskata ie</w:t>
            </w:r>
            <w:r w:rsidR="009D0001">
              <w:rPr>
                <w:rFonts w:cs="Times New Roman"/>
                <w:sz w:val="24"/>
                <w:szCs w:val="24"/>
              </w:rPr>
              <w:t>sn</w:t>
            </w:r>
            <w:r w:rsidRPr="0005444B">
              <w:rPr>
                <w:rFonts w:cs="Times New Roman"/>
                <w:sz w:val="24"/>
                <w:szCs w:val="24"/>
              </w:rPr>
              <w:t>iegš</w:t>
            </w:r>
            <w:r w:rsidR="009D0001">
              <w:rPr>
                <w:rFonts w:cs="Times New Roman"/>
                <w:sz w:val="24"/>
                <w:szCs w:val="24"/>
              </w:rPr>
              <w:t>a</w:t>
            </w:r>
            <w:r w:rsidRPr="0005444B">
              <w:rPr>
                <w:rFonts w:cs="Times New Roman"/>
                <w:sz w:val="24"/>
                <w:szCs w:val="24"/>
              </w:rPr>
              <w:t>nas termiņš, kas būs ilgāks par</w:t>
            </w:r>
            <w:r w:rsidRPr="0005444B">
              <w:rPr>
                <w:sz w:val="24"/>
                <w:szCs w:val="24"/>
              </w:rPr>
              <w:t xml:space="preserve"> </w:t>
            </w:r>
            <w:r w:rsidRPr="0005444B">
              <w:rPr>
                <w:rFonts w:cs="Times New Roman"/>
                <w:sz w:val="24"/>
                <w:szCs w:val="24"/>
              </w:rPr>
              <w:t xml:space="preserve">šobrīd </w:t>
            </w:r>
            <w:r w:rsidRPr="0005444B">
              <w:rPr>
                <w:rFonts w:eastAsia="Calibri"/>
                <w:sz w:val="24"/>
                <w:szCs w:val="24"/>
              </w:rPr>
              <w:t xml:space="preserve">MK noteikumu </w:t>
            </w:r>
            <w:r>
              <w:rPr>
                <w:rFonts w:eastAsia="Calibri"/>
                <w:sz w:val="24"/>
                <w:szCs w:val="24"/>
              </w:rPr>
              <w:t>91</w:t>
            </w:r>
            <w:r w:rsidRPr="0005444B">
              <w:rPr>
                <w:rFonts w:eastAsia="Calibri"/>
                <w:sz w:val="24"/>
                <w:szCs w:val="24"/>
              </w:rPr>
              <w:t xml:space="preserve">.punktā </w:t>
            </w:r>
            <w:r w:rsidRPr="0005444B">
              <w:rPr>
                <w:rFonts w:cs="Times New Roman"/>
                <w:sz w:val="24"/>
                <w:szCs w:val="24"/>
              </w:rPr>
              <w:t>pieļauto 2016.gada 15.jūniju. L</w:t>
            </w:r>
            <w:r w:rsidR="009D0001">
              <w:rPr>
                <w:rFonts w:cs="Times New Roman"/>
                <w:sz w:val="24"/>
                <w:szCs w:val="24"/>
              </w:rPr>
              <w:t xml:space="preserve">īdz </w:t>
            </w:r>
            <w:r w:rsidRPr="0005444B">
              <w:rPr>
                <w:rFonts w:cs="Times New Roman"/>
                <w:sz w:val="24"/>
                <w:szCs w:val="24"/>
              </w:rPr>
              <w:t xml:space="preserve">ar to tiek precizēts </w:t>
            </w:r>
            <w:r>
              <w:rPr>
                <w:rFonts w:cs="Times New Roman"/>
                <w:sz w:val="24"/>
                <w:szCs w:val="24"/>
              </w:rPr>
              <w:t xml:space="preserve">noslēguma pārskatu </w:t>
            </w:r>
            <w:r w:rsidRPr="0005444B">
              <w:rPr>
                <w:rFonts w:cs="Times New Roman"/>
                <w:sz w:val="24"/>
                <w:szCs w:val="24"/>
              </w:rPr>
              <w:t>iesniegšan</w:t>
            </w:r>
            <w:r>
              <w:rPr>
                <w:rFonts w:cs="Times New Roman"/>
                <w:sz w:val="24"/>
                <w:szCs w:val="24"/>
              </w:rPr>
              <w:t>as nosacījums</w:t>
            </w:r>
            <w:r w:rsidRPr="0005444B">
              <w:rPr>
                <w:rFonts w:cs="Times New Roman"/>
                <w:sz w:val="24"/>
                <w:szCs w:val="24"/>
              </w:rPr>
              <w:t xml:space="preserve">, saglabājot </w:t>
            </w:r>
            <w:r>
              <w:rPr>
                <w:rFonts w:cs="Times New Roman"/>
                <w:sz w:val="24"/>
                <w:szCs w:val="24"/>
              </w:rPr>
              <w:t>pra</w:t>
            </w:r>
            <w:r w:rsidR="009D0001">
              <w:rPr>
                <w:rFonts w:cs="Times New Roman"/>
                <w:sz w:val="24"/>
                <w:szCs w:val="24"/>
              </w:rPr>
              <w:t>sī</w:t>
            </w:r>
            <w:r>
              <w:rPr>
                <w:rFonts w:cs="Times New Roman"/>
                <w:sz w:val="24"/>
                <w:szCs w:val="24"/>
              </w:rPr>
              <w:t>bu</w:t>
            </w:r>
            <w:r w:rsidRPr="0005444B">
              <w:rPr>
                <w:rFonts w:cs="Times New Roman"/>
                <w:sz w:val="24"/>
                <w:szCs w:val="24"/>
              </w:rPr>
              <w:t xml:space="preserve">, ka gala atskaite jāiesniedz 30 darba dienu laikā pēc projektu </w:t>
            </w:r>
            <w:r w:rsidRPr="0005444B">
              <w:rPr>
                <w:rFonts w:cs="Times New Roman"/>
                <w:sz w:val="24"/>
                <w:szCs w:val="24"/>
              </w:rPr>
              <w:lastRenderedPageBreak/>
              <w:t>pabeigš</w:t>
            </w:r>
            <w:r w:rsidR="009D0001">
              <w:rPr>
                <w:rFonts w:cs="Times New Roman"/>
                <w:sz w:val="24"/>
                <w:szCs w:val="24"/>
              </w:rPr>
              <w:t>a</w:t>
            </w:r>
            <w:r w:rsidRPr="0005444B">
              <w:rPr>
                <w:rFonts w:cs="Times New Roman"/>
                <w:sz w:val="24"/>
                <w:szCs w:val="24"/>
              </w:rPr>
              <w:t>nas</w:t>
            </w:r>
            <w:r w:rsidR="007F7FA2">
              <w:rPr>
                <w:rFonts w:cs="Times New Roman"/>
                <w:sz w:val="24"/>
                <w:szCs w:val="24"/>
              </w:rPr>
              <w:t>, bet ne vēlāk kā līdz 2017.gada 15.jūnijam.</w:t>
            </w:r>
            <w:r>
              <w:rPr>
                <w:rFonts w:cs="Times New Roman"/>
                <w:sz w:val="24"/>
                <w:szCs w:val="24"/>
              </w:rPr>
              <w:t xml:space="preserve"> </w:t>
            </w:r>
            <w:r w:rsidRPr="0005444B">
              <w:rPr>
                <w:color w:val="000000"/>
                <w:sz w:val="24"/>
                <w:szCs w:val="24"/>
              </w:rPr>
              <w:t xml:space="preserve">(MK noteikumu projekta </w:t>
            </w:r>
            <w:r w:rsidR="008D79CA">
              <w:rPr>
                <w:color w:val="000000"/>
                <w:sz w:val="24"/>
                <w:szCs w:val="24"/>
              </w:rPr>
              <w:t>5</w:t>
            </w:r>
            <w:r w:rsidRPr="0005444B">
              <w:rPr>
                <w:color w:val="000000"/>
                <w:sz w:val="24"/>
                <w:szCs w:val="24"/>
              </w:rPr>
              <w:t>.punkts)</w:t>
            </w:r>
            <w:r>
              <w:rPr>
                <w:color w:val="000000"/>
                <w:sz w:val="24"/>
                <w:szCs w:val="24"/>
              </w:rPr>
              <w:t>.</w:t>
            </w:r>
          </w:p>
        </w:tc>
      </w:tr>
      <w:tr w:rsidR="003D5C72" w:rsidRPr="00273D30" w14:paraId="106CA164" w14:textId="77777777" w:rsidTr="002D6D8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626B560" w14:textId="77777777" w:rsidR="003D5C72" w:rsidRPr="00273D30" w:rsidRDefault="003D5C72" w:rsidP="002D6D8A">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608C7B2"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69E1A465" w14:textId="3D49489F" w:rsidR="003D5C72" w:rsidRPr="00273D30" w:rsidRDefault="003D5C72" w:rsidP="00F01E4D">
            <w:pPr>
              <w:jc w:val="both"/>
              <w:rPr>
                <w:rFonts w:eastAsia="Times New Roman" w:cs="Times New Roman"/>
                <w:sz w:val="24"/>
                <w:szCs w:val="24"/>
              </w:rPr>
            </w:pPr>
            <w:r w:rsidRPr="00F01E4D">
              <w:rPr>
                <w:rFonts w:eastAsia="Times New Roman" w:cs="Times New Roman"/>
                <w:sz w:val="24"/>
                <w:szCs w:val="24"/>
              </w:rPr>
              <w:t>Noteikumu projekts ir izstrādāts</w:t>
            </w:r>
            <w:r w:rsidR="00F93CF2">
              <w:rPr>
                <w:rFonts w:eastAsia="Times New Roman" w:cs="Times New Roman"/>
                <w:sz w:val="24"/>
                <w:szCs w:val="24"/>
              </w:rPr>
              <w:t>,</w:t>
            </w:r>
            <w:r w:rsidRPr="00F01E4D">
              <w:rPr>
                <w:rFonts w:eastAsia="Times New Roman" w:cs="Times New Roman"/>
                <w:sz w:val="24"/>
                <w:szCs w:val="24"/>
              </w:rPr>
              <w:t xml:space="preserve"> sadarbojoties ar </w:t>
            </w:r>
            <w:r w:rsidR="00B1476A" w:rsidRPr="00F01E4D">
              <w:rPr>
                <w:rFonts w:eastAsia="Times New Roman" w:cs="Times New Roman"/>
                <w:sz w:val="24"/>
                <w:szCs w:val="24"/>
              </w:rPr>
              <w:t>L</w:t>
            </w:r>
            <w:r w:rsidR="00F01E4D" w:rsidRPr="00F01E4D">
              <w:rPr>
                <w:rFonts w:eastAsia="Times New Roman" w:cs="Times New Roman"/>
                <w:sz w:val="24"/>
                <w:szCs w:val="24"/>
              </w:rPr>
              <w:t>atvijas Investīciju un attīstības aģentūru</w:t>
            </w:r>
            <w:r w:rsidR="00B1476A" w:rsidRPr="00F01E4D">
              <w:rPr>
                <w:rFonts w:eastAsia="Times New Roman" w:cs="Times New Roman"/>
                <w:sz w:val="24"/>
                <w:szCs w:val="24"/>
              </w:rPr>
              <w:t>.</w:t>
            </w:r>
          </w:p>
        </w:tc>
      </w:tr>
      <w:tr w:rsidR="003D5C72" w:rsidRPr="00273D30" w14:paraId="1F7A4FC1"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327845FB" w14:textId="77777777" w:rsidR="003D5C72" w:rsidRPr="00273D30" w:rsidRDefault="003D5C72" w:rsidP="002D6D8A">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4B21810E"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F60CBE1" w14:textId="77777777" w:rsidR="003D5C72" w:rsidRPr="00273D30" w:rsidRDefault="003D5C72" w:rsidP="002D6D8A">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Nav</w:t>
            </w:r>
          </w:p>
        </w:tc>
      </w:tr>
    </w:tbl>
    <w:p w14:paraId="325270DC" w14:textId="77777777" w:rsidR="003D5C72" w:rsidRPr="00273D30" w:rsidRDefault="003D5C72" w:rsidP="003D5C72">
      <w:pPr>
        <w:shd w:val="clear" w:color="auto" w:fill="FFFFFF"/>
        <w:spacing w:before="100" w:beforeAutospacing="1" w:after="100" w:afterAutospacing="1" w:line="293" w:lineRule="atLeast"/>
        <w:ind w:firstLine="300"/>
        <w:rPr>
          <w:rFonts w:ascii="Arial" w:eastAsia="Times New Roman" w:hAnsi="Arial" w:cs="Arial"/>
          <w:color w:val="414142"/>
          <w:sz w:val="24"/>
          <w:szCs w:val="24"/>
        </w:rPr>
      </w:pPr>
      <w:r w:rsidRPr="00273D30">
        <w:rPr>
          <w:rFonts w:ascii="Arial" w:eastAsia="Times New Roman" w:hAnsi="Arial" w:cs="Arial"/>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D5C72" w:rsidRPr="00273D30" w14:paraId="3838FC43" w14:textId="77777777" w:rsidTr="002D6D8A">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08848" w14:textId="77777777" w:rsidR="003D5C72" w:rsidRPr="00273D30" w:rsidRDefault="003D5C72" w:rsidP="002D6D8A">
            <w:pPr>
              <w:spacing w:before="100" w:beforeAutospacing="1" w:after="100" w:afterAutospacing="1" w:line="293" w:lineRule="atLeast"/>
              <w:jc w:val="center"/>
              <w:rPr>
                <w:rFonts w:eastAsia="Times New Roman" w:cs="Times New Roman"/>
                <w:b/>
                <w:bCs/>
                <w:sz w:val="24"/>
                <w:szCs w:val="24"/>
              </w:rPr>
            </w:pPr>
            <w:r w:rsidRPr="00273D30">
              <w:rPr>
                <w:rFonts w:eastAsia="Times New Roman" w:cs="Times New Roman"/>
                <w:b/>
                <w:bCs/>
                <w:sz w:val="24"/>
                <w:szCs w:val="24"/>
              </w:rPr>
              <w:t>II. Tiesību akta projekta ietekme uz sabiedrību, tautsaimniecības attīstību un administratīvo slogu</w:t>
            </w:r>
          </w:p>
        </w:tc>
      </w:tr>
      <w:tr w:rsidR="003D5C72" w:rsidRPr="00273D30" w14:paraId="5B99B7B6" w14:textId="77777777" w:rsidTr="002D6D8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D326277"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10F85E0D"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 xml:space="preserve">Sabiedrības </w:t>
            </w:r>
            <w:proofErr w:type="spellStart"/>
            <w:r w:rsidRPr="00273D30">
              <w:rPr>
                <w:rFonts w:eastAsia="Times New Roman" w:cs="Times New Roman"/>
                <w:sz w:val="24"/>
                <w:szCs w:val="24"/>
              </w:rPr>
              <w:t>mērķgrupas</w:t>
            </w:r>
            <w:proofErr w:type="spellEnd"/>
            <w:r w:rsidRPr="00273D30">
              <w:rPr>
                <w:rFonts w:eastAsia="Times New Roman" w:cs="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33CE514" w14:textId="563E7000" w:rsidR="00CC3B92" w:rsidRPr="00273D30" w:rsidRDefault="003D5C72" w:rsidP="000355DF">
            <w:pPr>
              <w:jc w:val="both"/>
              <w:rPr>
                <w:rFonts w:eastAsia="Times New Roman" w:cs="Times New Roman"/>
                <w:sz w:val="24"/>
                <w:szCs w:val="24"/>
              </w:rPr>
            </w:pPr>
            <w:r w:rsidRPr="00273D30">
              <w:rPr>
                <w:rFonts w:eastAsia="Times New Roman" w:cs="Times New Roman"/>
                <w:sz w:val="24"/>
                <w:szCs w:val="24"/>
              </w:rPr>
              <w:t>Komersanti</w:t>
            </w:r>
            <w:r w:rsidR="00A44E66" w:rsidRPr="00273D30">
              <w:rPr>
                <w:rFonts w:eastAsia="Times New Roman" w:cs="Times New Roman"/>
                <w:sz w:val="24"/>
                <w:szCs w:val="24"/>
              </w:rPr>
              <w:t xml:space="preserve"> – </w:t>
            </w:r>
            <w:r w:rsidR="009D0001" w:rsidRPr="009D0001">
              <w:rPr>
                <w:rFonts w:eastAsia="Times New Roman" w:cs="Times New Roman"/>
                <w:sz w:val="24"/>
                <w:szCs w:val="24"/>
              </w:rPr>
              <w:t>atklāta konkursa projekta līdzfinansējuma saņēmēj</w:t>
            </w:r>
            <w:r w:rsidR="009D0001">
              <w:rPr>
                <w:rFonts w:eastAsia="Times New Roman" w:cs="Times New Roman"/>
                <w:sz w:val="24"/>
                <w:szCs w:val="24"/>
              </w:rPr>
              <w:t>i</w:t>
            </w:r>
            <w:r w:rsidR="005F501E" w:rsidRPr="00273D30">
              <w:rPr>
                <w:rFonts w:eastAsia="Times New Roman" w:cs="Times New Roman"/>
                <w:sz w:val="24"/>
                <w:szCs w:val="24"/>
              </w:rPr>
              <w:t xml:space="preserve">, ar kuriem </w:t>
            </w:r>
            <w:r w:rsidR="009D0001">
              <w:rPr>
                <w:rFonts w:eastAsia="Times New Roman" w:cs="Times New Roman"/>
                <w:sz w:val="24"/>
                <w:szCs w:val="24"/>
              </w:rPr>
              <w:t xml:space="preserve">jau ir </w:t>
            </w:r>
            <w:r w:rsidR="00F93CF2">
              <w:rPr>
                <w:rFonts w:eastAsia="Times New Roman" w:cs="Times New Roman"/>
                <w:sz w:val="24"/>
                <w:szCs w:val="24"/>
              </w:rPr>
              <w:t>noslēgti līgumi par P</w:t>
            </w:r>
            <w:r w:rsidR="005F501E" w:rsidRPr="00273D30">
              <w:rPr>
                <w:rFonts w:eastAsia="Times New Roman" w:cs="Times New Roman"/>
                <w:sz w:val="24"/>
                <w:szCs w:val="24"/>
              </w:rPr>
              <w:t>rogrammas atbalstīto projekt</w:t>
            </w:r>
            <w:r w:rsidR="00A44E66" w:rsidRPr="00273D30">
              <w:rPr>
                <w:rFonts w:eastAsia="Times New Roman" w:cs="Times New Roman"/>
                <w:sz w:val="24"/>
                <w:szCs w:val="24"/>
              </w:rPr>
              <w:t>u</w:t>
            </w:r>
            <w:r w:rsidR="005F501E" w:rsidRPr="00273D30">
              <w:rPr>
                <w:rFonts w:eastAsia="Times New Roman" w:cs="Times New Roman"/>
                <w:sz w:val="24"/>
                <w:szCs w:val="24"/>
              </w:rPr>
              <w:t xml:space="preserve"> īstenošanu </w:t>
            </w:r>
            <w:r w:rsidR="009D0001">
              <w:rPr>
                <w:rFonts w:eastAsia="Times New Roman" w:cs="Times New Roman"/>
                <w:sz w:val="24"/>
                <w:szCs w:val="24"/>
              </w:rPr>
              <w:t xml:space="preserve">vai ar kuriem tiks noslēgti </w:t>
            </w:r>
            <w:r w:rsidR="000355DF" w:rsidRPr="00273D30">
              <w:rPr>
                <w:rFonts w:eastAsia="Times New Roman" w:cs="Times New Roman"/>
                <w:sz w:val="24"/>
                <w:szCs w:val="24"/>
              </w:rPr>
              <w:t xml:space="preserve"> līgumi</w:t>
            </w:r>
            <w:r w:rsidR="00D908FA" w:rsidRPr="00273D30">
              <w:rPr>
                <w:rFonts w:eastAsia="Times New Roman" w:cs="Times New Roman"/>
                <w:sz w:val="24"/>
                <w:szCs w:val="24"/>
              </w:rPr>
              <w:t>.</w:t>
            </w:r>
          </w:p>
          <w:p w14:paraId="722CE743" w14:textId="754E2A83" w:rsidR="009D0001" w:rsidRDefault="009D0001" w:rsidP="00CC3B92">
            <w:pPr>
              <w:jc w:val="both"/>
              <w:rPr>
                <w:rFonts w:eastAsia="Times New Roman" w:cs="Times New Roman"/>
                <w:color w:val="000000"/>
                <w:sz w:val="24"/>
                <w:szCs w:val="24"/>
                <w:lang w:eastAsia="lv-LV"/>
              </w:rPr>
            </w:pPr>
            <w:r>
              <w:rPr>
                <w:rFonts w:eastAsia="Times New Roman" w:cs="Times New Roman"/>
                <w:sz w:val="24"/>
                <w:szCs w:val="24"/>
              </w:rPr>
              <w:t>A</w:t>
            </w:r>
            <w:r w:rsidR="00CC3B92" w:rsidRPr="00273D30">
              <w:rPr>
                <w:rFonts w:eastAsia="Times New Roman" w:cs="Times New Roman"/>
                <w:sz w:val="24"/>
                <w:szCs w:val="24"/>
              </w:rPr>
              <w:t xml:space="preserve">tbilstoši </w:t>
            </w:r>
            <w:r w:rsidR="00CC3B92" w:rsidRPr="00273D30">
              <w:rPr>
                <w:rFonts w:eastAsia="Times New Roman" w:cs="Times New Roman"/>
                <w:color w:val="000000"/>
                <w:sz w:val="24"/>
                <w:szCs w:val="24"/>
                <w:lang w:eastAsia="lv-LV"/>
              </w:rPr>
              <w:t>tiesiskās noteiktības principa uzliktajam pienākumam valstij nodrošināt tiesisko attiecību noteiktību un stabilitāti, kā arī ievēr</w:t>
            </w:r>
            <w:r w:rsidR="00275967" w:rsidRPr="00273D30">
              <w:rPr>
                <w:rFonts w:eastAsia="Times New Roman" w:cs="Times New Roman"/>
                <w:color w:val="000000"/>
                <w:sz w:val="24"/>
                <w:szCs w:val="24"/>
                <w:lang w:eastAsia="lv-LV"/>
              </w:rPr>
              <w:t>ot tiesiskās paļāvības principu un</w:t>
            </w:r>
            <w:r w:rsidR="00CC3B92" w:rsidRPr="00273D30">
              <w:rPr>
                <w:rFonts w:eastAsia="Times New Roman" w:cs="Times New Roman"/>
                <w:color w:val="000000"/>
                <w:sz w:val="24"/>
                <w:szCs w:val="24"/>
                <w:lang w:eastAsia="lv-LV"/>
              </w:rPr>
              <w:t xml:space="preserve"> lai veicinātu indivīda uzticību valstij un likumam, </w:t>
            </w:r>
            <w:r>
              <w:rPr>
                <w:rFonts w:eastAsia="Times New Roman" w:cs="Times New Roman"/>
                <w:color w:val="000000"/>
                <w:sz w:val="24"/>
                <w:szCs w:val="24"/>
                <w:lang w:eastAsia="lv-LV"/>
              </w:rPr>
              <w:t>Ekonomikas ministrija</w:t>
            </w:r>
            <w:r w:rsidR="00F93CF2">
              <w:rPr>
                <w:rFonts w:eastAsia="Times New Roman" w:cs="Times New Roman"/>
                <w:color w:val="000000"/>
                <w:sz w:val="24"/>
                <w:szCs w:val="24"/>
                <w:lang w:eastAsia="lv-LV"/>
              </w:rPr>
              <w:t>,</w:t>
            </w:r>
            <w:r w:rsidRPr="00273D30">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u</w:t>
            </w:r>
            <w:r w:rsidRPr="00273D30">
              <w:rPr>
                <w:rFonts w:eastAsia="Times New Roman" w:cs="Times New Roman"/>
                <w:color w:val="000000"/>
                <w:sz w:val="24"/>
                <w:szCs w:val="24"/>
                <w:lang w:eastAsia="lv-LV"/>
              </w:rPr>
              <w:t>zzinot par iespējamajiem labvēlīgajiem nosacījumiem</w:t>
            </w:r>
            <w:r>
              <w:rPr>
                <w:rFonts w:eastAsia="Times New Roman" w:cs="Times New Roman"/>
                <w:color w:val="000000"/>
                <w:sz w:val="24"/>
                <w:szCs w:val="24"/>
                <w:lang w:eastAsia="lv-LV"/>
              </w:rPr>
              <w:t xml:space="preserve"> </w:t>
            </w:r>
            <w:r w:rsidR="00F93CF2">
              <w:rPr>
                <w:sz w:val="24"/>
                <w:szCs w:val="24"/>
              </w:rPr>
              <w:t>P</w:t>
            </w:r>
            <w:r w:rsidRPr="00273D30">
              <w:rPr>
                <w:sz w:val="24"/>
                <w:szCs w:val="24"/>
              </w:rPr>
              <w:t xml:space="preserve">rogrammas </w:t>
            </w:r>
            <w:r w:rsidRPr="009D0001">
              <w:rPr>
                <w:rFonts w:eastAsia="Times New Roman" w:cs="Times New Roman"/>
                <w:sz w:val="24"/>
                <w:szCs w:val="24"/>
              </w:rPr>
              <w:t>atklāta konkursa projekta līdzfinansējuma saņēmēj</w:t>
            </w:r>
            <w:r>
              <w:rPr>
                <w:rFonts w:eastAsia="Times New Roman" w:cs="Times New Roman"/>
                <w:sz w:val="24"/>
                <w:szCs w:val="24"/>
              </w:rPr>
              <w:t>iem</w:t>
            </w:r>
            <w:r w:rsidR="00CC3B92" w:rsidRPr="00273D30">
              <w:rPr>
                <w:rFonts w:eastAsia="Times New Roman" w:cs="Times New Roman"/>
                <w:color w:val="000000"/>
                <w:sz w:val="24"/>
                <w:szCs w:val="24"/>
                <w:lang w:eastAsia="lv-LV"/>
              </w:rPr>
              <w:t xml:space="preserve">, </w:t>
            </w:r>
            <w:r w:rsidR="000355DF" w:rsidRPr="00273D30">
              <w:rPr>
                <w:rFonts w:eastAsia="Times New Roman" w:cs="Times New Roman"/>
                <w:color w:val="000000"/>
                <w:sz w:val="24"/>
                <w:szCs w:val="24"/>
                <w:lang w:eastAsia="lv-LV"/>
              </w:rPr>
              <w:t>izstrādāja</w:t>
            </w:r>
            <w:r w:rsidR="00801D3C" w:rsidRPr="00273D30">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 xml:space="preserve">MK noteikumu grozījumus, kas pieļaus projekta īstenošanas termiņa pagarināšanu. </w:t>
            </w:r>
            <w:r w:rsidR="00801D3C" w:rsidRPr="00273D30">
              <w:rPr>
                <w:rFonts w:eastAsia="Times New Roman" w:cs="Times New Roman"/>
                <w:color w:val="000000"/>
                <w:sz w:val="24"/>
                <w:szCs w:val="24"/>
                <w:lang w:eastAsia="lv-LV"/>
              </w:rPr>
              <w:t xml:space="preserve"> </w:t>
            </w:r>
          </w:p>
          <w:p w14:paraId="3FB0DB9E" w14:textId="2BEB2FFF" w:rsidR="00E401AB" w:rsidRPr="00273D30" w:rsidRDefault="000038D2" w:rsidP="00CC3B92">
            <w:pPr>
              <w:jc w:val="both"/>
              <w:rPr>
                <w:rFonts w:eastAsia="Times New Roman" w:cs="Times New Roman"/>
                <w:color w:val="000000"/>
                <w:sz w:val="24"/>
                <w:szCs w:val="24"/>
                <w:lang w:eastAsia="lv-LV"/>
              </w:rPr>
            </w:pPr>
            <w:r w:rsidRPr="00273D30">
              <w:rPr>
                <w:rFonts w:eastAsia="Times New Roman" w:cs="Times New Roman"/>
                <w:color w:val="000000"/>
                <w:sz w:val="24"/>
                <w:szCs w:val="24"/>
                <w:lang w:eastAsia="lv-LV"/>
              </w:rPr>
              <w:t>Norvēģijas Ārlietu ministrijas 2</w:t>
            </w:r>
            <w:r w:rsidR="00F93CF2">
              <w:rPr>
                <w:rFonts w:eastAsia="Times New Roman" w:cs="Times New Roman"/>
                <w:color w:val="000000"/>
                <w:sz w:val="24"/>
                <w:szCs w:val="24"/>
                <w:lang w:eastAsia="lv-LV"/>
              </w:rPr>
              <w:t>011.gada 11.februāra Noteikumu</w:t>
            </w:r>
            <w:r w:rsidRPr="00273D30">
              <w:rPr>
                <w:rFonts w:eastAsia="Times New Roman" w:cs="Times New Roman"/>
                <w:color w:val="000000"/>
                <w:sz w:val="24"/>
                <w:szCs w:val="24"/>
                <w:lang w:eastAsia="lv-LV"/>
              </w:rPr>
              <w:t xml:space="preserve"> par Norvēģijas finanšu instrumenta ieviešanu 2009.-2014.gadā 7.14.panta 4.punktā</w:t>
            </w:r>
            <w:r w:rsidRPr="00273D30">
              <w:rPr>
                <w:color w:val="000000"/>
                <w:sz w:val="24"/>
                <w:szCs w:val="24"/>
              </w:rPr>
              <w:t xml:space="preserve"> ir noteikta</w:t>
            </w:r>
            <w:r w:rsidRPr="00273D30">
              <w:rPr>
                <w:rFonts w:eastAsia="Times New Roman" w:cs="Times New Roman"/>
                <w:color w:val="000000"/>
                <w:sz w:val="24"/>
                <w:szCs w:val="24"/>
                <w:lang w:eastAsia="lv-LV"/>
              </w:rPr>
              <w:t xml:space="preserve"> izņ</w:t>
            </w:r>
            <w:r w:rsidRPr="00273D30">
              <w:rPr>
                <w:color w:val="000000"/>
                <w:sz w:val="24"/>
                <w:szCs w:val="24"/>
              </w:rPr>
              <w:t>ēmuma</w:t>
            </w:r>
            <w:r w:rsidRPr="00273D30">
              <w:rPr>
                <w:rFonts w:eastAsia="Times New Roman" w:cs="Times New Roman"/>
                <w:color w:val="000000"/>
                <w:sz w:val="24"/>
                <w:szCs w:val="24"/>
                <w:lang w:eastAsia="lv-LV"/>
              </w:rPr>
              <w:t xml:space="preserve"> tiesīb</w:t>
            </w:r>
            <w:r w:rsidRPr="00273D30">
              <w:rPr>
                <w:color w:val="000000"/>
                <w:sz w:val="24"/>
                <w:szCs w:val="24"/>
              </w:rPr>
              <w:t>a</w:t>
            </w:r>
            <w:r w:rsidRPr="00273D30">
              <w:rPr>
                <w:rFonts w:eastAsia="Times New Roman" w:cs="Times New Roman"/>
                <w:color w:val="000000"/>
                <w:sz w:val="24"/>
                <w:szCs w:val="24"/>
                <w:lang w:eastAsia="lv-LV"/>
              </w:rPr>
              <w:t xml:space="preserve"> </w:t>
            </w:r>
            <w:proofErr w:type="spellStart"/>
            <w:r w:rsidRPr="00273D30">
              <w:rPr>
                <w:rFonts w:eastAsia="Times New Roman" w:cs="Times New Roman"/>
                <w:color w:val="000000"/>
                <w:sz w:val="24"/>
                <w:szCs w:val="24"/>
                <w:lang w:eastAsia="lv-LV"/>
              </w:rPr>
              <w:t>Donorvalstij</w:t>
            </w:r>
            <w:proofErr w:type="spellEnd"/>
            <w:r w:rsidRPr="00273D30">
              <w:rPr>
                <w:rFonts w:eastAsia="Times New Roman" w:cs="Times New Roman"/>
                <w:color w:val="000000"/>
                <w:sz w:val="24"/>
                <w:szCs w:val="24"/>
                <w:lang w:eastAsia="lv-LV"/>
              </w:rPr>
              <w:t xml:space="preserve"> pagarināt </w:t>
            </w:r>
            <w:proofErr w:type="spellStart"/>
            <w:r w:rsidRPr="00273D30">
              <w:rPr>
                <w:rFonts w:eastAsia="Times New Roman" w:cs="Times New Roman"/>
                <w:color w:val="000000"/>
                <w:sz w:val="24"/>
                <w:szCs w:val="24"/>
                <w:lang w:eastAsia="lv-LV"/>
              </w:rPr>
              <w:t>attiecināmības</w:t>
            </w:r>
            <w:proofErr w:type="spellEnd"/>
            <w:r w:rsidRPr="00273D30">
              <w:rPr>
                <w:rFonts w:eastAsia="Times New Roman" w:cs="Times New Roman"/>
                <w:color w:val="000000"/>
                <w:sz w:val="24"/>
                <w:szCs w:val="24"/>
                <w:lang w:eastAsia="lv-LV"/>
              </w:rPr>
              <w:t xml:space="preserve"> termiņu līdz 2017.gada 30.aprīlim</w:t>
            </w:r>
            <w:r w:rsidRPr="00273D30">
              <w:rPr>
                <w:color w:val="000000"/>
                <w:sz w:val="24"/>
                <w:szCs w:val="24"/>
              </w:rPr>
              <w:t>,</w:t>
            </w:r>
            <w:r w:rsidRPr="00273D30">
              <w:rPr>
                <w:rFonts w:eastAsia="Times New Roman" w:cs="Times New Roman"/>
                <w:color w:val="000000"/>
                <w:sz w:val="24"/>
                <w:szCs w:val="24"/>
                <w:lang w:eastAsia="lv-LV"/>
              </w:rPr>
              <w:t xml:space="preserve"> līdz ar to tiesība pagarināt projektu līgumu termiņa ir </w:t>
            </w:r>
            <w:r w:rsidRPr="00273D30">
              <w:rPr>
                <w:color w:val="000000"/>
                <w:sz w:val="24"/>
                <w:szCs w:val="24"/>
              </w:rPr>
              <w:t>noteikt</w:t>
            </w:r>
            <w:r w:rsidRPr="00273D30">
              <w:rPr>
                <w:rFonts w:eastAsia="Times New Roman" w:cs="Times New Roman"/>
                <w:color w:val="000000"/>
                <w:sz w:val="24"/>
                <w:szCs w:val="24"/>
                <w:lang w:eastAsia="lv-LV"/>
              </w:rPr>
              <w:t>a pirms</w:t>
            </w:r>
            <w:r w:rsidR="00F93CF2">
              <w:rPr>
                <w:rFonts w:eastAsia="Times New Roman" w:cs="Times New Roman"/>
                <w:color w:val="000000"/>
                <w:sz w:val="24"/>
                <w:szCs w:val="24"/>
                <w:lang w:eastAsia="lv-LV"/>
              </w:rPr>
              <w:t xml:space="preserve"> Program</w:t>
            </w:r>
            <w:r w:rsidR="009D0001">
              <w:rPr>
                <w:rFonts w:eastAsia="Times New Roman" w:cs="Times New Roman"/>
                <w:color w:val="000000"/>
                <w:sz w:val="24"/>
                <w:szCs w:val="24"/>
                <w:lang w:eastAsia="lv-LV"/>
              </w:rPr>
              <w:t>m</w:t>
            </w:r>
            <w:r w:rsidR="00F93CF2">
              <w:rPr>
                <w:rFonts w:eastAsia="Times New Roman" w:cs="Times New Roman"/>
                <w:color w:val="000000"/>
                <w:sz w:val="24"/>
                <w:szCs w:val="24"/>
                <w:lang w:eastAsia="lv-LV"/>
              </w:rPr>
              <w:t>a</w:t>
            </w:r>
            <w:r w:rsidR="009D0001">
              <w:rPr>
                <w:rFonts w:eastAsia="Times New Roman" w:cs="Times New Roman"/>
                <w:color w:val="000000"/>
                <w:sz w:val="24"/>
                <w:szCs w:val="24"/>
                <w:lang w:eastAsia="lv-LV"/>
              </w:rPr>
              <w:t>s</w:t>
            </w:r>
            <w:r w:rsidRPr="00273D30">
              <w:rPr>
                <w:rFonts w:eastAsia="Times New Roman" w:cs="Times New Roman"/>
                <w:color w:val="000000"/>
                <w:sz w:val="24"/>
                <w:szCs w:val="24"/>
                <w:lang w:eastAsia="lv-LV"/>
              </w:rPr>
              <w:t xml:space="preserve"> aktivitāšu īstenošanas uzsākšanas. </w:t>
            </w:r>
            <w:proofErr w:type="spellStart"/>
            <w:r w:rsidR="00E401AB" w:rsidRPr="00273D30">
              <w:rPr>
                <w:rFonts w:eastAsia="Times New Roman" w:cs="Times New Roman"/>
                <w:color w:val="000000"/>
                <w:sz w:val="24"/>
                <w:szCs w:val="24"/>
                <w:lang w:eastAsia="lv-LV"/>
              </w:rPr>
              <w:t>D</w:t>
            </w:r>
            <w:r w:rsidR="00801D3C" w:rsidRPr="00273D30">
              <w:rPr>
                <w:rFonts w:eastAsia="Times New Roman" w:cs="Times New Roman"/>
                <w:color w:val="000000"/>
                <w:sz w:val="24"/>
                <w:szCs w:val="24"/>
                <w:lang w:eastAsia="lv-LV"/>
              </w:rPr>
              <w:t>onorvalsts</w:t>
            </w:r>
            <w:proofErr w:type="spellEnd"/>
            <w:r w:rsidR="00801D3C" w:rsidRPr="00273D30">
              <w:rPr>
                <w:rFonts w:eastAsia="Times New Roman" w:cs="Times New Roman"/>
                <w:color w:val="000000"/>
                <w:sz w:val="24"/>
                <w:szCs w:val="24"/>
                <w:lang w:eastAsia="lv-LV"/>
              </w:rPr>
              <w:t xml:space="preserve"> lēmums par iespēju pagarināt projektu īstenošanas termiņu tika pieņemts</w:t>
            </w:r>
            <w:r w:rsidR="00691969">
              <w:rPr>
                <w:rFonts w:eastAsia="Times New Roman" w:cs="Times New Roman"/>
                <w:color w:val="000000"/>
                <w:sz w:val="24"/>
                <w:szCs w:val="24"/>
                <w:lang w:eastAsia="lv-LV"/>
              </w:rPr>
              <w:t xml:space="preserve"> (2015.gada 26.maijs)</w:t>
            </w:r>
            <w:r w:rsidR="00801D3C" w:rsidRPr="00273D30">
              <w:rPr>
                <w:rFonts w:eastAsia="Times New Roman" w:cs="Times New Roman"/>
                <w:color w:val="000000"/>
                <w:sz w:val="24"/>
                <w:szCs w:val="24"/>
                <w:lang w:eastAsia="lv-LV"/>
              </w:rPr>
              <w:t xml:space="preserve"> pēc tam, kad</w:t>
            </w:r>
            <w:r w:rsidR="00A44E66" w:rsidRPr="00273D30">
              <w:rPr>
                <w:rFonts w:eastAsia="Times New Roman" w:cs="Times New Roman"/>
                <w:color w:val="000000"/>
                <w:sz w:val="24"/>
                <w:szCs w:val="24"/>
                <w:lang w:eastAsia="lv-LV"/>
              </w:rPr>
              <w:t xml:space="preserve"> </w:t>
            </w:r>
            <w:r w:rsidR="00F93CF2">
              <w:rPr>
                <w:sz w:val="24"/>
                <w:szCs w:val="24"/>
              </w:rPr>
              <w:t>P</w:t>
            </w:r>
            <w:r w:rsidR="009D0001" w:rsidRPr="00273D30">
              <w:rPr>
                <w:sz w:val="24"/>
                <w:szCs w:val="24"/>
              </w:rPr>
              <w:t xml:space="preserve">rogrammas </w:t>
            </w:r>
            <w:r w:rsidR="009D0001" w:rsidRPr="009D0001">
              <w:rPr>
                <w:rFonts w:eastAsia="Times New Roman" w:cs="Times New Roman"/>
                <w:sz w:val="24"/>
                <w:szCs w:val="24"/>
              </w:rPr>
              <w:t>atklāta konkursa</w:t>
            </w:r>
            <w:r w:rsidR="00801D3C" w:rsidRPr="00273D30">
              <w:rPr>
                <w:rFonts w:eastAsia="Times New Roman" w:cs="Times New Roman"/>
                <w:color w:val="000000"/>
                <w:sz w:val="24"/>
                <w:szCs w:val="24"/>
                <w:lang w:eastAsia="lv-LV"/>
              </w:rPr>
              <w:t xml:space="preserve"> projekta iesniedzēji jau bija iesnieguši projekta </w:t>
            </w:r>
            <w:r w:rsidR="00CF443A" w:rsidRPr="00273D30">
              <w:rPr>
                <w:rFonts w:eastAsia="Times New Roman" w:cs="Times New Roman"/>
                <w:color w:val="000000"/>
                <w:sz w:val="24"/>
                <w:szCs w:val="24"/>
                <w:lang w:eastAsia="lv-LV"/>
              </w:rPr>
              <w:t>iesniegumus</w:t>
            </w:r>
            <w:r w:rsidR="000355DF" w:rsidRPr="00273D30">
              <w:rPr>
                <w:rFonts w:eastAsia="Times New Roman" w:cs="Times New Roman"/>
                <w:color w:val="000000"/>
                <w:sz w:val="24"/>
                <w:szCs w:val="24"/>
                <w:lang w:eastAsia="lv-LV"/>
              </w:rPr>
              <w:t xml:space="preserve"> vērtēšanai vai bija jau noslēgti lī</w:t>
            </w:r>
            <w:r w:rsidR="009D0001">
              <w:rPr>
                <w:rFonts w:eastAsia="Times New Roman" w:cs="Times New Roman"/>
                <w:color w:val="000000"/>
                <w:sz w:val="24"/>
                <w:szCs w:val="24"/>
                <w:lang w:eastAsia="lv-LV"/>
              </w:rPr>
              <w:t>gumi par atbalstīto projektu īs</w:t>
            </w:r>
            <w:r w:rsidR="000355DF" w:rsidRPr="00273D30">
              <w:rPr>
                <w:rFonts w:eastAsia="Times New Roman" w:cs="Times New Roman"/>
                <w:color w:val="000000"/>
                <w:sz w:val="24"/>
                <w:szCs w:val="24"/>
                <w:lang w:eastAsia="lv-LV"/>
              </w:rPr>
              <w:t>t</w:t>
            </w:r>
            <w:r w:rsidR="009D0001">
              <w:rPr>
                <w:rFonts w:eastAsia="Times New Roman" w:cs="Times New Roman"/>
                <w:color w:val="000000"/>
                <w:sz w:val="24"/>
                <w:szCs w:val="24"/>
                <w:lang w:eastAsia="lv-LV"/>
              </w:rPr>
              <w:t>en</w:t>
            </w:r>
            <w:r w:rsidR="000355DF" w:rsidRPr="00273D30">
              <w:rPr>
                <w:rFonts w:eastAsia="Times New Roman" w:cs="Times New Roman"/>
                <w:color w:val="000000"/>
                <w:sz w:val="24"/>
                <w:szCs w:val="24"/>
                <w:lang w:eastAsia="lv-LV"/>
              </w:rPr>
              <w:t>ošanu</w:t>
            </w:r>
            <w:r w:rsidR="009D0001">
              <w:rPr>
                <w:rFonts w:eastAsia="Times New Roman" w:cs="Times New Roman"/>
                <w:color w:val="000000"/>
                <w:sz w:val="24"/>
                <w:szCs w:val="24"/>
                <w:lang w:eastAsia="lv-LV"/>
              </w:rPr>
              <w:t xml:space="preserve">. </w:t>
            </w:r>
            <w:r w:rsidR="00691969">
              <w:rPr>
                <w:rFonts w:eastAsia="Times New Roman" w:cs="Times New Roman"/>
                <w:color w:val="000000"/>
                <w:sz w:val="24"/>
                <w:szCs w:val="24"/>
                <w:lang w:eastAsia="lv-LV"/>
              </w:rPr>
              <w:t>A</w:t>
            </w:r>
            <w:r w:rsidR="009D0001">
              <w:rPr>
                <w:rFonts w:eastAsia="Times New Roman" w:cs="Times New Roman"/>
                <w:color w:val="000000"/>
                <w:sz w:val="24"/>
                <w:szCs w:val="24"/>
                <w:lang w:eastAsia="lv-LV"/>
              </w:rPr>
              <w:t>r MK n</w:t>
            </w:r>
            <w:r w:rsidR="00801D3C" w:rsidRPr="00273D30">
              <w:rPr>
                <w:rFonts w:eastAsia="Times New Roman" w:cs="Times New Roman"/>
                <w:color w:val="000000"/>
                <w:sz w:val="24"/>
                <w:szCs w:val="24"/>
                <w:lang w:eastAsia="lv-LV"/>
              </w:rPr>
              <w:t>oteikumu projektu citām privātperson</w:t>
            </w:r>
            <w:r w:rsidR="00A44E66" w:rsidRPr="00273D30">
              <w:rPr>
                <w:rFonts w:eastAsia="Times New Roman" w:cs="Times New Roman"/>
                <w:color w:val="000000"/>
                <w:sz w:val="24"/>
                <w:szCs w:val="24"/>
                <w:lang w:eastAsia="lv-LV"/>
              </w:rPr>
              <w:t>ām netika un netiek</w:t>
            </w:r>
            <w:r w:rsidR="00801D3C" w:rsidRPr="00273D30">
              <w:rPr>
                <w:rFonts w:eastAsia="Times New Roman" w:cs="Times New Roman"/>
                <w:color w:val="000000"/>
                <w:sz w:val="24"/>
                <w:szCs w:val="24"/>
                <w:lang w:eastAsia="lv-LV"/>
              </w:rPr>
              <w:t xml:space="preserve"> radīti nelabvēlīgāki apstākļi</w:t>
            </w:r>
            <w:r w:rsidR="00A44E66" w:rsidRPr="00273D30">
              <w:rPr>
                <w:rFonts w:eastAsia="Times New Roman" w:cs="Times New Roman"/>
                <w:color w:val="000000"/>
                <w:sz w:val="24"/>
                <w:szCs w:val="24"/>
                <w:lang w:eastAsia="lv-LV"/>
              </w:rPr>
              <w:t>, kā arī attiecībā uz tām</w:t>
            </w:r>
            <w:r w:rsidR="00155FE8" w:rsidRPr="00273D30">
              <w:rPr>
                <w:rFonts w:eastAsia="Times New Roman" w:cs="Times New Roman"/>
                <w:color w:val="000000"/>
                <w:sz w:val="24"/>
                <w:szCs w:val="24"/>
                <w:lang w:eastAsia="lv-LV"/>
              </w:rPr>
              <w:t xml:space="preserve"> netiek pārkāpts tiesiskās paļāvības princips</w:t>
            </w:r>
            <w:r w:rsidR="00801D3C" w:rsidRPr="00273D30">
              <w:rPr>
                <w:rFonts w:eastAsia="Times New Roman" w:cs="Times New Roman"/>
                <w:color w:val="000000"/>
                <w:sz w:val="24"/>
                <w:szCs w:val="24"/>
                <w:lang w:eastAsia="lv-LV"/>
              </w:rPr>
              <w:t>, jo tās savu izvēli ie</w:t>
            </w:r>
            <w:r w:rsidR="00F93344" w:rsidRPr="00273D30">
              <w:rPr>
                <w:rFonts w:eastAsia="Times New Roman" w:cs="Times New Roman"/>
                <w:color w:val="000000"/>
                <w:sz w:val="24"/>
                <w:szCs w:val="24"/>
                <w:lang w:eastAsia="lv-LV"/>
              </w:rPr>
              <w:t>s</w:t>
            </w:r>
            <w:r w:rsidR="00801D3C" w:rsidRPr="00273D30">
              <w:rPr>
                <w:rFonts w:eastAsia="Times New Roman" w:cs="Times New Roman"/>
                <w:color w:val="000000"/>
                <w:sz w:val="24"/>
                <w:szCs w:val="24"/>
                <w:lang w:eastAsia="lv-LV"/>
              </w:rPr>
              <w:t xml:space="preserve">niegt/neiesniegt projekta iesniegumu atklātam </w:t>
            </w:r>
            <w:r w:rsidR="00273D30" w:rsidRPr="00273D30">
              <w:rPr>
                <w:rFonts w:eastAsia="Times New Roman" w:cs="Times New Roman"/>
                <w:color w:val="000000"/>
                <w:sz w:val="24"/>
                <w:szCs w:val="24"/>
                <w:lang w:eastAsia="lv-LV"/>
              </w:rPr>
              <w:t>proj</w:t>
            </w:r>
            <w:r w:rsidR="00691969">
              <w:rPr>
                <w:rFonts w:eastAsia="Times New Roman" w:cs="Times New Roman"/>
                <w:color w:val="000000"/>
                <w:sz w:val="24"/>
                <w:szCs w:val="24"/>
                <w:lang w:eastAsia="lv-LV"/>
              </w:rPr>
              <w:t>ek</w:t>
            </w:r>
            <w:r w:rsidR="00273D30" w:rsidRPr="00273D30">
              <w:rPr>
                <w:rFonts w:eastAsia="Times New Roman" w:cs="Times New Roman"/>
                <w:color w:val="000000"/>
                <w:sz w:val="24"/>
                <w:szCs w:val="24"/>
                <w:lang w:eastAsia="lv-LV"/>
              </w:rPr>
              <w:t xml:space="preserve">tu </w:t>
            </w:r>
            <w:r w:rsidR="00801D3C" w:rsidRPr="00273D30">
              <w:rPr>
                <w:rFonts w:eastAsia="Times New Roman" w:cs="Times New Roman"/>
                <w:color w:val="000000"/>
                <w:sz w:val="24"/>
                <w:szCs w:val="24"/>
                <w:lang w:eastAsia="lv-LV"/>
              </w:rPr>
              <w:t>konkursam izdarīja pirms</w:t>
            </w:r>
            <w:r w:rsidR="00691969">
              <w:rPr>
                <w:rFonts w:eastAsia="Times New Roman" w:cs="Times New Roman"/>
                <w:color w:val="000000"/>
                <w:sz w:val="24"/>
                <w:szCs w:val="24"/>
                <w:lang w:eastAsia="lv-LV"/>
              </w:rPr>
              <w:t xml:space="preserve"> </w:t>
            </w:r>
            <w:r w:rsidR="00801D3C" w:rsidRPr="00273D30">
              <w:rPr>
                <w:rFonts w:eastAsia="Times New Roman" w:cs="Times New Roman"/>
                <w:color w:val="000000"/>
                <w:sz w:val="24"/>
                <w:szCs w:val="24"/>
                <w:lang w:eastAsia="lv-LV"/>
              </w:rPr>
              <w:t>projekta iesnieguma iesniegšana</w:t>
            </w:r>
            <w:r w:rsidR="00691969">
              <w:rPr>
                <w:rFonts w:eastAsia="Times New Roman" w:cs="Times New Roman"/>
                <w:color w:val="000000"/>
                <w:sz w:val="24"/>
                <w:szCs w:val="24"/>
                <w:lang w:eastAsia="lv-LV"/>
              </w:rPr>
              <w:t>s</w:t>
            </w:r>
            <w:r w:rsidR="00801D3C" w:rsidRPr="00273D30">
              <w:rPr>
                <w:rFonts w:eastAsia="Times New Roman" w:cs="Times New Roman"/>
                <w:color w:val="000000"/>
                <w:sz w:val="24"/>
                <w:szCs w:val="24"/>
                <w:lang w:eastAsia="lv-LV"/>
              </w:rPr>
              <w:t xml:space="preserve"> </w:t>
            </w:r>
            <w:r w:rsidR="00273D30" w:rsidRPr="00273D30">
              <w:rPr>
                <w:rFonts w:eastAsia="Times New Roman" w:cs="Times New Roman"/>
                <w:color w:val="000000"/>
                <w:sz w:val="24"/>
                <w:szCs w:val="24"/>
                <w:lang w:eastAsia="lv-LV"/>
              </w:rPr>
              <w:t xml:space="preserve">atklāta konkursa atlases </w:t>
            </w:r>
            <w:r w:rsidR="00691969">
              <w:rPr>
                <w:rFonts w:eastAsia="Times New Roman" w:cs="Times New Roman"/>
                <w:color w:val="000000"/>
                <w:sz w:val="24"/>
                <w:szCs w:val="24"/>
                <w:lang w:eastAsia="lv-LV"/>
              </w:rPr>
              <w:t xml:space="preserve">pirmajai vai </w:t>
            </w:r>
            <w:r w:rsidR="00273D30" w:rsidRPr="00273D30">
              <w:rPr>
                <w:rFonts w:eastAsia="Times New Roman" w:cs="Times New Roman"/>
                <w:color w:val="000000"/>
                <w:sz w:val="24"/>
                <w:szCs w:val="24"/>
                <w:lang w:eastAsia="lv-LV"/>
              </w:rPr>
              <w:t>otrajai kārtai</w:t>
            </w:r>
            <w:r w:rsidR="00691969">
              <w:rPr>
                <w:rFonts w:eastAsia="Times New Roman" w:cs="Times New Roman"/>
                <w:color w:val="000000"/>
                <w:sz w:val="24"/>
                <w:szCs w:val="24"/>
                <w:lang w:eastAsia="lv-LV"/>
              </w:rPr>
              <w:t>, attiecīgi pirms 2014.gada 20.marta vai 2015.gada 16.janvāra</w:t>
            </w:r>
            <w:r w:rsidR="00273D30" w:rsidRPr="00273D30">
              <w:rPr>
                <w:rFonts w:eastAsia="Times New Roman" w:cs="Times New Roman"/>
                <w:color w:val="000000"/>
                <w:sz w:val="24"/>
                <w:szCs w:val="24"/>
                <w:lang w:eastAsia="lv-LV"/>
              </w:rPr>
              <w:t>.</w:t>
            </w:r>
            <w:r w:rsidR="00F93344" w:rsidRPr="00273D30">
              <w:rPr>
                <w:rFonts w:eastAsia="Times New Roman" w:cs="Times New Roman"/>
                <w:color w:val="000000"/>
                <w:sz w:val="24"/>
                <w:szCs w:val="24"/>
                <w:lang w:eastAsia="lv-LV"/>
              </w:rPr>
              <w:t xml:space="preserve"> Arī </w:t>
            </w:r>
            <w:r w:rsidR="00155FE8" w:rsidRPr="00273D30">
              <w:rPr>
                <w:rFonts w:eastAsia="Times New Roman" w:cs="Times New Roman"/>
                <w:color w:val="000000"/>
                <w:sz w:val="24"/>
                <w:szCs w:val="24"/>
                <w:lang w:eastAsia="lv-LV"/>
              </w:rPr>
              <w:t xml:space="preserve">tie projektu iesniedzēji, kas iesniedza projekta iesniegumus </w:t>
            </w:r>
            <w:r w:rsidR="00691969" w:rsidRPr="00F01E4D">
              <w:rPr>
                <w:rFonts w:eastAsia="Times New Roman" w:cs="Times New Roman"/>
                <w:sz w:val="24"/>
                <w:szCs w:val="24"/>
              </w:rPr>
              <w:t>Latvijas Investīciju un attīstības aģentū</w:t>
            </w:r>
            <w:r w:rsidR="00691969">
              <w:rPr>
                <w:rFonts w:eastAsia="Times New Roman" w:cs="Times New Roman"/>
                <w:sz w:val="24"/>
                <w:szCs w:val="24"/>
              </w:rPr>
              <w:t>rā</w:t>
            </w:r>
            <w:r w:rsidR="00155FE8" w:rsidRPr="00273D30">
              <w:rPr>
                <w:rFonts w:eastAsia="Times New Roman" w:cs="Times New Roman"/>
                <w:color w:val="000000"/>
                <w:sz w:val="24"/>
                <w:szCs w:val="24"/>
                <w:lang w:eastAsia="lv-LV"/>
              </w:rPr>
              <w:t xml:space="preserve"> vērtēšanai un lēmuma pieņemšanai, nezināja par šādu </w:t>
            </w:r>
            <w:proofErr w:type="spellStart"/>
            <w:r w:rsidR="00155FE8" w:rsidRPr="00273D30">
              <w:rPr>
                <w:rFonts w:eastAsia="Times New Roman" w:cs="Times New Roman"/>
                <w:color w:val="000000"/>
                <w:sz w:val="24"/>
                <w:szCs w:val="24"/>
                <w:lang w:eastAsia="lv-LV"/>
              </w:rPr>
              <w:t>donorvalsts</w:t>
            </w:r>
            <w:proofErr w:type="spellEnd"/>
            <w:r w:rsidR="00155FE8" w:rsidRPr="00273D30">
              <w:rPr>
                <w:rFonts w:eastAsia="Times New Roman" w:cs="Times New Roman"/>
                <w:color w:val="000000"/>
                <w:sz w:val="24"/>
                <w:szCs w:val="24"/>
                <w:lang w:eastAsia="lv-LV"/>
              </w:rPr>
              <w:t xml:space="preserve"> lēmumu</w:t>
            </w:r>
            <w:r w:rsidR="00691969">
              <w:rPr>
                <w:rFonts w:eastAsia="Times New Roman" w:cs="Times New Roman"/>
                <w:color w:val="000000"/>
                <w:sz w:val="24"/>
                <w:szCs w:val="24"/>
                <w:lang w:eastAsia="lv-LV"/>
              </w:rPr>
              <w:t>. Tādēļ</w:t>
            </w:r>
            <w:r w:rsidR="00155FE8" w:rsidRPr="00273D30">
              <w:rPr>
                <w:rFonts w:eastAsia="Times New Roman" w:cs="Times New Roman"/>
                <w:color w:val="000000"/>
                <w:sz w:val="24"/>
                <w:szCs w:val="24"/>
                <w:lang w:eastAsia="lv-LV"/>
              </w:rPr>
              <w:t xml:space="preserve"> ar</w:t>
            </w:r>
            <w:r w:rsidR="00691969">
              <w:rPr>
                <w:rFonts w:eastAsia="Times New Roman" w:cs="Times New Roman"/>
                <w:color w:val="000000"/>
                <w:sz w:val="24"/>
                <w:szCs w:val="24"/>
                <w:lang w:eastAsia="lv-LV"/>
              </w:rPr>
              <w:t xml:space="preserve"> MK n</w:t>
            </w:r>
            <w:r w:rsidR="00801D3C" w:rsidRPr="00273D30">
              <w:rPr>
                <w:rFonts w:eastAsia="Times New Roman" w:cs="Times New Roman"/>
                <w:color w:val="000000"/>
                <w:sz w:val="24"/>
                <w:szCs w:val="24"/>
                <w:lang w:eastAsia="lv-LV"/>
              </w:rPr>
              <w:t>oteikumu projekt</w:t>
            </w:r>
            <w:r w:rsidR="00155FE8" w:rsidRPr="00273D30">
              <w:rPr>
                <w:rFonts w:eastAsia="Times New Roman" w:cs="Times New Roman"/>
                <w:color w:val="000000"/>
                <w:sz w:val="24"/>
                <w:szCs w:val="24"/>
                <w:lang w:eastAsia="lv-LV"/>
              </w:rPr>
              <w:t>u to</w:t>
            </w:r>
            <w:r w:rsidR="00801D3C" w:rsidRPr="00273D30">
              <w:rPr>
                <w:rFonts w:eastAsia="Times New Roman" w:cs="Times New Roman"/>
                <w:color w:val="000000"/>
                <w:sz w:val="24"/>
                <w:szCs w:val="24"/>
                <w:lang w:eastAsia="lv-LV"/>
              </w:rPr>
              <w:t xml:space="preserve"> privātperson</w:t>
            </w:r>
            <w:r w:rsidR="00155FE8" w:rsidRPr="00273D30">
              <w:rPr>
                <w:rFonts w:eastAsia="Times New Roman" w:cs="Times New Roman"/>
                <w:color w:val="000000"/>
                <w:sz w:val="24"/>
                <w:szCs w:val="24"/>
                <w:lang w:eastAsia="lv-LV"/>
              </w:rPr>
              <w:t>u</w:t>
            </w:r>
            <w:r w:rsidR="00801D3C" w:rsidRPr="00273D30">
              <w:rPr>
                <w:rFonts w:eastAsia="Times New Roman" w:cs="Times New Roman"/>
                <w:color w:val="000000"/>
                <w:sz w:val="24"/>
                <w:szCs w:val="24"/>
                <w:lang w:eastAsia="lv-LV"/>
              </w:rPr>
              <w:t xml:space="preserve">, kas projektu iesniegumus </w:t>
            </w:r>
            <w:r w:rsidR="00691969">
              <w:rPr>
                <w:rFonts w:eastAsia="Times New Roman" w:cs="Times New Roman"/>
                <w:color w:val="000000"/>
                <w:sz w:val="24"/>
                <w:szCs w:val="24"/>
                <w:lang w:eastAsia="lv-LV"/>
              </w:rPr>
              <w:t>atklātā konkur</w:t>
            </w:r>
            <w:r w:rsidR="00F93344" w:rsidRPr="00273D30">
              <w:rPr>
                <w:rFonts w:eastAsia="Times New Roman" w:cs="Times New Roman"/>
                <w:color w:val="000000"/>
                <w:sz w:val="24"/>
                <w:szCs w:val="24"/>
                <w:lang w:eastAsia="lv-LV"/>
              </w:rPr>
              <w:t>s</w:t>
            </w:r>
            <w:r w:rsidR="00691969">
              <w:rPr>
                <w:rFonts w:eastAsia="Times New Roman" w:cs="Times New Roman"/>
                <w:color w:val="000000"/>
                <w:sz w:val="24"/>
                <w:szCs w:val="24"/>
                <w:lang w:eastAsia="lv-LV"/>
              </w:rPr>
              <w:t>ā</w:t>
            </w:r>
            <w:r w:rsidR="00F93344" w:rsidRPr="00273D30">
              <w:rPr>
                <w:rFonts w:eastAsia="Times New Roman" w:cs="Times New Roman"/>
                <w:color w:val="000000"/>
                <w:sz w:val="24"/>
                <w:szCs w:val="24"/>
                <w:lang w:eastAsia="lv-LV"/>
              </w:rPr>
              <w:t xml:space="preserve"> </w:t>
            </w:r>
            <w:r w:rsidR="00801D3C" w:rsidRPr="00273D30">
              <w:rPr>
                <w:rFonts w:eastAsia="Times New Roman" w:cs="Times New Roman"/>
                <w:color w:val="000000"/>
                <w:sz w:val="24"/>
                <w:szCs w:val="24"/>
                <w:lang w:eastAsia="lv-LV"/>
              </w:rPr>
              <w:t xml:space="preserve">neiesniedza, </w:t>
            </w:r>
            <w:r w:rsidR="00155FE8" w:rsidRPr="00273D30">
              <w:rPr>
                <w:rFonts w:eastAsia="Times New Roman" w:cs="Times New Roman"/>
                <w:color w:val="000000"/>
                <w:sz w:val="24"/>
                <w:szCs w:val="24"/>
                <w:lang w:eastAsia="lv-LV"/>
              </w:rPr>
              <w:t>tiesiskās intereses netiek aizskartas.</w:t>
            </w:r>
            <w:r w:rsidR="00E401AB" w:rsidRPr="00273D30">
              <w:rPr>
                <w:rFonts w:eastAsia="Times New Roman" w:cs="Times New Roman"/>
                <w:color w:val="000000"/>
                <w:sz w:val="24"/>
                <w:szCs w:val="24"/>
                <w:lang w:eastAsia="lv-LV"/>
              </w:rPr>
              <w:t xml:space="preserve"> </w:t>
            </w:r>
          </w:p>
          <w:p w14:paraId="7EE613FC" w14:textId="77777777" w:rsidR="008F7CDA" w:rsidRPr="00273D30" w:rsidRDefault="00E401AB" w:rsidP="008F7CDA">
            <w:pPr>
              <w:jc w:val="both"/>
              <w:rPr>
                <w:rFonts w:eastAsia="Times New Roman" w:cs="Times New Roman"/>
                <w:color w:val="000000"/>
                <w:sz w:val="24"/>
                <w:szCs w:val="24"/>
                <w:lang w:eastAsia="lv-LV"/>
              </w:rPr>
            </w:pPr>
            <w:r w:rsidRPr="00273D30">
              <w:rPr>
                <w:rFonts w:eastAsia="Times New Roman" w:cs="Times New Roman"/>
                <w:color w:val="000000"/>
                <w:sz w:val="24"/>
                <w:szCs w:val="24"/>
                <w:lang w:eastAsia="lv-LV"/>
              </w:rPr>
              <w:lastRenderedPageBreak/>
              <w:t>Līdz projektu iesniegumu iesniegšanai un arī pēc tam visiem projektu iesniedzējiem tika nodrošinātas vienādas tiesības, tādējādi neradot vienlīdzības un tiesiskās noteiktības principa pārkāpumu.</w:t>
            </w:r>
          </w:p>
        </w:tc>
      </w:tr>
      <w:tr w:rsidR="003D5C72" w:rsidRPr="00273D30" w14:paraId="3F9F3F92" w14:textId="77777777" w:rsidTr="002D6D8A">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329A30D"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F60ECB5" w14:textId="77777777" w:rsidR="003D5C72" w:rsidRPr="00273D30" w:rsidRDefault="003D5C72" w:rsidP="002D6D8A">
            <w:pPr>
              <w:jc w:val="both"/>
              <w:rPr>
                <w:rFonts w:eastAsia="Times New Roman" w:cs="Times New Roman"/>
                <w:sz w:val="24"/>
                <w:szCs w:val="24"/>
              </w:rPr>
            </w:pPr>
            <w:r w:rsidRPr="00273D30">
              <w:rPr>
                <w:rFonts w:eastAsia="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465C46E" w14:textId="7A3AB57F" w:rsidR="00273D30" w:rsidRPr="00273D30" w:rsidRDefault="00273D30" w:rsidP="002D6D8A">
            <w:pPr>
              <w:jc w:val="both"/>
              <w:rPr>
                <w:sz w:val="24"/>
                <w:szCs w:val="24"/>
              </w:rPr>
            </w:pPr>
            <w:r w:rsidRPr="00273D30">
              <w:rPr>
                <w:sz w:val="24"/>
                <w:szCs w:val="24"/>
              </w:rPr>
              <w:t xml:space="preserve">Noteikumu projekts neparedz mainīt </w:t>
            </w:r>
            <w:r w:rsidR="00F93CF2">
              <w:rPr>
                <w:sz w:val="24"/>
                <w:szCs w:val="24"/>
              </w:rPr>
              <w:t>Programmas</w:t>
            </w:r>
            <w:r w:rsidR="000C738A">
              <w:rPr>
                <w:sz w:val="24"/>
                <w:szCs w:val="24"/>
              </w:rPr>
              <w:t xml:space="preserve"> </w:t>
            </w:r>
            <w:r w:rsidRPr="00273D30">
              <w:rPr>
                <w:sz w:val="24"/>
                <w:szCs w:val="24"/>
              </w:rPr>
              <w:t>mērķi un sasniedzamos rezultātus, līdz ar to</w:t>
            </w:r>
            <w:r>
              <w:rPr>
                <w:sz w:val="24"/>
                <w:szCs w:val="24"/>
              </w:rPr>
              <w:t xml:space="preserve">, </w:t>
            </w:r>
            <w:r w:rsidRPr="00273D30">
              <w:rPr>
                <w:sz w:val="24"/>
                <w:szCs w:val="24"/>
              </w:rPr>
              <w:t>salīdzinot ar esošo regulējumu</w:t>
            </w:r>
            <w:r>
              <w:rPr>
                <w:sz w:val="24"/>
                <w:szCs w:val="24"/>
              </w:rPr>
              <w:t>,</w:t>
            </w:r>
            <w:r w:rsidRPr="00273D30">
              <w:rPr>
                <w:sz w:val="24"/>
                <w:szCs w:val="24"/>
              </w:rPr>
              <w:t xml:space="preserve"> tiesiskā regulējuma ietekme uz tautsaimniecību būtiski nemainīsies. Programmas ietvaros sagaidāms, ka ražošanā tiks ieviesti inovatīvi videi draudzīgi produkti un tehnoloģijas, kā rezultātā būs iespējams efektīvāk izmantot esošos dabas un enerģijas resursus un mazināt vides piesārņojumu. </w:t>
            </w:r>
          </w:p>
          <w:p w14:paraId="6F2D8048" w14:textId="0ECEA126" w:rsidR="003D5C72" w:rsidRPr="00273D30" w:rsidRDefault="00F735B7" w:rsidP="00B1476A">
            <w:pPr>
              <w:jc w:val="both"/>
              <w:rPr>
                <w:sz w:val="24"/>
                <w:szCs w:val="24"/>
              </w:rPr>
            </w:pPr>
            <w:r w:rsidRPr="00273D30">
              <w:rPr>
                <w:sz w:val="24"/>
                <w:szCs w:val="24"/>
              </w:rPr>
              <w:t>Noteikumu projekts nep</w:t>
            </w:r>
            <w:r w:rsidR="00B1476A" w:rsidRPr="00273D30">
              <w:rPr>
                <w:sz w:val="24"/>
                <w:szCs w:val="24"/>
              </w:rPr>
              <w:t>aredz tādas izmaiņas spēkā esošajā</w:t>
            </w:r>
            <w:r w:rsidRPr="00273D30">
              <w:rPr>
                <w:sz w:val="24"/>
                <w:szCs w:val="24"/>
              </w:rPr>
              <w:t xml:space="preserve"> re</w:t>
            </w:r>
            <w:r w:rsidR="00A072E4" w:rsidRPr="00273D30">
              <w:rPr>
                <w:sz w:val="24"/>
                <w:szCs w:val="24"/>
              </w:rPr>
              <w:t>gulējumā, kur</w:t>
            </w:r>
            <w:r w:rsidR="00F93CF2">
              <w:rPr>
                <w:sz w:val="24"/>
                <w:szCs w:val="24"/>
              </w:rPr>
              <w:t>u</w:t>
            </w:r>
            <w:r w:rsidR="00A072E4" w:rsidRPr="00273D30">
              <w:rPr>
                <w:sz w:val="24"/>
                <w:szCs w:val="24"/>
              </w:rPr>
              <w:t xml:space="preserve"> </w:t>
            </w:r>
            <w:r w:rsidRPr="00273D30">
              <w:rPr>
                <w:sz w:val="24"/>
                <w:szCs w:val="24"/>
              </w:rPr>
              <w:t xml:space="preserve">rezultātā paaugstinātos vai samazinātos </w:t>
            </w:r>
            <w:r w:rsidR="00A633A8" w:rsidRPr="00273D30">
              <w:rPr>
                <w:sz w:val="24"/>
                <w:szCs w:val="24"/>
              </w:rPr>
              <w:t xml:space="preserve">administratīvais </w:t>
            </w:r>
            <w:r w:rsidRPr="00273D30">
              <w:rPr>
                <w:sz w:val="24"/>
                <w:szCs w:val="24"/>
              </w:rPr>
              <w:t>slogs potenciālajiem projekta iesniedzējiem.</w:t>
            </w:r>
          </w:p>
        </w:tc>
      </w:tr>
      <w:tr w:rsidR="003D5C72" w:rsidRPr="00273D30" w14:paraId="0A9E32E1" w14:textId="77777777" w:rsidTr="002D6D8A">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B568FCA"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22D72ABA"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38EDC17"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Projekts šo jomu neskar.</w:t>
            </w:r>
          </w:p>
        </w:tc>
      </w:tr>
      <w:tr w:rsidR="003D5C72" w:rsidRPr="00273D30" w14:paraId="6CC6520F" w14:textId="77777777" w:rsidTr="002D6D8A">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2129104"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4D5237E5"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6372654" w14:textId="77777777" w:rsidR="003D5C72" w:rsidRPr="00273D30" w:rsidRDefault="003D5C72" w:rsidP="002D6D8A">
            <w:pPr>
              <w:spacing w:before="100" w:beforeAutospacing="1" w:after="100" w:afterAutospacing="1" w:line="293" w:lineRule="atLeast"/>
              <w:jc w:val="both"/>
              <w:rPr>
                <w:rFonts w:eastAsia="Times New Roman" w:cs="Times New Roman"/>
                <w:sz w:val="24"/>
                <w:szCs w:val="24"/>
              </w:rPr>
            </w:pPr>
            <w:r w:rsidRPr="00273D30">
              <w:rPr>
                <w:rFonts w:eastAsia="Times New Roman" w:cs="Times New Roman"/>
                <w:sz w:val="24"/>
                <w:szCs w:val="24"/>
              </w:rPr>
              <w:t>Nav.</w:t>
            </w:r>
          </w:p>
        </w:tc>
      </w:tr>
    </w:tbl>
    <w:p w14:paraId="32B53944" w14:textId="77777777" w:rsidR="00DC78BB" w:rsidRPr="00277D5A" w:rsidRDefault="00DC78BB" w:rsidP="003D5C72">
      <w:pPr>
        <w:spacing w:after="120"/>
        <w:rPr>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3D5C72" w:rsidRPr="00273D30" w14:paraId="2FA5F231" w14:textId="77777777" w:rsidTr="002D6D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560FB8" w14:textId="77777777" w:rsidR="003D5C72" w:rsidRPr="00273D30" w:rsidRDefault="003D5C72" w:rsidP="002D6D8A">
            <w:pPr>
              <w:spacing w:before="100" w:beforeAutospacing="1" w:after="100" w:afterAutospacing="1" w:line="293" w:lineRule="atLeast"/>
              <w:jc w:val="center"/>
              <w:rPr>
                <w:rFonts w:eastAsia="Times New Roman" w:cs="Times New Roman"/>
                <w:b/>
                <w:bCs/>
                <w:sz w:val="24"/>
                <w:szCs w:val="24"/>
              </w:rPr>
            </w:pPr>
            <w:r w:rsidRPr="00273D30">
              <w:rPr>
                <w:rFonts w:eastAsia="Times New Roman" w:cs="Times New Roman"/>
                <w:b/>
                <w:bCs/>
                <w:sz w:val="24"/>
                <w:szCs w:val="24"/>
              </w:rPr>
              <w:t>V. Tiesību akta projekta atbilstība Latvijas Republikas starptautiskajām saistībām</w:t>
            </w:r>
          </w:p>
        </w:tc>
      </w:tr>
      <w:tr w:rsidR="003D5C72" w:rsidRPr="00273D30" w14:paraId="64E7C21D"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0C490E75"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1.</w:t>
            </w:r>
          </w:p>
        </w:tc>
        <w:tc>
          <w:tcPr>
            <w:tcW w:w="4890" w:type="dxa"/>
            <w:tcBorders>
              <w:top w:val="outset" w:sz="6" w:space="0" w:color="414142"/>
              <w:left w:val="outset" w:sz="6" w:space="0" w:color="414142"/>
              <w:bottom w:val="outset" w:sz="6" w:space="0" w:color="414142"/>
              <w:right w:val="outset" w:sz="6" w:space="0" w:color="414142"/>
            </w:tcBorders>
            <w:hideMark/>
          </w:tcPr>
          <w:p w14:paraId="69BC4B02"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779687E1" w14:textId="4C1F77C6" w:rsidR="00E629A2" w:rsidRPr="00273D30" w:rsidRDefault="008C4053" w:rsidP="001A57AB">
            <w:pPr>
              <w:jc w:val="both"/>
              <w:rPr>
                <w:sz w:val="24"/>
                <w:szCs w:val="24"/>
              </w:rPr>
            </w:pPr>
            <w:r w:rsidRPr="00995B28">
              <w:rPr>
                <w:sz w:val="24"/>
                <w:szCs w:val="24"/>
              </w:rPr>
              <w:t>Eiropas Komisijas 2013.gada 18.decembra Regula Nr.1407/2013</w:t>
            </w:r>
            <w:r>
              <w:rPr>
                <w:sz w:val="24"/>
                <w:szCs w:val="24"/>
              </w:rPr>
              <w:t xml:space="preserve"> </w:t>
            </w:r>
            <w:r w:rsidRPr="00511C57">
              <w:rPr>
                <w:sz w:val="24"/>
                <w:szCs w:val="24"/>
              </w:rPr>
              <w:t>par Līguma par E</w:t>
            </w:r>
            <w:r w:rsidR="00F93CF2">
              <w:rPr>
                <w:sz w:val="24"/>
                <w:szCs w:val="24"/>
              </w:rPr>
              <w:t>iropas Savienības darbību 107. u</w:t>
            </w:r>
            <w:r w:rsidRPr="00511C57">
              <w:rPr>
                <w:sz w:val="24"/>
                <w:szCs w:val="24"/>
              </w:rPr>
              <w:t xml:space="preserve">n 108.panta piemērošanu </w:t>
            </w:r>
            <w:proofErr w:type="spellStart"/>
            <w:r w:rsidRPr="00511C57">
              <w:rPr>
                <w:i/>
                <w:sz w:val="24"/>
                <w:szCs w:val="24"/>
              </w:rPr>
              <w:t>de</w:t>
            </w:r>
            <w:proofErr w:type="spellEnd"/>
            <w:r w:rsidRPr="00511C57">
              <w:rPr>
                <w:i/>
                <w:sz w:val="24"/>
                <w:szCs w:val="24"/>
              </w:rPr>
              <w:t xml:space="preserve"> </w:t>
            </w:r>
            <w:proofErr w:type="spellStart"/>
            <w:r w:rsidRPr="00511C57">
              <w:rPr>
                <w:i/>
                <w:sz w:val="24"/>
                <w:szCs w:val="24"/>
              </w:rPr>
              <w:t>minims</w:t>
            </w:r>
            <w:proofErr w:type="spellEnd"/>
            <w:r w:rsidRPr="00511C57">
              <w:rPr>
                <w:sz w:val="24"/>
                <w:szCs w:val="24"/>
              </w:rPr>
              <w:t xml:space="preserve"> atbalstam (Eiropas Savienības oficiālais Vēstnesis, 2013.gada 24.decembris, </w:t>
            </w:r>
            <w:proofErr w:type="spellStart"/>
            <w:r w:rsidRPr="00511C57">
              <w:rPr>
                <w:sz w:val="24"/>
                <w:szCs w:val="24"/>
              </w:rPr>
              <w:t>Nr.L</w:t>
            </w:r>
            <w:proofErr w:type="spellEnd"/>
            <w:r w:rsidRPr="00511C57">
              <w:rPr>
                <w:sz w:val="24"/>
                <w:szCs w:val="24"/>
              </w:rPr>
              <w:t xml:space="preserve"> 352</w:t>
            </w:r>
            <w:r w:rsidR="00F93CF2">
              <w:rPr>
                <w:sz w:val="24"/>
                <w:szCs w:val="24"/>
              </w:rPr>
              <w:t>)</w:t>
            </w:r>
            <w:r w:rsidRPr="00995B28">
              <w:rPr>
                <w:sz w:val="24"/>
                <w:szCs w:val="24"/>
              </w:rPr>
              <w:t>.</w:t>
            </w:r>
          </w:p>
        </w:tc>
      </w:tr>
      <w:tr w:rsidR="003D5C72" w:rsidRPr="00273D30" w14:paraId="66B02B64"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2A0ECAA6"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2.</w:t>
            </w:r>
          </w:p>
        </w:tc>
        <w:tc>
          <w:tcPr>
            <w:tcW w:w="4890" w:type="dxa"/>
            <w:tcBorders>
              <w:top w:val="outset" w:sz="6" w:space="0" w:color="414142"/>
              <w:left w:val="outset" w:sz="6" w:space="0" w:color="414142"/>
              <w:bottom w:val="outset" w:sz="6" w:space="0" w:color="414142"/>
              <w:right w:val="outset" w:sz="6" w:space="0" w:color="414142"/>
            </w:tcBorders>
            <w:hideMark/>
          </w:tcPr>
          <w:p w14:paraId="1480FC4D"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335BE014" w14:textId="13E4007B" w:rsidR="003D5C72" w:rsidRPr="00273D30" w:rsidRDefault="00F93CF2" w:rsidP="002D6D8A">
            <w:pPr>
              <w:jc w:val="both"/>
              <w:rPr>
                <w:rFonts w:eastAsia="Times New Roman" w:cs="Times New Roman"/>
                <w:sz w:val="24"/>
                <w:szCs w:val="24"/>
              </w:rPr>
            </w:pPr>
            <w:r>
              <w:rPr>
                <w:iCs/>
                <w:sz w:val="24"/>
                <w:szCs w:val="24"/>
              </w:rPr>
              <w:t>Noteikumu</w:t>
            </w:r>
            <w:r w:rsidR="003D5C72" w:rsidRPr="00273D30">
              <w:rPr>
                <w:iCs/>
                <w:sz w:val="24"/>
                <w:szCs w:val="24"/>
              </w:rPr>
              <w:t xml:space="preserve"> projekts nodrošina Latvijas Republikas un Norvēģijas Karalistes saprašanās memoranda par Norvēģijas finanšu instrumenta ieviešanu 2009.–2014.gadā (apstiprināts ar Ministru kabineta 2011.gada 29.marta noteikumiem Nr.252) īstenošanu.</w:t>
            </w:r>
          </w:p>
        </w:tc>
      </w:tr>
      <w:tr w:rsidR="003D5C72" w:rsidRPr="00273D30" w14:paraId="5912D637"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0F7D8A26"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3.</w:t>
            </w:r>
          </w:p>
        </w:tc>
        <w:tc>
          <w:tcPr>
            <w:tcW w:w="4890" w:type="dxa"/>
            <w:tcBorders>
              <w:top w:val="outset" w:sz="6" w:space="0" w:color="414142"/>
              <w:left w:val="outset" w:sz="6" w:space="0" w:color="414142"/>
              <w:bottom w:val="outset" w:sz="6" w:space="0" w:color="414142"/>
              <w:right w:val="outset" w:sz="6" w:space="0" w:color="414142"/>
            </w:tcBorders>
            <w:hideMark/>
          </w:tcPr>
          <w:p w14:paraId="5E29A015"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DEF1C05" w14:textId="448C5810" w:rsidR="003D5C72" w:rsidRPr="00273D30" w:rsidRDefault="003D5C72" w:rsidP="002D6D8A">
            <w:pPr>
              <w:spacing w:before="100" w:beforeAutospacing="1" w:after="100" w:afterAutospacing="1" w:line="293" w:lineRule="atLeast"/>
              <w:jc w:val="both"/>
              <w:rPr>
                <w:rFonts w:eastAsia="Times New Roman" w:cs="Times New Roman"/>
                <w:sz w:val="24"/>
                <w:szCs w:val="24"/>
              </w:rPr>
            </w:pPr>
            <w:r w:rsidRPr="00273D30">
              <w:rPr>
                <w:iCs/>
                <w:sz w:val="24"/>
                <w:szCs w:val="24"/>
              </w:rPr>
              <w:t xml:space="preserve">Nav. </w:t>
            </w:r>
          </w:p>
        </w:tc>
      </w:tr>
    </w:tbl>
    <w:p w14:paraId="42B0D31F" w14:textId="2D1307D8" w:rsidR="003D5C72" w:rsidRPr="00273D30" w:rsidRDefault="003D5C72" w:rsidP="00EE28A1">
      <w:pPr>
        <w:shd w:val="clear" w:color="auto" w:fill="FFFFFF"/>
        <w:spacing w:before="100" w:beforeAutospacing="1" w:after="100" w:afterAutospacing="1" w:line="293" w:lineRule="atLeast"/>
        <w:rPr>
          <w:rFonts w:ascii="Arial" w:eastAsia="Times New Roman" w:hAnsi="Arial" w:cs="Arial"/>
          <w:color w:val="414142"/>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15"/>
        <w:gridCol w:w="259"/>
        <w:gridCol w:w="1594"/>
        <w:gridCol w:w="1152"/>
        <w:gridCol w:w="1175"/>
        <w:gridCol w:w="2360"/>
      </w:tblGrid>
      <w:tr w:rsidR="003D5C72" w:rsidRPr="00273D30" w14:paraId="604F94B1" w14:textId="77777777" w:rsidTr="002D6D8A">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4A02F9F" w14:textId="77777777" w:rsidR="003D5C72" w:rsidRPr="00273D30" w:rsidRDefault="003D5C72" w:rsidP="002D6D8A">
            <w:pPr>
              <w:spacing w:before="100" w:beforeAutospacing="1" w:after="100" w:afterAutospacing="1" w:line="293" w:lineRule="atLeast"/>
              <w:jc w:val="center"/>
              <w:rPr>
                <w:rFonts w:eastAsia="Times New Roman" w:cs="Times New Roman"/>
                <w:b/>
                <w:bCs/>
                <w:sz w:val="24"/>
                <w:szCs w:val="24"/>
              </w:rPr>
            </w:pPr>
            <w:r w:rsidRPr="00273D30">
              <w:rPr>
                <w:rFonts w:eastAsia="Times New Roman" w:cs="Times New Roman"/>
                <w:b/>
                <w:bCs/>
                <w:sz w:val="24"/>
                <w:szCs w:val="24"/>
              </w:rPr>
              <w:t>1.tabula</w:t>
            </w:r>
            <w:r w:rsidRPr="00273D30">
              <w:rPr>
                <w:rFonts w:eastAsia="Times New Roman" w:cs="Times New Roman"/>
                <w:b/>
                <w:bCs/>
                <w:sz w:val="24"/>
                <w:szCs w:val="24"/>
              </w:rPr>
              <w:br/>
              <w:t>Tiesību akta projekta atbilstība ES tiesību aktiem</w:t>
            </w:r>
          </w:p>
        </w:tc>
      </w:tr>
      <w:tr w:rsidR="003D5C72" w:rsidRPr="00273D30" w14:paraId="7072B7C9" w14:textId="77777777" w:rsidTr="00C32C1D">
        <w:trPr>
          <w:jc w:val="center"/>
        </w:trPr>
        <w:tc>
          <w:tcPr>
            <w:tcW w:w="1389" w:type="pct"/>
            <w:tcBorders>
              <w:top w:val="outset" w:sz="6" w:space="0" w:color="414142"/>
              <w:left w:val="outset" w:sz="6" w:space="0" w:color="414142"/>
              <w:bottom w:val="outset" w:sz="6" w:space="0" w:color="414142"/>
              <w:right w:val="outset" w:sz="6" w:space="0" w:color="414142"/>
            </w:tcBorders>
            <w:hideMark/>
          </w:tcPr>
          <w:p w14:paraId="68083166"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Attiecīgā ES tiesību akta datums, numurs un nosaukums</w:t>
            </w:r>
          </w:p>
        </w:tc>
        <w:tc>
          <w:tcPr>
            <w:tcW w:w="3611" w:type="pct"/>
            <w:gridSpan w:val="5"/>
            <w:tcBorders>
              <w:top w:val="outset" w:sz="6" w:space="0" w:color="414142"/>
              <w:left w:val="outset" w:sz="6" w:space="0" w:color="414142"/>
              <w:bottom w:val="outset" w:sz="6" w:space="0" w:color="414142"/>
              <w:right w:val="outset" w:sz="6" w:space="0" w:color="414142"/>
            </w:tcBorders>
            <w:hideMark/>
          </w:tcPr>
          <w:p w14:paraId="1D5C13DD" w14:textId="77777777" w:rsidR="003D5C72" w:rsidRPr="00273D30" w:rsidRDefault="00AC4D42" w:rsidP="00AC4D42">
            <w:pPr>
              <w:tabs>
                <w:tab w:val="left" w:pos="835"/>
              </w:tabs>
              <w:jc w:val="both"/>
              <w:rPr>
                <w:rFonts w:cs="Times New Roman"/>
                <w:sz w:val="24"/>
                <w:szCs w:val="24"/>
              </w:rPr>
            </w:pPr>
            <w:r w:rsidRPr="00273D30">
              <w:rPr>
                <w:rFonts w:eastAsia="Times New Roman" w:cs="Times New Roman"/>
                <w:sz w:val="24"/>
                <w:szCs w:val="24"/>
              </w:rPr>
              <w:t>Noteikumu projekts šo jomu neskar.</w:t>
            </w:r>
          </w:p>
        </w:tc>
      </w:tr>
      <w:tr w:rsidR="0039588D" w:rsidRPr="00273D30" w14:paraId="132B89D8" w14:textId="77777777" w:rsidTr="00C32C1D">
        <w:trPr>
          <w:jc w:val="center"/>
        </w:trPr>
        <w:tc>
          <w:tcPr>
            <w:tcW w:w="1389" w:type="pct"/>
            <w:tcBorders>
              <w:top w:val="outset" w:sz="6" w:space="0" w:color="414142"/>
              <w:left w:val="outset" w:sz="6" w:space="0" w:color="414142"/>
              <w:bottom w:val="outset" w:sz="6" w:space="0" w:color="414142"/>
              <w:right w:val="outset" w:sz="6" w:space="0" w:color="414142"/>
            </w:tcBorders>
            <w:vAlign w:val="center"/>
            <w:hideMark/>
          </w:tcPr>
          <w:p w14:paraId="7C018431" w14:textId="77777777" w:rsidR="003D5C72" w:rsidRPr="00273D30" w:rsidRDefault="003D5C72" w:rsidP="002D6D8A">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A</w:t>
            </w:r>
          </w:p>
        </w:tc>
        <w:tc>
          <w:tcPr>
            <w:tcW w:w="1023" w:type="pct"/>
            <w:gridSpan w:val="2"/>
            <w:tcBorders>
              <w:top w:val="outset" w:sz="6" w:space="0" w:color="414142"/>
              <w:left w:val="outset" w:sz="6" w:space="0" w:color="414142"/>
              <w:bottom w:val="outset" w:sz="6" w:space="0" w:color="414142"/>
              <w:right w:val="outset" w:sz="6" w:space="0" w:color="414142"/>
            </w:tcBorders>
            <w:vAlign w:val="center"/>
            <w:hideMark/>
          </w:tcPr>
          <w:p w14:paraId="61393479" w14:textId="77777777" w:rsidR="003D5C72" w:rsidRPr="00273D30" w:rsidRDefault="003D5C72" w:rsidP="002D6D8A">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B</w:t>
            </w:r>
          </w:p>
        </w:tc>
        <w:tc>
          <w:tcPr>
            <w:tcW w:w="1285" w:type="pct"/>
            <w:gridSpan w:val="2"/>
            <w:tcBorders>
              <w:top w:val="outset" w:sz="6" w:space="0" w:color="414142"/>
              <w:left w:val="outset" w:sz="6" w:space="0" w:color="414142"/>
              <w:bottom w:val="outset" w:sz="6" w:space="0" w:color="414142"/>
              <w:right w:val="outset" w:sz="6" w:space="0" w:color="414142"/>
            </w:tcBorders>
            <w:vAlign w:val="center"/>
            <w:hideMark/>
          </w:tcPr>
          <w:p w14:paraId="6A9EFCB7" w14:textId="77777777" w:rsidR="003D5C72" w:rsidRPr="00273D30" w:rsidRDefault="003D5C72" w:rsidP="002D6D8A">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7051F4DC" w14:textId="77777777" w:rsidR="003D5C72" w:rsidRPr="00273D30" w:rsidRDefault="003D5C72" w:rsidP="002D6D8A">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D</w:t>
            </w:r>
          </w:p>
        </w:tc>
      </w:tr>
      <w:tr w:rsidR="0039588D" w:rsidRPr="00273D30" w14:paraId="475A921A" w14:textId="77777777" w:rsidTr="00C32C1D">
        <w:trPr>
          <w:jc w:val="center"/>
        </w:trPr>
        <w:tc>
          <w:tcPr>
            <w:tcW w:w="1389" w:type="pct"/>
            <w:tcBorders>
              <w:top w:val="outset" w:sz="6" w:space="0" w:color="414142"/>
              <w:left w:val="outset" w:sz="6" w:space="0" w:color="414142"/>
              <w:bottom w:val="outset" w:sz="6" w:space="0" w:color="414142"/>
              <w:right w:val="outset" w:sz="6" w:space="0" w:color="414142"/>
            </w:tcBorders>
            <w:hideMark/>
          </w:tcPr>
          <w:p w14:paraId="0853E8EE"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 xml:space="preserve">Attiecīgā ES tiesību akta panta numurs (uzskaitot katru tiesību akta vienību </w:t>
            </w:r>
            <w:r w:rsidRPr="00273D30">
              <w:rPr>
                <w:rFonts w:eastAsia="Times New Roman" w:cs="Times New Roman"/>
                <w:sz w:val="24"/>
                <w:szCs w:val="24"/>
              </w:rPr>
              <w:lastRenderedPageBreak/>
              <w:t>– pantu, daļu, punktu, apakšpunktu)</w:t>
            </w:r>
          </w:p>
        </w:tc>
        <w:tc>
          <w:tcPr>
            <w:tcW w:w="1023" w:type="pct"/>
            <w:gridSpan w:val="2"/>
            <w:tcBorders>
              <w:top w:val="outset" w:sz="6" w:space="0" w:color="414142"/>
              <w:left w:val="outset" w:sz="6" w:space="0" w:color="414142"/>
              <w:bottom w:val="outset" w:sz="6" w:space="0" w:color="414142"/>
              <w:right w:val="outset" w:sz="6" w:space="0" w:color="414142"/>
            </w:tcBorders>
            <w:hideMark/>
          </w:tcPr>
          <w:p w14:paraId="161BB48D"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lastRenderedPageBreak/>
              <w:t xml:space="preserve">Projekta vienība, kas pārņem vai ievieš katru šīs tabulas A ailē </w:t>
            </w:r>
            <w:r w:rsidRPr="00273D30">
              <w:rPr>
                <w:rFonts w:eastAsia="Times New Roman" w:cs="Times New Roman"/>
                <w:sz w:val="24"/>
                <w:szCs w:val="24"/>
              </w:rPr>
              <w:lastRenderedPageBreak/>
              <w:t>minēto ES tiesību akta vienību, vai tiesību akts, kur attiecīgā ES tiesību akta vienība pārņemta vai ieviesta</w:t>
            </w:r>
          </w:p>
        </w:tc>
        <w:tc>
          <w:tcPr>
            <w:tcW w:w="1285" w:type="pct"/>
            <w:gridSpan w:val="2"/>
            <w:tcBorders>
              <w:top w:val="outset" w:sz="6" w:space="0" w:color="414142"/>
              <w:left w:val="outset" w:sz="6" w:space="0" w:color="414142"/>
              <w:bottom w:val="outset" w:sz="6" w:space="0" w:color="414142"/>
              <w:right w:val="outset" w:sz="6" w:space="0" w:color="414142"/>
            </w:tcBorders>
            <w:hideMark/>
          </w:tcPr>
          <w:p w14:paraId="3FEA40A4"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lastRenderedPageBreak/>
              <w:t xml:space="preserve">Informācija par to, vai šīs tabulas A ailē minētās ES tiesību akta vienības tiek pārņemtas </w:t>
            </w:r>
            <w:r w:rsidRPr="00273D30">
              <w:rPr>
                <w:rFonts w:eastAsia="Times New Roman" w:cs="Times New Roman"/>
                <w:sz w:val="24"/>
                <w:szCs w:val="24"/>
              </w:rPr>
              <w:lastRenderedPageBreak/>
              <w:t>vai ieviestas pilnībā vai daļēji.</w:t>
            </w:r>
          </w:p>
          <w:p w14:paraId="18BEAEFE" w14:textId="77777777" w:rsidR="003D5C72" w:rsidRPr="00273D30" w:rsidRDefault="003D5C72" w:rsidP="002D6D8A">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64C10D3" w14:textId="77777777" w:rsidR="003D5C72" w:rsidRPr="00273D30" w:rsidRDefault="003D5C72" w:rsidP="002D6D8A">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0F2E6498"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lastRenderedPageBreak/>
              <w:t xml:space="preserve">Informācija par to, vai šīs tabulas B ailē minētās projekta vienības paredz </w:t>
            </w:r>
            <w:r w:rsidRPr="00273D30">
              <w:rPr>
                <w:rFonts w:eastAsia="Times New Roman" w:cs="Times New Roman"/>
                <w:sz w:val="24"/>
                <w:szCs w:val="24"/>
              </w:rPr>
              <w:lastRenderedPageBreak/>
              <w:t>stingrākas prasības nekā šīs tabulas A ailē minētās ES tiesību akta vienības.</w:t>
            </w:r>
          </w:p>
          <w:p w14:paraId="01D5CAF4" w14:textId="77777777" w:rsidR="003D5C72" w:rsidRPr="00273D30" w:rsidRDefault="003D5C72" w:rsidP="002D6D8A">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Ja projekts satur stingrākas prasības nekā attiecīgais ES tiesību akts, norāda pamatojumu un samērīgumu.</w:t>
            </w:r>
          </w:p>
          <w:p w14:paraId="01D79ACE" w14:textId="77777777" w:rsidR="003D5C72" w:rsidRPr="00273D30" w:rsidRDefault="003D5C72" w:rsidP="002D6D8A">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91F2C" w:rsidRPr="00273D30" w14:paraId="139A076B" w14:textId="77777777" w:rsidTr="00C32C1D">
        <w:trPr>
          <w:jc w:val="center"/>
        </w:trPr>
        <w:tc>
          <w:tcPr>
            <w:tcW w:w="1389" w:type="pct"/>
            <w:tcBorders>
              <w:top w:val="outset" w:sz="6" w:space="0" w:color="414142"/>
              <w:left w:val="outset" w:sz="6" w:space="0" w:color="414142"/>
              <w:bottom w:val="outset" w:sz="6" w:space="0" w:color="414142"/>
              <w:right w:val="outset" w:sz="6" w:space="0" w:color="414142"/>
            </w:tcBorders>
          </w:tcPr>
          <w:p w14:paraId="78A3C1EF" w14:textId="4125A357" w:rsidR="00791F2C" w:rsidRPr="00273D30" w:rsidRDefault="00791F2C" w:rsidP="00791F2C">
            <w:pPr>
              <w:rPr>
                <w:rFonts w:eastAsia="Times New Roman" w:cs="Times New Roman"/>
                <w:sz w:val="24"/>
                <w:szCs w:val="24"/>
              </w:rPr>
            </w:pPr>
            <w:r w:rsidRPr="007D14C7">
              <w:rPr>
                <w:rFonts w:eastAsia="Times New Roman" w:cs="Times New Roman"/>
                <w:sz w:val="24"/>
                <w:szCs w:val="24"/>
              </w:rPr>
              <w:lastRenderedPageBreak/>
              <w:t>Komisijas regula Nr.1407/2013 17. un 18.punkts</w:t>
            </w:r>
          </w:p>
        </w:tc>
        <w:tc>
          <w:tcPr>
            <w:tcW w:w="1023" w:type="pct"/>
            <w:gridSpan w:val="2"/>
            <w:tcBorders>
              <w:top w:val="outset" w:sz="6" w:space="0" w:color="414142"/>
              <w:left w:val="outset" w:sz="6" w:space="0" w:color="414142"/>
              <w:bottom w:val="outset" w:sz="6" w:space="0" w:color="414142"/>
              <w:right w:val="outset" w:sz="6" w:space="0" w:color="414142"/>
            </w:tcBorders>
          </w:tcPr>
          <w:p w14:paraId="3D53E5DC" w14:textId="4E85B752" w:rsidR="00791F2C" w:rsidRPr="00273D30" w:rsidRDefault="00F93CF2" w:rsidP="00F93CF2">
            <w:pPr>
              <w:rPr>
                <w:rFonts w:eastAsia="Times New Roman" w:cs="Times New Roman"/>
                <w:sz w:val="24"/>
                <w:szCs w:val="24"/>
              </w:rPr>
            </w:pPr>
            <w:r>
              <w:rPr>
                <w:rFonts w:eastAsia="Times New Roman" w:cs="Times New Roman"/>
                <w:sz w:val="24"/>
                <w:szCs w:val="24"/>
              </w:rPr>
              <w:t>N</w:t>
            </w:r>
            <w:r w:rsidR="00791F2C">
              <w:rPr>
                <w:rFonts w:eastAsia="Times New Roman" w:cs="Times New Roman"/>
                <w:sz w:val="24"/>
                <w:szCs w:val="24"/>
              </w:rPr>
              <w:t>oteikumu projekta 1</w:t>
            </w:r>
            <w:r w:rsidR="00791F2C" w:rsidRPr="007D14C7">
              <w:rPr>
                <w:rFonts w:eastAsia="Times New Roman" w:cs="Times New Roman"/>
                <w:sz w:val="24"/>
                <w:szCs w:val="24"/>
              </w:rPr>
              <w:t xml:space="preserve">.punkts (tiek papildināti MK noteikumi ar </w:t>
            </w:r>
            <w:r w:rsidR="00791F2C">
              <w:rPr>
                <w:rFonts w:eastAsia="Times New Roman" w:cs="Times New Roman"/>
                <w:sz w:val="24"/>
                <w:szCs w:val="24"/>
              </w:rPr>
              <w:t>11</w:t>
            </w:r>
            <w:r w:rsidR="00791F2C" w:rsidRPr="007D14C7">
              <w:rPr>
                <w:rFonts w:eastAsia="Times New Roman" w:cs="Times New Roman"/>
                <w:sz w:val="24"/>
                <w:szCs w:val="24"/>
              </w:rPr>
              <w:t>.</w:t>
            </w:r>
            <w:r w:rsidR="00791F2C" w:rsidRPr="007D14C7">
              <w:rPr>
                <w:rFonts w:eastAsia="Times New Roman" w:cs="Times New Roman"/>
                <w:sz w:val="24"/>
                <w:szCs w:val="24"/>
                <w:vertAlign w:val="superscript"/>
              </w:rPr>
              <w:t>1</w:t>
            </w:r>
            <w:r w:rsidR="00791F2C" w:rsidRPr="007D14C7">
              <w:rPr>
                <w:rFonts w:eastAsia="Times New Roman" w:cs="Times New Roman"/>
                <w:sz w:val="24"/>
                <w:szCs w:val="24"/>
              </w:rPr>
              <w:t xml:space="preserve"> punktu)</w:t>
            </w:r>
          </w:p>
        </w:tc>
        <w:tc>
          <w:tcPr>
            <w:tcW w:w="1285" w:type="pct"/>
            <w:gridSpan w:val="2"/>
            <w:tcBorders>
              <w:top w:val="outset" w:sz="6" w:space="0" w:color="414142"/>
              <w:left w:val="outset" w:sz="6" w:space="0" w:color="414142"/>
              <w:bottom w:val="outset" w:sz="6" w:space="0" w:color="414142"/>
              <w:right w:val="outset" w:sz="6" w:space="0" w:color="414142"/>
            </w:tcBorders>
          </w:tcPr>
          <w:p w14:paraId="56A60276" w14:textId="5560D883" w:rsidR="00791F2C" w:rsidRPr="00273D30" w:rsidRDefault="00791F2C" w:rsidP="00791F2C">
            <w:pPr>
              <w:rPr>
                <w:rFonts w:eastAsia="Times New Roman" w:cs="Times New Roman"/>
                <w:sz w:val="24"/>
                <w:szCs w:val="24"/>
              </w:rPr>
            </w:pPr>
            <w:r w:rsidRPr="007D14C7">
              <w:rPr>
                <w:rFonts w:eastAsia="Times New Roman" w:cs="Times New Roman"/>
                <w:i/>
                <w:sz w:val="24"/>
                <w:szCs w:val="24"/>
              </w:rPr>
              <w:t>Ieviesta pilnībā</w:t>
            </w:r>
          </w:p>
        </w:tc>
        <w:tc>
          <w:tcPr>
            <w:tcW w:w="1303" w:type="pct"/>
            <w:tcBorders>
              <w:top w:val="outset" w:sz="6" w:space="0" w:color="414142"/>
              <w:left w:val="outset" w:sz="6" w:space="0" w:color="414142"/>
              <w:bottom w:val="outset" w:sz="6" w:space="0" w:color="414142"/>
              <w:right w:val="outset" w:sz="6" w:space="0" w:color="414142"/>
            </w:tcBorders>
          </w:tcPr>
          <w:p w14:paraId="39B94508" w14:textId="7F5EF6F2" w:rsidR="00791F2C" w:rsidRPr="00273D30" w:rsidRDefault="00791F2C" w:rsidP="00791F2C">
            <w:pPr>
              <w:rPr>
                <w:rFonts w:eastAsia="Times New Roman" w:cs="Times New Roman"/>
                <w:sz w:val="24"/>
                <w:szCs w:val="24"/>
              </w:rPr>
            </w:pPr>
            <w:r w:rsidRPr="007D14C7">
              <w:rPr>
                <w:rFonts w:eastAsia="Times New Roman" w:cs="Times New Roman"/>
                <w:i/>
                <w:sz w:val="24"/>
                <w:szCs w:val="24"/>
              </w:rPr>
              <w:t>Neparedz stingrākas prasības</w:t>
            </w:r>
          </w:p>
        </w:tc>
      </w:tr>
      <w:tr w:rsidR="00791F2C" w:rsidRPr="00273D30" w14:paraId="1055A76D" w14:textId="77777777" w:rsidTr="002D6D8A">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71B609A" w14:textId="77777777" w:rsidR="00791F2C" w:rsidRPr="00273D30" w:rsidRDefault="00791F2C" w:rsidP="00791F2C">
            <w:pPr>
              <w:spacing w:before="100" w:beforeAutospacing="1" w:after="100" w:afterAutospacing="1" w:line="293" w:lineRule="atLeast"/>
              <w:jc w:val="center"/>
              <w:rPr>
                <w:rFonts w:eastAsia="Times New Roman" w:cs="Times New Roman"/>
                <w:b/>
                <w:bCs/>
                <w:sz w:val="24"/>
                <w:szCs w:val="24"/>
              </w:rPr>
            </w:pPr>
            <w:r w:rsidRPr="00273D30">
              <w:rPr>
                <w:rFonts w:eastAsia="Times New Roman" w:cs="Times New Roman"/>
                <w:b/>
                <w:bCs/>
                <w:sz w:val="24"/>
                <w:szCs w:val="24"/>
              </w:rPr>
              <w:t>2.tabula</w:t>
            </w:r>
            <w:r w:rsidRPr="00273D30">
              <w:rPr>
                <w:rFonts w:eastAsia="Times New Roman" w:cs="Times New Roman"/>
                <w:b/>
                <w:bCs/>
                <w:sz w:val="24"/>
                <w:szCs w:val="24"/>
              </w:rPr>
              <w:br/>
              <w:t>Ar tiesību akta projektu izpildītās vai uzņemtās saistības, kas izriet no starptautiskajiem tiesību aktiem vai starptautiskas institūcijas vai organizācijas dokumentiem.</w:t>
            </w:r>
            <w:r w:rsidRPr="00273D30">
              <w:rPr>
                <w:rFonts w:eastAsia="Times New Roman" w:cs="Times New Roman"/>
                <w:b/>
                <w:bCs/>
                <w:sz w:val="24"/>
                <w:szCs w:val="24"/>
              </w:rPr>
              <w:br/>
              <w:t>Pasākumi šo saistību izpildei</w:t>
            </w:r>
          </w:p>
        </w:tc>
      </w:tr>
      <w:tr w:rsidR="00791F2C" w:rsidRPr="00273D30" w14:paraId="20A9E0B6"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vAlign w:val="center"/>
            <w:hideMark/>
          </w:tcPr>
          <w:p w14:paraId="4104ABE8"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t>Attiecīgā starptautiskā tiesību akta vai starptautiskas institūcijas vai organizācijas dokumenta (turpmāk – starptautiskais dokuments) datums, numurs un nosaukums</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6B43BCAB" w14:textId="77777777" w:rsidR="00791F2C" w:rsidRPr="00273D30" w:rsidRDefault="00791F2C" w:rsidP="00791F2C">
            <w:pPr>
              <w:jc w:val="both"/>
              <w:rPr>
                <w:rFonts w:eastAsia="Times New Roman" w:cs="Times New Roman"/>
                <w:sz w:val="24"/>
                <w:szCs w:val="24"/>
              </w:rPr>
            </w:pPr>
            <w:r w:rsidRPr="00273D30">
              <w:rPr>
                <w:rFonts w:eastAsia="Times New Roman" w:cs="Times New Roman"/>
                <w:sz w:val="24"/>
                <w:szCs w:val="24"/>
              </w:rPr>
              <w:t>Noteikumu projekts šo jomu neskar.</w:t>
            </w:r>
          </w:p>
        </w:tc>
      </w:tr>
      <w:tr w:rsidR="00791F2C" w:rsidRPr="00273D30" w14:paraId="21A13D44"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vAlign w:val="center"/>
            <w:hideMark/>
          </w:tcPr>
          <w:p w14:paraId="301E71DF" w14:textId="77777777" w:rsidR="00791F2C" w:rsidRPr="00273D30" w:rsidRDefault="00791F2C" w:rsidP="00791F2C">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A</w:t>
            </w:r>
          </w:p>
        </w:tc>
        <w:tc>
          <w:tcPr>
            <w:tcW w:w="1516" w:type="pct"/>
            <w:gridSpan w:val="2"/>
            <w:tcBorders>
              <w:top w:val="outset" w:sz="6" w:space="0" w:color="414142"/>
              <w:left w:val="outset" w:sz="6" w:space="0" w:color="414142"/>
              <w:bottom w:val="outset" w:sz="6" w:space="0" w:color="414142"/>
              <w:right w:val="outset" w:sz="6" w:space="0" w:color="414142"/>
            </w:tcBorders>
            <w:vAlign w:val="center"/>
            <w:hideMark/>
          </w:tcPr>
          <w:p w14:paraId="1B0343FE" w14:textId="77777777" w:rsidR="00791F2C" w:rsidRPr="00273D30" w:rsidRDefault="00791F2C" w:rsidP="00791F2C">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B</w:t>
            </w:r>
          </w:p>
        </w:tc>
        <w:tc>
          <w:tcPr>
            <w:tcW w:w="1952" w:type="pct"/>
            <w:gridSpan w:val="2"/>
            <w:tcBorders>
              <w:top w:val="outset" w:sz="6" w:space="0" w:color="414142"/>
              <w:left w:val="outset" w:sz="6" w:space="0" w:color="414142"/>
              <w:bottom w:val="outset" w:sz="6" w:space="0" w:color="414142"/>
              <w:right w:val="outset" w:sz="6" w:space="0" w:color="414142"/>
            </w:tcBorders>
            <w:vAlign w:val="center"/>
            <w:hideMark/>
          </w:tcPr>
          <w:p w14:paraId="675421CA" w14:textId="77777777" w:rsidR="00791F2C" w:rsidRPr="00273D30" w:rsidRDefault="00791F2C" w:rsidP="00791F2C">
            <w:pPr>
              <w:spacing w:before="100" w:beforeAutospacing="1" w:after="100" w:afterAutospacing="1" w:line="293" w:lineRule="atLeast"/>
              <w:jc w:val="center"/>
              <w:rPr>
                <w:rFonts w:eastAsia="Times New Roman" w:cs="Times New Roman"/>
                <w:sz w:val="24"/>
                <w:szCs w:val="24"/>
              </w:rPr>
            </w:pPr>
            <w:r w:rsidRPr="00273D30">
              <w:rPr>
                <w:rFonts w:eastAsia="Times New Roman" w:cs="Times New Roman"/>
                <w:sz w:val="24"/>
                <w:szCs w:val="24"/>
              </w:rPr>
              <w:t>C</w:t>
            </w:r>
          </w:p>
        </w:tc>
      </w:tr>
      <w:tr w:rsidR="00791F2C" w:rsidRPr="00273D30" w14:paraId="5F5DF82B"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41B82F59"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t>Starptautiskās saistības (pēc būtības), kas izriet no norādītā starptautiskā dokumenta.</w:t>
            </w:r>
          </w:p>
          <w:p w14:paraId="51FD3469" w14:textId="77777777" w:rsidR="00791F2C" w:rsidRPr="00273D30" w:rsidRDefault="00791F2C" w:rsidP="00791F2C">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lastRenderedPageBreak/>
              <w:t>Konkrēti veicamie pasākumi vai uzdevumi, kas nepieciešami šo starptautisko saistību izpildei</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79D07A21"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lastRenderedPageBreak/>
              <w:t xml:space="preserve">Ja pasākumi vai uzdevumi, ar ko tiks izpildītas starptautiskās saistības, tiek noteikti projektā, norāda </w:t>
            </w:r>
            <w:r w:rsidRPr="00273D30">
              <w:rPr>
                <w:rFonts w:eastAsia="Times New Roman" w:cs="Times New Roman"/>
                <w:sz w:val="24"/>
                <w:szCs w:val="24"/>
              </w:rPr>
              <w:lastRenderedPageBreak/>
              <w:t>attiecīgo projekta vienību vai dokumentu, kurā sniegts izvērsts skaidrojums, kādā veidā tiks nodrošināta starptautisko saistību izpilde</w:t>
            </w:r>
          </w:p>
        </w:tc>
        <w:tc>
          <w:tcPr>
            <w:tcW w:w="1952" w:type="pct"/>
            <w:gridSpan w:val="2"/>
            <w:tcBorders>
              <w:top w:val="outset" w:sz="6" w:space="0" w:color="414142"/>
              <w:left w:val="outset" w:sz="6" w:space="0" w:color="414142"/>
              <w:bottom w:val="outset" w:sz="6" w:space="0" w:color="414142"/>
              <w:right w:val="outset" w:sz="6" w:space="0" w:color="414142"/>
            </w:tcBorders>
            <w:hideMark/>
          </w:tcPr>
          <w:p w14:paraId="4DEA49F6"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lastRenderedPageBreak/>
              <w:t>Informācija par to, vai starptautiskās saistības, kas minētas šīs tabulas A ailē, tiek izpildītas pilnībā vai daļēji.</w:t>
            </w:r>
          </w:p>
          <w:p w14:paraId="30243384" w14:textId="77777777" w:rsidR="00791F2C" w:rsidRPr="00273D30" w:rsidRDefault="00791F2C" w:rsidP="00791F2C">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lastRenderedPageBreak/>
              <w:t>Ja attiecīgās starptautiskās saistības tiek izpildītas daļēji, sniedz skaidrojumu, kā arī precīzi norāda, kad un kādā veidā starptautiskās saistības tiks izpildītas pilnībā.</w:t>
            </w:r>
          </w:p>
          <w:p w14:paraId="77D91DED" w14:textId="77777777" w:rsidR="00791F2C" w:rsidRPr="00273D30" w:rsidRDefault="00791F2C" w:rsidP="00791F2C">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Norāda institūciju, kas ir atbildīga par šo saistību izpildi pilnībā</w:t>
            </w:r>
          </w:p>
        </w:tc>
      </w:tr>
      <w:tr w:rsidR="00791F2C" w:rsidRPr="00273D30" w14:paraId="11B637B6"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33067931"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lastRenderedPageBreak/>
              <w:t>Noteikumu projekts šo jomu neskar.</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1A64120A"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t>Noteikumu projekts šo jomu neskar.</w:t>
            </w:r>
          </w:p>
        </w:tc>
        <w:tc>
          <w:tcPr>
            <w:tcW w:w="1952" w:type="pct"/>
            <w:gridSpan w:val="2"/>
            <w:tcBorders>
              <w:top w:val="outset" w:sz="6" w:space="0" w:color="414142"/>
              <w:left w:val="outset" w:sz="6" w:space="0" w:color="414142"/>
              <w:bottom w:val="outset" w:sz="6" w:space="0" w:color="414142"/>
              <w:right w:val="outset" w:sz="6" w:space="0" w:color="414142"/>
            </w:tcBorders>
            <w:hideMark/>
          </w:tcPr>
          <w:p w14:paraId="0C14B6D1" w14:textId="77777777" w:rsidR="00791F2C" w:rsidRPr="00273D30" w:rsidRDefault="00791F2C" w:rsidP="00791F2C">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Noteikumu projekts šo jomu neskar.</w:t>
            </w:r>
          </w:p>
        </w:tc>
      </w:tr>
      <w:tr w:rsidR="00791F2C" w:rsidRPr="00273D30" w14:paraId="7A124B8F"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1683F50C"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t>Vai starptautiskajā dokumentā paredzētās saistības nav pretrunā ar jau esošajām Latvijas Republikas starptautiskajām saistībām</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5F5C7C1D"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t>Noteikumu projekts šo jomu neskar.</w:t>
            </w:r>
          </w:p>
        </w:tc>
      </w:tr>
      <w:tr w:rsidR="00791F2C" w:rsidRPr="00273D30" w14:paraId="26E056E8"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2AE9A3CA" w14:textId="77777777" w:rsidR="00791F2C" w:rsidRPr="00273D30" w:rsidRDefault="00791F2C" w:rsidP="00791F2C">
            <w:pPr>
              <w:rPr>
                <w:rFonts w:eastAsia="Times New Roman" w:cs="Times New Roman"/>
                <w:sz w:val="24"/>
                <w:szCs w:val="24"/>
              </w:rPr>
            </w:pPr>
            <w:r w:rsidRPr="00273D30">
              <w:rPr>
                <w:rFonts w:eastAsia="Times New Roman" w:cs="Times New Roman"/>
                <w:sz w:val="24"/>
                <w:szCs w:val="24"/>
              </w:rPr>
              <w:t>Cita informācija</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603D3327" w14:textId="77777777" w:rsidR="00791F2C" w:rsidRPr="00273D30" w:rsidRDefault="00791F2C" w:rsidP="00791F2C">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Nav.</w:t>
            </w:r>
          </w:p>
        </w:tc>
      </w:tr>
    </w:tbl>
    <w:p w14:paraId="0772BFCD" w14:textId="77777777" w:rsidR="00D5277D" w:rsidRPr="00273D30" w:rsidRDefault="00D5277D" w:rsidP="00653B45">
      <w:pPr>
        <w:shd w:val="clear" w:color="auto" w:fill="FFFFFF"/>
        <w:spacing w:before="100" w:beforeAutospacing="1" w:after="100" w:afterAutospacing="1" w:line="293" w:lineRule="atLeast"/>
        <w:rPr>
          <w:rFonts w:ascii="Arial" w:eastAsia="Times New Roman" w:hAnsi="Arial" w:cs="Arial"/>
          <w:color w:val="414142"/>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2"/>
        <w:gridCol w:w="2941"/>
        <w:gridCol w:w="5802"/>
      </w:tblGrid>
      <w:tr w:rsidR="003D5C72" w:rsidRPr="00273D30" w14:paraId="7DAEE98A" w14:textId="77777777" w:rsidTr="00C87E3C">
        <w:trPr>
          <w:trHeight w:val="420"/>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834D3D1" w14:textId="77777777" w:rsidR="003D5C72" w:rsidRPr="00273D30" w:rsidRDefault="003D5C72" w:rsidP="002D6D8A">
            <w:pPr>
              <w:spacing w:before="100" w:beforeAutospacing="1" w:after="100" w:afterAutospacing="1" w:line="293" w:lineRule="atLeast"/>
              <w:jc w:val="center"/>
              <w:rPr>
                <w:rFonts w:eastAsia="Times New Roman" w:cs="Times New Roman"/>
                <w:b/>
                <w:bCs/>
                <w:sz w:val="24"/>
                <w:szCs w:val="24"/>
              </w:rPr>
            </w:pPr>
            <w:r w:rsidRPr="00273D30">
              <w:rPr>
                <w:rFonts w:eastAsia="Times New Roman" w:cs="Times New Roman"/>
                <w:b/>
                <w:bCs/>
                <w:sz w:val="24"/>
                <w:szCs w:val="24"/>
              </w:rPr>
              <w:t>VI. Sabiedrības līdzdalība un komunikācijas aktivitātes</w:t>
            </w:r>
          </w:p>
        </w:tc>
      </w:tr>
      <w:tr w:rsidR="003D5C72" w:rsidRPr="00273D30" w14:paraId="203D186C" w14:textId="77777777" w:rsidTr="00C87E3C">
        <w:trPr>
          <w:trHeight w:val="540"/>
          <w:jc w:val="center"/>
        </w:trPr>
        <w:tc>
          <w:tcPr>
            <w:tcW w:w="312" w:type="dxa"/>
            <w:tcBorders>
              <w:top w:val="outset" w:sz="6" w:space="0" w:color="414142"/>
              <w:left w:val="outset" w:sz="6" w:space="0" w:color="414142"/>
              <w:bottom w:val="outset" w:sz="6" w:space="0" w:color="414142"/>
              <w:right w:val="outset" w:sz="6" w:space="0" w:color="414142"/>
            </w:tcBorders>
            <w:hideMark/>
          </w:tcPr>
          <w:p w14:paraId="3A425390"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1.</w:t>
            </w:r>
          </w:p>
        </w:tc>
        <w:tc>
          <w:tcPr>
            <w:tcW w:w="2941" w:type="dxa"/>
            <w:tcBorders>
              <w:top w:val="outset" w:sz="6" w:space="0" w:color="414142"/>
              <w:left w:val="outset" w:sz="6" w:space="0" w:color="414142"/>
              <w:bottom w:val="outset" w:sz="6" w:space="0" w:color="414142"/>
              <w:right w:val="outset" w:sz="6" w:space="0" w:color="414142"/>
            </w:tcBorders>
            <w:hideMark/>
          </w:tcPr>
          <w:p w14:paraId="1D8C7BAE"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Plānotās sabiedrības līdzdalības un komunikācijas aktivitātes saistībā ar projektu</w:t>
            </w:r>
          </w:p>
        </w:tc>
        <w:tc>
          <w:tcPr>
            <w:tcW w:w="5802" w:type="dxa"/>
            <w:tcBorders>
              <w:top w:val="outset" w:sz="6" w:space="0" w:color="414142"/>
              <w:left w:val="outset" w:sz="6" w:space="0" w:color="414142"/>
              <w:bottom w:val="outset" w:sz="6" w:space="0" w:color="414142"/>
              <w:right w:val="outset" w:sz="6" w:space="0" w:color="414142"/>
            </w:tcBorders>
            <w:hideMark/>
          </w:tcPr>
          <w:p w14:paraId="317176D0" w14:textId="773633A8" w:rsidR="003D5C72" w:rsidRPr="00273D30" w:rsidRDefault="00923AA6" w:rsidP="00B1476A">
            <w:pPr>
              <w:jc w:val="both"/>
              <w:rPr>
                <w:rFonts w:eastAsia="Times New Roman" w:cs="Times New Roman"/>
                <w:sz w:val="24"/>
                <w:szCs w:val="24"/>
              </w:rPr>
            </w:pPr>
            <w:r w:rsidRPr="00F01E4D">
              <w:rPr>
                <w:rFonts w:eastAsia="Times New Roman" w:cs="Times New Roman"/>
                <w:sz w:val="24"/>
                <w:szCs w:val="24"/>
              </w:rPr>
              <w:t>Latvijas Investīciju un attīstības aģentūr</w:t>
            </w:r>
            <w:r>
              <w:rPr>
                <w:rFonts w:eastAsia="Times New Roman" w:cs="Times New Roman"/>
                <w:sz w:val="24"/>
                <w:szCs w:val="24"/>
              </w:rPr>
              <w:t xml:space="preserve">a </w:t>
            </w:r>
            <w:r w:rsidR="00F93CF2">
              <w:rPr>
                <w:rFonts w:eastAsia="Times New Roman" w:cs="Times New Roman"/>
                <w:sz w:val="24"/>
                <w:szCs w:val="24"/>
              </w:rPr>
              <w:t xml:space="preserve">ir </w:t>
            </w:r>
            <w:r w:rsidR="00C87E3C" w:rsidRPr="00273D30">
              <w:rPr>
                <w:rFonts w:eastAsia="Times New Roman" w:cs="Times New Roman"/>
                <w:sz w:val="24"/>
                <w:szCs w:val="24"/>
              </w:rPr>
              <w:t>rakstiski informē</w:t>
            </w:r>
            <w:r w:rsidR="00F93CF2">
              <w:rPr>
                <w:rFonts w:eastAsia="Times New Roman" w:cs="Times New Roman"/>
                <w:sz w:val="24"/>
                <w:szCs w:val="24"/>
              </w:rPr>
              <w:t>jusi</w:t>
            </w:r>
            <w:r w:rsidR="00C87E3C" w:rsidRPr="00273D30">
              <w:rPr>
                <w:rFonts w:eastAsia="Times New Roman" w:cs="Times New Roman"/>
                <w:sz w:val="24"/>
                <w:szCs w:val="24"/>
              </w:rPr>
              <w:t xml:space="preserve"> </w:t>
            </w:r>
            <w:r w:rsidRPr="00923AA6">
              <w:rPr>
                <w:rFonts w:eastAsia="Times New Roman" w:cs="Times New Roman"/>
                <w:sz w:val="24"/>
                <w:szCs w:val="24"/>
              </w:rPr>
              <w:t>atklāta konkursa projekta līdzfinansējuma saņēmēj</w:t>
            </w:r>
            <w:r>
              <w:rPr>
                <w:rFonts w:eastAsia="Times New Roman" w:cs="Times New Roman"/>
                <w:sz w:val="24"/>
                <w:szCs w:val="24"/>
              </w:rPr>
              <w:t>u</w:t>
            </w:r>
            <w:r w:rsidRPr="00923AA6">
              <w:rPr>
                <w:rFonts w:eastAsia="Times New Roman" w:cs="Times New Roman"/>
                <w:sz w:val="24"/>
                <w:szCs w:val="24"/>
              </w:rPr>
              <w:t xml:space="preserve">s </w:t>
            </w:r>
            <w:r w:rsidR="00C87E3C" w:rsidRPr="00273D30">
              <w:rPr>
                <w:rFonts w:eastAsia="Times New Roman" w:cs="Times New Roman"/>
                <w:sz w:val="24"/>
                <w:szCs w:val="24"/>
              </w:rPr>
              <w:t xml:space="preserve">par iespēju pagarināt projekta īstenošanas termiņu </w:t>
            </w:r>
            <w:r w:rsidR="009500D7" w:rsidRPr="00273D30">
              <w:rPr>
                <w:rFonts w:eastAsia="Times New Roman" w:cs="Times New Roman"/>
                <w:sz w:val="24"/>
                <w:szCs w:val="24"/>
              </w:rPr>
              <w:t>līdz</w:t>
            </w:r>
            <w:r w:rsidR="00C87E3C" w:rsidRPr="00273D30">
              <w:rPr>
                <w:rFonts w:eastAsia="Times New Roman" w:cs="Times New Roman"/>
                <w:sz w:val="24"/>
                <w:szCs w:val="24"/>
              </w:rPr>
              <w:t xml:space="preserve"> 201</w:t>
            </w:r>
            <w:r w:rsidR="009500D7" w:rsidRPr="00273D30">
              <w:rPr>
                <w:rFonts w:eastAsia="Times New Roman" w:cs="Times New Roman"/>
                <w:sz w:val="24"/>
                <w:szCs w:val="24"/>
              </w:rPr>
              <w:t>7</w:t>
            </w:r>
            <w:r w:rsidR="00C87E3C" w:rsidRPr="00273D30">
              <w:rPr>
                <w:rFonts w:eastAsia="Times New Roman" w:cs="Times New Roman"/>
                <w:sz w:val="24"/>
                <w:szCs w:val="24"/>
              </w:rPr>
              <w:t>.gada 30.aprīli</w:t>
            </w:r>
            <w:r w:rsidR="009500D7" w:rsidRPr="00273D30">
              <w:rPr>
                <w:rFonts w:eastAsia="Times New Roman" w:cs="Times New Roman"/>
                <w:sz w:val="24"/>
                <w:szCs w:val="24"/>
              </w:rPr>
              <w:t>m</w:t>
            </w:r>
            <w:r w:rsidR="00C87E3C" w:rsidRPr="00273D30">
              <w:rPr>
                <w:rFonts w:eastAsia="Times New Roman" w:cs="Times New Roman"/>
                <w:sz w:val="24"/>
                <w:szCs w:val="24"/>
              </w:rPr>
              <w:t xml:space="preserve">. </w:t>
            </w:r>
          </w:p>
          <w:p w14:paraId="68E7D0AB" w14:textId="77777777" w:rsidR="00C87E3C" w:rsidRPr="00273D30" w:rsidRDefault="00C87E3C" w:rsidP="00CD210F">
            <w:pPr>
              <w:jc w:val="both"/>
              <w:rPr>
                <w:rFonts w:eastAsia="Times New Roman" w:cs="Times New Roman"/>
                <w:sz w:val="24"/>
                <w:szCs w:val="24"/>
              </w:rPr>
            </w:pPr>
            <w:r w:rsidRPr="00273D30">
              <w:rPr>
                <w:rFonts w:eastAsia="Times New Roman" w:cs="Times New Roman"/>
                <w:sz w:val="24"/>
                <w:szCs w:val="24"/>
              </w:rPr>
              <w:t>Noteikumu projekts citas sabiedrības grupas neietekmē.</w:t>
            </w:r>
          </w:p>
        </w:tc>
      </w:tr>
      <w:tr w:rsidR="003D5C72" w:rsidRPr="00273D30" w14:paraId="4A2DC8C0" w14:textId="77777777" w:rsidTr="00C87E3C">
        <w:trPr>
          <w:trHeight w:val="330"/>
          <w:jc w:val="center"/>
        </w:trPr>
        <w:tc>
          <w:tcPr>
            <w:tcW w:w="312" w:type="dxa"/>
            <w:tcBorders>
              <w:top w:val="outset" w:sz="6" w:space="0" w:color="414142"/>
              <w:left w:val="outset" w:sz="6" w:space="0" w:color="414142"/>
              <w:bottom w:val="outset" w:sz="6" w:space="0" w:color="414142"/>
              <w:right w:val="outset" w:sz="6" w:space="0" w:color="414142"/>
            </w:tcBorders>
            <w:hideMark/>
          </w:tcPr>
          <w:p w14:paraId="62DEBB14"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2.</w:t>
            </w:r>
          </w:p>
        </w:tc>
        <w:tc>
          <w:tcPr>
            <w:tcW w:w="2941" w:type="dxa"/>
            <w:tcBorders>
              <w:top w:val="outset" w:sz="6" w:space="0" w:color="414142"/>
              <w:left w:val="outset" w:sz="6" w:space="0" w:color="414142"/>
              <w:bottom w:val="outset" w:sz="6" w:space="0" w:color="414142"/>
              <w:right w:val="outset" w:sz="6" w:space="0" w:color="414142"/>
            </w:tcBorders>
            <w:hideMark/>
          </w:tcPr>
          <w:p w14:paraId="15BBD1EC"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Sabiedrības līdzdalība projekta izstrādē</w:t>
            </w:r>
          </w:p>
        </w:tc>
        <w:tc>
          <w:tcPr>
            <w:tcW w:w="5802" w:type="dxa"/>
            <w:tcBorders>
              <w:top w:val="outset" w:sz="6" w:space="0" w:color="414142"/>
              <w:left w:val="outset" w:sz="6" w:space="0" w:color="414142"/>
              <w:bottom w:val="outset" w:sz="6" w:space="0" w:color="414142"/>
              <w:right w:val="outset" w:sz="6" w:space="0" w:color="414142"/>
            </w:tcBorders>
            <w:hideMark/>
          </w:tcPr>
          <w:p w14:paraId="61711489" w14:textId="77777777" w:rsidR="007C6255" w:rsidRPr="00273D30" w:rsidRDefault="00923AA6" w:rsidP="00923AA6">
            <w:pPr>
              <w:jc w:val="both"/>
              <w:rPr>
                <w:color w:val="0000FF"/>
                <w:sz w:val="24"/>
                <w:szCs w:val="24"/>
                <w:u w:val="single"/>
              </w:rPr>
            </w:pPr>
            <w:r>
              <w:rPr>
                <w:rFonts w:eastAsia="Times New Roman" w:cs="Times New Roman"/>
                <w:iCs/>
                <w:sz w:val="24"/>
                <w:szCs w:val="24"/>
                <w:lang w:eastAsia="lv-LV"/>
              </w:rPr>
              <w:t>MK n</w:t>
            </w:r>
            <w:r w:rsidR="00C87E3C" w:rsidRPr="00273D30">
              <w:rPr>
                <w:rFonts w:eastAsia="Times New Roman" w:cs="Times New Roman"/>
                <w:iCs/>
                <w:sz w:val="24"/>
                <w:szCs w:val="24"/>
                <w:lang w:eastAsia="lv-LV"/>
              </w:rPr>
              <w:t xml:space="preserve">oteikumu projekts paredz labvēlīgākus nosacījumus </w:t>
            </w:r>
            <w:r w:rsidRPr="00923AA6">
              <w:rPr>
                <w:rFonts w:eastAsia="Times New Roman" w:cs="Times New Roman"/>
                <w:sz w:val="24"/>
                <w:szCs w:val="24"/>
              </w:rPr>
              <w:t>atklāta konkursa projekta līdzfinansējuma saņēmēj</w:t>
            </w:r>
            <w:r>
              <w:rPr>
                <w:rFonts w:eastAsia="Times New Roman" w:cs="Times New Roman"/>
                <w:sz w:val="24"/>
                <w:szCs w:val="24"/>
              </w:rPr>
              <w:t>iem</w:t>
            </w:r>
            <w:r w:rsidR="00C87E3C" w:rsidRPr="00273D30">
              <w:rPr>
                <w:rFonts w:eastAsia="Times New Roman" w:cs="Times New Roman"/>
                <w:iCs/>
                <w:sz w:val="24"/>
                <w:szCs w:val="24"/>
                <w:lang w:eastAsia="lv-LV"/>
              </w:rPr>
              <w:t xml:space="preserve"> salīdzinājumā ar spēkā esošajiem noteikumiem, tāpēc konsultācijas  nav nepieciešams rīkot. Vienlaicīgi </w:t>
            </w:r>
            <w:r w:rsidR="00653B45" w:rsidRPr="00273D30">
              <w:rPr>
                <w:rFonts w:eastAsia="Times New Roman" w:cs="Times New Roman"/>
                <w:sz w:val="24"/>
                <w:szCs w:val="24"/>
              </w:rPr>
              <w:t xml:space="preserve">noteikumu projekts tiks </w:t>
            </w:r>
            <w:r w:rsidR="00C87E3C" w:rsidRPr="00273D30">
              <w:rPr>
                <w:rFonts w:eastAsia="Times New Roman" w:cs="Times New Roman"/>
                <w:sz w:val="24"/>
                <w:szCs w:val="24"/>
              </w:rPr>
              <w:t xml:space="preserve">izvietots Ekonomikas ministrijas </w:t>
            </w:r>
            <w:r w:rsidR="00D35FFD" w:rsidRPr="00273D30">
              <w:rPr>
                <w:rFonts w:eastAsia="Times New Roman" w:cs="Times New Roman"/>
                <w:sz w:val="24"/>
                <w:szCs w:val="24"/>
              </w:rPr>
              <w:t>tīmekļa vietnē</w:t>
            </w:r>
            <w:r w:rsidR="00C87E3C" w:rsidRPr="00273D30">
              <w:rPr>
                <w:rFonts w:eastAsia="Times New Roman" w:cs="Times New Roman"/>
                <w:sz w:val="24"/>
                <w:szCs w:val="24"/>
              </w:rPr>
              <w:t>.</w:t>
            </w:r>
          </w:p>
        </w:tc>
      </w:tr>
      <w:tr w:rsidR="003D5C72" w:rsidRPr="00273D30" w14:paraId="5364D71E" w14:textId="77777777" w:rsidTr="00C87E3C">
        <w:trPr>
          <w:trHeight w:val="465"/>
          <w:jc w:val="center"/>
        </w:trPr>
        <w:tc>
          <w:tcPr>
            <w:tcW w:w="312" w:type="dxa"/>
            <w:tcBorders>
              <w:top w:val="outset" w:sz="6" w:space="0" w:color="414142"/>
              <w:left w:val="outset" w:sz="6" w:space="0" w:color="414142"/>
              <w:bottom w:val="outset" w:sz="6" w:space="0" w:color="414142"/>
              <w:right w:val="outset" w:sz="6" w:space="0" w:color="414142"/>
            </w:tcBorders>
            <w:hideMark/>
          </w:tcPr>
          <w:p w14:paraId="597B46B0"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3.</w:t>
            </w:r>
          </w:p>
        </w:tc>
        <w:tc>
          <w:tcPr>
            <w:tcW w:w="2941" w:type="dxa"/>
            <w:tcBorders>
              <w:top w:val="outset" w:sz="6" w:space="0" w:color="414142"/>
              <w:left w:val="outset" w:sz="6" w:space="0" w:color="414142"/>
              <w:bottom w:val="outset" w:sz="6" w:space="0" w:color="414142"/>
              <w:right w:val="outset" w:sz="6" w:space="0" w:color="414142"/>
            </w:tcBorders>
            <w:hideMark/>
          </w:tcPr>
          <w:p w14:paraId="6953BF14"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Sabiedrības līdzdalības rezultāti</w:t>
            </w:r>
          </w:p>
        </w:tc>
        <w:tc>
          <w:tcPr>
            <w:tcW w:w="5802" w:type="dxa"/>
            <w:tcBorders>
              <w:top w:val="outset" w:sz="6" w:space="0" w:color="414142"/>
              <w:left w:val="outset" w:sz="6" w:space="0" w:color="414142"/>
              <w:bottom w:val="outset" w:sz="6" w:space="0" w:color="414142"/>
              <w:right w:val="outset" w:sz="6" w:space="0" w:color="414142"/>
            </w:tcBorders>
            <w:hideMark/>
          </w:tcPr>
          <w:p w14:paraId="4CD646BE"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Nav.</w:t>
            </w:r>
          </w:p>
        </w:tc>
      </w:tr>
      <w:tr w:rsidR="003D5C72" w:rsidRPr="00273D30" w14:paraId="31E88AB7" w14:textId="77777777" w:rsidTr="00C87E3C">
        <w:trPr>
          <w:trHeight w:val="268"/>
          <w:jc w:val="center"/>
        </w:trPr>
        <w:tc>
          <w:tcPr>
            <w:tcW w:w="312" w:type="dxa"/>
            <w:tcBorders>
              <w:top w:val="outset" w:sz="6" w:space="0" w:color="414142"/>
              <w:left w:val="outset" w:sz="6" w:space="0" w:color="414142"/>
              <w:bottom w:val="outset" w:sz="6" w:space="0" w:color="414142"/>
              <w:right w:val="outset" w:sz="6" w:space="0" w:color="414142"/>
            </w:tcBorders>
            <w:hideMark/>
          </w:tcPr>
          <w:p w14:paraId="5E9D698C"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4.</w:t>
            </w:r>
          </w:p>
        </w:tc>
        <w:tc>
          <w:tcPr>
            <w:tcW w:w="2941" w:type="dxa"/>
            <w:tcBorders>
              <w:top w:val="outset" w:sz="6" w:space="0" w:color="414142"/>
              <w:left w:val="outset" w:sz="6" w:space="0" w:color="414142"/>
              <w:bottom w:val="outset" w:sz="6" w:space="0" w:color="414142"/>
              <w:right w:val="outset" w:sz="6" w:space="0" w:color="414142"/>
            </w:tcBorders>
            <w:hideMark/>
          </w:tcPr>
          <w:p w14:paraId="57E6FCEB"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5381B423" w14:textId="77777777" w:rsidR="003D5C72" w:rsidRPr="00273D30" w:rsidRDefault="003D5C72" w:rsidP="002D6D8A">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Nav.</w:t>
            </w:r>
          </w:p>
        </w:tc>
      </w:tr>
    </w:tbl>
    <w:p w14:paraId="411E6CD1" w14:textId="77777777" w:rsidR="003D5C72" w:rsidRPr="00273D30" w:rsidRDefault="003D5C72" w:rsidP="007C6255">
      <w:pPr>
        <w:shd w:val="clear" w:color="auto" w:fill="FFFFFF"/>
        <w:spacing w:before="100" w:beforeAutospacing="1" w:after="100" w:afterAutospacing="1" w:line="293" w:lineRule="atLeast"/>
        <w:rPr>
          <w:rFonts w:ascii="Arial" w:eastAsia="Times New Roman" w:hAnsi="Arial" w:cs="Arial"/>
          <w:color w:val="414142"/>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D5C72" w:rsidRPr="00273D30" w14:paraId="3167D0B3" w14:textId="77777777" w:rsidTr="002D6D8A">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415BB4" w14:textId="77777777" w:rsidR="003D5C72" w:rsidRPr="00273D30" w:rsidRDefault="003D5C72" w:rsidP="002D6D8A">
            <w:pPr>
              <w:spacing w:before="100" w:beforeAutospacing="1" w:after="100" w:afterAutospacing="1" w:line="293" w:lineRule="atLeast"/>
              <w:jc w:val="center"/>
              <w:rPr>
                <w:rFonts w:eastAsia="Times New Roman" w:cs="Times New Roman"/>
                <w:b/>
                <w:bCs/>
                <w:sz w:val="24"/>
                <w:szCs w:val="24"/>
              </w:rPr>
            </w:pPr>
            <w:r w:rsidRPr="00273D30">
              <w:rPr>
                <w:rFonts w:eastAsia="Times New Roman" w:cs="Times New Roman"/>
                <w:b/>
                <w:bCs/>
                <w:sz w:val="24"/>
                <w:szCs w:val="24"/>
              </w:rPr>
              <w:t>VII. Tiesību akta projekta izpildes nodrošināšana un tās ietekme uz institūcijām</w:t>
            </w:r>
          </w:p>
        </w:tc>
      </w:tr>
      <w:tr w:rsidR="003D5C72" w:rsidRPr="00273D30" w14:paraId="2007C178" w14:textId="77777777" w:rsidTr="002D6D8A">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6BE215D"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7712F1C8"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CD26F62" w14:textId="58185EFC" w:rsidR="003D5C72" w:rsidRPr="00273D30" w:rsidRDefault="003D5C72" w:rsidP="00923AA6">
            <w:pPr>
              <w:jc w:val="both"/>
              <w:rPr>
                <w:sz w:val="24"/>
                <w:szCs w:val="24"/>
              </w:rPr>
            </w:pPr>
            <w:r w:rsidRPr="00273D30">
              <w:rPr>
                <w:sz w:val="24"/>
                <w:szCs w:val="24"/>
              </w:rPr>
              <w:t>Noteikumu projekta īstenošanā ir iesai</w:t>
            </w:r>
            <w:r w:rsidR="00F93CF2">
              <w:rPr>
                <w:sz w:val="24"/>
                <w:szCs w:val="24"/>
              </w:rPr>
              <w:t>stīta Ekonomikas ministrija kā P</w:t>
            </w:r>
            <w:r w:rsidRPr="00273D30">
              <w:rPr>
                <w:sz w:val="24"/>
                <w:szCs w:val="24"/>
              </w:rPr>
              <w:t xml:space="preserve">rogrammas </w:t>
            </w:r>
            <w:proofErr w:type="spellStart"/>
            <w:r w:rsidRPr="00273D30">
              <w:rPr>
                <w:sz w:val="24"/>
                <w:szCs w:val="24"/>
              </w:rPr>
              <w:t>apsaimniekotājs</w:t>
            </w:r>
            <w:proofErr w:type="spellEnd"/>
            <w:r w:rsidRPr="00273D30">
              <w:rPr>
                <w:sz w:val="24"/>
                <w:szCs w:val="24"/>
              </w:rPr>
              <w:t xml:space="preserve"> un </w:t>
            </w:r>
            <w:r w:rsidR="00923AA6" w:rsidRPr="00F01E4D">
              <w:rPr>
                <w:rFonts w:eastAsia="Times New Roman" w:cs="Times New Roman"/>
                <w:sz w:val="24"/>
                <w:szCs w:val="24"/>
              </w:rPr>
              <w:t>Latvijas Investīciju un attīstības aģentū</w:t>
            </w:r>
            <w:r w:rsidR="00923AA6">
              <w:rPr>
                <w:rFonts w:eastAsia="Times New Roman" w:cs="Times New Roman"/>
                <w:sz w:val="24"/>
                <w:szCs w:val="24"/>
              </w:rPr>
              <w:t>ra</w:t>
            </w:r>
            <w:r w:rsidRPr="00273D30">
              <w:rPr>
                <w:sz w:val="24"/>
                <w:szCs w:val="24"/>
              </w:rPr>
              <w:t xml:space="preserve"> kā </w:t>
            </w:r>
            <w:r w:rsidR="00923AA6">
              <w:rPr>
                <w:sz w:val="24"/>
                <w:szCs w:val="24"/>
              </w:rPr>
              <w:t>a</w:t>
            </w:r>
            <w:r w:rsidRPr="00273D30">
              <w:rPr>
                <w:sz w:val="24"/>
                <w:szCs w:val="24"/>
              </w:rPr>
              <w:t xml:space="preserve">ģentūra, kam ir deleģētas Ekonomikas </w:t>
            </w:r>
            <w:r w:rsidRPr="00273D30">
              <w:rPr>
                <w:sz w:val="24"/>
                <w:szCs w:val="24"/>
              </w:rPr>
              <w:lastRenderedPageBreak/>
              <w:t>mini</w:t>
            </w:r>
            <w:r w:rsidR="00F93CF2">
              <w:rPr>
                <w:sz w:val="24"/>
                <w:szCs w:val="24"/>
              </w:rPr>
              <w:t>strijas funkcijas attiecībā uz P</w:t>
            </w:r>
            <w:r w:rsidRPr="00273D30">
              <w:rPr>
                <w:sz w:val="24"/>
                <w:szCs w:val="24"/>
              </w:rPr>
              <w:t>rogrammas īstenošanu.</w:t>
            </w:r>
          </w:p>
        </w:tc>
      </w:tr>
      <w:tr w:rsidR="003D5C72" w:rsidRPr="00273D30" w14:paraId="0085EF61" w14:textId="77777777" w:rsidTr="002D6D8A">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6495DB47"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640A25F5"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Projekta izpildes ietekme uz pārvaldes funkcijām un institucionālo struktūru.</w:t>
            </w:r>
          </w:p>
          <w:p w14:paraId="745F08CF" w14:textId="77777777" w:rsidR="003D5C72" w:rsidRPr="00273D30" w:rsidRDefault="003D5C72" w:rsidP="002D6D8A">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CE1E11C" w14:textId="77777777" w:rsidR="003D5C72" w:rsidRPr="00273D30" w:rsidRDefault="003D5C72" w:rsidP="002D6D8A">
            <w:pPr>
              <w:jc w:val="both"/>
              <w:rPr>
                <w:rFonts w:eastAsia="Times New Roman" w:cs="Times New Roman"/>
                <w:sz w:val="24"/>
                <w:szCs w:val="24"/>
              </w:rPr>
            </w:pPr>
            <w:r w:rsidRPr="00273D30">
              <w:rPr>
                <w:rFonts w:eastAsia="Times New Roman" w:cs="Times New Roman"/>
                <w:sz w:val="24"/>
                <w:szCs w:val="24"/>
              </w:rPr>
              <w:t>Noteikumu projektam nav ietekmes uz pārvaldes funkcijām un institucionālo struktūru.</w:t>
            </w:r>
          </w:p>
        </w:tc>
      </w:tr>
      <w:tr w:rsidR="003D5C72" w:rsidRPr="00273D30" w14:paraId="1201E86D" w14:textId="77777777" w:rsidTr="002D6D8A">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2D3D07A0" w14:textId="77777777" w:rsidR="003D5C72" w:rsidRPr="00273D30" w:rsidRDefault="003D5C72" w:rsidP="002D6D8A">
            <w:pPr>
              <w:rPr>
                <w:rFonts w:eastAsia="Times New Roman" w:cs="Times New Roman"/>
                <w:color w:val="414142"/>
                <w:sz w:val="24"/>
                <w:szCs w:val="24"/>
              </w:rPr>
            </w:pPr>
            <w:r w:rsidRPr="00273D30">
              <w:rPr>
                <w:rFonts w:eastAsia="Times New Roman" w:cs="Times New Roman"/>
                <w:color w:val="414142"/>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195A3F20" w14:textId="77777777" w:rsidR="003D5C72" w:rsidRPr="00273D30" w:rsidRDefault="003D5C72" w:rsidP="002D6D8A">
            <w:pPr>
              <w:rPr>
                <w:rFonts w:eastAsia="Times New Roman" w:cs="Times New Roman"/>
                <w:sz w:val="24"/>
                <w:szCs w:val="24"/>
              </w:rPr>
            </w:pPr>
            <w:r w:rsidRPr="00273D30">
              <w:rPr>
                <w:rFonts w:eastAsia="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6345DDE" w14:textId="77777777" w:rsidR="003D5C72" w:rsidRPr="00273D30" w:rsidRDefault="003D5C72" w:rsidP="002D6D8A">
            <w:pPr>
              <w:spacing w:before="100" w:beforeAutospacing="1" w:after="100" w:afterAutospacing="1" w:line="293" w:lineRule="atLeast"/>
              <w:rPr>
                <w:rFonts w:eastAsia="Times New Roman" w:cs="Times New Roman"/>
                <w:sz w:val="24"/>
                <w:szCs w:val="24"/>
              </w:rPr>
            </w:pPr>
            <w:r w:rsidRPr="00273D30">
              <w:rPr>
                <w:rFonts w:eastAsia="Times New Roman" w:cs="Times New Roman"/>
                <w:sz w:val="24"/>
                <w:szCs w:val="24"/>
              </w:rPr>
              <w:t>Nav.</w:t>
            </w:r>
          </w:p>
        </w:tc>
      </w:tr>
    </w:tbl>
    <w:p w14:paraId="6E3E666D" w14:textId="77777777" w:rsidR="003D5C72" w:rsidRPr="00273D30" w:rsidRDefault="00653B45" w:rsidP="00653B45">
      <w:pPr>
        <w:tabs>
          <w:tab w:val="left" w:pos="960"/>
        </w:tabs>
        <w:rPr>
          <w:sz w:val="24"/>
          <w:szCs w:val="24"/>
        </w:rPr>
      </w:pPr>
      <w:r w:rsidRPr="00273D30">
        <w:rPr>
          <w:sz w:val="24"/>
          <w:szCs w:val="24"/>
        </w:rPr>
        <w:tab/>
      </w:r>
    </w:p>
    <w:p w14:paraId="6AEC52B7" w14:textId="6DECB61A" w:rsidR="003D5C72" w:rsidRPr="00273D30" w:rsidRDefault="003D5C72" w:rsidP="003D5C72">
      <w:pPr>
        <w:pStyle w:val="naisf"/>
        <w:tabs>
          <w:tab w:val="left" w:pos="6710"/>
        </w:tabs>
        <w:spacing w:before="0" w:after="120"/>
        <w:rPr>
          <w:szCs w:val="24"/>
        </w:rPr>
      </w:pPr>
      <w:r w:rsidRPr="00273D30">
        <w:rPr>
          <w:i/>
          <w:szCs w:val="24"/>
        </w:rPr>
        <w:t xml:space="preserve">Anotācijas </w:t>
      </w:r>
      <w:r w:rsidR="00F11C92">
        <w:rPr>
          <w:i/>
          <w:szCs w:val="24"/>
        </w:rPr>
        <w:t xml:space="preserve">III un </w:t>
      </w:r>
      <w:r w:rsidRPr="00273D30">
        <w:rPr>
          <w:i/>
          <w:szCs w:val="24"/>
        </w:rPr>
        <w:t>IV sadaļa -  projekts šo jomu neskar.</w:t>
      </w:r>
    </w:p>
    <w:p w14:paraId="072E1EB6" w14:textId="77777777" w:rsidR="003D5C72" w:rsidRPr="00273D30" w:rsidRDefault="003D5C72" w:rsidP="003D5C72">
      <w:pPr>
        <w:pStyle w:val="naisf"/>
        <w:tabs>
          <w:tab w:val="left" w:pos="6710"/>
        </w:tabs>
        <w:spacing w:before="0" w:after="120"/>
        <w:rPr>
          <w:szCs w:val="24"/>
        </w:rPr>
      </w:pPr>
    </w:p>
    <w:p w14:paraId="0F5CD2B5" w14:textId="77777777" w:rsidR="00BE5FC6" w:rsidRPr="00273D30" w:rsidRDefault="00BE5FC6" w:rsidP="00BE5FC6">
      <w:pPr>
        <w:jc w:val="both"/>
        <w:rPr>
          <w:sz w:val="24"/>
          <w:szCs w:val="24"/>
        </w:rPr>
      </w:pPr>
      <w:r w:rsidRPr="00273D30">
        <w:rPr>
          <w:sz w:val="24"/>
          <w:szCs w:val="24"/>
        </w:rPr>
        <w:t>Ekonomikas ministre</w:t>
      </w:r>
      <w:r w:rsidR="003D5C72" w:rsidRPr="00273D30">
        <w:rPr>
          <w:sz w:val="24"/>
          <w:szCs w:val="24"/>
        </w:rPr>
        <w:tab/>
      </w:r>
      <w:r w:rsidRPr="00273D30">
        <w:rPr>
          <w:sz w:val="24"/>
          <w:szCs w:val="24"/>
        </w:rPr>
        <w:tab/>
      </w:r>
      <w:r w:rsidRPr="00273D30">
        <w:rPr>
          <w:sz w:val="24"/>
          <w:szCs w:val="24"/>
        </w:rPr>
        <w:tab/>
      </w:r>
      <w:r w:rsidRPr="00273D30">
        <w:rPr>
          <w:sz w:val="24"/>
          <w:szCs w:val="24"/>
        </w:rPr>
        <w:tab/>
      </w:r>
      <w:r w:rsidRPr="00273D30">
        <w:rPr>
          <w:sz w:val="24"/>
          <w:szCs w:val="24"/>
        </w:rPr>
        <w:tab/>
      </w:r>
      <w:r w:rsidR="003D5C72" w:rsidRPr="00273D30">
        <w:rPr>
          <w:sz w:val="24"/>
          <w:szCs w:val="24"/>
        </w:rPr>
        <w:tab/>
      </w:r>
      <w:r w:rsidRPr="00273D30">
        <w:rPr>
          <w:sz w:val="24"/>
          <w:szCs w:val="24"/>
        </w:rPr>
        <w:t xml:space="preserve">        </w:t>
      </w:r>
      <w:proofErr w:type="spellStart"/>
      <w:r w:rsidRPr="00273D30">
        <w:rPr>
          <w:sz w:val="24"/>
          <w:szCs w:val="24"/>
        </w:rPr>
        <w:t>D.Reizniece</w:t>
      </w:r>
      <w:proofErr w:type="spellEnd"/>
      <w:r w:rsidRPr="00273D30">
        <w:rPr>
          <w:sz w:val="24"/>
          <w:szCs w:val="24"/>
        </w:rPr>
        <w:t>-Ozola</w:t>
      </w:r>
    </w:p>
    <w:p w14:paraId="770C3222" w14:textId="77777777" w:rsidR="003D5C72" w:rsidRPr="00273D30" w:rsidRDefault="003D5C72" w:rsidP="003D5C72">
      <w:pPr>
        <w:pStyle w:val="EnvelopeReturn"/>
        <w:spacing w:before="0"/>
        <w:rPr>
          <w:sz w:val="24"/>
          <w:szCs w:val="24"/>
          <w:lang w:val="lv-LV"/>
        </w:rPr>
      </w:pPr>
    </w:p>
    <w:p w14:paraId="29EC2E06" w14:textId="77777777" w:rsidR="003D5C72" w:rsidRPr="00273D30" w:rsidRDefault="003D5C72" w:rsidP="003D5C72">
      <w:pPr>
        <w:pStyle w:val="EnvelopeReturn"/>
        <w:spacing w:before="0"/>
        <w:rPr>
          <w:sz w:val="24"/>
          <w:szCs w:val="24"/>
          <w:lang w:val="lv-LV"/>
        </w:rPr>
      </w:pPr>
    </w:p>
    <w:p w14:paraId="64AE76C4" w14:textId="77777777" w:rsidR="003D5C72" w:rsidRPr="00273D30" w:rsidRDefault="003D5C72" w:rsidP="00B070C6">
      <w:pPr>
        <w:pStyle w:val="EnvelopeReturn"/>
        <w:spacing w:before="0"/>
        <w:rPr>
          <w:sz w:val="24"/>
          <w:szCs w:val="24"/>
          <w:lang w:val="lv-LV"/>
        </w:rPr>
      </w:pPr>
      <w:r w:rsidRPr="00273D30">
        <w:rPr>
          <w:sz w:val="24"/>
          <w:szCs w:val="24"/>
          <w:lang w:val="lv-LV"/>
        </w:rPr>
        <w:t>Vīza: Valsts sekretār</w:t>
      </w:r>
      <w:r w:rsidR="0062108A" w:rsidRPr="00273D30">
        <w:rPr>
          <w:sz w:val="24"/>
          <w:szCs w:val="24"/>
          <w:lang w:val="lv-LV"/>
        </w:rPr>
        <w:t>s</w:t>
      </w:r>
      <w:r w:rsidR="0062108A" w:rsidRPr="00273D30">
        <w:rPr>
          <w:sz w:val="24"/>
          <w:szCs w:val="24"/>
          <w:lang w:val="lv-LV"/>
        </w:rPr>
        <w:tab/>
      </w:r>
      <w:r w:rsidR="0062108A" w:rsidRPr="00273D30">
        <w:rPr>
          <w:sz w:val="24"/>
          <w:szCs w:val="24"/>
          <w:lang w:val="lv-LV"/>
        </w:rPr>
        <w:tab/>
      </w:r>
      <w:r w:rsidR="008D2E0D" w:rsidRPr="00273D30">
        <w:rPr>
          <w:color w:val="000000"/>
          <w:sz w:val="24"/>
          <w:szCs w:val="24"/>
          <w:lang w:val="lv-LV"/>
        </w:rPr>
        <w:t xml:space="preserve"> </w:t>
      </w:r>
      <w:r w:rsidR="008D2E0D" w:rsidRPr="00273D30">
        <w:rPr>
          <w:color w:val="000000"/>
          <w:sz w:val="24"/>
          <w:szCs w:val="24"/>
          <w:lang w:val="lv-LV"/>
        </w:rPr>
        <w:tab/>
      </w:r>
      <w:r w:rsidR="008D2E0D" w:rsidRPr="00273D30">
        <w:rPr>
          <w:color w:val="000000"/>
          <w:sz w:val="24"/>
          <w:szCs w:val="24"/>
          <w:lang w:val="lv-LV"/>
        </w:rPr>
        <w:tab/>
      </w:r>
      <w:r w:rsidR="00B070C6" w:rsidRPr="00273D30">
        <w:rPr>
          <w:color w:val="000000"/>
          <w:sz w:val="24"/>
          <w:szCs w:val="24"/>
          <w:lang w:val="lv-LV"/>
        </w:rPr>
        <w:tab/>
      </w:r>
      <w:r w:rsidR="00B070C6" w:rsidRPr="00273D30">
        <w:rPr>
          <w:color w:val="000000"/>
          <w:sz w:val="24"/>
          <w:szCs w:val="24"/>
          <w:lang w:val="lv-LV"/>
        </w:rPr>
        <w:tab/>
        <w:t xml:space="preserve">        </w:t>
      </w:r>
      <w:r w:rsidR="00B070C6" w:rsidRPr="00273D30">
        <w:rPr>
          <w:sz w:val="24"/>
          <w:szCs w:val="24"/>
          <w:lang w:val="lv-LV"/>
        </w:rPr>
        <w:t xml:space="preserve">R. </w:t>
      </w:r>
      <w:proofErr w:type="spellStart"/>
      <w:r w:rsidR="00B070C6" w:rsidRPr="00273D30">
        <w:rPr>
          <w:sz w:val="24"/>
          <w:szCs w:val="24"/>
          <w:lang w:val="lv-LV"/>
        </w:rPr>
        <w:t>Beinarovičs</w:t>
      </w:r>
      <w:proofErr w:type="spellEnd"/>
      <w:r w:rsidR="00B070C6" w:rsidRPr="00273D30">
        <w:rPr>
          <w:sz w:val="24"/>
          <w:szCs w:val="24"/>
          <w:lang w:val="lv-LV"/>
        </w:rPr>
        <w:t xml:space="preserve"> </w:t>
      </w:r>
    </w:p>
    <w:p w14:paraId="140F2E33" w14:textId="77777777" w:rsidR="003D5C72" w:rsidRPr="00273D30" w:rsidRDefault="003D5C72" w:rsidP="003D5C72">
      <w:pPr>
        <w:jc w:val="both"/>
        <w:rPr>
          <w:color w:val="000000"/>
          <w:sz w:val="24"/>
          <w:szCs w:val="24"/>
        </w:rPr>
      </w:pPr>
    </w:p>
    <w:p w14:paraId="3CE393BA" w14:textId="6839D489" w:rsidR="00923AA6" w:rsidRDefault="00787424" w:rsidP="00787424">
      <w:pPr>
        <w:jc w:val="both"/>
        <w:rPr>
          <w:rFonts w:cs="Times New Roman"/>
          <w:color w:val="000000"/>
          <w:sz w:val="24"/>
          <w:szCs w:val="24"/>
        </w:rPr>
      </w:pPr>
      <w:r>
        <w:rPr>
          <w:rFonts w:cs="Times New Roman"/>
          <w:color w:val="000000"/>
          <w:sz w:val="24"/>
          <w:szCs w:val="24"/>
        </w:rPr>
        <w:t>25</w:t>
      </w:r>
      <w:r w:rsidR="00440825" w:rsidRPr="00273D30">
        <w:rPr>
          <w:rFonts w:cs="Times New Roman"/>
          <w:color w:val="000000"/>
          <w:sz w:val="24"/>
          <w:szCs w:val="24"/>
        </w:rPr>
        <w:t>.</w:t>
      </w:r>
      <w:r w:rsidR="009444EC" w:rsidRPr="00273D30">
        <w:rPr>
          <w:rFonts w:cs="Times New Roman"/>
          <w:color w:val="000000"/>
          <w:sz w:val="24"/>
          <w:szCs w:val="24"/>
        </w:rPr>
        <w:t>0</w:t>
      </w:r>
      <w:r w:rsidR="00440825" w:rsidRPr="00273D30">
        <w:rPr>
          <w:rFonts w:cs="Times New Roman"/>
          <w:color w:val="000000"/>
          <w:sz w:val="24"/>
          <w:szCs w:val="24"/>
        </w:rPr>
        <w:t>8</w:t>
      </w:r>
      <w:r w:rsidR="003D5C72" w:rsidRPr="00273D30">
        <w:rPr>
          <w:rFonts w:cs="Times New Roman"/>
          <w:color w:val="000000"/>
          <w:sz w:val="24"/>
          <w:szCs w:val="24"/>
        </w:rPr>
        <w:t>.201</w:t>
      </w:r>
      <w:r w:rsidR="009444EC" w:rsidRPr="00273D30">
        <w:rPr>
          <w:rFonts w:cs="Times New Roman"/>
          <w:color w:val="000000"/>
          <w:sz w:val="24"/>
          <w:szCs w:val="24"/>
        </w:rPr>
        <w:t>5</w:t>
      </w:r>
      <w:r w:rsidR="003D5C72" w:rsidRPr="00273D30">
        <w:rPr>
          <w:rFonts w:cs="Times New Roman"/>
          <w:color w:val="000000"/>
          <w:sz w:val="24"/>
          <w:szCs w:val="24"/>
        </w:rPr>
        <w:t xml:space="preserve"> </w:t>
      </w:r>
      <w:r w:rsidR="00653B45" w:rsidRPr="00273D30">
        <w:rPr>
          <w:rFonts w:cs="Times New Roman"/>
          <w:color w:val="000000"/>
          <w:sz w:val="24"/>
          <w:szCs w:val="24"/>
        </w:rPr>
        <w:t>1</w:t>
      </w:r>
      <w:r>
        <w:rPr>
          <w:rFonts w:cs="Times New Roman"/>
          <w:color w:val="000000"/>
          <w:sz w:val="24"/>
          <w:szCs w:val="24"/>
        </w:rPr>
        <w:t>2</w:t>
      </w:r>
      <w:r w:rsidR="00653B45" w:rsidRPr="00273D30">
        <w:rPr>
          <w:rFonts w:cs="Times New Roman"/>
          <w:color w:val="000000"/>
          <w:sz w:val="24"/>
          <w:szCs w:val="24"/>
        </w:rPr>
        <w:t>:00</w:t>
      </w:r>
    </w:p>
    <w:p w14:paraId="0D9B8349" w14:textId="3EA53600" w:rsidR="00787424" w:rsidRPr="00787424" w:rsidRDefault="00B42CBA" w:rsidP="00787424">
      <w:pPr>
        <w:jc w:val="both"/>
        <w:rPr>
          <w:rFonts w:cs="Times New Roman"/>
          <w:b/>
          <w:color w:val="000000"/>
          <w:sz w:val="24"/>
          <w:szCs w:val="24"/>
        </w:rPr>
      </w:pPr>
      <w:r>
        <w:rPr>
          <w:rFonts w:cs="Times New Roman"/>
          <w:color w:val="000000"/>
          <w:sz w:val="24"/>
          <w:szCs w:val="24"/>
        </w:rPr>
        <w:t>1678</w:t>
      </w:r>
      <w:bookmarkStart w:id="4" w:name="_GoBack"/>
      <w:bookmarkEnd w:id="4"/>
    </w:p>
    <w:p w14:paraId="01A71579" w14:textId="77777777" w:rsidR="003576A0" w:rsidRPr="00273D30" w:rsidRDefault="003C66F2" w:rsidP="003576A0">
      <w:pPr>
        <w:pStyle w:val="naisf"/>
        <w:tabs>
          <w:tab w:val="left" w:pos="6840"/>
        </w:tabs>
        <w:spacing w:before="0" w:after="0"/>
        <w:rPr>
          <w:szCs w:val="24"/>
        </w:rPr>
      </w:pPr>
      <w:proofErr w:type="spellStart"/>
      <w:r>
        <w:rPr>
          <w:szCs w:val="24"/>
        </w:rPr>
        <w:t>E</w:t>
      </w:r>
      <w:r w:rsidR="003576A0" w:rsidRPr="00273D30">
        <w:rPr>
          <w:szCs w:val="24"/>
        </w:rPr>
        <w:t>.</w:t>
      </w:r>
      <w:r>
        <w:rPr>
          <w:szCs w:val="24"/>
        </w:rPr>
        <w:t>Grūbe</w:t>
      </w:r>
      <w:proofErr w:type="spellEnd"/>
      <w:r w:rsidR="003576A0" w:rsidRPr="00273D30">
        <w:rPr>
          <w:szCs w:val="24"/>
        </w:rPr>
        <w:t>, 67013</w:t>
      </w:r>
      <w:r>
        <w:rPr>
          <w:szCs w:val="24"/>
        </w:rPr>
        <w:t>022</w:t>
      </w:r>
    </w:p>
    <w:p w14:paraId="01EF80B4" w14:textId="77777777" w:rsidR="003576A0" w:rsidRPr="00273D30" w:rsidRDefault="00B42CBA" w:rsidP="003576A0">
      <w:pPr>
        <w:pStyle w:val="naisf"/>
        <w:tabs>
          <w:tab w:val="left" w:pos="6840"/>
        </w:tabs>
        <w:spacing w:before="0" w:after="0"/>
        <w:rPr>
          <w:szCs w:val="24"/>
        </w:rPr>
      </w:pPr>
      <w:hyperlink r:id="rId8" w:history="1">
        <w:r w:rsidR="003C66F2" w:rsidRPr="0079129A">
          <w:rPr>
            <w:rStyle w:val="Hyperlink"/>
            <w:szCs w:val="24"/>
          </w:rPr>
          <w:t>Evita.Grube@em.gov.lv</w:t>
        </w:r>
      </w:hyperlink>
    </w:p>
    <w:p w14:paraId="5C292047" w14:textId="77777777" w:rsidR="00C5009D" w:rsidRPr="00273D30" w:rsidRDefault="00C5009D" w:rsidP="003576A0">
      <w:pPr>
        <w:rPr>
          <w:sz w:val="24"/>
          <w:szCs w:val="24"/>
        </w:rPr>
      </w:pPr>
    </w:p>
    <w:sectPr w:rsidR="00C5009D" w:rsidRPr="00273D30" w:rsidSect="002D6D8A">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D826" w14:textId="77777777" w:rsidR="002E5545" w:rsidRDefault="002E5545">
      <w:r>
        <w:separator/>
      </w:r>
    </w:p>
  </w:endnote>
  <w:endnote w:type="continuationSeparator" w:id="0">
    <w:p w14:paraId="465F2EA0" w14:textId="77777777" w:rsidR="002E5545" w:rsidRDefault="002E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3173" w14:textId="110D68B2" w:rsidR="00BC3EDD" w:rsidRPr="00923AA6" w:rsidRDefault="00923AA6" w:rsidP="00923AA6">
    <w:pPr>
      <w:jc w:val="both"/>
    </w:pPr>
    <w:r w:rsidRPr="00923AA6">
      <w:rPr>
        <w:rFonts w:cs="Times New Roman"/>
        <w:sz w:val="20"/>
        <w:szCs w:val="20"/>
      </w:rPr>
      <w:t>EMAnot_</w:t>
    </w:r>
    <w:r w:rsidR="00787424">
      <w:rPr>
        <w:rFonts w:cs="Times New Roman"/>
        <w:sz w:val="20"/>
        <w:szCs w:val="20"/>
      </w:rPr>
      <w:t>25</w:t>
    </w:r>
    <w:r w:rsidRPr="00923AA6">
      <w:rPr>
        <w:rFonts w:cs="Times New Roman"/>
        <w:sz w:val="20"/>
        <w:szCs w:val="20"/>
      </w:rPr>
      <w:t>0815_NFI</w:t>
    </w:r>
    <w:r>
      <w:rPr>
        <w:rFonts w:cs="Times New Roman"/>
        <w:sz w:val="20"/>
        <w:szCs w:val="20"/>
      </w:rPr>
      <w:t>_1442</w:t>
    </w:r>
    <w:r w:rsidRPr="00923AA6">
      <w:rPr>
        <w:rFonts w:cs="Times New Roman"/>
        <w:sz w:val="20"/>
        <w:szCs w:val="20"/>
      </w:rPr>
      <w:t>; Ministru kabineta noteikumu projekta “Gr</w:t>
    </w:r>
    <w:r w:rsidR="00176AF1">
      <w:rPr>
        <w:rFonts w:cs="Times New Roman"/>
        <w:sz w:val="20"/>
        <w:szCs w:val="20"/>
      </w:rPr>
      <w:t>ozījumi Ministru kabineta 2013.gada 10.decembra noteikumos Nr.</w:t>
    </w:r>
    <w:r w:rsidRPr="00923AA6">
      <w:rPr>
        <w:rFonts w:cs="Times New Roman"/>
        <w:sz w:val="20"/>
        <w:szCs w:val="20"/>
      </w:rPr>
      <w:t>1442 “Norvēģijas finanšu instrumenta 2009.–2014. gada perioda programmas “Inovācijas “zaļās” ražošanas jomā” atklāta projektu konkursa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2212" w14:textId="65CEF435" w:rsidR="00BC3EDD" w:rsidRPr="00923AA6" w:rsidRDefault="00787424" w:rsidP="002D6D8A">
    <w:pPr>
      <w:jc w:val="both"/>
      <w:rPr>
        <w:rFonts w:cs="Times New Roman"/>
        <w:sz w:val="20"/>
        <w:szCs w:val="20"/>
      </w:rPr>
    </w:pPr>
    <w:r>
      <w:rPr>
        <w:rFonts w:cs="Times New Roman"/>
        <w:sz w:val="20"/>
        <w:szCs w:val="20"/>
      </w:rPr>
      <w:t>EMAnot_25</w:t>
    </w:r>
    <w:r w:rsidR="00BC3EDD" w:rsidRPr="00923AA6">
      <w:rPr>
        <w:rFonts w:cs="Times New Roman"/>
        <w:sz w:val="20"/>
        <w:szCs w:val="20"/>
      </w:rPr>
      <w:t>0815_NFI</w:t>
    </w:r>
    <w:r w:rsidR="00923AA6">
      <w:rPr>
        <w:rFonts w:cs="Times New Roman"/>
        <w:sz w:val="20"/>
        <w:szCs w:val="20"/>
      </w:rPr>
      <w:t>_1442</w:t>
    </w:r>
    <w:r w:rsidR="00BC3EDD" w:rsidRPr="00923AA6">
      <w:rPr>
        <w:rFonts w:cs="Times New Roman"/>
        <w:sz w:val="20"/>
        <w:szCs w:val="20"/>
      </w:rPr>
      <w:t xml:space="preserve">; </w:t>
    </w:r>
    <w:r w:rsidR="00923AA6" w:rsidRPr="00923AA6">
      <w:rPr>
        <w:rFonts w:cs="Times New Roman"/>
        <w:sz w:val="20"/>
        <w:szCs w:val="20"/>
      </w:rPr>
      <w:t>Ministru kabineta noteikumu projekta “Gr</w:t>
    </w:r>
    <w:r w:rsidR="00176AF1">
      <w:rPr>
        <w:rFonts w:cs="Times New Roman"/>
        <w:sz w:val="20"/>
        <w:szCs w:val="20"/>
      </w:rPr>
      <w:t>ozījumi Ministru kabineta 2013.gada 10.decembra noteikumos Nr.</w:t>
    </w:r>
    <w:r w:rsidR="00923AA6" w:rsidRPr="00923AA6">
      <w:rPr>
        <w:rFonts w:cs="Times New Roman"/>
        <w:sz w:val="20"/>
        <w:szCs w:val="20"/>
      </w:rPr>
      <w:t xml:space="preserve">1442 “Norvēģijas finanšu instrumenta 2009.–2014. gada perioda programmas “Inovācijas “zaļās” ražošanas jomā” atklāta projektu konkursa īstenošanas kārtība”” sākotnējās ietekmes novērtējuma ziņojums </w:t>
    </w:r>
    <w:r w:rsidR="00BC3EDD" w:rsidRPr="00923AA6">
      <w:rPr>
        <w:rFonts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FF98" w14:textId="77777777" w:rsidR="002E5545" w:rsidRDefault="002E5545">
      <w:r>
        <w:separator/>
      </w:r>
    </w:p>
  </w:footnote>
  <w:footnote w:type="continuationSeparator" w:id="0">
    <w:p w14:paraId="4C60E657" w14:textId="77777777" w:rsidR="002E5545" w:rsidRDefault="002E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93809"/>
      <w:docPartObj>
        <w:docPartGallery w:val="Page Numbers (Top of Page)"/>
        <w:docPartUnique/>
      </w:docPartObj>
    </w:sdtPr>
    <w:sdtEndPr>
      <w:rPr>
        <w:noProof/>
      </w:rPr>
    </w:sdtEndPr>
    <w:sdtContent>
      <w:p w14:paraId="45762756" w14:textId="77777777" w:rsidR="00BC3EDD" w:rsidRDefault="00BC3EDD">
        <w:pPr>
          <w:pStyle w:val="Header"/>
          <w:jc w:val="center"/>
        </w:pPr>
        <w:r>
          <w:fldChar w:fldCharType="begin"/>
        </w:r>
        <w:r>
          <w:instrText xml:space="preserve"> PAGE   \* MERGEFORMAT </w:instrText>
        </w:r>
        <w:r>
          <w:fldChar w:fldCharType="separate"/>
        </w:r>
        <w:r w:rsidR="00B42CBA">
          <w:rPr>
            <w:noProof/>
          </w:rPr>
          <w:t>6</w:t>
        </w:r>
        <w:r>
          <w:rPr>
            <w:noProof/>
          </w:rPr>
          <w:fldChar w:fldCharType="end"/>
        </w:r>
      </w:p>
    </w:sdtContent>
  </w:sdt>
  <w:p w14:paraId="60CFDDBD" w14:textId="77777777" w:rsidR="00BC3EDD" w:rsidRDefault="00BC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A11"/>
    <w:multiLevelType w:val="hybridMultilevel"/>
    <w:tmpl w:val="F672F4B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75BB5"/>
    <w:multiLevelType w:val="hybridMultilevel"/>
    <w:tmpl w:val="530078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C0EDA"/>
    <w:multiLevelType w:val="hybridMultilevel"/>
    <w:tmpl w:val="8D602532"/>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E1C483C"/>
    <w:multiLevelType w:val="hybridMultilevel"/>
    <w:tmpl w:val="C0A2C2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05C29"/>
    <w:multiLevelType w:val="hybridMultilevel"/>
    <w:tmpl w:val="B128D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7A3198"/>
    <w:multiLevelType w:val="multilevel"/>
    <w:tmpl w:val="87149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5654A8E"/>
    <w:multiLevelType w:val="hybridMultilevel"/>
    <w:tmpl w:val="E9D04D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B046922"/>
    <w:multiLevelType w:val="multilevel"/>
    <w:tmpl w:val="8BA227B0"/>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273FE9"/>
    <w:multiLevelType w:val="hybridMultilevel"/>
    <w:tmpl w:val="084215EC"/>
    <w:lvl w:ilvl="0" w:tplc="2C424D4E">
      <w:start w:val="1"/>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1460785"/>
    <w:multiLevelType w:val="hybridMultilevel"/>
    <w:tmpl w:val="0512D84A"/>
    <w:lvl w:ilvl="0" w:tplc="62F482E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1C5194F"/>
    <w:multiLevelType w:val="hybridMultilevel"/>
    <w:tmpl w:val="B128D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234938"/>
    <w:multiLevelType w:val="hybridMultilevel"/>
    <w:tmpl w:val="80861708"/>
    <w:lvl w:ilvl="0" w:tplc="BF4E966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EE19D3"/>
    <w:multiLevelType w:val="hybridMultilevel"/>
    <w:tmpl w:val="5356595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10"/>
  </w:num>
  <w:num w:numId="6">
    <w:abstractNumId w:val="12"/>
  </w:num>
  <w:num w:numId="7">
    <w:abstractNumId w:val="0"/>
  </w:num>
  <w:num w:numId="8">
    <w:abstractNumId w:val="2"/>
  </w:num>
  <w:num w:numId="9">
    <w:abstractNumId w:val="3"/>
  </w:num>
  <w:num w:numId="10">
    <w:abstractNumId w:val="1"/>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2"/>
    <w:rsid w:val="00000184"/>
    <w:rsid w:val="000038D2"/>
    <w:rsid w:val="000115B1"/>
    <w:rsid w:val="00011994"/>
    <w:rsid w:val="000355DF"/>
    <w:rsid w:val="0004052B"/>
    <w:rsid w:val="00042EED"/>
    <w:rsid w:val="0005444B"/>
    <w:rsid w:val="0005626D"/>
    <w:rsid w:val="00057B23"/>
    <w:rsid w:val="000708F5"/>
    <w:rsid w:val="0007206D"/>
    <w:rsid w:val="00084089"/>
    <w:rsid w:val="00095DB0"/>
    <w:rsid w:val="000C4765"/>
    <w:rsid w:val="000C738A"/>
    <w:rsid w:val="000D2591"/>
    <w:rsid w:val="000D5234"/>
    <w:rsid w:val="000D62ED"/>
    <w:rsid w:val="000E1622"/>
    <w:rsid w:val="0010452E"/>
    <w:rsid w:val="0012132A"/>
    <w:rsid w:val="0012542C"/>
    <w:rsid w:val="00126A07"/>
    <w:rsid w:val="001347CB"/>
    <w:rsid w:val="0013571B"/>
    <w:rsid w:val="00146D46"/>
    <w:rsid w:val="00150797"/>
    <w:rsid w:val="00155FE8"/>
    <w:rsid w:val="00165562"/>
    <w:rsid w:val="0017518E"/>
    <w:rsid w:val="00176AF1"/>
    <w:rsid w:val="00180766"/>
    <w:rsid w:val="0018191A"/>
    <w:rsid w:val="001A57AB"/>
    <w:rsid w:val="001B7CD1"/>
    <w:rsid w:val="001D0E3C"/>
    <w:rsid w:val="001D18DC"/>
    <w:rsid w:val="001D5DC2"/>
    <w:rsid w:val="001D629B"/>
    <w:rsid w:val="001F65F2"/>
    <w:rsid w:val="002012C4"/>
    <w:rsid w:val="00202020"/>
    <w:rsid w:val="00222733"/>
    <w:rsid w:val="00224B4E"/>
    <w:rsid w:val="00242A60"/>
    <w:rsid w:val="002445A5"/>
    <w:rsid w:val="0024680E"/>
    <w:rsid w:val="0025109C"/>
    <w:rsid w:val="002517CB"/>
    <w:rsid w:val="00262AB2"/>
    <w:rsid w:val="00266083"/>
    <w:rsid w:val="00273D30"/>
    <w:rsid w:val="002746F3"/>
    <w:rsid w:val="00275967"/>
    <w:rsid w:val="002761D5"/>
    <w:rsid w:val="00277D5A"/>
    <w:rsid w:val="002909C4"/>
    <w:rsid w:val="002B565D"/>
    <w:rsid w:val="002D65E9"/>
    <w:rsid w:val="002D6D8A"/>
    <w:rsid w:val="002E5545"/>
    <w:rsid w:val="00311402"/>
    <w:rsid w:val="00320743"/>
    <w:rsid w:val="003463B0"/>
    <w:rsid w:val="003505C8"/>
    <w:rsid w:val="00355194"/>
    <w:rsid w:val="003576A0"/>
    <w:rsid w:val="00370B10"/>
    <w:rsid w:val="00373B4F"/>
    <w:rsid w:val="0038101E"/>
    <w:rsid w:val="00385900"/>
    <w:rsid w:val="00394D40"/>
    <w:rsid w:val="0039588D"/>
    <w:rsid w:val="003C204B"/>
    <w:rsid w:val="003C66F2"/>
    <w:rsid w:val="003D5C72"/>
    <w:rsid w:val="003F2516"/>
    <w:rsid w:val="003F544E"/>
    <w:rsid w:val="00401A82"/>
    <w:rsid w:val="00402B5A"/>
    <w:rsid w:val="00410644"/>
    <w:rsid w:val="00440825"/>
    <w:rsid w:val="00441A1B"/>
    <w:rsid w:val="0045622D"/>
    <w:rsid w:val="0047371A"/>
    <w:rsid w:val="004742F9"/>
    <w:rsid w:val="00485109"/>
    <w:rsid w:val="00485813"/>
    <w:rsid w:val="004A44D7"/>
    <w:rsid w:val="004B5CE3"/>
    <w:rsid w:val="004C45C1"/>
    <w:rsid w:val="004D5DDF"/>
    <w:rsid w:val="00511C57"/>
    <w:rsid w:val="00521086"/>
    <w:rsid w:val="0053009D"/>
    <w:rsid w:val="00537D55"/>
    <w:rsid w:val="005421CB"/>
    <w:rsid w:val="00544CBC"/>
    <w:rsid w:val="00577B62"/>
    <w:rsid w:val="005B0EDF"/>
    <w:rsid w:val="005C6623"/>
    <w:rsid w:val="005E2446"/>
    <w:rsid w:val="005F501E"/>
    <w:rsid w:val="0062108A"/>
    <w:rsid w:val="006223C3"/>
    <w:rsid w:val="00626318"/>
    <w:rsid w:val="00634962"/>
    <w:rsid w:val="00642CDB"/>
    <w:rsid w:val="00653B45"/>
    <w:rsid w:val="006542E6"/>
    <w:rsid w:val="00660A32"/>
    <w:rsid w:val="006674CE"/>
    <w:rsid w:val="006754A8"/>
    <w:rsid w:val="00691969"/>
    <w:rsid w:val="00692846"/>
    <w:rsid w:val="006A2683"/>
    <w:rsid w:val="006A66ED"/>
    <w:rsid w:val="006B1773"/>
    <w:rsid w:val="006B6ED7"/>
    <w:rsid w:val="006C48AD"/>
    <w:rsid w:val="006C4D4E"/>
    <w:rsid w:val="006C7524"/>
    <w:rsid w:val="006D12DC"/>
    <w:rsid w:val="006F2587"/>
    <w:rsid w:val="00701B7C"/>
    <w:rsid w:val="0070334C"/>
    <w:rsid w:val="007079DF"/>
    <w:rsid w:val="007327F9"/>
    <w:rsid w:val="00764B28"/>
    <w:rsid w:val="00787424"/>
    <w:rsid w:val="00791F2C"/>
    <w:rsid w:val="00792337"/>
    <w:rsid w:val="00792C49"/>
    <w:rsid w:val="007B21FE"/>
    <w:rsid w:val="007B2D6D"/>
    <w:rsid w:val="007B6704"/>
    <w:rsid w:val="007C6255"/>
    <w:rsid w:val="007C7503"/>
    <w:rsid w:val="007D5AC0"/>
    <w:rsid w:val="007D76AE"/>
    <w:rsid w:val="007E1D75"/>
    <w:rsid w:val="007E3B66"/>
    <w:rsid w:val="007F7FA2"/>
    <w:rsid w:val="00801D3C"/>
    <w:rsid w:val="008054B0"/>
    <w:rsid w:val="0081623B"/>
    <w:rsid w:val="00820561"/>
    <w:rsid w:val="00821555"/>
    <w:rsid w:val="00824817"/>
    <w:rsid w:val="00881416"/>
    <w:rsid w:val="008A4C82"/>
    <w:rsid w:val="008A6538"/>
    <w:rsid w:val="008B2019"/>
    <w:rsid w:val="008C12AC"/>
    <w:rsid w:val="008C4053"/>
    <w:rsid w:val="008D2E0D"/>
    <w:rsid w:val="008D3871"/>
    <w:rsid w:val="008D7127"/>
    <w:rsid w:val="008D79CA"/>
    <w:rsid w:val="008E1CA1"/>
    <w:rsid w:val="008F0FBA"/>
    <w:rsid w:val="008F7CDA"/>
    <w:rsid w:val="00920CB2"/>
    <w:rsid w:val="00923AA6"/>
    <w:rsid w:val="00930EDD"/>
    <w:rsid w:val="009444EC"/>
    <w:rsid w:val="009500D7"/>
    <w:rsid w:val="00953220"/>
    <w:rsid w:val="0096439B"/>
    <w:rsid w:val="00975508"/>
    <w:rsid w:val="00981EA9"/>
    <w:rsid w:val="00991645"/>
    <w:rsid w:val="0099196A"/>
    <w:rsid w:val="009956C1"/>
    <w:rsid w:val="00995B28"/>
    <w:rsid w:val="009B0F9A"/>
    <w:rsid w:val="009B62A4"/>
    <w:rsid w:val="009C61CC"/>
    <w:rsid w:val="009D0001"/>
    <w:rsid w:val="009F1370"/>
    <w:rsid w:val="00A072E4"/>
    <w:rsid w:val="00A11256"/>
    <w:rsid w:val="00A17D47"/>
    <w:rsid w:val="00A24E1E"/>
    <w:rsid w:val="00A260AC"/>
    <w:rsid w:val="00A35A19"/>
    <w:rsid w:val="00A37CB6"/>
    <w:rsid w:val="00A4244A"/>
    <w:rsid w:val="00A44E66"/>
    <w:rsid w:val="00A46109"/>
    <w:rsid w:val="00A633A8"/>
    <w:rsid w:val="00A65646"/>
    <w:rsid w:val="00A75B9F"/>
    <w:rsid w:val="00A92D56"/>
    <w:rsid w:val="00AB44DF"/>
    <w:rsid w:val="00AB699A"/>
    <w:rsid w:val="00AC4D42"/>
    <w:rsid w:val="00AF3754"/>
    <w:rsid w:val="00AF4985"/>
    <w:rsid w:val="00AF7058"/>
    <w:rsid w:val="00B00E97"/>
    <w:rsid w:val="00B070C6"/>
    <w:rsid w:val="00B1476A"/>
    <w:rsid w:val="00B17095"/>
    <w:rsid w:val="00B40977"/>
    <w:rsid w:val="00B42CBA"/>
    <w:rsid w:val="00B61236"/>
    <w:rsid w:val="00B8679A"/>
    <w:rsid w:val="00BB2F56"/>
    <w:rsid w:val="00BC091B"/>
    <w:rsid w:val="00BC296E"/>
    <w:rsid w:val="00BC3EDD"/>
    <w:rsid w:val="00BD6948"/>
    <w:rsid w:val="00BE5FC6"/>
    <w:rsid w:val="00C000A5"/>
    <w:rsid w:val="00C021A4"/>
    <w:rsid w:val="00C07E00"/>
    <w:rsid w:val="00C1050D"/>
    <w:rsid w:val="00C17DE9"/>
    <w:rsid w:val="00C32C1D"/>
    <w:rsid w:val="00C5009D"/>
    <w:rsid w:val="00C61D4D"/>
    <w:rsid w:val="00C66871"/>
    <w:rsid w:val="00C778A7"/>
    <w:rsid w:val="00C87E3C"/>
    <w:rsid w:val="00C9466F"/>
    <w:rsid w:val="00CA4E3C"/>
    <w:rsid w:val="00CB5ECC"/>
    <w:rsid w:val="00CC3B92"/>
    <w:rsid w:val="00CD210F"/>
    <w:rsid w:val="00CD34E9"/>
    <w:rsid w:val="00CD6599"/>
    <w:rsid w:val="00CD72EE"/>
    <w:rsid w:val="00CE490F"/>
    <w:rsid w:val="00CF05A9"/>
    <w:rsid w:val="00CF2E7E"/>
    <w:rsid w:val="00CF443A"/>
    <w:rsid w:val="00CF5BAD"/>
    <w:rsid w:val="00D04129"/>
    <w:rsid w:val="00D11FB7"/>
    <w:rsid w:val="00D23D94"/>
    <w:rsid w:val="00D32185"/>
    <w:rsid w:val="00D35FFD"/>
    <w:rsid w:val="00D42AC5"/>
    <w:rsid w:val="00D5277D"/>
    <w:rsid w:val="00D55670"/>
    <w:rsid w:val="00D74298"/>
    <w:rsid w:val="00D862A1"/>
    <w:rsid w:val="00D908FA"/>
    <w:rsid w:val="00DA7B3F"/>
    <w:rsid w:val="00DB378A"/>
    <w:rsid w:val="00DB6225"/>
    <w:rsid w:val="00DC78BB"/>
    <w:rsid w:val="00DF06F2"/>
    <w:rsid w:val="00DF1121"/>
    <w:rsid w:val="00E05F4B"/>
    <w:rsid w:val="00E12500"/>
    <w:rsid w:val="00E21176"/>
    <w:rsid w:val="00E21FFD"/>
    <w:rsid w:val="00E401AB"/>
    <w:rsid w:val="00E42B6A"/>
    <w:rsid w:val="00E521DD"/>
    <w:rsid w:val="00E55578"/>
    <w:rsid w:val="00E629A2"/>
    <w:rsid w:val="00E75271"/>
    <w:rsid w:val="00E82CAE"/>
    <w:rsid w:val="00E862E0"/>
    <w:rsid w:val="00E93AF6"/>
    <w:rsid w:val="00EA073C"/>
    <w:rsid w:val="00EE28A1"/>
    <w:rsid w:val="00EF5734"/>
    <w:rsid w:val="00F01E4D"/>
    <w:rsid w:val="00F11C92"/>
    <w:rsid w:val="00F2423E"/>
    <w:rsid w:val="00F31CF7"/>
    <w:rsid w:val="00F406F9"/>
    <w:rsid w:val="00F43C27"/>
    <w:rsid w:val="00F55DDE"/>
    <w:rsid w:val="00F6433E"/>
    <w:rsid w:val="00F715DB"/>
    <w:rsid w:val="00F735B7"/>
    <w:rsid w:val="00F73A14"/>
    <w:rsid w:val="00F93344"/>
    <w:rsid w:val="00F93CF2"/>
    <w:rsid w:val="00FB1D23"/>
    <w:rsid w:val="00FB6D43"/>
    <w:rsid w:val="00FC3BD0"/>
    <w:rsid w:val="00FC52B4"/>
    <w:rsid w:val="00FE64A4"/>
    <w:rsid w:val="00FF5168"/>
    <w:rsid w:val="00FF5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F2BCFC9"/>
  <w15:docId w15:val="{B8522D05-3A02-4C5C-9905-647EF5B8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72"/>
    <w:pPr>
      <w:spacing w:after="0" w:line="240" w:lineRule="auto"/>
    </w:pPr>
    <w:rPr>
      <w:rFonts w:ascii="Times New Roman" w:eastAsia="MS Mincho" w:hAnsi="Times New Roman"/>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C72"/>
    <w:rPr>
      <w:color w:val="0000FF"/>
      <w:u w:val="single"/>
    </w:rPr>
  </w:style>
  <w:style w:type="paragraph" w:styleId="ListParagraph">
    <w:name w:val="List Paragraph"/>
    <w:basedOn w:val="Normal"/>
    <w:uiPriority w:val="34"/>
    <w:qFormat/>
    <w:rsid w:val="003D5C72"/>
    <w:pPr>
      <w:ind w:left="720"/>
      <w:contextualSpacing/>
    </w:pPr>
  </w:style>
  <w:style w:type="paragraph" w:customStyle="1" w:styleId="naisf">
    <w:name w:val="naisf"/>
    <w:basedOn w:val="Normal"/>
    <w:rsid w:val="003D5C72"/>
    <w:pPr>
      <w:spacing w:before="100" w:after="100"/>
    </w:pPr>
    <w:rPr>
      <w:rFonts w:eastAsia="Times New Roman" w:cs="Times New Roman"/>
      <w:sz w:val="24"/>
      <w:szCs w:val="20"/>
      <w:lang w:eastAsia="lv-LV"/>
    </w:rPr>
  </w:style>
  <w:style w:type="paragraph" w:styleId="EnvelopeReturn">
    <w:name w:val="envelope return"/>
    <w:basedOn w:val="Normal"/>
    <w:semiHidden/>
    <w:rsid w:val="003D5C72"/>
    <w:pPr>
      <w:keepLines/>
      <w:widowControl w:val="0"/>
      <w:spacing w:before="600"/>
    </w:pPr>
    <w:rPr>
      <w:rFonts w:eastAsia="Times New Roman" w:cs="Times New Roman"/>
      <w:sz w:val="26"/>
      <w:szCs w:val="20"/>
      <w:lang w:val="en-AU" w:eastAsia="lv-LV"/>
    </w:rPr>
  </w:style>
  <w:style w:type="paragraph" w:styleId="Header">
    <w:name w:val="header"/>
    <w:basedOn w:val="Normal"/>
    <w:link w:val="HeaderChar"/>
    <w:uiPriority w:val="99"/>
    <w:unhideWhenUsed/>
    <w:rsid w:val="003D5C72"/>
    <w:pPr>
      <w:tabs>
        <w:tab w:val="center" w:pos="4153"/>
        <w:tab w:val="right" w:pos="8306"/>
      </w:tabs>
    </w:pPr>
  </w:style>
  <w:style w:type="character" w:customStyle="1" w:styleId="HeaderChar">
    <w:name w:val="Header Char"/>
    <w:basedOn w:val="DefaultParagraphFont"/>
    <w:link w:val="Header"/>
    <w:uiPriority w:val="99"/>
    <w:rsid w:val="003D5C72"/>
    <w:rPr>
      <w:rFonts w:ascii="Times New Roman" w:eastAsia="MS Mincho" w:hAnsi="Times New Roman"/>
      <w:sz w:val="28"/>
      <w:lang w:eastAsia="ja-JP"/>
    </w:rPr>
  </w:style>
  <w:style w:type="paragraph" w:styleId="Footer">
    <w:name w:val="footer"/>
    <w:basedOn w:val="Normal"/>
    <w:link w:val="FooterChar"/>
    <w:uiPriority w:val="99"/>
    <w:unhideWhenUsed/>
    <w:rsid w:val="0053009D"/>
    <w:pPr>
      <w:tabs>
        <w:tab w:val="center" w:pos="4153"/>
        <w:tab w:val="right" w:pos="8306"/>
      </w:tabs>
    </w:pPr>
  </w:style>
  <w:style w:type="character" w:customStyle="1" w:styleId="FooterChar">
    <w:name w:val="Footer Char"/>
    <w:basedOn w:val="DefaultParagraphFont"/>
    <w:link w:val="Footer"/>
    <w:uiPriority w:val="99"/>
    <w:rsid w:val="0053009D"/>
    <w:rPr>
      <w:rFonts w:ascii="Times New Roman" w:eastAsia="MS Mincho" w:hAnsi="Times New Roman"/>
      <w:sz w:val="28"/>
      <w:lang w:eastAsia="ja-JP"/>
    </w:rPr>
  </w:style>
  <w:style w:type="paragraph" w:styleId="BalloonText">
    <w:name w:val="Balloon Text"/>
    <w:basedOn w:val="Normal"/>
    <w:link w:val="BalloonTextChar"/>
    <w:uiPriority w:val="99"/>
    <w:semiHidden/>
    <w:unhideWhenUsed/>
    <w:rsid w:val="00CD72EE"/>
    <w:rPr>
      <w:rFonts w:ascii="Tahoma" w:hAnsi="Tahoma" w:cs="Tahoma"/>
      <w:sz w:val="16"/>
      <w:szCs w:val="16"/>
    </w:rPr>
  </w:style>
  <w:style w:type="character" w:customStyle="1" w:styleId="BalloonTextChar">
    <w:name w:val="Balloon Text Char"/>
    <w:basedOn w:val="DefaultParagraphFont"/>
    <w:link w:val="BalloonText"/>
    <w:uiPriority w:val="99"/>
    <w:semiHidden/>
    <w:rsid w:val="00CD72EE"/>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CD72EE"/>
    <w:rPr>
      <w:sz w:val="16"/>
      <w:szCs w:val="16"/>
    </w:rPr>
  </w:style>
  <w:style w:type="paragraph" w:styleId="CommentText">
    <w:name w:val="annotation text"/>
    <w:basedOn w:val="Normal"/>
    <w:link w:val="CommentTextChar"/>
    <w:uiPriority w:val="99"/>
    <w:semiHidden/>
    <w:unhideWhenUsed/>
    <w:rsid w:val="00CD72EE"/>
    <w:rPr>
      <w:sz w:val="20"/>
      <w:szCs w:val="20"/>
    </w:rPr>
  </w:style>
  <w:style w:type="character" w:customStyle="1" w:styleId="CommentTextChar">
    <w:name w:val="Comment Text Char"/>
    <w:basedOn w:val="DefaultParagraphFont"/>
    <w:link w:val="CommentText"/>
    <w:uiPriority w:val="99"/>
    <w:semiHidden/>
    <w:rsid w:val="00CD72EE"/>
    <w:rPr>
      <w:rFonts w:ascii="Times New Roman" w:eastAsia="MS Mincho"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D72EE"/>
    <w:rPr>
      <w:b/>
      <w:bCs/>
    </w:rPr>
  </w:style>
  <w:style w:type="character" w:customStyle="1" w:styleId="CommentSubjectChar">
    <w:name w:val="Comment Subject Char"/>
    <w:basedOn w:val="CommentTextChar"/>
    <w:link w:val="CommentSubject"/>
    <w:uiPriority w:val="99"/>
    <w:semiHidden/>
    <w:rsid w:val="00CD72EE"/>
    <w:rPr>
      <w:rFonts w:ascii="Times New Roman" w:eastAsia="MS Mincho" w:hAnsi="Times New Roman"/>
      <w:b/>
      <w:bCs/>
      <w:sz w:val="20"/>
      <w:szCs w:val="20"/>
      <w:lang w:eastAsia="ja-JP"/>
    </w:rPr>
  </w:style>
  <w:style w:type="paragraph" w:styleId="BodyText">
    <w:name w:val="Body Text"/>
    <w:basedOn w:val="Normal"/>
    <w:link w:val="BodyTextChar"/>
    <w:semiHidden/>
    <w:rsid w:val="00000184"/>
    <w:pPr>
      <w:jc w:val="both"/>
    </w:pPr>
    <w:rPr>
      <w:rFonts w:eastAsia="Times New Roman" w:cs="Times New Roman"/>
      <w:szCs w:val="20"/>
      <w:lang w:eastAsia="lv-LV"/>
    </w:rPr>
  </w:style>
  <w:style w:type="character" w:customStyle="1" w:styleId="BodyTextChar">
    <w:name w:val="Body Text Char"/>
    <w:basedOn w:val="DefaultParagraphFont"/>
    <w:link w:val="BodyText"/>
    <w:semiHidden/>
    <w:rsid w:val="00000184"/>
    <w:rPr>
      <w:rFonts w:ascii="Times New Roman" w:eastAsia="Times New Roman" w:hAnsi="Times New Roman" w:cs="Times New Roman"/>
      <w:sz w:val="28"/>
      <w:szCs w:val="20"/>
      <w:lang w:eastAsia="lv-LV"/>
    </w:rPr>
  </w:style>
  <w:style w:type="character" w:customStyle="1" w:styleId="apple-converted-space">
    <w:name w:val="apple-converted-space"/>
    <w:basedOn w:val="DefaultParagraphFont"/>
    <w:rsid w:val="00CC3B92"/>
  </w:style>
  <w:style w:type="paragraph" w:customStyle="1" w:styleId="1">
    <w:name w:val="1"/>
    <w:basedOn w:val="Normal"/>
    <w:rsid w:val="00CC3B92"/>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unhideWhenUsed/>
    <w:rsid w:val="006A2683"/>
    <w:rPr>
      <w:rFonts w:eastAsiaTheme="minorHAnsi" w:cs="Times New Roman"/>
      <w:sz w:val="24"/>
      <w:szCs w:val="24"/>
      <w:lang w:eastAsia="lv-LV"/>
    </w:rPr>
  </w:style>
  <w:style w:type="paragraph" w:customStyle="1" w:styleId="tvhtml">
    <w:name w:val="tv_html"/>
    <w:basedOn w:val="Normal"/>
    <w:rsid w:val="00DC78BB"/>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6895">
      <w:bodyDiv w:val="1"/>
      <w:marLeft w:val="0"/>
      <w:marRight w:val="0"/>
      <w:marTop w:val="0"/>
      <w:marBottom w:val="0"/>
      <w:divBdr>
        <w:top w:val="none" w:sz="0" w:space="0" w:color="auto"/>
        <w:left w:val="none" w:sz="0" w:space="0" w:color="auto"/>
        <w:bottom w:val="none" w:sz="0" w:space="0" w:color="auto"/>
        <w:right w:val="none" w:sz="0" w:space="0" w:color="auto"/>
      </w:divBdr>
    </w:div>
    <w:div w:id="509101873">
      <w:bodyDiv w:val="1"/>
      <w:marLeft w:val="0"/>
      <w:marRight w:val="0"/>
      <w:marTop w:val="0"/>
      <w:marBottom w:val="0"/>
      <w:divBdr>
        <w:top w:val="none" w:sz="0" w:space="0" w:color="auto"/>
        <w:left w:val="none" w:sz="0" w:space="0" w:color="auto"/>
        <w:bottom w:val="none" w:sz="0" w:space="0" w:color="auto"/>
        <w:right w:val="none" w:sz="0" w:space="0" w:color="auto"/>
      </w:divBdr>
    </w:div>
    <w:div w:id="515118611">
      <w:bodyDiv w:val="1"/>
      <w:marLeft w:val="0"/>
      <w:marRight w:val="0"/>
      <w:marTop w:val="0"/>
      <w:marBottom w:val="0"/>
      <w:divBdr>
        <w:top w:val="none" w:sz="0" w:space="0" w:color="auto"/>
        <w:left w:val="none" w:sz="0" w:space="0" w:color="auto"/>
        <w:bottom w:val="none" w:sz="0" w:space="0" w:color="auto"/>
        <w:right w:val="none" w:sz="0" w:space="0" w:color="auto"/>
      </w:divBdr>
    </w:div>
    <w:div w:id="516965330">
      <w:bodyDiv w:val="1"/>
      <w:marLeft w:val="0"/>
      <w:marRight w:val="0"/>
      <w:marTop w:val="0"/>
      <w:marBottom w:val="0"/>
      <w:divBdr>
        <w:top w:val="none" w:sz="0" w:space="0" w:color="auto"/>
        <w:left w:val="none" w:sz="0" w:space="0" w:color="auto"/>
        <w:bottom w:val="none" w:sz="0" w:space="0" w:color="auto"/>
        <w:right w:val="none" w:sz="0" w:space="0" w:color="auto"/>
      </w:divBdr>
    </w:div>
    <w:div w:id="571432674">
      <w:bodyDiv w:val="1"/>
      <w:marLeft w:val="0"/>
      <w:marRight w:val="0"/>
      <w:marTop w:val="0"/>
      <w:marBottom w:val="0"/>
      <w:divBdr>
        <w:top w:val="none" w:sz="0" w:space="0" w:color="auto"/>
        <w:left w:val="none" w:sz="0" w:space="0" w:color="auto"/>
        <w:bottom w:val="none" w:sz="0" w:space="0" w:color="auto"/>
        <w:right w:val="none" w:sz="0" w:space="0" w:color="auto"/>
      </w:divBdr>
    </w:div>
    <w:div w:id="622545059">
      <w:bodyDiv w:val="1"/>
      <w:marLeft w:val="0"/>
      <w:marRight w:val="0"/>
      <w:marTop w:val="0"/>
      <w:marBottom w:val="0"/>
      <w:divBdr>
        <w:top w:val="none" w:sz="0" w:space="0" w:color="auto"/>
        <w:left w:val="none" w:sz="0" w:space="0" w:color="auto"/>
        <w:bottom w:val="none" w:sz="0" w:space="0" w:color="auto"/>
        <w:right w:val="none" w:sz="0" w:space="0" w:color="auto"/>
      </w:divBdr>
    </w:div>
    <w:div w:id="702443713">
      <w:bodyDiv w:val="1"/>
      <w:marLeft w:val="0"/>
      <w:marRight w:val="0"/>
      <w:marTop w:val="0"/>
      <w:marBottom w:val="0"/>
      <w:divBdr>
        <w:top w:val="none" w:sz="0" w:space="0" w:color="auto"/>
        <w:left w:val="none" w:sz="0" w:space="0" w:color="auto"/>
        <w:bottom w:val="none" w:sz="0" w:space="0" w:color="auto"/>
        <w:right w:val="none" w:sz="0" w:space="0" w:color="auto"/>
      </w:divBdr>
    </w:div>
    <w:div w:id="1020813088">
      <w:bodyDiv w:val="1"/>
      <w:marLeft w:val="0"/>
      <w:marRight w:val="0"/>
      <w:marTop w:val="0"/>
      <w:marBottom w:val="0"/>
      <w:divBdr>
        <w:top w:val="none" w:sz="0" w:space="0" w:color="auto"/>
        <w:left w:val="none" w:sz="0" w:space="0" w:color="auto"/>
        <w:bottom w:val="none" w:sz="0" w:space="0" w:color="auto"/>
        <w:right w:val="none" w:sz="0" w:space="0" w:color="auto"/>
      </w:divBdr>
    </w:div>
    <w:div w:id="1051341591">
      <w:bodyDiv w:val="1"/>
      <w:marLeft w:val="0"/>
      <w:marRight w:val="0"/>
      <w:marTop w:val="0"/>
      <w:marBottom w:val="0"/>
      <w:divBdr>
        <w:top w:val="none" w:sz="0" w:space="0" w:color="auto"/>
        <w:left w:val="none" w:sz="0" w:space="0" w:color="auto"/>
        <w:bottom w:val="none" w:sz="0" w:space="0" w:color="auto"/>
        <w:right w:val="none" w:sz="0" w:space="0" w:color="auto"/>
      </w:divBdr>
    </w:div>
    <w:div w:id="1162046239">
      <w:bodyDiv w:val="1"/>
      <w:marLeft w:val="0"/>
      <w:marRight w:val="0"/>
      <w:marTop w:val="0"/>
      <w:marBottom w:val="0"/>
      <w:divBdr>
        <w:top w:val="none" w:sz="0" w:space="0" w:color="auto"/>
        <w:left w:val="none" w:sz="0" w:space="0" w:color="auto"/>
        <w:bottom w:val="none" w:sz="0" w:space="0" w:color="auto"/>
        <w:right w:val="none" w:sz="0" w:space="0" w:color="auto"/>
      </w:divBdr>
    </w:div>
    <w:div w:id="1314483194">
      <w:bodyDiv w:val="1"/>
      <w:marLeft w:val="0"/>
      <w:marRight w:val="0"/>
      <w:marTop w:val="0"/>
      <w:marBottom w:val="0"/>
      <w:divBdr>
        <w:top w:val="none" w:sz="0" w:space="0" w:color="auto"/>
        <w:left w:val="none" w:sz="0" w:space="0" w:color="auto"/>
        <w:bottom w:val="none" w:sz="0" w:space="0" w:color="auto"/>
        <w:right w:val="none" w:sz="0" w:space="0" w:color="auto"/>
      </w:divBdr>
    </w:div>
    <w:div w:id="1328439127">
      <w:bodyDiv w:val="1"/>
      <w:marLeft w:val="0"/>
      <w:marRight w:val="0"/>
      <w:marTop w:val="0"/>
      <w:marBottom w:val="0"/>
      <w:divBdr>
        <w:top w:val="none" w:sz="0" w:space="0" w:color="auto"/>
        <w:left w:val="none" w:sz="0" w:space="0" w:color="auto"/>
        <w:bottom w:val="none" w:sz="0" w:space="0" w:color="auto"/>
        <w:right w:val="none" w:sz="0" w:space="0" w:color="auto"/>
      </w:divBdr>
    </w:div>
    <w:div w:id="1356344225">
      <w:bodyDiv w:val="1"/>
      <w:marLeft w:val="0"/>
      <w:marRight w:val="0"/>
      <w:marTop w:val="0"/>
      <w:marBottom w:val="0"/>
      <w:divBdr>
        <w:top w:val="none" w:sz="0" w:space="0" w:color="auto"/>
        <w:left w:val="none" w:sz="0" w:space="0" w:color="auto"/>
        <w:bottom w:val="none" w:sz="0" w:space="0" w:color="auto"/>
        <w:right w:val="none" w:sz="0" w:space="0" w:color="auto"/>
      </w:divBdr>
    </w:div>
    <w:div w:id="1471827850">
      <w:bodyDiv w:val="1"/>
      <w:marLeft w:val="0"/>
      <w:marRight w:val="0"/>
      <w:marTop w:val="0"/>
      <w:marBottom w:val="0"/>
      <w:divBdr>
        <w:top w:val="none" w:sz="0" w:space="0" w:color="auto"/>
        <w:left w:val="none" w:sz="0" w:space="0" w:color="auto"/>
        <w:bottom w:val="none" w:sz="0" w:space="0" w:color="auto"/>
        <w:right w:val="none" w:sz="0" w:space="0" w:color="auto"/>
      </w:divBdr>
    </w:div>
    <w:div w:id="1474367072">
      <w:bodyDiv w:val="1"/>
      <w:marLeft w:val="0"/>
      <w:marRight w:val="0"/>
      <w:marTop w:val="0"/>
      <w:marBottom w:val="0"/>
      <w:divBdr>
        <w:top w:val="none" w:sz="0" w:space="0" w:color="auto"/>
        <w:left w:val="none" w:sz="0" w:space="0" w:color="auto"/>
        <w:bottom w:val="none" w:sz="0" w:space="0" w:color="auto"/>
        <w:right w:val="none" w:sz="0" w:space="0" w:color="auto"/>
      </w:divBdr>
    </w:div>
    <w:div w:id="1497576486">
      <w:bodyDiv w:val="1"/>
      <w:marLeft w:val="0"/>
      <w:marRight w:val="0"/>
      <w:marTop w:val="0"/>
      <w:marBottom w:val="0"/>
      <w:divBdr>
        <w:top w:val="none" w:sz="0" w:space="0" w:color="auto"/>
        <w:left w:val="none" w:sz="0" w:space="0" w:color="auto"/>
        <w:bottom w:val="none" w:sz="0" w:space="0" w:color="auto"/>
        <w:right w:val="none" w:sz="0" w:space="0" w:color="auto"/>
      </w:divBdr>
    </w:div>
    <w:div w:id="1760370584">
      <w:bodyDiv w:val="1"/>
      <w:marLeft w:val="0"/>
      <w:marRight w:val="0"/>
      <w:marTop w:val="0"/>
      <w:marBottom w:val="0"/>
      <w:divBdr>
        <w:top w:val="none" w:sz="0" w:space="0" w:color="auto"/>
        <w:left w:val="none" w:sz="0" w:space="0" w:color="auto"/>
        <w:bottom w:val="none" w:sz="0" w:space="0" w:color="auto"/>
        <w:right w:val="none" w:sz="0" w:space="0" w:color="auto"/>
      </w:divBdr>
    </w:div>
    <w:div w:id="1872569991">
      <w:bodyDiv w:val="1"/>
      <w:marLeft w:val="0"/>
      <w:marRight w:val="0"/>
      <w:marTop w:val="0"/>
      <w:marBottom w:val="0"/>
      <w:divBdr>
        <w:top w:val="none" w:sz="0" w:space="0" w:color="auto"/>
        <w:left w:val="none" w:sz="0" w:space="0" w:color="auto"/>
        <w:bottom w:val="none" w:sz="0" w:space="0" w:color="auto"/>
        <w:right w:val="none" w:sz="0" w:space="0" w:color="auto"/>
      </w:divBdr>
    </w:div>
    <w:div w:id="1917011708">
      <w:bodyDiv w:val="1"/>
      <w:marLeft w:val="0"/>
      <w:marRight w:val="0"/>
      <w:marTop w:val="0"/>
      <w:marBottom w:val="0"/>
      <w:divBdr>
        <w:top w:val="none" w:sz="0" w:space="0" w:color="auto"/>
        <w:left w:val="none" w:sz="0" w:space="0" w:color="auto"/>
        <w:bottom w:val="none" w:sz="0" w:space="0" w:color="auto"/>
        <w:right w:val="none" w:sz="0" w:space="0" w:color="auto"/>
      </w:divBdr>
    </w:div>
    <w:div w:id="2032297024">
      <w:bodyDiv w:val="1"/>
      <w:marLeft w:val="0"/>
      <w:marRight w:val="0"/>
      <w:marTop w:val="0"/>
      <w:marBottom w:val="0"/>
      <w:divBdr>
        <w:top w:val="none" w:sz="0" w:space="0" w:color="auto"/>
        <w:left w:val="none" w:sz="0" w:space="0" w:color="auto"/>
        <w:bottom w:val="none" w:sz="0" w:space="0" w:color="auto"/>
        <w:right w:val="none" w:sz="0" w:space="0" w:color="auto"/>
      </w:divBdr>
    </w:div>
    <w:div w:id="2055621556">
      <w:bodyDiv w:val="1"/>
      <w:marLeft w:val="0"/>
      <w:marRight w:val="0"/>
      <w:marTop w:val="0"/>
      <w:marBottom w:val="0"/>
      <w:divBdr>
        <w:top w:val="none" w:sz="0" w:space="0" w:color="auto"/>
        <w:left w:val="none" w:sz="0" w:space="0" w:color="auto"/>
        <w:bottom w:val="none" w:sz="0" w:space="0" w:color="auto"/>
        <w:right w:val="none" w:sz="0" w:space="0" w:color="auto"/>
      </w:divBdr>
    </w:div>
    <w:div w:id="20745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Grub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9EDB-A391-4895-A1C6-24445238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8859</Words>
  <Characters>5051</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Grūbe</dc:creator>
  <cp:keywords/>
  <dc:description/>
  <cp:lastModifiedBy>Evita Grūbe</cp:lastModifiedBy>
  <cp:revision>10</cp:revision>
  <cp:lastPrinted>2015-08-13T12:51:00Z</cp:lastPrinted>
  <dcterms:created xsi:type="dcterms:W3CDTF">2015-08-24T11:26:00Z</dcterms:created>
  <dcterms:modified xsi:type="dcterms:W3CDTF">2015-09-02T14:24:00Z</dcterms:modified>
  <cp:contentStatus/>
</cp:coreProperties>
</file>