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7B32F" w14:textId="77777777" w:rsidR="00CF7A23" w:rsidRDefault="00CF7A23" w:rsidP="00CF7A23">
      <w:pPr>
        <w:pStyle w:val="Title"/>
        <w:rPr>
          <w:szCs w:val="28"/>
        </w:rPr>
      </w:pPr>
      <w:r>
        <w:rPr>
          <w:szCs w:val="28"/>
        </w:rPr>
        <w:t>Ministru kabineta rīkojuma projekta</w:t>
      </w:r>
    </w:p>
    <w:p w14:paraId="3BB1E386" w14:textId="74EF71DA" w:rsidR="00CF7A23" w:rsidRDefault="00CF7A23" w:rsidP="00CF7A23">
      <w:pPr>
        <w:jc w:val="center"/>
        <w:outlineLvl w:val="3"/>
        <w:rPr>
          <w:b/>
          <w:bCs/>
          <w:sz w:val="28"/>
          <w:szCs w:val="28"/>
        </w:rPr>
      </w:pPr>
      <w:r>
        <w:rPr>
          <w:b/>
          <w:sz w:val="28"/>
          <w:szCs w:val="28"/>
        </w:rPr>
        <w:t>“</w:t>
      </w:r>
      <w:bookmarkStart w:id="0" w:name="OLE_LINK2"/>
      <w:bookmarkStart w:id="1" w:name="OLE_LINK1"/>
      <w:r w:rsidR="00FE00DF" w:rsidRPr="00FE00DF">
        <w:rPr>
          <w:b/>
          <w:bCs/>
          <w:sz w:val="28"/>
          <w:szCs w:val="28"/>
        </w:rPr>
        <w:t>Par Ministru kabineta 2006.gada 15.februāra rīkojuma Nr.93 „Par valsts īpašuma objektu nodošanu privatizācijai” atcelšanu daļā</w:t>
      </w:r>
      <w:r>
        <w:rPr>
          <w:b/>
          <w:bCs/>
          <w:sz w:val="28"/>
          <w:szCs w:val="28"/>
        </w:rPr>
        <w:t xml:space="preserve">” </w:t>
      </w:r>
      <w:bookmarkEnd w:id="0"/>
      <w:bookmarkEnd w:id="1"/>
      <w:r>
        <w:rPr>
          <w:b/>
          <w:bCs/>
          <w:sz w:val="28"/>
          <w:szCs w:val="28"/>
        </w:rPr>
        <w:t xml:space="preserve"> </w:t>
      </w:r>
    </w:p>
    <w:p w14:paraId="3272502A" w14:textId="77777777" w:rsidR="00CF7A23" w:rsidRDefault="00CF7A23" w:rsidP="00CF7A23">
      <w:pPr>
        <w:jc w:val="center"/>
        <w:outlineLvl w:val="3"/>
        <w:rPr>
          <w:rFonts w:eastAsia="Times New Roman"/>
          <w:b/>
          <w:bCs/>
          <w:sz w:val="28"/>
          <w:szCs w:val="28"/>
          <w:lang w:eastAsia="lv-LV"/>
        </w:rPr>
      </w:pPr>
      <w:r>
        <w:rPr>
          <w:b/>
          <w:sz w:val="28"/>
          <w:szCs w:val="28"/>
        </w:rPr>
        <w:t>sākotnējās ietekmes novērtējuma ziņojums (anotācija)</w:t>
      </w:r>
    </w:p>
    <w:p w14:paraId="667A35D8" w14:textId="77777777" w:rsidR="00CF7A23" w:rsidRDefault="00CF7A23" w:rsidP="00CF7A23">
      <w:pPr>
        <w:pStyle w:val="BodyText3"/>
        <w:spacing w:after="0"/>
        <w:jc w:val="center"/>
        <w:rPr>
          <w:b/>
          <w:sz w:val="28"/>
          <w:szCs w:val="28"/>
          <w:lang w:val="lv-LV"/>
        </w:rPr>
      </w:pPr>
    </w:p>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3708"/>
        <w:gridCol w:w="5093"/>
      </w:tblGrid>
      <w:tr w:rsidR="00CF7A23" w14:paraId="6E62D568" w14:textId="77777777" w:rsidTr="007011DD">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79709075" w14:textId="77777777" w:rsidR="00CF7A23" w:rsidRDefault="00CF7A23">
            <w:pPr>
              <w:pStyle w:val="naisnod"/>
              <w:spacing w:before="0" w:after="0"/>
              <w:rPr>
                <w:sz w:val="28"/>
                <w:szCs w:val="28"/>
              </w:rPr>
            </w:pPr>
            <w:r>
              <w:rPr>
                <w:sz w:val="28"/>
                <w:szCs w:val="28"/>
              </w:rPr>
              <w:t>I. Tiesību akta projekta izstrādes nepieciešamība</w:t>
            </w:r>
          </w:p>
        </w:tc>
      </w:tr>
      <w:tr w:rsidR="00CF7A23" w14:paraId="7ECEA6B5" w14:textId="77777777" w:rsidTr="007011DD">
        <w:trPr>
          <w:trHeight w:val="630"/>
        </w:trPr>
        <w:tc>
          <w:tcPr>
            <w:tcW w:w="550" w:type="dxa"/>
            <w:tcBorders>
              <w:top w:val="single" w:sz="4" w:space="0" w:color="auto"/>
              <w:left w:val="single" w:sz="4" w:space="0" w:color="auto"/>
              <w:bottom w:val="single" w:sz="4" w:space="0" w:color="auto"/>
              <w:right w:val="single" w:sz="4" w:space="0" w:color="auto"/>
            </w:tcBorders>
            <w:hideMark/>
          </w:tcPr>
          <w:p w14:paraId="60A1EF30" w14:textId="77777777" w:rsidR="00CF7A23" w:rsidRDefault="00CF7A23">
            <w:pPr>
              <w:pStyle w:val="naiskr"/>
              <w:spacing w:before="0" w:after="0"/>
              <w:rPr>
                <w:sz w:val="28"/>
                <w:szCs w:val="28"/>
              </w:rPr>
            </w:pPr>
            <w:r>
              <w:rPr>
                <w:sz w:val="28"/>
                <w:szCs w:val="28"/>
              </w:rPr>
              <w:t>1.</w:t>
            </w:r>
          </w:p>
        </w:tc>
        <w:tc>
          <w:tcPr>
            <w:tcW w:w="3708" w:type="dxa"/>
            <w:tcBorders>
              <w:top w:val="single" w:sz="4" w:space="0" w:color="auto"/>
              <w:left w:val="single" w:sz="4" w:space="0" w:color="auto"/>
              <w:bottom w:val="single" w:sz="4" w:space="0" w:color="auto"/>
              <w:right w:val="single" w:sz="4" w:space="0" w:color="auto"/>
            </w:tcBorders>
            <w:hideMark/>
          </w:tcPr>
          <w:p w14:paraId="3F6200BE" w14:textId="77777777" w:rsidR="00CF7A23" w:rsidRDefault="00CF7A23">
            <w:pPr>
              <w:pStyle w:val="naiskr"/>
              <w:spacing w:before="0" w:after="0"/>
              <w:ind w:hanging="10"/>
              <w:rPr>
                <w:sz w:val="28"/>
                <w:szCs w:val="28"/>
              </w:rPr>
            </w:pPr>
            <w:r>
              <w:rPr>
                <w:sz w:val="28"/>
                <w:szCs w:val="28"/>
              </w:rPr>
              <w:t>Pamatojums</w:t>
            </w:r>
          </w:p>
        </w:tc>
        <w:tc>
          <w:tcPr>
            <w:tcW w:w="5093" w:type="dxa"/>
            <w:tcBorders>
              <w:top w:val="single" w:sz="4" w:space="0" w:color="auto"/>
              <w:left w:val="single" w:sz="4" w:space="0" w:color="auto"/>
              <w:bottom w:val="single" w:sz="4" w:space="0" w:color="auto"/>
              <w:right w:val="single" w:sz="4" w:space="0" w:color="auto"/>
            </w:tcBorders>
            <w:hideMark/>
          </w:tcPr>
          <w:p w14:paraId="35970CB1" w14:textId="54EA0AA3" w:rsidR="00CF7A23" w:rsidRDefault="00CF7A23" w:rsidP="008510D3">
            <w:pPr>
              <w:ind w:firstLine="527"/>
              <w:jc w:val="both"/>
              <w:rPr>
                <w:sz w:val="28"/>
                <w:szCs w:val="28"/>
              </w:rPr>
            </w:pPr>
            <w:r>
              <w:rPr>
                <w:sz w:val="28"/>
                <w:szCs w:val="28"/>
              </w:rPr>
              <w:t xml:space="preserve"> </w:t>
            </w:r>
            <w:r w:rsidR="007A7A75" w:rsidRPr="008A6208">
              <w:rPr>
                <w:sz w:val="28"/>
                <w:szCs w:val="28"/>
              </w:rPr>
              <w:t xml:space="preserve"> Valsts un pašvaldību īpašuma privatizācijas un privatizācijas sertifikātu izmantošanas pabeigšanas likuma (turpmāk – Privatizācijas pabeigšanas likums) 6.panta otr</w:t>
            </w:r>
            <w:r w:rsidR="007A7A75">
              <w:rPr>
                <w:sz w:val="28"/>
                <w:szCs w:val="28"/>
              </w:rPr>
              <w:t>ā</w:t>
            </w:r>
            <w:r w:rsidR="007A7A75" w:rsidRPr="008A6208">
              <w:rPr>
                <w:sz w:val="28"/>
                <w:szCs w:val="28"/>
              </w:rPr>
              <w:t xml:space="preserve"> daļ</w:t>
            </w:r>
            <w:r w:rsidR="007A7A75">
              <w:rPr>
                <w:sz w:val="28"/>
                <w:szCs w:val="28"/>
              </w:rPr>
              <w:t>a,</w:t>
            </w:r>
            <w:r w:rsidR="007A7A75" w:rsidRPr="008A6208">
              <w:rPr>
                <w:sz w:val="28"/>
                <w:szCs w:val="28"/>
              </w:rPr>
              <w:t xml:space="preserve"> </w:t>
            </w:r>
            <w:r w:rsidR="007A7A75">
              <w:rPr>
                <w:sz w:val="28"/>
                <w:szCs w:val="28"/>
              </w:rPr>
              <w:t>likuma „</w:t>
            </w:r>
            <w:r w:rsidR="007A7A75" w:rsidRPr="00BA3B4A">
              <w:rPr>
                <w:sz w:val="28"/>
                <w:szCs w:val="28"/>
              </w:rPr>
              <w:t xml:space="preserve">Par valsts un pašvaldību īpašuma objektu privatizāciju” (turpmāk – Privatizācijas likums) 12.panta ceturtā daļa, </w:t>
            </w:r>
            <w:hyperlink r:id="rId7" w:tgtFrame="_blank" w:history="1">
              <w:r w:rsidR="007A7A75" w:rsidRPr="00BA3B4A">
                <w:rPr>
                  <w:sz w:val="28"/>
                  <w:szCs w:val="28"/>
                </w:rPr>
                <w:t>Administratīvā procesa likuma</w:t>
              </w:r>
            </w:hyperlink>
            <w:r w:rsidR="007A7A75">
              <w:rPr>
                <w:sz w:val="28"/>
                <w:szCs w:val="28"/>
              </w:rPr>
              <w:t xml:space="preserve"> 51</w:t>
            </w:r>
            <w:r w:rsidR="007A7A75" w:rsidRPr="00BA3B4A">
              <w:rPr>
                <w:sz w:val="28"/>
                <w:szCs w:val="28"/>
              </w:rPr>
              <w:t>.pants, 83.panta pirmā daļa</w:t>
            </w:r>
            <w:r w:rsidR="007A7A75">
              <w:rPr>
                <w:sz w:val="28"/>
                <w:szCs w:val="28"/>
              </w:rPr>
              <w:t xml:space="preserve"> un</w:t>
            </w:r>
            <w:r w:rsidR="007A7A75" w:rsidRPr="00BA3B4A">
              <w:rPr>
                <w:sz w:val="28"/>
                <w:szCs w:val="28"/>
              </w:rPr>
              <w:t xml:space="preserve"> 8</w:t>
            </w:r>
            <w:r w:rsidR="007A7A75">
              <w:rPr>
                <w:sz w:val="28"/>
                <w:szCs w:val="28"/>
              </w:rPr>
              <w:t>6</w:t>
            </w:r>
            <w:r w:rsidR="007A7A75" w:rsidRPr="00BA3B4A">
              <w:rPr>
                <w:sz w:val="28"/>
                <w:szCs w:val="28"/>
              </w:rPr>
              <w:t xml:space="preserve">.panta otrās daļas </w:t>
            </w:r>
            <w:r w:rsidR="007A7A75">
              <w:rPr>
                <w:sz w:val="28"/>
                <w:szCs w:val="28"/>
              </w:rPr>
              <w:t>3</w:t>
            </w:r>
            <w:r w:rsidR="007A7A75" w:rsidRPr="00BA3B4A">
              <w:rPr>
                <w:sz w:val="28"/>
                <w:szCs w:val="28"/>
              </w:rPr>
              <w:t>.</w:t>
            </w:r>
            <w:r w:rsidR="007A7A75">
              <w:rPr>
                <w:sz w:val="28"/>
                <w:szCs w:val="28"/>
              </w:rPr>
              <w:t xml:space="preserve"> un 5.</w:t>
            </w:r>
            <w:r w:rsidR="007A7A75" w:rsidRPr="00BA3B4A">
              <w:rPr>
                <w:sz w:val="28"/>
                <w:szCs w:val="28"/>
              </w:rPr>
              <w:t>punkt</w:t>
            </w:r>
            <w:r w:rsidR="008510D3">
              <w:rPr>
                <w:sz w:val="28"/>
                <w:szCs w:val="28"/>
              </w:rPr>
              <w:t>s</w:t>
            </w:r>
            <w:r w:rsidR="007A7A75">
              <w:rPr>
                <w:sz w:val="28"/>
                <w:szCs w:val="28"/>
              </w:rPr>
              <w:t>, Meža likuma 44.panta trešā daļa.</w:t>
            </w:r>
          </w:p>
        </w:tc>
      </w:tr>
      <w:tr w:rsidR="00CF7A23" w14:paraId="3C23338B" w14:textId="77777777" w:rsidTr="007011DD">
        <w:trPr>
          <w:trHeight w:val="472"/>
        </w:trPr>
        <w:tc>
          <w:tcPr>
            <w:tcW w:w="550" w:type="dxa"/>
            <w:tcBorders>
              <w:top w:val="single" w:sz="4" w:space="0" w:color="auto"/>
              <w:left w:val="single" w:sz="4" w:space="0" w:color="auto"/>
              <w:bottom w:val="single" w:sz="4" w:space="0" w:color="auto"/>
              <w:right w:val="single" w:sz="4" w:space="0" w:color="auto"/>
            </w:tcBorders>
            <w:hideMark/>
          </w:tcPr>
          <w:p w14:paraId="58DE67BC" w14:textId="77777777" w:rsidR="00CF7A23" w:rsidRDefault="00CF7A23">
            <w:pPr>
              <w:pStyle w:val="naiskr"/>
              <w:spacing w:before="0" w:after="0"/>
              <w:rPr>
                <w:sz w:val="28"/>
                <w:szCs w:val="28"/>
              </w:rPr>
            </w:pPr>
            <w:r>
              <w:rPr>
                <w:sz w:val="28"/>
                <w:szCs w:val="28"/>
              </w:rPr>
              <w:t>2.</w:t>
            </w:r>
          </w:p>
        </w:tc>
        <w:tc>
          <w:tcPr>
            <w:tcW w:w="3708" w:type="dxa"/>
            <w:tcBorders>
              <w:top w:val="single" w:sz="4" w:space="0" w:color="auto"/>
              <w:left w:val="single" w:sz="4" w:space="0" w:color="auto"/>
              <w:bottom w:val="single" w:sz="4" w:space="0" w:color="auto"/>
              <w:right w:val="single" w:sz="4" w:space="0" w:color="auto"/>
            </w:tcBorders>
            <w:hideMark/>
          </w:tcPr>
          <w:p w14:paraId="673E8C68" w14:textId="77777777" w:rsidR="00CF7A23" w:rsidRDefault="00CF7A23">
            <w:pPr>
              <w:pStyle w:val="naiskr"/>
              <w:tabs>
                <w:tab w:val="left" w:pos="170"/>
              </w:tabs>
              <w:spacing w:before="0" w:after="0"/>
              <w:rPr>
                <w:sz w:val="28"/>
                <w:szCs w:val="28"/>
              </w:rPr>
            </w:pPr>
            <w:r>
              <w:rPr>
                <w:sz w:val="28"/>
                <w:szCs w:val="28"/>
              </w:rPr>
              <w:t>Pašreizējā situācija un problēmas, kuru risināšanai tiesību akta projekts izstrādāts, tiesiskā regulējuma mērķis un būtība</w:t>
            </w:r>
          </w:p>
        </w:tc>
        <w:tc>
          <w:tcPr>
            <w:tcW w:w="5093" w:type="dxa"/>
            <w:tcBorders>
              <w:top w:val="single" w:sz="4" w:space="0" w:color="auto"/>
              <w:left w:val="single" w:sz="4" w:space="0" w:color="auto"/>
              <w:bottom w:val="single" w:sz="4" w:space="0" w:color="auto"/>
              <w:right w:val="single" w:sz="4" w:space="0" w:color="auto"/>
            </w:tcBorders>
            <w:hideMark/>
          </w:tcPr>
          <w:p w14:paraId="31A6E037" w14:textId="3711F799" w:rsidR="008510D3" w:rsidRDefault="00036C67" w:rsidP="00D775AA">
            <w:pPr>
              <w:spacing w:after="120"/>
              <w:ind w:firstLine="788"/>
              <w:jc w:val="both"/>
              <w:rPr>
                <w:sz w:val="28"/>
                <w:szCs w:val="28"/>
              </w:rPr>
            </w:pPr>
            <w:r>
              <w:rPr>
                <w:sz w:val="28"/>
                <w:szCs w:val="28"/>
              </w:rPr>
              <w:t>Saskaņā ar Ministru kabineta 2006.gada 15.februāra rīkojuma Nr.93 “Par valsts īpašuma objektu nodošanu privatizācijai” (turpmāk – Ministru kabineta rīkojums Nr.93) 1.8.apakšpunktu privatizācijai tika nodots nekustamais īpašums “Lūki” (nekustamā īpašuma kadastra numurs 6284 006 0389), kas sastāv no zemesgabala (zemes vienības kadastra apzīmējums 6284 006 0389) ar kopējo platību 1,6 ha (turpmāk – zemesgabals) un divām būvēm (būvju kadastra apzīmējumi 6284 006 0389 001  un 6284 006 0389 002), Rumbas pagastā, Kuldīgas novadā (turpmāk – valsts īpašuma objekts).</w:t>
            </w:r>
          </w:p>
          <w:p w14:paraId="0B85276A" w14:textId="175211E9" w:rsidR="00036C67" w:rsidRDefault="00036C67" w:rsidP="00036C67">
            <w:pPr>
              <w:spacing w:before="120"/>
              <w:ind w:firstLine="567"/>
              <w:jc w:val="both"/>
              <w:rPr>
                <w:sz w:val="28"/>
                <w:szCs w:val="28"/>
              </w:rPr>
            </w:pPr>
            <w:r>
              <w:rPr>
                <w:sz w:val="28"/>
                <w:szCs w:val="28"/>
              </w:rPr>
              <w:t>Valsts īpašuma objekts 2003.gada 26.jūnijā ierakstīts Rumbas pagasta zemesgrāmatas nodalījumā Nr.1000 0010 3940 uz valsts vārda Zemkopības ministrijas personā.</w:t>
            </w:r>
          </w:p>
          <w:p w14:paraId="4F9C2DC3" w14:textId="6F75C121" w:rsidR="00036C67" w:rsidRDefault="00036C67" w:rsidP="00036C67">
            <w:pPr>
              <w:spacing w:before="120"/>
              <w:ind w:firstLine="567"/>
              <w:jc w:val="both"/>
              <w:rPr>
                <w:sz w:val="28"/>
                <w:szCs w:val="28"/>
              </w:rPr>
            </w:pPr>
            <w:r>
              <w:rPr>
                <w:sz w:val="28"/>
                <w:szCs w:val="28"/>
              </w:rPr>
              <w:t xml:space="preserve">Pamatojoties uz Ministru kabineta rīkojuma Nr.93 2.punktu valsts akciju sabiedrība “Privatizācijas aģentūra” (turpmāk – Privatizācijas aģentūra) 2006.gada 28.februārī no Zemkopības ministrijas pārņēma savā valdījumā valsts </w:t>
            </w:r>
            <w:r>
              <w:rPr>
                <w:sz w:val="28"/>
                <w:szCs w:val="28"/>
              </w:rPr>
              <w:lastRenderedPageBreak/>
              <w:t>īpašuma objektu. Līdz ar to, saskaņā ar likuma “Par valsts un pašvaldību īpašumu objektu privatizāciju 14.panta pirmo daļu valsts īpašuma objekta privatizācija ir uzskatāma par uzsāktu.</w:t>
            </w:r>
          </w:p>
          <w:p w14:paraId="4285E499" w14:textId="4FE604BC" w:rsidR="00036C67" w:rsidRDefault="00163D27" w:rsidP="00036C67">
            <w:pPr>
              <w:spacing w:before="120"/>
              <w:ind w:firstLine="567"/>
              <w:jc w:val="both"/>
              <w:rPr>
                <w:sz w:val="28"/>
                <w:szCs w:val="28"/>
              </w:rPr>
            </w:pPr>
            <w:r>
              <w:rPr>
                <w:sz w:val="28"/>
                <w:szCs w:val="28"/>
              </w:rPr>
              <w:t>Sagatavojot valsts īpašuma objektu privatizācijai</w:t>
            </w:r>
            <w:r w:rsidR="00321EAF">
              <w:rPr>
                <w:sz w:val="28"/>
                <w:szCs w:val="28"/>
              </w:rPr>
              <w:t>,</w:t>
            </w:r>
            <w:r>
              <w:rPr>
                <w:sz w:val="28"/>
                <w:szCs w:val="28"/>
              </w:rPr>
              <w:t xml:space="preserve"> tika konstatēts, ka tā sastāvā ir valsts mežs.</w:t>
            </w:r>
          </w:p>
          <w:p w14:paraId="503ECB45" w14:textId="46508F7E" w:rsidR="00163D27" w:rsidRDefault="00163D27" w:rsidP="00036C67">
            <w:pPr>
              <w:spacing w:before="120"/>
              <w:ind w:firstLine="567"/>
              <w:jc w:val="both"/>
              <w:rPr>
                <w:sz w:val="28"/>
                <w:szCs w:val="28"/>
              </w:rPr>
            </w:pPr>
            <w:r>
              <w:rPr>
                <w:sz w:val="28"/>
                <w:szCs w:val="28"/>
              </w:rPr>
              <w:t>Saskaņā ar sabiedrības ar ierobežotu atbildību “Kurzemes mežierīcība” izgatavotā 2006.gada 11.maija valsts īpašuma objekta meža apsaimniekošanas plānā iekļautajiem meža inventarizācijas datiem un atbilstoši valsts īpašuma objekta 2006.gada 2.jūnija zemes robežu plānā norādītajiem zemes lietošanas veidiem</w:t>
            </w:r>
            <w:r w:rsidR="00321EAF">
              <w:rPr>
                <w:sz w:val="28"/>
                <w:szCs w:val="28"/>
              </w:rPr>
              <w:t>,</w:t>
            </w:r>
            <w:r>
              <w:rPr>
                <w:sz w:val="28"/>
                <w:szCs w:val="28"/>
              </w:rPr>
              <w:t xml:space="preserve"> valsts īpašuma objekta sastāvā ir meža zeme 0,5 ha platībā.</w:t>
            </w:r>
          </w:p>
          <w:p w14:paraId="65D64D27" w14:textId="0F333052" w:rsidR="00163D27" w:rsidRDefault="00725039" w:rsidP="00036C67">
            <w:pPr>
              <w:spacing w:before="120"/>
              <w:ind w:firstLine="567"/>
              <w:jc w:val="both"/>
              <w:rPr>
                <w:sz w:val="28"/>
                <w:szCs w:val="28"/>
              </w:rPr>
            </w:pPr>
            <w:r>
              <w:rPr>
                <w:sz w:val="28"/>
                <w:szCs w:val="28"/>
              </w:rPr>
              <w:t>S</w:t>
            </w:r>
            <w:r w:rsidRPr="00EA3DFF">
              <w:rPr>
                <w:sz w:val="28"/>
                <w:szCs w:val="28"/>
              </w:rPr>
              <w:t>askaņā ar Meža likuma 1.panta 29.punktu meža zeme ir zeme, uz kuras ir mežs, zeme zem meža infrastruktūras objektiem, kā arī mežā ietilpstošie pārplūstošie klajumi, purvi, lauces un tam piegulošie purvi. Savukārt atbilstoši Meža likuma 44.panta pirmajai daļai valsts meža zeme ir Zemkopības ministrijas Meža departamenta zeme pēc stāvokļa 1940.gada 21.jūlijā, kura zemes reformas gaitā nav nodota pastāvīgā lietošanā citām fiziskajām vai juridiskajām personām, kā arī tā meža zeme, kura pieder vai piekrīt valstij, tajā skaitā meža zeme, kura atbilstoši Civillikuma 416.pantam atzīta par bezmantinieku mantu</w:t>
            </w:r>
            <w:r>
              <w:rPr>
                <w:sz w:val="28"/>
                <w:szCs w:val="28"/>
              </w:rPr>
              <w:t>.</w:t>
            </w:r>
            <w:r w:rsidR="00DF3088">
              <w:rPr>
                <w:sz w:val="28"/>
                <w:szCs w:val="28"/>
              </w:rPr>
              <w:t xml:space="preserve"> Atbilstoši Valsts meža dienesta 2006.gada 14.jūlija vēstulē Nr.1.10/581 norādītajam valsts īpašuma objekta sastāvā ietilpstošā meža zeme 0,5 ha platībā ir uzskatāma par valsts meža zemi, jo tā ir ierakstīta zemesgrāmatā uz Zemkopības ministrijas vārda.</w:t>
            </w:r>
          </w:p>
          <w:p w14:paraId="0BB4FAE9" w14:textId="3DE590D6" w:rsidR="00725039" w:rsidRDefault="00725039" w:rsidP="00036C67">
            <w:pPr>
              <w:spacing w:before="120"/>
              <w:ind w:firstLine="567"/>
              <w:jc w:val="both"/>
              <w:rPr>
                <w:sz w:val="28"/>
                <w:szCs w:val="28"/>
              </w:rPr>
            </w:pPr>
            <w:r>
              <w:rPr>
                <w:sz w:val="28"/>
                <w:szCs w:val="28"/>
              </w:rPr>
              <w:t>S</w:t>
            </w:r>
            <w:r w:rsidRPr="00EA3DFF">
              <w:rPr>
                <w:sz w:val="28"/>
                <w:szCs w:val="28"/>
              </w:rPr>
              <w:t xml:space="preserve">askaņā ar Meža likuma 44.panta trešo daļu valsts meža zeme pastāvīgā lietošanā netiek piešķirta un nav atsavināma vai privatizējama, izņemot </w:t>
            </w:r>
            <w:r w:rsidRPr="00385FF4">
              <w:rPr>
                <w:sz w:val="28"/>
                <w:szCs w:val="28"/>
              </w:rPr>
              <w:t xml:space="preserve">Meža likuma </w:t>
            </w:r>
            <w:r w:rsidRPr="00385FF4">
              <w:rPr>
                <w:sz w:val="28"/>
                <w:szCs w:val="28"/>
              </w:rPr>
              <w:lastRenderedPageBreak/>
              <w:t xml:space="preserve">44.panta ceturtajā daļā noteiktos gadījumus. </w:t>
            </w:r>
            <w:r w:rsidR="00385FF4" w:rsidRPr="00F704FA">
              <w:rPr>
                <w:sz w:val="28"/>
                <w:szCs w:val="28"/>
              </w:rPr>
              <w:t xml:space="preserve"> Meža likuma 44.panta ceturtās daļas 3.punkta </w:t>
            </w:r>
            <w:r w:rsidR="00385FF4">
              <w:rPr>
                <w:sz w:val="28"/>
                <w:szCs w:val="28"/>
              </w:rPr>
              <w:t>„a” apakšpunkts</w:t>
            </w:r>
            <w:r w:rsidR="00385FF4" w:rsidRPr="00F704FA">
              <w:rPr>
                <w:sz w:val="28"/>
                <w:szCs w:val="28"/>
              </w:rPr>
              <w:t xml:space="preserve"> paredz, ka </w:t>
            </w:r>
            <w:r w:rsidR="00385FF4" w:rsidRPr="005137DF">
              <w:rPr>
                <w:sz w:val="28"/>
                <w:szCs w:val="28"/>
              </w:rPr>
              <w:t>zemesgrāmatā ierakstītās valsts meža zemes atsavināšanu vai privatizāciju var atļaut ar ikreizēju Ministru kabineta rīkojumu, privatizējot, kā arī atsavinot zemi ēku (būvju) īpašniekiem lauku apvidos — zemi, ko aizņem ēkas (būves) un pagalms, kā arī šo ēku (būvju) uzturēšanai nepieciešamo zemi līdz 0,5 hektāru platībā</w:t>
            </w:r>
            <w:r w:rsidR="00385FF4">
              <w:rPr>
                <w:sz w:val="28"/>
                <w:szCs w:val="28"/>
              </w:rPr>
              <w:t xml:space="preserve">. </w:t>
            </w:r>
          </w:p>
          <w:p w14:paraId="0823FDFB" w14:textId="1B9D9D88" w:rsidR="00725039" w:rsidRDefault="00725039" w:rsidP="00725039">
            <w:pPr>
              <w:spacing w:before="120"/>
              <w:ind w:firstLine="567"/>
              <w:jc w:val="both"/>
              <w:rPr>
                <w:sz w:val="28"/>
                <w:szCs w:val="28"/>
              </w:rPr>
            </w:pPr>
            <w:r>
              <w:rPr>
                <w:sz w:val="28"/>
                <w:szCs w:val="28"/>
              </w:rPr>
              <w:t>Atbilstoši Kuldīgas novada Būvniecības komisijas 2010.gada 7.aprīļa lēmumam Nr.14 “Par zemes ierīcības projekta izstrādes uzsākšanu Kuldīgas novada Rumbas pagasta zemes īpašumam “Lūki” sadalīšanai” valsts īpašuma objektu nav atļauts sadalīt</w:t>
            </w:r>
            <w:r w:rsidR="00321EAF">
              <w:rPr>
                <w:sz w:val="28"/>
                <w:szCs w:val="28"/>
              </w:rPr>
              <w:t>,</w:t>
            </w:r>
            <w:r>
              <w:rPr>
                <w:sz w:val="28"/>
                <w:szCs w:val="28"/>
              </w:rPr>
              <w:t xml:space="preserve"> nodalot no tā zemesgabalu 0,5 ha platībā, jo jaunizveidojamā zemes platība neatbilst Kuldīgas novada teritorijas plānojuma, kā arī teritorijas izmantošanas un apbūves noteikumu prasībām. Tai pat laikā Kuldīgas novada pašvaldība savā 2014.gada 7.aprīļa vēstulē Nr.07-05/714 norāda, ka valsts īpašuma objekta sadalīšana nav iespējama, jo tā neatbilst Kuldīgas novada teritorijas plānojumam, kas ir apstiprināts ar Kuldīgas novada domes 2013.gada 19.decembra lēmumu ((Prot.Nr.17, p.73.) un izdoti kā pašvaldības saistošie noteikumi Nr.2013/42 “Kuldīgas novada teritorijas plānojuma 2013.-2025.gadam teritorijas izmantošanas un apbūves noteikumi un grafiskā daļa”.</w:t>
            </w:r>
          </w:p>
          <w:p w14:paraId="67D339F6" w14:textId="79FBCBB4" w:rsidR="00725039" w:rsidRDefault="00725039" w:rsidP="00725039">
            <w:pPr>
              <w:spacing w:before="120"/>
              <w:ind w:firstLine="567"/>
              <w:jc w:val="both"/>
              <w:rPr>
                <w:sz w:val="28"/>
                <w:szCs w:val="28"/>
              </w:rPr>
            </w:pPr>
            <w:r>
              <w:rPr>
                <w:sz w:val="28"/>
                <w:szCs w:val="28"/>
              </w:rPr>
              <w:t>A</w:t>
            </w:r>
            <w:r w:rsidRPr="006D335B">
              <w:rPr>
                <w:sz w:val="28"/>
                <w:szCs w:val="28"/>
              </w:rPr>
              <w:t xml:space="preserve">tbilstoši Latvijas Republikas Civillikuma 968.pantam uz zemes uzcelta un cieši ar to savienota ēka atzīstama par tās daļu. Ņemot vērā, ka </w:t>
            </w:r>
            <w:r w:rsidR="00321EAF">
              <w:rPr>
                <w:sz w:val="28"/>
                <w:szCs w:val="28"/>
              </w:rPr>
              <w:t>v</w:t>
            </w:r>
            <w:r w:rsidR="00321EAF" w:rsidRPr="006D335B">
              <w:rPr>
                <w:sz w:val="28"/>
                <w:szCs w:val="28"/>
              </w:rPr>
              <w:t xml:space="preserve">alsts </w:t>
            </w:r>
            <w:r w:rsidRPr="006D335B">
              <w:rPr>
                <w:sz w:val="28"/>
                <w:szCs w:val="28"/>
              </w:rPr>
              <w:t>īpašuma objekta sastāvā esošās ēkas (būves) nav patstāvīgs īpašuma objekts, nav iespējams zemesgrāmatā j</w:t>
            </w:r>
            <w:r>
              <w:rPr>
                <w:sz w:val="28"/>
                <w:szCs w:val="28"/>
              </w:rPr>
              <w:t>au ierakstītas ēkas nodalīt no z</w:t>
            </w:r>
            <w:r w:rsidRPr="006D335B">
              <w:rPr>
                <w:sz w:val="28"/>
                <w:szCs w:val="28"/>
              </w:rPr>
              <w:t>emesgabala un ierakstīt zemesgrāmatā kā patstāvīgu īpašuma objektu</w:t>
            </w:r>
            <w:r>
              <w:rPr>
                <w:sz w:val="28"/>
                <w:szCs w:val="28"/>
              </w:rPr>
              <w:t>.</w:t>
            </w:r>
          </w:p>
          <w:p w14:paraId="089C9453" w14:textId="7A62449D" w:rsidR="00725039" w:rsidRDefault="00725039" w:rsidP="00725039">
            <w:pPr>
              <w:spacing w:after="120"/>
              <w:ind w:firstLine="786"/>
              <w:jc w:val="both"/>
              <w:rPr>
                <w:sz w:val="28"/>
                <w:szCs w:val="28"/>
              </w:rPr>
            </w:pPr>
            <w:r>
              <w:rPr>
                <w:sz w:val="28"/>
                <w:szCs w:val="28"/>
              </w:rPr>
              <w:t xml:space="preserve">Tā kā Meža likuma 44.panta trešajā </w:t>
            </w:r>
            <w:r>
              <w:rPr>
                <w:sz w:val="28"/>
                <w:szCs w:val="28"/>
              </w:rPr>
              <w:lastRenderedPageBreak/>
              <w:t>daļā ir noteikts aizliegums atsavināt valsts īpašumā esošo valsts meža zemi, valsts ī</w:t>
            </w:r>
            <w:r w:rsidR="00A53A63">
              <w:rPr>
                <w:sz w:val="28"/>
                <w:szCs w:val="28"/>
              </w:rPr>
              <w:t>pašuma objektu nevar privatizēt.</w:t>
            </w:r>
          </w:p>
          <w:p w14:paraId="3598AD06" w14:textId="688071D4" w:rsidR="00725039" w:rsidRDefault="00725039" w:rsidP="00725039">
            <w:pPr>
              <w:spacing w:before="120"/>
              <w:ind w:firstLine="567"/>
              <w:jc w:val="both"/>
              <w:rPr>
                <w:sz w:val="28"/>
                <w:szCs w:val="28"/>
              </w:rPr>
            </w:pPr>
            <w:r w:rsidRPr="008A6208">
              <w:rPr>
                <w:sz w:val="28"/>
                <w:szCs w:val="28"/>
              </w:rPr>
              <w:t>Saskaņā ar Pr</w:t>
            </w:r>
            <w:r w:rsidR="00A53A63">
              <w:rPr>
                <w:sz w:val="28"/>
                <w:szCs w:val="28"/>
              </w:rPr>
              <w:t>ivatizācijas pabeigšanas likuma</w:t>
            </w:r>
            <w:r w:rsidRPr="008A6208">
              <w:rPr>
                <w:sz w:val="28"/>
                <w:szCs w:val="28"/>
              </w:rPr>
              <w:t xml:space="preserve"> 6.panta otro daļu un Privatizācijas likuma 12.panta ceturto daļu lēmumu par valsts īpašuma objekta nodošanu privatizācijai pieņem Ministru kabinets. </w:t>
            </w:r>
            <w:hyperlink r:id="rId8" w:tgtFrame="_blank" w:history="1">
              <w:r w:rsidRPr="008A6208">
                <w:rPr>
                  <w:sz w:val="28"/>
                  <w:szCs w:val="28"/>
                </w:rPr>
                <w:t>Administratīvā procesa likuma</w:t>
              </w:r>
            </w:hyperlink>
            <w:r w:rsidRPr="008A6208">
              <w:rPr>
                <w:sz w:val="28"/>
                <w:szCs w:val="28"/>
              </w:rPr>
              <w:t xml:space="preserve"> 51.pants noteic, ka administratīvo lietu izskata iestāde atbilstoši savai kompetencei, kas tai piešķirta ar normatīvo aktu. Saskaņā ar </w:t>
            </w:r>
            <w:hyperlink r:id="rId9" w:tgtFrame="_blank" w:history="1">
              <w:r w:rsidRPr="008A6208">
                <w:rPr>
                  <w:sz w:val="28"/>
                  <w:szCs w:val="28"/>
                </w:rPr>
                <w:t>Administratīvā procesa likuma</w:t>
              </w:r>
            </w:hyperlink>
            <w:r w:rsidRPr="008A6208">
              <w:rPr>
                <w:sz w:val="28"/>
                <w:szCs w:val="28"/>
              </w:rPr>
              <w:t xml:space="preserve"> 83.panta pirmo daļu iestāde pēc savas iniciatīvas vai personas iesnieguma var uzsākt administratīvo procesu no jauna un lemt par administratīvā akta atcelšanu saskaņā ar minētā likuma 85., 86., 87. un 88.pantu. Atbilstoši </w:t>
            </w:r>
            <w:hyperlink r:id="rId10" w:tgtFrame="_blank" w:history="1">
              <w:r w:rsidRPr="008A6208">
                <w:rPr>
                  <w:sz w:val="28"/>
                  <w:szCs w:val="28"/>
                </w:rPr>
                <w:t>Administratīvā procesa likuma</w:t>
              </w:r>
            </w:hyperlink>
            <w:r w:rsidRPr="008A6208">
              <w:rPr>
                <w:sz w:val="28"/>
                <w:szCs w:val="28"/>
              </w:rPr>
              <w:t xml:space="preserve"> 86.panta otrās daļas 3.</w:t>
            </w:r>
            <w:r>
              <w:rPr>
                <w:sz w:val="28"/>
                <w:szCs w:val="28"/>
              </w:rPr>
              <w:t>un 5.punktiem</w:t>
            </w:r>
            <w:r w:rsidRPr="008A6208">
              <w:rPr>
                <w:sz w:val="28"/>
                <w:szCs w:val="28"/>
              </w:rPr>
              <w:t xml:space="preserve"> adresātam labvēlīgu prettiesisku administratīvo aktu var atcelt tad,</w:t>
            </w:r>
            <w:r w:rsidR="00291D5F">
              <w:rPr>
                <w:rFonts w:ascii="Arial" w:hAnsi="Arial" w:cs="Arial"/>
                <w:shd w:val="clear" w:color="auto" w:fill="F1F1F1"/>
              </w:rPr>
              <w:t xml:space="preserve"> </w:t>
            </w:r>
            <w:r w:rsidRPr="008A6208">
              <w:rPr>
                <w:sz w:val="28"/>
                <w:szCs w:val="28"/>
              </w:rPr>
              <w:t>ja administratīvā akta palikšana spēkā skar būtiskas sabiedrības intereses</w:t>
            </w:r>
            <w:r>
              <w:rPr>
                <w:sz w:val="28"/>
                <w:szCs w:val="28"/>
              </w:rPr>
              <w:t xml:space="preserve"> un administratīvā akta prettiesiskums ir tik acīmredzams, ka akta adresāts to varēja un viņam to vajadzēja apzināties</w:t>
            </w:r>
            <w:r w:rsidRPr="008A6208">
              <w:rPr>
                <w:sz w:val="28"/>
                <w:szCs w:val="28"/>
              </w:rPr>
              <w:t>.</w:t>
            </w:r>
          </w:p>
          <w:p w14:paraId="2669AC40" w14:textId="3D329D71" w:rsidR="0054344D" w:rsidRDefault="0054344D" w:rsidP="00725039">
            <w:pPr>
              <w:spacing w:before="120"/>
              <w:ind w:firstLine="567"/>
              <w:jc w:val="both"/>
              <w:rPr>
                <w:sz w:val="28"/>
                <w:szCs w:val="28"/>
              </w:rPr>
            </w:pPr>
            <w:r>
              <w:rPr>
                <w:sz w:val="28"/>
                <w:szCs w:val="28"/>
              </w:rPr>
              <w:t>Tā kā likumdevējs, aizsargājot sabiedrības intereses, ir noteicis ierobežojumus tādu valsts nekustamo īpašumu, kuru sastāvā ir valsts meža zeme, privatizācijai, tad atbilstoši</w:t>
            </w:r>
            <w:r w:rsidRPr="00E40892">
              <w:rPr>
                <w:sz w:val="28"/>
                <w:szCs w:val="28"/>
              </w:rPr>
              <w:t xml:space="preserve"> Administratīvā procesa likuma 86.panta otrās daļas 3.</w:t>
            </w:r>
            <w:r w:rsidR="007607A8">
              <w:rPr>
                <w:sz w:val="28"/>
                <w:szCs w:val="28"/>
              </w:rPr>
              <w:t xml:space="preserve"> un 5.</w:t>
            </w:r>
            <w:r w:rsidRPr="00E40892">
              <w:rPr>
                <w:sz w:val="28"/>
                <w:szCs w:val="28"/>
              </w:rPr>
              <w:t>punkt</w:t>
            </w:r>
            <w:r w:rsidR="007607A8">
              <w:rPr>
                <w:sz w:val="28"/>
                <w:szCs w:val="28"/>
              </w:rPr>
              <w:t>iem</w:t>
            </w:r>
            <w:r>
              <w:rPr>
                <w:sz w:val="28"/>
                <w:szCs w:val="28"/>
              </w:rPr>
              <w:t xml:space="preserve"> ir iestājušies apstākļi pie kuriem Ministru kabinetam </w:t>
            </w:r>
            <w:r w:rsidRPr="007607A8">
              <w:rPr>
                <w:sz w:val="28"/>
                <w:szCs w:val="28"/>
                <w:u w:val="single"/>
              </w:rPr>
              <w:t>ir jāatceļ prettiesiskais administratīvais akts</w:t>
            </w:r>
            <w:r>
              <w:rPr>
                <w:sz w:val="28"/>
                <w:szCs w:val="28"/>
              </w:rPr>
              <w:t>, t.i. Ministru kabineta rīk</w:t>
            </w:r>
            <w:r w:rsidR="00725039">
              <w:rPr>
                <w:sz w:val="28"/>
                <w:szCs w:val="28"/>
              </w:rPr>
              <w:t>ojums Nr.9</w:t>
            </w:r>
            <w:r>
              <w:rPr>
                <w:sz w:val="28"/>
                <w:szCs w:val="28"/>
              </w:rPr>
              <w:t xml:space="preserve">3 daļā par </w:t>
            </w:r>
            <w:r w:rsidR="000250F2">
              <w:rPr>
                <w:sz w:val="28"/>
                <w:szCs w:val="28"/>
              </w:rPr>
              <w:t>valsts īpašuma objekta nodošanu</w:t>
            </w:r>
            <w:r>
              <w:rPr>
                <w:sz w:val="28"/>
                <w:szCs w:val="28"/>
              </w:rPr>
              <w:t xml:space="preserve"> privatizācijai</w:t>
            </w:r>
            <w:r w:rsidRPr="00E40892">
              <w:rPr>
                <w:sz w:val="28"/>
                <w:szCs w:val="28"/>
              </w:rPr>
              <w:t>.</w:t>
            </w:r>
          </w:p>
          <w:p w14:paraId="02E23BF7" w14:textId="57889133" w:rsidR="00CF7A23" w:rsidRDefault="0054344D" w:rsidP="00BD7FD1">
            <w:pPr>
              <w:ind w:firstLine="786"/>
              <w:jc w:val="both"/>
              <w:rPr>
                <w:sz w:val="28"/>
                <w:szCs w:val="28"/>
              </w:rPr>
            </w:pPr>
            <w:r>
              <w:rPr>
                <w:sz w:val="28"/>
                <w:szCs w:val="28"/>
              </w:rPr>
              <w:t>Līdz ar to, Ministru kabineta rīkojuma projekts paredz atcelt</w:t>
            </w:r>
            <w:r w:rsidR="00725039">
              <w:rPr>
                <w:sz w:val="28"/>
                <w:szCs w:val="28"/>
              </w:rPr>
              <w:t xml:space="preserve"> Ministru kabineta rīkojumu Nr.9</w:t>
            </w:r>
            <w:r>
              <w:rPr>
                <w:sz w:val="28"/>
                <w:szCs w:val="28"/>
              </w:rPr>
              <w:t xml:space="preserve">3 daļā par valsts īpašuma objekta nodošanu privatizācijai un svītrot Ministru kabineta </w:t>
            </w:r>
            <w:r w:rsidR="00B966C9">
              <w:rPr>
                <w:sz w:val="28"/>
                <w:szCs w:val="28"/>
              </w:rPr>
              <w:t>rīkojuma Nr.9</w:t>
            </w:r>
            <w:r w:rsidR="00725039">
              <w:rPr>
                <w:sz w:val="28"/>
                <w:szCs w:val="28"/>
              </w:rPr>
              <w:t xml:space="preserve">3 </w:t>
            </w:r>
            <w:r w:rsidR="00725039">
              <w:rPr>
                <w:sz w:val="28"/>
                <w:szCs w:val="28"/>
              </w:rPr>
              <w:lastRenderedPageBreak/>
              <w:t>1.8</w:t>
            </w:r>
            <w:r>
              <w:rPr>
                <w:sz w:val="28"/>
                <w:szCs w:val="28"/>
              </w:rPr>
              <w:t>.apakšpunktu, lai valsts īpašuma objekt</w:t>
            </w:r>
            <w:r w:rsidR="00725039">
              <w:rPr>
                <w:sz w:val="28"/>
                <w:szCs w:val="28"/>
              </w:rPr>
              <w:t>a s</w:t>
            </w:r>
            <w:r>
              <w:rPr>
                <w:sz w:val="28"/>
                <w:szCs w:val="28"/>
              </w:rPr>
              <w:t>astāvā esošā valsts meža zeme tiktu saglabāta valsts īpašumā un izmantot</w:t>
            </w:r>
            <w:r w:rsidR="00636668">
              <w:rPr>
                <w:sz w:val="28"/>
                <w:szCs w:val="28"/>
              </w:rPr>
              <w:t>a</w:t>
            </w:r>
            <w:r>
              <w:rPr>
                <w:sz w:val="28"/>
                <w:szCs w:val="28"/>
              </w:rPr>
              <w:t xml:space="preserve"> sabiedrības interesēs. Tāpat Ministru kabineta rīkojums paredz Privatizācijas aģentūrai nodot </w:t>
            </w:r>
            <w:r w:rsidRPr="008A6208">
              <w:rPr>
                <w:sz w:val="28"/>
                <w:szCs w:val="28"/>
              </w:rPr>
              <w:t xml:space="preserve">valsts īpašuma objektu </w:t>
            </w:r>
            <w:r w:rsidR="00D42FF8">
              <w:rPr>
                <w:sz w:val="28"/>
                <w:szCs w:val="28"/>
              </w:rPr>
              <w:t xml:space="preserve">Finanšu </w:t>
            </w:r>
            <w:r w:rsidRPr="008A6208">
              <w:rPr>
                <w:sz w:val="28"/>
                <w:szCs w:val="28"/>
              </w:rPr>
              <w:t>ministrija</w:t>
            </w:r>
            <w:r>
              <w:rPr>
                <w:sz w:val="28"/>
                <w:szCs w:val="28"/>
              </w:rPr>
              <w:t>s</w:t>
            </w:r>
            <w:r w:rsidRPr="008A6208">
              <w:rPr>
                <w:sz w:val="28"/>
                <w:szCs w:val="28"/>
              </w:rPr>
              <w:t xml:space="preserve"> valdījumā</w:t>
            </w:r>
            <w:r w:rsidR="00BD7FD1">
              <w:rPr>
                <w:sz w:val="28"/>
                <w:szCs w:val="28"/>
              </w:rPr>
              <w:t xml:space="preserve"> un Finanšu ministrijai </w:t>
            </w:r>
            <w:r w:rsidR="00BD7FD1">
              <w:t xml:space="preserve"> </w:t>
            </w:r>
            <w:r w:rsidR="00BD7FD1" w:rsidRPr="00BD7FD1">
              <w:rPr>
                <w:sz w:val="28"/>
                <w:szCs w:val="28"/>
              </w:rPr>
              <w:t xml:space="preserve">normatīvajos aktos noteiktajā kārtībā </w:t>
            </w:r>
            <w:r w:rsidR="00BD7FD1">
              <w:rPr>
                <w:sz w:val="28"/>
                <w:szCs w:val="28"/>
              </w:rPr>
              <w:t xml:space="preserve">to </w:t>
            </w:r>
            <w:r w:rsidR="00BD7FD1" w:rsidRPr="00BD7FD1">
              <w:rPr>
                <w:sz w:val="28"/>
                <w:szCs w:val="28"/>
              </w:rPr>
              <w:t>ierakstīt zemesgrāmatā uz valsts vārda Finanšu ministrijas personā</w:t>
            </w:r>
          </w:p>
        </w:tc>
      </w:tr>
      <w:tr w:rsidR="00CF7A23" w14:paraId="10CC8F16" w14:textId="77777777" w:rsidTr="007011DD">
        <w:trPr>
          <w:trHeight w:val="721"/>
        </w:trPr>
        <w:tc>
          <w:tcPr>
            <w:tcW w:w="550" w:type="dxa"/>
            <w:tcBorders>
              <w:top w:val="single" w:sz="4" w:space="0" w:color="auto"/>
              <w:left w:val="single" w:sz="4" w:space="0" w:color="auto"/>
              <w:bottom w:val="single" w:sz="4" w:space="0" w:color="auto"/>
              <w:right w:val="single" w:sz="4" w:space="0" w:color="auto"/>
            </w:tcBorders>
            <w:hideMark/>
          </w:tcPr>
          <w:p w14:paraId="2D7D39E9" w14:textId="04EABD10" w:rsidR="00CF7A23" w:rsidRDefault="00CF7A23">
            <w:pPr>
              <w:pStyle w:val="naiskr"/>
              <w:spacing w:before="0" w:after="0"/>
              <w:rPr>
                <w:sz w:val="28"/>
                <w:szCs w:val="28"/>
              </w:rPr>
            </w:pPr>
            <w:r>
              <w:rPr>
                <w:sz w:val="28"/>
                <w:szCs w:val="28"/>
              </w:rPr>
              <w:lastRenderedPageBreak/>
              <w:t>3.</w:t>
            </w:r>
          </w:p>
        </w:tc>
        <w:tc>
          <w:tcPr>
            <w:tcW w:w="3708" w:type="dxa"/>
            <w:tcBorders>
              <w:top w:val="single" w:sz="4" w:space="0" w:color="auto"/>
              <w:left w:val="single" w:sz="4" w:space="0" w:color="auto"/>
              <w:bottom w:val="single" w:sz="4" w:space="0" w:color="auto"/>
              <w:right w:val="single" w:sz="4" w:space="0" w:color="auto"/>
            </w:tcBorders>
            <w:hideMark/>
          </w:tcPr>
          <w:p w14:paraId="38236507" w14:textId="77777777" w:rsidR="00CF7A23" w:rsidRDefault="00CF7A23">
            <w:pPr>
              <w:pStyle w:val="naiskr"/>
              <w:spacing w:before="0" w:after="0"/>
              <w:rPr>
                <w:sz w:val="28"/>
                <w:szCs w:val="28"/>
              </w:rPr>
            </w:pPr>
            <w:r>
              <w:rPr>
                <w:sz w:val="28"/>
                <w:szCs w:val="28"/>
              </w:rPr>
              <w:t>Projekta izstrādē iesaistītās institūcijas</w:t>
            </w:r>
          </w:p>
        </w:tc>
        <w:tc>
          <w:tcPr>
            <w:tcW w:w="5093" w:type="dxa"/>
            <w:tcBorders>
              <w:top w:val="single" w:sz="4" w:space="0" w:color="auto"/>
              <w:left w:val="single" w:sz="4" w:space="0" w:color="auto"/>
              <w:bottom w:val="single" w:sz="4" w:space="0" w:color="auto"/>
              <w:right w:val="single" w:sz="4" w:space="0" w:color="auto"/>
            </w:tcBorders>
            <w:hideMark/>
          </w:tcPr>
          <w:p w14:paraId="40E79F06" w14:textId="460BC12C" w:rsidR="00CF7A23" w:rsidRDefault="00C10FE9">
            <w:pPr>
              <w:pStyle w:val="FootnoteText"/>
              <w:ind w:firstLine="527"/>
              <w:rPr>
                <w:sz w:val="28"/>
                <w:szCs w:val="28"/>
              </w:rPr>
            </w:pPr>
            <w:r w:rsidRPr="00E7374E">
              <w:rPr>
                <w:sz w:val="28"/>
                <w:szCs w:val="28"/>
              </w:rPr>
              <w:t>Ekonomikas ministrija</w:t>
            </w:r>
            <w:r>
              <w:rPr>
                <w:sz w:val="28"/>
                <w:szCs w:val="28"/>
              </w:rPr>
              <w:t xml:space="preserve"> un Privatizācijas aģentūra.</w:t>
            </w:r>
          </w:p>
        </w:tc>
      </w:tr>
      <w:tr w:rsidR="00CF7A23" w14:paraId="2649BB31" w14:textId="77777777" w:rsidTr="007011DD">
        <w:tc>
          <w:tcPr>
            <w:tcW w:w="550" w:type="dxa"/>
            <w:tcBorders>
              <w:top w:val="single" w:sz="4" w:space="0" w:color="auto"/>
              <w:left w:val="single" w:sz="4" w:space="0" w:color="auto"/>
              <w:bottom w:val="single" w:sz="4" w:space="0" w:color="auto"/>
              <w:right w:val="single" w:sz="4" w:space="0" w:color="auto"/>
            </w:tcBorders>
            <w:hideMark/>
          </w:tcPr>
          <w:p w14:paraId="1299F3AB" w14:textId="77777777" w:rsidR="00CF7A23" w:rsidRDefault="00CF7A23">
            <w:pPr>
              <w:pStyle w:val="naiskr"/>
              <w:spacing w:before="0" w:after="0"/>
              <w:rPr>
                <w:sz w:val="28"/>
                <w:szCs w:val="28"/>
              </w:rPr>
            </w:pPr>
            <w:r>
              <w:rPr>
                <w:sz w:val="28"/>
                <w:szCs w:val="28"/>
              </w:rPr>
              <w:t>4.</w:t>
            </w:r>
          </w:p>
        </w:tc>
        <w:tc>
          <w:tcPr>
            <w:tcW w:w="3708" w:type="dxa"/>
            <w:tcBorders>
              <w:top w:val="single" w:sz="4" w:space="0" w:color="auto"/>
              <w:left w:val="single" w:sz="4" w:space="0" w:color="auto"/>
              <w:bottom w:val="single" w:sz="4" w:space="0" w:color="auto"/>
              <w:right w:val="single" w:sz="4" w:space="0" w:color="auto"/>
            </w:tcBorders>
            <w:hideMark/>
          </w:tcPr>
          <w:p w14:paraId="3725B532" w14:textId="77777777" w:rsidR="00CF7A23" w:rsidRDefault="00CF7A23">
            <w:pPr>
              <w:pStyle w:val="naiskr"/>
              <w:spacing w:before="0" w:after="0"/>
              <w:rPr>
                <w:sz w:val="28"/>
                <w:szCs w:val="28"/>
              </w:rPr>
            </w:pPr>
            <w:r>
              <w:rPr>
                <w:sz w:val="28"/>
                <w:szCs w:val="28"/>
              </w:rPr>
              <w:t>Cita informācija</w:t>
            </w:r>
          </w:p>
        </w:tc>
        <w:tc>
          <w:tcPr>
            <w:tcW w:w="5093" w:type="dxa"/>
            <w:tcBorders>
              <w:top w:val="single" w:sz="4" w:space="0" w:color="auto"/>
              <w:left w:val="single" w:sz="4" w:space="0" w:color="auto"/>
              <w:bottom w:val="single" w:sz="4" w:space="0" w:color="auto"/>
              <w:right w:val="single" w:sz="4" w:space="0" w:color="auto"/>
            </w:tcBorders>
            <w:hideMark/>
          </w:tcPr>
          <w:p w14:paraId="3CA52358" w14:textId="746E0455" w:rsidR="00CF7A23" w:rsidRDefault="007D441F" w:rsidP="007D441F">
            <w:pPr>
              <w:pStyle w:val="BodyTextIndent"/>
              <w:ind w:firstLine="557"/>
              <w:rPr>
                <w:sz w:val="28"/>
                <w:szCs w:val="28"/>
              </w:rPr>
            </w:pPr>
            <w:r w:rsidRPr="007D441F">
              <w:rPr>
                <w:sz w:val="28"/>
                <w:szCs w:val="28"/>
              </w:rPr>
              <w:t>Nekustamais īpašums bija iznomāts Andrim Cērmanim (privatizācijas ierosinātājs) (turpmāk – Nomnieks) pamatojoties uz 2001.gada 30.aprīļa neapdzīvojamo telpu nomas līgumu Nr.920 (turpmāk – Ēku nomas līgums), kas bija noslēgts starp Dienvidkurzemes reģionālo lauksaimniecības pārvaldi un Nomnieku, un 2003.gada 1.jūlija valsts zemes nomas līgumu Nr.74 (turpmāk – Zemes nomas līgums), kas bija noslēgts starp Zemkopības ministriju un Nomnieku. Ar 2012.gada 20.aprīļa vienošanos</w:t>
            </w:r>
            <w:r>
              <w:rPr>
                <w:sz w:val="28"/>
                <w:szCs w:val="28"/>
              </w:rPr>
              <w:t>, kas noslēgta</w:t>
            </w:r>
            <w:r w:rsidRPr="007D441F">
              <w:rPr>
                <w:sz w:val="28"/>
                <w:szCs w:val="28"/>
              </w:rPr>
              <w:t xml:space="preserve"> starp Privatizācijas aģentūru un Nomnieku, Ēku nomas līgums un Zemes nomas līgums ir izbeigti. Nomnieks uz Ministru kabineta 2006.gada 15.februāra rīkojuma Nr.93 „Par valsts īpašuma objektu nodošanu privatizācijai” (turpmāk – MK rīkojums Nr.93)  pamata nav saņēmis kādus labumus, kuri atbilstoši Administratīvā procesa likuma 86.panta otrās daļas 3.punktam ir atlīdzināmi atbilstoši Administratīvā procesa likuma 8.nodaļas noteikumiem.  </w:t>
            </w:r>
          </w:p>
        </w:tc>
      </w:tr>
    </w:tbl>
    <w:p w14:paraId="759F0091" w14:textId="77777777" w:rsidR="00CF7A23" w:rsidRDefault="00CF7A23" w:rsidP="00CF7A23">
      <w:pPr>
        <w:jc w:val="both"/>
        <w:rPr>
          <w:rFonts w:eastAsia="Times New Roman"/>
          <w:sz w:val="28"/>
          <w:szCs w:val="28"/>
          <w:lang w:eastAsia="lv-LV"/>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4855"/>
        <w:gridCol w:w="4500"/>
      </w:tblGrid>
      <w:tr w:rsidR="00CF7A23" w14:paraId="5B813896" w14:textId="77777777" w:rsidTr="00CF7A23">
        <w:tc>
          <w:tcPr>
            <w:tcW w:w="9905" w:type="dxa"/>
            <w:gridSpan w:val="3"/>
            <w:tcBorders>
              <w:top w:val="single" w:sz="4" w:space="0" w:color="auto"/>
              <w:left w:val="single" w:sz="4" w:space="0" w:color="auto"/>
              <w:bottom w:val="single" w:sz="4" w:space="0" w:color="auto"/>
              <w:right w:val="single" w:sz="4" w:space="0" w:color="auto"/>
            </w:tcBorders>
            <w:vAlign w:val="center"/>
            <w:hideMark/>
          </w:tcPr>
          <w:p w14:paraId="6FE5BC99" w14:textId="77777777" w:rsidR="00CF7A23" w:rsidRDefault="00CF7A23">
            <w:pPr>
              <w:jc w:val="center"/>
              <w:rPr>
                <w:rFonts w:eastAsia="Times New Roman"/>
                <w:b/>
                <w:bCs/>
                <w:sz w:val="28"/>
                <w:szCs w:val="28"/>
                <w:lang w:eastAsia="lv-LV"/>
              </w:rPr>
            </w:pPr>
            <w:r>
              <w:rPr>
                <w:rFonts w:eastAsia="Times New Roman"/>
                <w:b/>
                <w:bCs/>
                <w:sz w:val="28"/>
                <w:szCs w:val="28"/>
                <w:lang w:eastAsia="lv-LV"/>
              </w:rPr>
              <w:t>II. Tiesību akta projekta ietekme uz sabiedrību, tautsaimniecības attīstību un administratīvo slogu</w:t>
            </w:r>
          </w:p>
        </w:tc>
      </w:tr>
      <w:tr w:rsidR="00CF7A23" w14:paraId="61F33518" w14:textId="77777777" w:rsidTr="00CF7A23">
        <w:trPr>
          <w:trHeight w:val="467"/>
        </w:trPr>
        <w:tc>
          <w:tcPr>
            <w:tcW w:w="550" w:type="dxa"/>
            <w:tcBorders>
              <w:top w:val="single" w:sz="4" w:space="0" w:color="auto"/>
              <w:left w:val="single" w:sz="4" w:space="0" w:color="auto"/>
              <w:bottom w:val="single" w:sz="4" w:space="0" w:color="auto"/>
              <w:right w:val="single" w:sz="4" w:space="0" w:color="auto"/>
            </w:tcBorders>
            <w:hideMark/>
          </w:tcPr>
          <w:p w14:paraId="0764A7D7" w14:textId="77777777" w:rsidR="00CF7A23" w:rsidRDefault="00CF7A23">
            <w:pPr>
              <w:rPr>
                <w:rFonts w:eastAsia="Times New Roman"/>
                <w:sz w:val="28"/>
                <w:szCs w:val="28"/>
                <w:lang w:eastAsia="lv-LV"/>
              </w:rPr>
            </w:pPr>
            <w:r>
              <w:rPr>
                <w:rFonts w:eastAsia="Times New Roman"/>
                <w:sz w:val="28"/>
                <w:szCs w:val="28"/>
                <w:lang w:eastAsia="lv-LV"/>
              </w:rPr>
              <w:t>1.</w:t>
            </w:r>
          </w:p>
        </w:tc>
        <w:tc>
          <w:tcPr>
            <w:tcW w:w="4855" w:type="dxa"/>
            <w:tcBorders>
              <w:top w:val="single" w:sz="4" w:space="0" w:color="auto"/>
              <w:left w:val="single" w:sz="4" w:space="0" w:color="auto"/>
              <w:bottom w:val="single" w:sz="4" w:space="0" w:color="auto"/>
              <w:right w:val="single" w:sz="4" w:space="0" w:color="auto"/>
            </w:tcBorders>
            <w:hideMark/>
          </w:tcPr>
          <w:p w14:paraId="3B879250" w14:textId="77777777" w:rsidR="00CF7A23" w:rsidRDefault="00CF7A23">
            <w:pPr>
              <w:rPr>
                <w:rFonts w:eastAsia="Times New Roman"/>
                <w:sz w:val="28"/>
                <w:szCs w:val="28"/>
                <w:lang w:eastAsia="lv-LV"/>
              </w:rPr>
            </w:pPr>
            <w:r>
              <w:rPr>
                <w:rFonts w:eastAsia="Times New Roman"/>
                <w:sz w:val="28"/>
                <w:szCs w:val="28"/>
                <w:lang w:eastAsia="lv-LV"/>
              </w:rPr>
              <w:t>Sabiedrības mērķgrupas, kuras tiesiskais regulējums ietekmē vai varētu ietekmēt</w:t>
            </w:r>
          </w:p>
        </w:tc>
        <w:tc>
          <w:tcPr>
            <w:tcW w:w="4500" w:type="dxa"/>
            <w:tcBorders>
              <w:top w:val="single" w:sz="4" w:space="0" w:color="auto"/>
              <w:left w:val="single" w:sz="4" w:space="0" w:color="auto"/>
              <w:bottom w:val="single" w:sz="4" w:space="0" w:color="auto"/>
              <w:right w:val="single" w:sz="4" w:space="0" w:color="auto"/>
            </w:tcBorders>
            <w:hideMark/>
          </w:tcPr>
          <w:p w14:paraId="5B04CB2C" w14:textId="7D20E10E" w:rsidR="00CF7A23" w:rsidRDefault="00C10FE9" w:rsidP="00B966C9">
            <w:pPr>
              <w:ind w:firstLine="527"/>
              <w:jc w:val="both"/>
              <w:rPr>
                <w:rFonts w:eastAsia="Times New Roman"/>
                <w:iCs/>
                <w:sz w:val="28"/>
                <w:szCs w:val="28"/>
                <w:lang w:eastAsia="lv-LV"/>
              </w:rPr>
            </w:pPr>
            <w:r>
              <w:rPr>
                <w:sz w:val="28"/>
                <w:szCs w:val="28"/>
              </w:rPr>
              <w:t xml:space="preserve">Privatizācijas likuma 4.pantā noteiktie privatizācijas subjekti, kas ir tiesīgi piedalīties </w:t>
            </w:r>
            <w:r w:rsidRPr="00BA3B4A">
              <w:rPr>
                <w:sz w:val="28"/>
                <w:szCs w:val="28"/>
              </w:rPr>
              <w:t xml:space="preserve">valsts īpašuma </w:t>
            </w:r>
            <w:r>
              <w:rPr>
                <w:sz w:val="28"/>
                <w:szCs w:val="28"/>
              </w:rPr>
              <w:t xml:space="preserve">objekta privatizācijā. Sabiedrība, kuras </w:t>
            </w:r>
            <w:r>
              <w:rPr>
                <w:sz w:val="28"/>
                <w:szCs w:val="28"/>
              </w:rPr>
              <w:lastRenderedPageBreak/>
              <w:t>interesēs likumdevējs ir noteicis ierobežojumus atsavināt valsts meža zemi.</w:t>
            </w:r>
            <w:r w:rsidR="00052951">
              <w:rPr>
                <w:sz w:val="28"/>
                <w:szCs w:val="28"/>
              </w:rPr>
              <w:t xml:space="preserve"> </w:t>
            </w:r>
            <w:r w:rsidR="00052951" w:rsidRPr="00052951">
              <w:rPr>
                <w:sz w:val="28"/>
                <w:szCs w:val="28"/>
              </w:rPr>
              <w:t>Privatizācijas ierosinātājs – Andris Cērmanis.</w:t>
            </w:r>
          </w:p>
        </w:tc>
      </w:tr>
      <w:tr w:rsidR="00CF7A23" w14:paraId="363403FE" w14:textId="77777777" w:rsidTr="00CF7A23">
        <w:trPr>
          <w:trHeight w:val="523"/>
        </w:trPr>
        <w:tc>
          <w:tcPr>
            <w:tcW w:w="550" w:type="dxa"/>
            <w:tcBorders>
              <w:top w:val="single" w:sz="4" w:space="0" w:color="auto"/>
              <w:left w:val="single" w:sz="4" w:space="0" w:color="auto"/>
              <w:bottom w:val="single" w:sz="4" w:space="0" w:color="auto"/>
              <w:right w:val="single" w:sz="4" w:space="0" w:color="auto"/>
            </w:tcBorders>
            <w:hideMark/>
          </w:tcPr>
          <w:p w14:paraId="4A48B8F4" w14:textId="77777777" w:rsidR="00CF7A23" w:rsidRDefault="00CF7A23">
            <w:pPr>
              <w:rPr>
                <w:rFonts w:eastAsia="Times New Roman"/>
                <w:sz w:val="28"/>
                <w:szCs w:val="28"/>
                <w:lang w:eastAsia="lv-LV"/>
              </w:rPr>
            </w:pPr>
            <w:r>
              <w:rPr>
                <w:rFonts w:eastAsia="Times New Roman"/>
                <w:sz w:val="28"/>
                <w:szCs w:val="28"/>
                <w:lang w:eastAsia="lv-LV"/>
              </w:rPr>
              <w:lastRenderedPageBreak/>
              <w:t>2.</w:t>
            </w:r>
          </w:p>
        </w:tc>
        <w:tc>
          <w:tcPr>
            <w:tcW w:w="4855" w:type="dxa"/>
            <w:tcBorders>
              <w:top w:val="single" w:sz="4" w:space="0" w:color="auto"/>
              <w:left w:val="single" w:sz="4" w:space="0" w:color="auto"/>
              <w:bottom w:val="single" w:sz="4" w:space="0" w:color="auto"/>
              <w:right w:val="single" w:sz="4" w:space="0" w:color="auto"/>
            </w:tcBorders>
            <w:hideMark/>
          </w:tcPr>
          <w:p w14:paraId="62EC3D4F" w14:textId="77777777" w:rsidR="00CF7A23" w:rsidRDefault="00CF7A23">
            <w:pPr>
              <w:rPr>
                <w:rFonts w:eastAsia="Times New Roman"/>
                <w:sz w:val="28"/>
                <w:szCs w:val="28"/>
                <w:lang w:eastAsia="lv-LV"/>
              </w:rPr>
            </w:pPr>
            <w:r>
              <w:rPr>
                <w:rFonts w:eastAsia="Times New Roman"/>
                <w:sz w:val="28"/>
                <w:szCs w:val="28"/>
                <w:lang w:eastAsia="lv-LV"/>
              </w:rPr>
              <w:t>Tiesiskā regulējuma ietekme uz tautsaimniecību un administratīvo slogu</w:t>
            </w:r>
          </w:p>
        </w:tc>
        <w:tc>
          <w:tcPr>
            <w:tcW w:w="4500" w:type="dxa"/>
            <w:tcBorders>
              <w:top w:val="single" w:sz="4" w:space="0" w:color="auto"/>
              <w:left w:val="single" w:sz="4" w:space="0" w:color="auto"/>
              <w:bottom w:val="single" w:sz="4" w:space="0" w:color="auto"/>
              <w:right w:val="single" w:sz="4" w:space="0" w:color="auto"/>
            </w:tcBorders>
            <w:hideMark/>
          </w:tcPr>
          <w:p w14:paraId="1BF8E348" w14:textId="55B85B35" w:rsidR="00CF7A23" w:rsidRDefault="007401DD">
            <w:pPr>
              <w:ind w:firstLine="554"/>
              <w:jc w:val="both"/>
              <w:rPr>
                <w:rFonts w:eastAsia="Times New Roman"/>
                <w:sz w:val="28"/>
                <w:szCs w:val="28"/>
                <w:lang w:eastAsia="lv-LV"/>
              </w:rPr>
            </w:pPr>
            <w:r>
              <w:rPr>
                <w:rFonts w:eastAsia="Times New Roman"/>
                <w:sz w:val="28"/>
                <w:szCs w:val="28"/>
                <w:lang w:eastAsia="lv-LV"/>
              </w:rPr>
              <w:t>Projekts  šo jomu neskar</w:t>
            </w:r>
            <w:r w:rsidR="00CF7A23">
              <w:rPr>
                <w:rFonts w:eastAsia="Times New Roman"/>
                <w:sz w:val="28"/>
                <w:szCs w:val="28"/>
                <w:lang w:eastAsia="lv-LV"/>
              </w:rPr>
              <w:t>.</w:t>
            </w:r>
          </w:p>
        </w:tc>
      </w:tr>
      <w:tr w:rsidR="00CF7A23" w14:paraId="6D716BBA" w14:textId="77777777" w:rsidTr="00CF7A23">
        <w:trPr>
          <w:trHeight w:val="517"/>
        </w:trPr>
        <w:tc>
          <w:tcPr>
            <w:tcW w:w="550" w:type="dxa"/>
            <w:tcBorders>
              <w:top w:val="single" w:sz="4" w:space="0" w:color="auto"/>
              <w:left w:val="single" w:sz="4" w:space="0" w:color="auto"/>
              <w:bottom w:val="single" w:sz="4" w:space="0" w:color="auto"/>
              <w:right w:val="single" w:sz="4" w:space="0" w:color="auto"/>
            </w:tcBorders>
            <w:hideMark/>
          </w:tcPr>
          <w:p w14:paraId="048A0204" w14:textId="77777777" w:rsidR="00CF7A23" w:rsidRDefault="00CF7A23">
            <w:pPr>
              <w:rPr>
                <w:rFonts w:eastAsia="Times New Roman"/>
                <w:sz w:val="28"/>
                <w:szCs w:val="28"/>
                <w:lang w:eastAsia="lv-LV"/>
              </w:rPr>
            </w:pPr>
            <w:r>
              <w:rPr>
                <w:rFonts w:eastAsia="Times New Roman"/>
                <w:sz w:val="28"/>
                <w:szCs w:val="28"/>
                <w:lang w:eastAsia="lv-LV"/>
              </w:rPr>
              <w:t>3.</w:t>
            </w:r>
          </w:p>
        </w:tc>
        <w:tc>
          <w:tcPr>
            <w:tcW w:w="4855" w:type="dxa"/>
            <w:tcBorders>
              <w:top w:val="single" w:sz="4" w:space="0" w:color="auto"/>
              <w:left w:val="single" w:sz="4" w:space="0" w:color="auto"/>
              <w:bottom w:val="single" w:sz="4" w:space="0" w:color="auto"/>
              <w:right w:val="single" w:sz="4" w:space="0" w:color="auto"/>
            </w:tcBorders>
            <w:hideMark/>
          </w:tcPr>
          <w:p w14:paraId="3D7C05A8" w14:textId="77777777" w:rsidR="00CF7A23" w:rsidRDefault="00CF7A23">
            <w:pPr>
              <w:rPr>
                <w:rFonts w:eastAsia="Times New Roman"/>
                <w:sz w:val="28"/>
                <w:szCs w:val="28"/>
                <w:lang w:eastAsia="lv-LV"/>
              </w:rPr>
            </w:pPr>
            <w:r>
              <w:rPr>
                <w:rFonts w:eastAsia="Times New Roman"/>
                <w:sz w:val="28"/>
                <w:szCs w:val="28"/>
                <w:lang w:eastAsia="lv-LV"/>
              </w:rPr>
              <w:t>Administratīvo izmaksu monetārs novērtējums</w:t>
            </w:r>
          </w:p>
        </w:tc>
        <w:tc>
          <w:tcPr>
            <w:tcW w:w="4500" w:type="dxa"/>
            <w:tcBorders>
              <w:top w:val="single" w:sz="4" w:space="0" w:color="auto"/>
              <w:left w:val="single" w:sz="4" w:space="0" w:color="auto"/>
              <w:bottom w:val="single" w:sz="4" w:space="0" w:color="auto"/>
              <w:right w:val="single" w:sz="4" w:space="0" w:color="auto"/>
            </w:tcBorders>
          </w:tcPr>
          <w:p w14:paraId="59F1CC54" w14:textId="6EE80297" w:rsidR="00CF7A23" w:rsidRDefault="007401DD">
            <w:pPr>
              <w:spacing w:before="120" w:after="120"/>
              <w:ind w:firstLine="554"/>
              <w:rPr>
                <w:rFonts w:eastAsia="Times New Roman"/>
                <w:sz w:val="28"/>
                <w:szCs w:val="28"/>
                <w:lang w:eastAsia="lv-LV"/>
              </w:rPr>
            </w:pPr>
            <w:r>
              <w:rPr>
                <w:rFonts w:eastAsia="Times New Roman"/>
                <w:sz w:val="28"/>
                <w:szCs w:val="28"/>
                <w:lang w:eastAsia="lv-LV"/>
              </w:rPr>
              <w:t>Projekts šo jomu neskar</w:t>
            </w:r>
            <w:r w:rsidR="00CF7A23">
              <w:rPr>
                <w:rFonts w:eastAsia="Times New Roman"/>
                <w:sz w:val="28"/>
                <w:szCs w:val="28"/>
                <w:lang w:eastAsia="lv-LV"/>
              </w:rPr>
              <w:t>.</w:t>
            </w:r>
          </w:p>
          <w:p w14:paraId="2C38AB9A" w14:textId="77777777" w:rsidR="00CF7A23" w:rsidRDefault="00CF7A23">
            <w:pPr>
              <w:spacing w:before="120" w:after="120"/>
              <w:ind w:firstLine="554"/>
              <w:rPr>
                <w:rFonts w:eastAsia="Times New Roman"/>
                <w:sz w:val="28"/>
                <w:szCs w:val="28"/>
                <w:lang w:eastAsia="lv-LV"/>
              </w:rPr>
            </w:pPr>
          </w:p>
          <w:p w14:paraId="151BFACE" w14:textId="77777777" w:rsidR="00CF7A23" w:rsidRDefault="00CF7A23">
            <w:pPr>
              <w:spacing w:before="120" w:after="120"/>
              <w:ind w:firstLine="554"/>
              <w:rPr>
                <w:rFonts w:eastAsia="Times New Roman"/>
                <w:sz w:val="28"/>
                <w:szCs w:val="28"/>
                <w:lang w:eastAsia="lv-LV"/>
              </w:rPr>
            </w:pPr>
          </w:p>
        </w:tc>
      </w:tr>
      <w:tr w:rsidR="00CF7A23" w14:paraId="49BD176E" w14:textId="77777777" w:rsidTr="00CF7A23">
        <w:tc>
          <w:tcPr>
            <w:tcW w:w="550" w:type="dxa"/>
            <w:tcBorders>
              <w:top w:val="single" w:sz="4" w:space="0" w:color="auto"/>
              <w:left w:val="single" w:sz="4" w:space="0" w:color="auto"/>
              <w:bottom w:val="single" w:sz="4" w:space="0" w:color="auto"/>
              <w:right w:val="single" w:sz="4" w:space="0" w:color="auto"/>
            </w:tcBorders>
            <w:hideMark/>
          </w:tcPr>
          <w:p w14:paraId="333EB5EF" w14:textId="77777777" w:rsidR="00CF7A23" w:rsidRDefault="00CF7A23">
            <w:pPr>
              <w:rPr>
                <w:rFonts w:eastAsia="Times New Roman"/>
                <w:sz w:val="28"/>
                <w:szCs w:val="28"/>
                <w:lang w:eastAsia="lv-LV"/>
              </w:rPr>
            </w:pPr>
            <w:r>
              <w:rPr>
                <w:rFonts w:eastAsia="Times New Roman"/>
                <w:sz w:val="28"/>
                <w:szCs w:val="28"/>
                <w:lang w:eastAsia="lv-LV"/>
              </w:rPr>
              <w:t>4.</w:t>
            </w:r>
          </w:p>
        </w:tc>
        <w:tc>
          <w:tcPr>
            <w:tcW w:w="4855" w:type="dxa"/>
            <w:tcBorders>
              <w:top w:val="single" w:sz="4" w:space="0" w:color="auto"/>
              <w:left w:val="single" w:sz="4" w:space="0" w:color="auto"/>
              <w:bottom w:val="single" w:sz="4" w:space="0" w:color="auto"/>
              <w:right w:val="single" w:sz="4" w:space="0" w:color="auto"/>
            </w:tcBorders>
            <w:hideMark/>
          </w:tcPr>
          <w:p w14:paraId="07D652F1" w14:textId="77777777" w:rsidR="00CF7A23" w:rsidRDefault="00CF7A23">
            <w:pPr>
              <w:rPr>
                <w:rFonts w:eastAsia="Times New Roman"/>
                <w:sz w:val="28"/>
                <w:szCs w:val="28"/>
                <w:lang w:eastAsia="lv-LV"/>
              </w:rPr>
            </w:pPr>
            <w:r>
              <w:rPr>
                <w:rFonts w:eastAsia="Times New Roman"/>
                <w:sz w:val="28"/>
                <w:szCs w:val="28"/>
                <w:lang w:eastAsia="lv-LV"/>
              </w:rPr>
              <w:t>Cita informācija</w:t>
            </w:r>
          </w:p>
        </w:tc>
        <w:tc>
          <w:tcPr>
            <w:tcW w:w="4500" w:type="dxa"/>
            <w:tcBorders>
              <w:top w:val="single" w:sz="4" w:space="0" w:color="auto"/>
              <w:left w:val="single" w:sz="4" w:space="0" w:color="auto"/>
              <w:bottom w:val="single" w:sz="4" w:space="0" w:color="auto"/>
              <w:right w:val="single" w:sz="4" w:space="0" w:color="auto"/>
            </w:tcBorders>
            <w:hideMark/>
          </w:tcPr>
          <w:p w14:paraId="4438951B" w14:textId="77777777" w:rsidR="00CF7A23" w:rsidRDefault="00CF7A23">
            <w:pPr>
              <w:ind w:firstLine="554"/>
              <w:rPr>
                <w:rFonts w:eastAsia="Times New Roman"/>
                <w:sz w:val="28"/>
                <w:szCs w:val="28"/>
                <w:lang w:eastAsia="lv-LV"/>
              </w:rPr>
            </w:pPr>
            <w:r>
              <w:rPr>
                <w:rFonts w:eastAsia="Times New Roman"/>
                <w:sz w:val="28"/>
                <w:szCs w:val="28"/>
                <w:lang w:eastAsia="lv-LV"/>
              </w:rPr>
              <w:t>Nav.</w:t>
            </w:r>
          </w:p>
        </w:tc>
      </w:tr>
    </w:tbl>
    <w:p w14:paraId="7638C301" w14:textId="77777777" w:rsidR="00CF7A23" w:rsidRDefault="00CF7A23" w:rsidP="00CF7A23">
      <w:pPr>
        <w:spacing w:before="360" w:after="360"/>
        <w:ind w:firstLine="720"/>
        <w:rPr>
          <w:rFonts w:eastAsia="Times New Roman"/>
          <w:b/>
          <w:sz w:val="28"/>
          <w:szCs w:val="28"/>
          <w:lang w:eastAsia="lv-LV"/>
        </w:rPr>
      </w:pPr>
      <w:r>
        <w:rPr>
          <w:rFonts w:eastAsia="Times New Roman"/>
          <w:b/>
          <w:sz w:val="28"/>
          <w:szCs w:val="28"/>
          <w:lang w:eastAsia="lv-LV"/>
        </w:rPr>
        <w:t>Anotācijas III, IV, V un VI sadaļa – projekts šīs jomas neskar.</w:t>
      </w:r>
    </w:p>
    <w:tbl>
      <w:tblPr>
        <w:tblW w:w="5448"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3991"/>
        <w:gridCol w:w="5423"/>
      </w:tblGrid>
      <w:tr w:rsidR="00CF7A23" w14:paraId="19A83A57" w14:textId="77777777" w:rsidTr="00CF7A23">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A9DFAB7" w14:textId="77777777" w:rsidR="00CF7A23" w:rsidRDefault="00CF7A23">
            <w:pPr>
              <w:tabs>
                <w:tab w:val="left" w:pos="6804"/>
              </w:tabs>
              <w:ind w:firstLine="720"/>
              <w:jc w:val="both"/>
              <w:rPr>
                <w:rFonts w:eastAsia="Times New Roman"/>
                <w:b/>
                <w:bCs/>
                <w:sz w:val="26"/>
                <w:szCs w:val="26"/>
                <w:lang w:eastAsia="lv-LV"/>
              </w:rPr>
            </w:pPr>
            <w:r>
              <w:rPr>
                <w:rFonts w:eastAsia="Times New Roman"/>
                <w:b/>
                <w:bCs/>
                <w:sz w:val="26"/>
                <w:szCs w:val="26"/>
                <w:lang w:eastAsia="lv-LV"/>
              </w:rPr>
              <w:t>VII. Tiesību akta projekta izpildes nodrošināšana un tās ietekme uz institūcijām</w:t>
            </w:r>
          </w:p>
        </w:tc>
      </w:tr>
      <w:tr w:rsidR="00CF7A23" w14:paraId="5C23695E" w14:textId="77777777" w:rsidTr="00CF7A23">
        <w:trPr>
          <w:trHeight w:val="1042"/>
          <w:tblCellSpacing w:w="15" w:type="dxa"/>
          <w:jc w:val="center"/>
        </w:trPr>
        <w:tc>
          <w:tcPr>
            <w:tcW w:w="294" w:type="pct"/>
            <w:tcBorders>
              <w:top w:val="outset" w:sz="6" w:space="0" w:color="auto"/>
              <w:left w:val="outset" w:sz="6" w:space="0" w:color="auto"/>
              <w:bottom w:val="outset" w:sz="6" w:space="0" w:color="auto"/>
              <w:right w:val="outset" w:sz="6" w:space="0" w:color="auto"/>
            </w:tcBorders>
            <w:hideMark/>
          </w:tcPr>
          <w:p w14:paraId="65D2D8D2" w14:textId="77777777" w:rsidR="00CF7A23" w:rsidRDefault="00CF7A23">
            <w:pPr>
              <w:tabs>
                <w:tab w:val="left" w:pos="6804"/>
              </w:tabs>
              <w:spacing w:before="75" w:after="75"/>
              <w:ind w:hanging="13"/>
              <w:jc w:val="both"/>
              <w:rPr>
                <w:rFonts w:eastAsia="Times New Roman"/>
                <w:sz w:val="28"/>
                <w:szCs w:val="28"/>
                <w:lang w:eastAsia="lv-LV"/>
              </w:rPr>
            </w:pPr>
            <w:r>
              <w:rPr>
                <w:rFonts w:eastAsia="Times New Roman"/>
                <w:sz w:val="28"/>
                <w:szCs w:val="28"/>
                <w:lang w:eastAsia="lv-LV"/>
              </w:rPr>
              <w:t>1</w:t>
            </w:r>
          </w:p>
        </w:tc>
        <w:tc>
          <w:tcPr>
            <w:tcW w:w="1983" w:type="pct"/>
            <w:tcBorders>
              <w:top w:val="outset" w:sz="6" w:space="0" w:color="auto"/>
              <w:left w:val="outset" w:sz="6" w:space="0" w:color="auto"/>
              <w:bottom w:val="outset" w:sz="6" w:space="0" w:color="auto"/>
              <w:right w:val="outset" w:sz="6" w:space="0" w:color="auto"/>
            </w:tcBorders>
            <w:hideMark/>
          </w:tcPr>
          <w:p w14:paraId="64D4D97D" w14:textId="77777777" w:rsidR="00CF7A23" w:rsidRDefault="00CF7A23">
            <w:pPr>
              <w:tabs>
                <w:tab w:val="left" w:pos="6804"/>
              </w:tabs>
              <w:spacing w:before="75" w:after="75"/>
              <w:ind w:hanging="1"/>
              <w:jc w:val="both"/>
              <w:rPr>
                <w:rFonts w:eastAsia="Times New Roman"/>
                <w:sz w:val="28"/>
                <w:szCs w:val="28"/>
                <w:lang w:eastAsia="lv-LV"/>
              </w:rPr>
            </w:pPr>
            <w:r>
              <w:rPr>
                <w:rFonts w:eastAsia="Times New Roman"/>
                <w:sz w:val="28"/>
                <w:szCs w:val="28"/>
                <w:lang w:eastAsia="lv-LV"/>
              </w:rPr>
              <w:t>Projekta izpildē iesaistītās institūcijas</w:t>
            </w:r>
          </w:p>
        </w:tc>
        <w:tc>
          <w:tcPr>
            <w:tcW w:w="2663" w:type="pct"/>
            <w:tcBorders>
              <w:top w:val="outset" w:sz="6" w:space="0" w:color="auto"/>
              <w:left w:val="outset" w:sz="6" w:space="0" w:color="auto"/>
              <w:bottom w:val="outset" w:sz="6" w:space="0" w:color="auto"/>
              <w:right w:val="outset" w:sz="6" w:space="0" w:color="auto"/>
            </w:tcBorders>
            <w:hideMark/>
          </w:tcPr>
          <w:p w14:paraId="54A86B26" w14:textId="77777777" w:rsidR="00CF7A23" w:rsidRDefault="00CF7A23">
            <w:pPr>
              <w:tabs>
                <w:tab w:val="left" w:pos="6804"/>
              </w:tabs>
              <w:spacing w:before="75" w:after="75"/>
              <w:ind w:firstLine="720"/>
              <w:jc w:val="both"/>
              <w:rPr>
                <w:rFonts w:eastAsia="Times New Roman"/>
                <w:sz w:val="28"/>
                <w:szCs w:val="28"/>
                <w:lang w:eastAsia="lv-LV"/>
              </w:rPr>
            </w:pPr>
            <w:r>
              <w:rPr>
                <w:sz w:val="28"/>
                <w:szCs w:val="28"/>
              </w:rPr>
              <w:t>Ministru kabineta rīkojuma projekta izpildi nodrošinās Privatizācijas aģentūra un Finanšu ministrija.</w:t>
            </w:r>
          </w:p>
        </w:tc>
      </w:tr>
      <w:tr w:rsidR="00CF7A23" w14:paraId="3ED26A59" w14:textId="77777777" w:rsidTr="00CF7A23">
        <w:trPr>
          <w:trHeight w:val="450"/>
          <w:tblCellSpacing w:w="15" w:type="dxa"/>
          <w:jc w:val="center"/>
        </w:trPr>
        <w:tc>
          <w:tcPr>
            <w:tcW w:w="294" w:type="pct"/>
            <w:tcBorders>
              <w:top w:val="outset" w:sz="6" w:space="0" w:color="auto"/>
              <w:left w:val="outset" w:sz="6" w:space="0" w:color="auto"/>
              <w:bottom w:val="outset" w:sz="6" w:space="0" w:color="auto"/>
              <w:right w:val="outset" w:sz="6" w:space="0" w:color="auto"/>
            </w:tcBorders>
            <w:hideMark/>
          </w:tcPr>
          <w:p w14:paraId="558E2FD0" w14:textId="77777777" w:rsidR="00CF7A23" w:rsidRDefault="00CF7A23">
            <w:pPr>
              <w:tabs>
                <w:tab w:val="left" w:pos="6804"/>
              </w:tabs>
              <w:spacing w:before="75" w:after="75"/>
              <w:ind w:hanging="13"/>
              <w:jc w:val="both"/>
              <w:rPr>
                <w:rFonts w:eastAsia="Times New Roman"/>
                <w:sz w:val="28"/>
                <w:szCs w:val="28"/>
                <w:lang w:eastAsia="lv-LV"/>
              </w:rPr>
            </w:pPr>
            <w:r>
              <w:rPr>
                <w:rFonts w:eastAsia="Times New Roman"/>
                <w:sz w:val="28"/>
                <w:szCs w:val="28"/>
                <w:lang w:eastAsia="lv-LV"/>
              </w:rPr>
              <w:t>2</w:t>
            </w:r>
          </w:p>
        </w:tc>
        <w:tc>
          <w:tcPr>
            <w:tcW w:w="1983" w:type="pct"/>
            <w:tcBorders>
              <w:top w:val="outset" w:sz="6" w:space="0" w:color="auto"/>
              <w:left w:val="outset" w:sz="6" w:space="0" w:color="auto"/>
              <w:bottom w:val="outset" w:sz="6" w:space="0" w:color="auto"/>
              <w:right w:val="outset" w:sz="6" w:space="0" w:color="auto"/>
            </w:tcBorders>
            <w:hideMark/>
          </w:tcPr>
          <w:p w14:paraId="4ACD1148" w14:textId="77777777" w:rsidR="00CF7A23" w:rsidRDefault="00CF7A23">
            <w:pPr>
              <w:tabs>
                <w:tab w:val="left" w:pos="6804"/>
              </w:tabs>
              <w:spacing w:before="75" w:after="75"/>
              <w:ind w:hanging="1"/>
              <w:jc w:val="both"/>
              <w:rPr>
                <w:rFonts w:eastAsia="Times New Roman"/>
                <w:sz w:val="28"/>
                <w:szCs w:val="28"/>
                <w:lang w:eastAsia="lv-LV"/>
              </w:rPr>
            </w:pPr>
            <w:r>
              <w:rPr>
                <w:rFonts w:eastAsia="Times New Roman"/>
                <w:sz w:val="28"/>
                <w:szCs w:val="28"/>
                <w:lang w:eastAsia="lv-LV"/>
              </w:rPr>
              <w:t xml:space="preserve">Projekta izpildes ietekme uz pārvaldes funkcijām un institucionālo struktūru. </w:t>
            </w:r>
          </w:p>
          <w:p w14:paraId="381CE560" w14:textId="77777777" w:rsidR="00CF7A23" w:rsidRDefault="00CF7A23">
            <w:pPr>
              <w:tabs>
                <w:tab w:val="left" w:pos="6804"/>
              </w:tabs>
              <w:ind w:hanging="1"/>
              <w:jc w:val="both"/>
              <w:rPr>
                <w:rFonts w:eastAsia="Times New Roman"/>
                <w:sz w:val="28"/>
                <w:szCs w:val="28"/>
                <w:lang w:eastAsia="lv-LV"/>
              </w:rPr>
            </w:pPr>
            <w:r>
              <w:rPr>
                <w:rFonts w:eastAsia="Times New Roman"/>
                <w:sz w:val="28"/>
                <w:szCs w:val="28"/>
                <w:lang w:eastAsia="lv-LV"/>
              </w:rPr>
              <w:t>Jaunu institūciju izveide, esošu institūciju likvidācija vai reorganizācija, to ietekme uz institūcijas cilvēkresursiem</w:t>
            </w:r>
          </w:p>
        </w:tc>
        <w:tc>
          <w:tcPr>
            <w:tcW w:w="2663" w:type="pct"/>
            <w:tcBorders>
              <w:top w:val="outset" w:sz="6" w:space="0" w:color="auto"/>
              <w:left w:val="outset" w:sz="6" w:space="0" w:color="auto"/>
              <w:bottom w:val="outset" w:sz="6" w:space="0" w:color="auto"/>
              <w:right w:val="outset" w:sz="6" w:space="0" w:color="auto"/>
            </w:tcBorders>
            <w:hideMark/>
          </w:tcPr>
          <w:p w14:paraId="47987522" w14:textId="77777777" w:rsidR="00CF7A23" w:rsidRDefault="00CF7A23">
            <w:pPr>
              <w:tabs>
                <w:tab w:val="left" w:pos="6804"/>
              </w:tabs>
              <w:spacing w:before="75" w:after="75"/>
              <w:ind w:firstLine="720"/>
              <w:jc w:val="both"/>
              <w:rPr>
                <w:rFonts w:eastAsia="Times New Roman"/>
                <w:sz w:val="28"/>
                <w:szCs w:val="28"/>
                <w:lang w:eastAsia="lv-LV"/>
              </w:rPr>
            </w:pPr>
            <w:r>
              <w:rPr>
                <w:rFonts w:eastAsia="Times New Roman"/>
                <w:sz w:val="28"/>
                <w:szCs w:val="28"/>
                <w:lang w:eastAsia="lv-LV"/>
              </w:rPr>
              <w:t>Projekts šo jomu neskar</w:t>
            </w:r>
          </w:p>
        </w:tc>
      </w:tr>
      <w:tr w:rsidR="00CF7A23" w14:paraId="1EF9CB2A" w14:textId="77777777" w:rsidTr="00CF7A23">
        <w:trPr>
          <w:trHeight w:val="347"/>
          <w:tblCellSpacing w:w="15" w:type="dxa"/>
          <w:jc w:val="center"/>
        </w:trPr>
        <w:tc>
          <w:tcPr>
            <w:tcW w:w="294" w:type="pct"/>
            <w:tcBorders>
              <w:top w:val="outset" w:sz="6" w:space="0" w:color="auto"/>
              <w:left w:val="outset" w:sz="6" w:space="0" w:color="auto"/>
              <w:bottom w:val="outset" w:sz="6" w:space="0" w:color="auto"/>
              <w:right w:val="outset" w:sz="6" w:space="0" w:color="auto"/>
            </w:tcBorders>
            <w:hideMark/>
          </w:tcPr>
          <w:p w14:paraId="2946BFBC" w14:textId="77777777" w:rsidR="00CF7A23" w:rsidRDefault="00CF7A23">
            <w:pPr>
              <w:tabs>
                <w:tab w:val="left" w:pos="6804"/>
              </w:tabs>
              <w:spacing w:before="75" w:after="75"/>
              <w:ind w:hanging="13"/>
              <w:jc w:val="both"/>
              <w:rPr>
                <w:rFonts w:eastAsia="Times New Roman"/>
                <w:sz w:val="28"/>
                <w:szCs w:val="28"/>
                <w:lang w:eastAsia="lv-LV"/>
              </w:rPr>
            </w:pPr>
            <w:r>
              <w:rPr>
                <w:rFonts w:eastAsia="Times New Roman"/>
                <w:sz w:val="28"/>
                <w:szCs w:val="28"/>
                <w:lang w:eastAsia="lv-LV"/>
              </w:rPr>
              <w:t>3.</w:t>
            </w:r>
          </w:p>
        </w:tc>
        <w:tc>
          <w:tcPr>
            <w:tcW w:w="1983" w:type="pct"/>
            <w:tcBorders>
              <w:top w:val="outset" w:sz="6" w:space="0" w:color="auto"/>
              <w:left w:val="outset" w:sz="6" w:space="0" w:color="auto"/>
              <w:bottom w:val="outset" w:sz="6" w:space="0" w:color="auto"/>
              <w:right w:val="outset" w:sz="6" w:space="0" w:color="auto"/>
            </w:tcBorders>
            <w:hideMark/>
          </w:tcPr>
          <w:p w14:paraId="1A365C40" w14:textId="77777777" w:rsidR="00CF7A23" w:rsidRDefault="00CF7A23">
            <w:pPr>
              <w:tabs>
                <w:tab w:val="left" w:pos="6804"/>
              </w:tabs>
              <w:spacing w:before="75" w:after="75"/>
              <w:ind w:hanging="1"/>
              <w:jc w:val="both"/>
              <w:rPr>
                <w:rFonts w:eastAsia="Times New Roman"/>
                <w:sz w:val="28"/>
                <w:szCs w:val="28"/>
                <w:lang w:eastAsia="lv-LV"/>
              </w:rPr>
            </w:pPr>
            <w:r>
              <w:rPr>
                <w:rFonts w:eastAsia="Times New Roman"/>
                <w:sz w:val="28"/>
                <w:szCs w:val="28"/>
                <w:lang w:eastAsia="lv-LV"/>
              </w:rPr>
              <w:t>Cita informācija</w:t>
            </w:r>
          </w:p>
        </w:tc>
        <w:tc>
          <w:tcPr>
            <w:tcW w:w="2663" w:type="pct"/>
            <w:tcBorders>
              <w:top w:val="outset" w:sz="6" w:space="0" w:color="auto"/>
              <w:left w:val="outset" w:sz="6" w:space="0" w:color="auto"/>
              <w:bottom w:val="outset" w:sz="6" w:space="0" w:color="auto"/>
              <w:right w:val="outset" w:sz="6" w:space="0" w:color="auto"/>
            </w:tcBorders>
            <w:hideMark/>
          </w:tcPr>
          <w:p w14:paraId="327DCBA2" w14:textId="77777777" w:rsidR="00CF7A23" w:rsidRDefault="00CF7A23">
            <w:pPr>
              <w:tabs>
                <w:tab w:val="left" w:pos="6804"/>
              </w:tabs>
              <w:ind w:firstLine="720"/>
              <w:jc w:val="both"/>
              <w:rPr>
                <w:rFonts w:eastAsia="Times New Roman"/>
                <w:sz w:val="28"/>
                <w:szCs w:val="28"/>
                <w:lang w:eastAsia="lv-LV"/>
              </w:rPr>
            </w:pPr>
            <w:r>
              <w:rPr>
                <w:rFonts w:eastAsia="Times New Roman"/>
                <w:sz w:val="28"/>
                <w:szCs w:val="28"/>
                <w:lang w:eastAsia="lv-LV"/>
              </w:rPr>
              <w:t>Nav.</w:t>
            </w:r>
          </w:p>
        </w:tc>
      </w:tr>
    </w:tbl>
    <w:p w14:paraId="6FF3BE68" w14:textId="77777777" w:rsidR="00CF7A23" w:rsidRDefault="00CF7A23" w:rsidP="00CF7A23">
      <w:pPr>
        <w:pStyle w:val="BodyText3"/>
        <w:spacing w:after="0"/>
        <w:jc w:val="both"/>
        <w:rPr>
          <w:b/>
          <w:sz w:val="28"/>
          <w:szCs w:val="28"/>
          <w:lang w:val="lv-LV"/>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0"/>
        <w:gridCol w:w="4675"/>
      </w:tblGrid>
      <w:tr w:rsidR="00CF7A23" w14:paraId="0B2984FA" w14:textId="77777777" w:rsidTr="00CC5FCF">
        <w:tc>
          <w:tcPr>
            <w:tcW w:w="4640" w:type="dxa"/>
            <w:tcBorders>
              <w:top w:val="nil"/>
              <w:left w:val="nil"/>
              <w:bottom w:val="nil"/>
              <w:right w:val="nil"/>
            </w:tcBorders>
          </w:tcPr>
          <w:p w14:paraId="74DC85CD" w14:textId="77777777" w:rsidR="00CF7A23" w:rsidRDefault="00CF7A23">
            <w:pPr>
              <w:jc w:val="both"/>
              <w:rPr>
                <w:rFonts w:ascii="Times New Roman BaltRim" w:hAnsi="Times New Roman BaltRim"/>
                <w:b/>
                <w:sz w:val="28"/>
                <w:szCs w:val="28"/>
              </w:rPr>
            </w:pPr>
          </w:p>
          <w:p w14:paraId="4B060A93" w14:textId="168C7B02" w:rsidR="00CF7A23" w:rsidRDefault="00CC5FCF">
            <w:pPr>
              <w:jc w:val="both"/>
              <w:rPr>
                <w:rFonts w:ascii="Times New Roman BaltRim" w:hAnsi="Times New Roman BaltRim"/>
                <w:b/>
                <w:sz w:val="28"/>
                <w:szCs w:val="28"/>
              </w:rPr>
            </w:pPr>
            <w:r>
              <w:rPr>
                <w:rFonts w:ascii="Times New Roman BaltRim" w:hAnsi="Times New Roman BaltRim"/>
                <w:b/>
                <w:sz w:val="28"/>
                <w:szCs w:val="28"/>
              </w:rPr>
              <w:t>Ekonomikas ministre</w:t>
            </w:r>
          </w:p>
          <w:p w14:paraId="7719B543" w14:textId="77777777" w:rsidR="00CF7A23" w:rsidRDefault="00CF7A23">
            <w:pPr>
              <w:jc w:val="both"/>
              <w:rPr>
                <w:rFonts w:ascii="Times New Roman BaltRim" w:hAnsi="Times New Roman BaltRim"/>
                <w:b/>
                <w:sz w:val="28"/>
                <w:szCs w:val="28"/>
              </w:rPr>
            </w:pPr>
          </w:p>
          <w:p w14:paraId="2D12D049" w14:textId="15A77CC6" w:rsidR="00CF7A23" w:rsidRDefault="00CF7A23" w:rsidP="00CA42C1">
            <w:pPr>
              <w:jc w:val="both"/>
              <w:rPr>
                <w:rFonts w:ascii="Times New Roman BaltRim" w:hAnsi="Times New Roman BaltRim"/>
                <w:b/>
                <w:sz w:val="28"/>
                <w:szCs w:val="28"/>
              </w:rPr>
            </w:pPr>
            <w:r>
              <w:rPr>
                <w:rFonts w:ascii="Times New Roman BaltRim" w:hAnsi="Times New Roman BaltRim"/>
                <w:b/>
                <w:sz w:val="28"/>
                <w:szCs w:val="28"/>
              </w:rPr>
              <w:t>Vīza: valsts sekretār</w:t>
            </w:r>
            <w:r w:rsidR="00CA42C1">
              <w:rPr>
                <w:rFonts w:ascii="Times New Roman BaltRim" w:hAnsi="Times New Roman BaltRim"/>
                <w:b/>
                <w:sz w:val="28"/>
                <w:szCs w:val="28"/>
              </w:rPr>
              <w:t>s</w:t>
            </w:r>
          </w:p>
        </w:tc>
        <w:tc>
          <w:tcPr>
            <w:tcW w:w="4675" w:type="dxa"/>
            <w:tcBorders>
              <w:top w:val="nil"/>
              <w:left w:val="nil"/>
              <w:bottom w:val="nil"/>
              <w:right w:val="nil"/>
            </w:tcBorders>
          </w:tcPr>
          <w:p w14:paraId="45CD38CA" w14:textId="77777777" w:rsidR="00CF7A23" w:rsidRDefault="00CF7A23">
            <w:pPr>
              <w:jc w:val="right"/>
              <w:rPr>
                <w:rFonts w:ascii="Times New Roman BaltRim" w:hAnsi="Times New Roman BaltRim"/>
                <w:b/>
                <w:sz w:val="28"/>
                <w:szCs w:val="28"/>
              </w:rPr>
            </w:pPr>
          </w:p>
          <w:p w14:paraId="6D088707" w14:textId="0EAF5B22" w:rsidR="00CF7A23" w:rsidRDefault="00CC5FCF">
            <w:pPr>
              <w:jc w:val="right"/>
              <w:rPr>
                <w:rFonts w:ascii="Times New Roman BaltRim" w:hAnsi="Times New Roman BaltRim"/>
                <w:b/>
                <w:sz w:val="28"/>
                <w:szCs w:val="28"/>
              </w:rPr>
            </w:pPr>
            <w:r>
              <w:rPr>
                <w:rFonts w:ascii="Times New Roman BaltRim" w:hAnsi="Times New Roman BaltRim"/>
                <w:b/>
                <w:sz w:val="28"/>
                <w:szCs w:val="28"/>
              </w:rPr>
              <w:t>D.Reizniece-Ozola</w:t>
            </w:r>
          </w:p>
          <w:p w14:paraId="7B311C16" w14:textId="77777777" w:rsidR="00CF7A23" w:rsidRDefault="00CF7A23">
            <w:pPr>
              <w:jc w:val="right"/>
              <w:rPr>
                <w:rFonts w:ascii="Times New Roman BaltRim" w:hAnsi="Times New Roman BaltRim"/>
                <w:b/>
                <w:sz w:val="28"/>
                <w:szCs w:val="28"/>
              </w:rPr>
            </w:pPr>
          </w:p>
          <w:p w14:paraId="255A1021" w14:textId="56E7E42C" w:rsidR="00CF7A23" w:rsidRDefault="00CA42C1" w:rsidP="00CA42C1">
            <w:pPr>
              <w:ind w:firstLine="2306"/>
              <w:rPr>
                <w:rFonts w:ascii="Times New Roman BaltRim" w:hAnsi="Times New Roman BaltRim"/>
                <w:b/>
                <w:sz w:val="28"/>
                <w:szCs w:val="28"/>
              </w:rPr>
            </w:pPr>
            <w:r>
              <w:rPr>
                <w:rFonts w:ascii="Times New Roman BaltRim" w:hAnsi="Times New Roman BaltRim"/>
                <w:b/>
                <w:sz w:val="28"/>
                <w:szCs w:val="28"/>
              </w:rPr>
              <w:t>R.Beinarovičs</w:t>
            </w:r>
          </w:p>
        </w:tc>
      </w:tr>
      <w:tr w:rsidR="00CC5FCF" w14:paraId="55FBA733" w14:textId="77777777" w:rsidTr="00CC5FCF">
        <w:tc>
          <w:tcPr>
            <w:tcW w:w="4640" w:type="dxa"/>
            <w:tcBorders>
              <w:top w:val="nil"/>
              <w:left w:val="nil"/>
              <w:bottom w:val="nil"/>
              <w:right w:val="nil"/>
            </w:tcBorders>
          </w:tcPr>
          <w:p w14:paraId="721FB061" w14:textId="77777777" w:rsidR="00CC5FCF" w:rsidRDefault="00CC5FCF">
            <w:pPr>
              <w:jc w:val="both"/>
              <w:rPr>
                <w:rFonts w:ascii="Times New Roman BaltRim" w:hAnsi="Times New Roman BaltRim"/>
                <w:b/>
                <w:sz w:val="28"/>
                <w:szCs w:val="28"/>
              </w:rPr>
            </w:pPr>
          </w:p>
        </w:tc>
        <w:tc>
          <w:tcPr>
            <w:tcW w:w="4675" w:type="dxa"/>
            <w:tcBorders>
              <w:top w:val="nil"/>
              <w:left w:val="nil"/>
              <w:bottom w:val="nil"/>
              <w:right w:val="nil"/>
            </w:tcBorders>
          </w:tcPr>
          <w:p w14:paraId="44BE5CD1" w14:textId="77777777" w:rsidR="00CC5FCF" w:rsidRDefault="00CC5FCF">
            <w:pPr>
              <w:jc w:val="right"/>
              <w:rPr>
                <w:rFonts w:ascii="Times New Roman BaltRim" w:hAnsi="Times New Roman BaltRim"/>
                <w:b/>
                <w:sz w:val="28"/>
                <w:szCs w:val="28"/>
              </w:rPr>
            </w:pPr>
          </w:p>
        </w:tc>
      </w:tr>
    </w:tbl>
    <w:p w14:paraId="56D341AC" w14:textId="40CDC704" w:rsidR="00CF7A23" w:rsidRPr="000B1A3E" w:rsidRDefault="00AC78E5" w:rsidP="00CF7A23">
      <w:pPr>
        <w:tabs>
          <w:tab w:val="left" w:pos="7938"/>
        </w:tabs>
      </w:pPr>
      <w:r>
        <w:t>29</w:t>
      </w:r>
      <w:bookmarkStart w:id="2" w:name="_GoBack"/>
      <w:bookmarkEnd w:id="2"/>
      <w:r w:rsidR="00CA42C1">
        <w:t>.07</w:t>
      </w:r>
      <w:r w:rsidR="00CC5FCF" w:rsidRPr="000B1A3E">
        <w:t>.2015</w:t>
      </w:r>
      <w:r w:rsidR="00F61396">
        <w:t>.16:29</w:t>
      </w:r>
    </w:p>
    <w:p w14:paraId="018B58E7" w14:textId="60C7318B" w:rsidR="00CF7A23" w:rsidRPr="000B1A3E" w:rsidRDefault="00CA42C1" w:rsidP="00CF7A23">
      <w:pPr>
        <w:tabs>
          <w:tab w:val="left" w:pos="7938"/>
        </w:tabs>
      </w:pPr>
      <w:r>
        <w:t>1220</w:t>
      </w:r>
    </w:p>
    <w:p w14:paraId="59DE3B3B" w14:textId="77777777" w:rsidR="00CF7A23" w:rsidRPr="000B1A3E" w:rsidRDefault="00CF7A23" w:rsidP="00CF7A23">
      <w:pPr>
        <w:tabs>
          <w:tab w:val="left" w:pos="7938"/>
        </w:tabs>
      </w:pPr>
      <w:r w:rsidRPr="000B1A3E">
        <w:t>Drāke; 67013162</w:t>
      </w:r>
    </w:p>
    <w:p w14:paraId="3D9331CF" w14:textId="77777777" w:rsidR="00CF7A23" w:rsidRPr="000B1A3E" w:rsidRDefault="00CF7A23" w:rsidP="00CF7A23">
      <w:pPr>
        <w:tabs>
          <w:tab w:val="left" w:pos="7938"/>
        </w:tabs>
      </w:pPr>
      <w:r w:rsidRPr="000B1A3E">
        <w:t>Martins.Drake@em.gov.lv</w:t>
      </w:r>
    </w:p>
    <w:p w14:paraId="7A0F4BF5" w14:textId="77777777" w:rsidR="00506EA9" w:rsidRDefault="00506EA9" w:rsidP="008510D3">
      <w:pPr>
        <w:rPr>
          <w:rFonts w:eastAsia="Times New Roman"/>
          <w:b/>
          <w:lang w:eastAsia="lv-LV"/>
        </w:rPr>
      </w:pPr>
    </w:p>
    <w:p w14:paraId="6AE76578" w14:textId="77777777" w:rsidR="008510D3" w:rsidRPr="000B1A3E" w:rsidRDefault="008510D3" w:rsidP="008510D3">
      <w:r w:rsidRPr="000B1A3E">
        <w:t>Nulle 67021419</w:t>
      </w:r>
    </w:p>
    <w:p w14:paraId="0BDDAFEA" w14:textId="33C7F087" w:rsidR="00203AFE" w:rsidRDefault="008510D3">
      <w:r w:rsidRPr="000B1A3E">
        <w:t>Eva.Nulle@pa.gov.lv</w:t>
      </w:r>
    </w:p>
    <w:sectPr w:rsidR="00203AFE" w:rsidSect="000B1A3E">
      <w:headerReference w:type="default" r:id="rId11"/>
      <w:footerReference w:type="even" r:id="rId12"/>
      <w:footerReference w:type="default" r:id="rId13"/>
      <w:pgSz w:w="11906" w:h="16838" w:code="9"/>
      <w:pgMar w:top="851" w:right="1134"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51C23" w14:textId="77777777" w:rsidR="005D19F5" w:rsidRDefault="005D19F5" w:rsidP="00CC5FCF">
      <w:r>
        <w:separator/>
      </w:r>
    </w:p>
  </w:endnote>
  <w:endnote w:type="continuationSeparator" w:id="0">
    <w:p w14:paraId="7E8B0408" w14:textId="77777777" w:rsidR="005D19F5" w:rsidRDefault="005D19F5" w:rsidP="00CC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20E9" w14:textId="77777777" w:rsidR="00CC5FCF" w:rsidRDefault="00CC5FCF" w:rsidP="00CC5FCF">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AE2E" w14:textId="6B633288" w:rsidR="00CC5FCF" w:rsidRPr="000C45B1" w:rsidRDefault="000C45B1" w:rsidP="000C45B1">
    <w:pPr>
      <w:jc w:val="both"/>
      <w:outlineLvl w:val="3"/>
      <w:rPr>
        <w:rFonts w:eastAsia="Times New Roman"/>
        <w:bCs/>
        <w:sz w:val="22"/>
        <w:szCs w:val="22"/>
        <w:lang w:eastAsia="lv-LV"/>
      </w:rPr>
    </w:pPr>
    <w:r w:rsidRPr="0028084E">
      <w:rPr>
        <w:sz w:val="22"/>
        <w:szCs w:val="22"/>
      </w:rPr>
      <w:t>EMAnot_</w:t>
    </w:r>
    <w:r w:rsidR="00AC78E5">
      <w:rPr>
        <w:sz w:val="22"/>
        <w:szCs w:val="22"/>
      </w:rPr>
      <w:t>29</w:t>
    </w:r>
    <w:r w:rsidR="00CA42C1">
      <w:rPr>
        <w:sz w:val="22"/>
        <w:szCs w:val="22"/>
      </w:rPr>
      <w:t>07</w:t>
    </w:r>
    <w:r>
      <w:rPr>
        <w:sz w:val="22"/>
        <w:szCs w:val="22"/>
      </w:rPr>
      <w:t>15</w:t>
    </w:r>
    <w:r w:rsidRPr="0028084E">
      <w:rPr>
        <w:sz w:val="22"/>
        <w:szCs w:val="22"/>
      </w:rPr>
      <w:t>_</w:t>
    </w:r>
    <w:r>
      <w:rPr>
        <w:sz w:val="22"/>
        <w:szCs w:val="22"/>
      </w:rPr>
      <w:t>Luki</w:t>
    </w:r>
    <w:r w:rsidRPr="0028084E">
      <w:rPr>
        <w:sz w:val="22"/>
        <w:szCs w:val="22"/>
      </w:rPr>
      <w:t>; Ministru kabineta rīkojuma “</w:t>
    </w:r>
    <w:r w:rsidRPr="000C45B1">
      <w:rPr>
        <w:sz w:val="22"/>
        <w:szCs w:val="22"/>
      </w:rPr>
      <w:t>Par Ministru kabineta 2006.gada 15.februāra rīkojuma Nr.93 „Par valsts īpašuma objektu nodošanu privatizācijai” atcelšanu daļā</w:t>
    </w:r>
    <w:r w:rsidRPr="0028084E">
      <w:rPr>
        <w:bCs/>
        <w:sz w:val="22"/>
        <w:szCs w:val="22"/>
      </w:rPr>
      <w:t>”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7AB6F" w14:textId="77777777" w:rsidR="005D19F5" w:rsidRDefault="005D19F5" w:rsidP="00CC5FCF">
      <w:r>
        <w:separator/>
      </w:r>
    </w:p>
  </w:footnote>
  <w:footnote w:type="continuationSeparator" w:id="0">
    <w:p w14:paraId="0C4A585A" w14:textId="77777777" w:rsidR="005D19F5" w:rsidRDefault="005D19F5" w:rsidP="00CC5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D650" w14:textId="77777777" w:rsidR="00CC5FCF" w:rsidRPr="00390213" w:rsidRDefault="00CC5FCF" w:rsidP="00CC5FCF">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23"/>
    <w:rsid w:val="000250F2"/>
    <w:rsid w:val="00032257"/>
    <w:rsid w:val="00036C67"/>
    <w:rsid w:val="00052951"/>
    <w:rsid w:val="0005651A"/>
    <w:rsid w:val="000B1A3E"/>
    <w:rsid w:val="000C45B1"/>
    <w:rsid w:val="00123A30"/>
    <w:rsid w:val="00163D27"/>
    <w:rsid w:val="001820D7"/>
    <w:rsid w:val="00203AFE"/>
    <w:rsid w:val="00244731"/>
    <w:rsid w:val="002638CB"/>
    <w:rsid w:val="00281281"/>
    <w:rsid w:val="00291D5F"/>
    <w:rsid w:val="002B3677"/>
    <w:rsid w:val="002E3279"/>
    <w:rsid w:val="003000FA"/>
    <w:rsid w:val="00321EAF"/>
    <w:rsid w:val="00333424"/>
    <w:rsid w:val="0035745A"/>
    <w:rsid w:val="003620AB"/>
    <w:rsid w:val="00385FF4"/>
    <w:rsid w:val="00390213"/>
    <w:rsid w:val="003E0178"/>
    <w:rsid w:val="00480DDA"/>
    <w:rsid w:val="00506EA9"/>
    <w:rsid w:val="0054344D"/>
    <w:rsid w:val="0059349D"/>
    <w:rsid w:val="005D19F5"/>
    <w:rsid w:val="005F311A"/>
    <w:rsid w:val="00636668"/>
    <w:rsid w:val="00684F5A"/>
    <w:rsid w:val="006879C0"/>
    <w:rsid w:val="006E64BE"/>
    <w:rsid w:val="007011DD"/>
    <w:rsid w:val="00716B9C"/>
    <w:rsid w:val="00725039"/>
    <w:rsid w:val="00733E2A"/>
    <w:rsid w:val="007401DD"/>
    <w:rsid w:val="007607A8"/>
    <w:rsid w:val="007A7A75"/>
    <w:rsid w:val="007D441F"/>
    <w:rsid w:val="007E6DC3"/>
    <w:rsid w:val="007F6CC5"/>
    <w:rsid w:val="007F6D00"/>
    <w:rsid w:val="00825603"/>
    <w:rsid w:val="008510D3"/>
    <w:rsid w:val="00875742"/>
    <w:rsid w:val="00880E82"/>
    <w:rsid w:val="008A54F4"/>
    <w:rsid w:val="008B68F7"/>
    <w:rsid w:val="008D5005"/>
    <w:rsid w:val="00987665"/>
    <w:rsid w:val="009F4BB6"/>
    <w:rsid w:val="00A35B9A"/>
    <w:rsid w:val="00A53A63"/>
    <w:rsid w:val="00A60A6A"/>
    <w:rsid w:val="00A768DE"/>
    <w:rsid w:val="00AC6119"/>
    <w:rsid w:val="00AC78E5"/>
    <w:rsid w:val="00AD6151"/>
    <w:rsid w:val="00B966C9"/>
    <w:rsid w:val="00BC7EA4"/>
    <w:rsid w:val="00BD7FD1"/>
    <w:rsid w:val="00BF042B"/>
    <w:rsid w:val="00BF0C19"/>
    <w:rsid w:val="00C10FE9"/>
    <w:rsid w:val="00C20704"/>
    <w:rsid w:val="00C56C04"/>
    <w:rsid w:val="00C6542D"/>
    <w:rsid w:val="00CA42C1"/>
    <w:rsid w:val="00CC3EBD"/>
    <w:rsid w:val="00CC5FCF"/>
    <w:rsid w:val="00CD6E4B"/>
    <w:rsid w:val="00CF7A23"/>
    <w:rsid w:val="00D42FF8"/>
    <w:rsid w:val="00D44629"/>
    <w:rsid w:val="00D5037E"/>
    <w:rsid w:val="00D57C76"/>
    <w:rsid w:val="00D775AA"/>
    <w:rsid w:val="00D86501"/>
    <w:rsid w:val="00DF3088"/>
    <w:rsid w:val="00E10C0A"/>
    <w:rsid w:val="00E37209"/>
    <w:rsid w:val="00EA76F6"/>
    <w:rsid w:val="00EC6071"/>
    <w:rsid w:val="00F172AF"/>
    <w:rsid w:val="00F61396"/>
    <w:rsid w:val="00F67F5D"/>
    <w:rsid w:val="00F83970"/>
    <w:rsid w:val="00F90867"/>
    <w:rsid w:val="00FE00DF"/>
    <w:rsid w:val="00FE60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08DF"/>
  <w15:docId w15:val="{05FB33F6-09C7-4AA1-B270-2DD9A951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23"/>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F7A23"/>
    <w:rPr>
      <w:color w:val="0000FF"/>
      <w:u w:val="single"/>
    </w:rPr>
  </w:style>
  <w:style w:type="paragraph" w:styleId="FootnoteText">
    <w:name w:val="footnote text"/>
    <w:basedOn w:val="Normal"/>
    <w:link w:val="FootnoteTextChar"/>
    <w:semiHidden/>
    <w:unhideWhenUsed/>
    <w:rsid w:val="00CF7A23"/>
    <w:rPr>
      <w:rFonts w:eastAsia="Times New Roman"/>
      <w:sz w:val="20"/>
      <w:szCs w:val="20"/>
      <w:lang w:eastAsia="lv-LV"/>
    </w:rPr>
  </w:style>
  <w:style w:type="character" w:customStyle="1" w:styleId="FootnoteTextChar">
    <w:name w:val="Footnote Text Char"/>
    <w:basedOn w:val="DefaultParagraphFont"/>
    <w:link w:val="FootnoteText"/>
    <w:semiHidden/>
    <w:rsid w:val="00CF7A23"/>
    <w:rPr>
      <w:rFonts w:eastAsia="Times New Roman" w:cs="Times New Roman"/>
      <w:sz w:val="20"/>
      <w:szCs w:val="20"/>
      <w:lang w:eastAsia="lv-LV"/>
    </w:rPr>
  </w:style>
  <w:style w:type="paragraph" w:styleId="CommentText">
    <w:name w:val="annotation text"/>
    <w:basedOn w:val="Normal"/>
    <w:link w:val="CommentTextChar"/>
    <w:uiPriority w:val="99"/>
    <w:semiHidden/>
    <w:unhideWhenUsed/>
    <w:rsid w:val="00CF7A23"/>
    <w:rPr>
      <w:sz w:val="20"/>
      <w:szCs w:val="20"/>
    </w:rPr>
  </w:style>
  <w:style w:type="character" w:customStyle="1" w:styleId="CommentTextChar">
    <w:name w:val="Comment Text Char"/>
    <w:basedOn w:val="DefaultParagraphFont"/>
    <w:link w:val="CommentText"/>
    <w:uiPriority w:val="99"/>
    <w:semiHidden/>
    <w:rsid w:val="00CF7A23"/>
    <w:rPr>
      <w:rFonts w:eastAsia="Calibri" w:cs="Times New Roman"/>
      <w:sz w:val="20"/>
      <w:szCs w:val="20"/>
    </w:rPr>
  </w:style>
  <w:style w:type="paragraph" w:styleId="Title">
    <w:name w:val="Title"/>
    <w:basedOn w:val="Normal"/>
    <w:link w:val="TitleChar"/>
    <w:qFormat/>
    <w:rsid w:val="00CF7A23"/>
    <w:pPr>
      <w:jc w:val="center"/>
    </w:pPr>
    <w:rPr>
      <w:rFonts w:eastAsia="Times New Roman"/>
      <w:b/>
      <w:sz w:val="28"/>
      <w:szCs w:val="20"/>
      <w:lang w:eastAsia="lv-LV"/>
    </w:rPr>
  </w:style>
  <w:style w:type="character" w:customStyle="1" w:styleId="TitleChar">
    <w:name w:val="Title Char"/>
    <w:basedOn w:val="DefaultParagraphFont"/>
    <w:link w:val="Title"/>
    <w:rsid w:val="00CF7A23"/>
    <w:rPr>
      <w:rFonts w:eastAsia="Times New Roman" w:cs="Times New Roman"/>
      <w:b/>
      <w:szCs w:val="20"/>
      <w:lang w:eastAsia="lv-LV"/>
    </w:rPr>
  </w:style>
  <w:style w:type="paragraph" w:styleId="BodyTextIndent">
    <w:name w:val="Body Text Indent"/>
    <w:basedOn w:val="Normal"/>
    <w:link w:val="BodyTextIndentChar"/>
    <w:unhideWhenUsed/>
    <w:rsid w:val="00CF7A23"/>
    <w:pPr>
      <w:ind w:firstLine="567"/>
      <w:jc w:val="both"/>
    </w:pPr>
    <w:rPr>
      <w:rFonts w:eastAsia="Times New Roman"/>
      <w:szCs w:val="20"/>
      <w:lang w:eastAsia="lv-LV"/>
    </w:rPr>
  </w:style>
  <w:style w:type="character" w:customStyle="1" w:styleId="BodyTextIndentChar">
    <w:name w:val="Body Text Indent Char"/>
    <w:basedOn w:val="DefaultParagraphFont"/>
    <w:link w:val="BodyTextIndent"/>
    <w:rsid w:val="00CF7A23"/>
    <w:rPr>
      <w:rFonts w:eastAsia="Times New Roman" w:cs="Times New Roman"/>
      <w:sz w:val="24"/>
      <w:szCs w:val="20"/>
      <w:lang w:eastAsia="lv-LV"/>
    </w:rPr>
  </w:style>
  <w:style w:type="paragraph" w:styleId="BodyText3">
    <w:name w:val="Body Text 3"/>
    <w:basedOn w:val="Normal"/>
    <w:link w:val="BodyText3Char"/>
    <w:semiHidden/>
    <w:unhideWhenUsed/>
    <w:rsid w:val="00CF7A23"/>
    <w:pPr>
      <w:spacing w:after="120"/>
    </w:pPr>
    <w:rPr>
      <w:rFonts w:eastAsia="Times New Roman"/>
      <w:sz w:val="16"/>
      <w:szCs w:val="16"/>
      <w:lang w:val="en-AU" w:eastAsia="lv-LV"/>
    </w:rPr>
  </w:style>
  <w:style w:type="character" w:customStyle="1" w:styleId="BodyText3Char">
    <w:name w:val="Body Text 3 Char"/>
    <w:basedOn w:val="DefaultParagraphFont"/>
    <w:link w:val="BodyText3"/>
    <w:semiHidden/>
    <w:rsid w:val="00CF7A23"/>
    <w:rPr>
      <w:rFonts w:eastAsia="Times New Roman" w:cs="Times New Roman"/>
      <w:sz w:val="16"/>
      <w:szCs w:val="16"/>
      <w:lang w:val="en-AU" w:eastAsia="lv-LV"/>
    </w:rPr>
  </w:style>
  <w:style w:type="paragraph" w:customStyle="1" w:styleId="naisnod">
    <w:name w:val="naisnod"/>
    <w:basedOn w:val="Normal"/>
    <w:rsid w:val="00CF7A23"/>
    <w:pPr>
      <w:spacing w:before="150" w:after="150"/>
      <w:jc w:val="center"/>
    </w:pPr>
    <w:rPr>
      <w:rFonts w:eastAsia="Times New Roman"/>
      <w:b/>
      <w:bCs/>
      <w:lang w:eastAsia="lv-LV"/>
    </w:rPr>
  </w:style>
  <w:style w:type="paragraph" w:customStyle="1" w:styleId="naiskr">
    <w:name w:val="naiskr"/>
    <w:basedOn w:val="Normal"/>
    <w:rsid w:val="00CF7A23"/>
    <w:pPr>
      <w:spacing w:before="75" w:after="75"/>
    </w:pPr>
    <w:rPr>
      <w:rFonts w:eastAsia="Times New Roman"/>
      <w:lang w:eastAsia="lv-LV"/>
    </w:rPr>
  </w:style>
  <w:style w:type="character" w:styleId="CommentReference">
    <w:name w:val="annotation reference"/>
    <w:uiPriority w:val="99"/>
    <w:semiHidden/>
    <w:unhideWhenUsed/>
    <w:rsid w:val="00CF7A23"/>
    <w:rPr>
      <w:sz w:val="16"/>
      <w:szCs w:val="16"/>
    </w:rPr>
  </w:style>
  <w:style w:type="paragraph" w:styleId="BalloonText">
    <w:name w:val="Balloon Text"/>
    <w:basedOn w:val="Normal"/>
    <w:link w:val="BalloonTextChar"/>
    <w:uiPriority w:val="99"/>
    <w:semiHidden/>
    <w:unhideWhenUsed/>
    <w:rsid w:val="00CF7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A23"/>
    <w:rPr>
      <w:rFonts w:ascii="Segoe UI" w:eastAsia="Calibri" w:hAnsi="Segoe UI" w:cs="Segoe UI"/>
      <w:sz w:val="18"/>
      <w:szCs w:val="18"/>
    </w:rPr>
  </w:style>
  <w:style w:type="paragraph" w:styleId="Header">
    <w:name w:val="header"/>
    <w:basedOn w:val="Normal"/>
    <w:link w:val="HeaderChar"/>
    <w:uiPriority w:val="99"/>
    <w:unhideWhenUsed/>
    <w:rsid w:val="00CC5FCF"/>
    <w:pPr>
      <w:tabs>
        <w:tab w:val="center" w:pos="4153"/>
        <w:tab w:val="right" w:pos="8306"/>
      </w:tabs>
    </w:pPr>
  </w:style>
  <w:style w:type="character" w:customStyle="1" w:styleId="HeaderChar">
    <w:name w:val="Header Char"/>
    <w:basedOn w:val="DefaultParagraphFont"/>
    <w:link w:val="Header"/>
    <w:uiPriority w:val="99"/>
    <w:rsid w:val="00CC5FCF"/>
    <w:rPr>
      <w:rFonts w:eastAsia="Calibri" w:cs="Times New Roman"/>
      <w:sz w:val="24"/>
      <w:szCs w:val="24"/>
    </w:rPr>
  </w:style>
  <w:style w:type="paragraph" w:styleId="Footer">
    <w:name w:val="footer"/>
    <w:basedOn w:val="Normal"/>
    <w:link w:val="FooterChar"/>
    <w:uiPriority w:val="99"/>
    <w:unhideWhenUsed/>
    <w:rsid w:val="00CC5FCF"/>
    <w:pPr>
      <w:tabs>
        <w:tab w:val="center" w:pos="4153"/>
        <w:tab w:val="right" w:pos="8306"/>
      </w:tabs>
    </w:pPr>
  </w:style>
  <w:style w:type="character" w:customStyle="1" w:styleId="FooterChar">
    <w:name w:val="Footer Char"/>
    <w:basedOn w:val="DefaultParagraphFont"/>
    <w:link w:val="Footer"/>
    <w:uiPriority w:val="99"/>
    <w:rsid w:val="00CC5FCF"/>
    <w:rPr>
      <w:rFonts w:eastAsia="Calibri" w:cs="Times New Roman"/>
      <w:sz w:val="24"/>
      <w:szCs w:val="24"/>
    </w:rPr>
  </w:style>
  <w:style w:type="paragraph" w:styleId="CommentSubject">
    <w:name w:val="annotation subject"/>
    <w:basedOn w:val="CommentText"/>
    <w:next w:val="CommentText"/>
    <w:link w:val="CommentSubjectChar"/>
    <w:uiPriority w:val="99"/>
    <w:semiHidden/>
    <w:unhideWhenUsed/>
    <w:rsid w:val="003620AB"/>
    <w:rPr>
      <w:b/>
      <w:bCs/>
    </w:rPr>
  </w:style>
  <w:style w:type="character" w:customStyle="1" w:styleId="CommentSubjectChar">
    <w:name w:val="Comment Subject Char"/>
    <w:basedOn w:val="CommentTextChar"/>
    <w:link w:val="CommentSubject"/>
    <w:uiPriority w:val="99"/>
    <w:semiHidden/>
    <w:rsid w:val="003620AB"/>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5556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doc.php?id=55567"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7588-9097-464B-887B-58E0D974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6341</Words>
  <Characters>3615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31</cp:revision>
  <dcterms:created xsi:type="dcterms:W3CDTF">2015-02-19T09:05:00Z</dcterms:created>
  <dcterms:modified xsi:type="dcterms:W3CDTF">2015-07-29T07:00:00Z</dcterms:modified>
</cp:coreProperties>
</file>