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C6A" w:rsidRPr="00A70A73" w:rsidRDefault="00C95C6A" w:rsidP="00A70A73">
      <w:pPr>
        <w:spacing w:line="240" w:lineRule="auto"/>
        <w:ind w:left="360"/>
        <w:jc w:val="right"/>
        <w:rPr>
          <w:rFonts w:ascii="Times New Roman" w:hAnsi="Times New Roman"/>
          <w:b/>
          <w:sz w:val="28"/>
          <w:szCs w:val="28"/>
        </w:rPr>
      </w:pPr>
      <w:bookmarkStart w:id="0" w:name="_GoBack"/>
      <w:bookmarkEnd w:id="0"/>
      <w:r w:rsidRPr="00A70A73">
        <w:rPr>
          <w:rFonts w:ascii="Times New Roman" w:hAnsi="Times New Roman"/>
          <w:b/>
          <w:sz w:val="28"/>
          <w:szCs w:val="28"/>
        </w:rPr>
        <w:t>2.pielikums</w:t>
      </w:r>
    </w:p>
    <w:p w:rsidR="00C95C6A" w:rsidRPr="00A70A73" w:rsidRDefault="00C95C6A" w:rsidP="007A2645">
      <w:pPr>
        <w:spacing w:line="240" w:lineRule="auto"/>
        <w:jc w:val="center"/>
        <w:rPr>
          <w:rFonts w:ascii="Times New Roman" w:hAnsi="Times New Roman"/>
          <w:i/>
          <w:sz w:val="28"/>
          <w:szCs w:val="28"/>
        </w:rPr>
      </w:pPr>
      <w:r w:rsidRPr="00A70A73">
        <w:rPr>
          <w:rFonts w:ascii="Times New Roman" w:hAnsi="Times New Roman"/>
          <w:i/>
          <w:sz w:val="28"/>
          <w:szCs w:val="28"/>
        </w:rPr>
        <w:t>pie informatīvā ziņojuma „Par rādītāju - republikas pilsētu iekšzemes kopprodukts un pievienotā vērtība - iegūšanas iespējām un šādas informācijas iegūšanas nodrošināšanai nepieciešamo finansējumu”</w:t>
      </w:r>
    </w:p>
    <w:p w:rsidR="00C95C6A" w:rsidRPr="00A70A73" w:rsidRDefault="00C95C6A" w:rsidP="00A70A73">
      <w:pPr>
        <w:spacing w:after="0" w:line="240" w:lineRule="auto"/>
        <w:jc w:val="center"/>
        <w:rPr>
          <w:rFonts w:ascii="Times New Roman" w:hAnsi="Times New Roman" w:cs="Times New Roman"/>
          <w:b/>
          <w:sz w:val="28"/>
          <w:szCs w:val="28"/>
        </w:rPr>
      </w:pPr>
    </w:p>
    <w:p w:rsidR="008A7D84" w:rsidRPr="00A70A73" w:rsidRDefault="008A7D84" w:rsidP="00A70A73">
      <w:pPr>
        <w:spacing w:after="0" w:line="240" w:lineRule="auto"/>
        <w:jc w:val="center"/>
        <w:rPr>
          <w:rFonts w:ascii="Times New Roman" w:hAnsi="Times New Roman" w:cs="Times New Roman"/>
          <w:b/>
          <w:sz w:val="28"/>
          <w:szCs w:val="28"/>
        </w:rPr>
      </w:pPr>
      <w:r w:rsidRPr="00A70A73">
        <w:rPr>
          <w:rFonts w:ascii="Times New Roman" w:hAnsi="Times New Roman" w:cs="Times New Roman"/>
          <w:b/>
          <w:sz w:val="28"/>
          <w:szCs w:val="28"/>
        </w:rPr>
        <w:t>Informācijas par statistikas vienībām uzturēšana</w:t>
      </w:r>
    </w:p>
    <w:p w:rsidR="004811F3" w:rsidRPr="00A70A73" w:rsidRDefault="008A7D84" w:rsidP="00A70A73">
      <w:pPr>
        <w:spacing w:after="100" w:afterAutospacing="1" w:line="240" w:lineRule="auto"/>
        <w:jc w:val="center"/>
        <w:rPr>
          <w:rFonts w:ascii="Times New Roman" w:hAnsi="Times New Roman" w:cs="Times New Roman"/>
          <w:b/>
          <w:sz w:val="28"/>
          <w:szCs w:val="28"/>
        </w:rPr>
      </w:pPr>
      <w:r w:rsidRPr="00A70A73">
        <w:rPr>
          <w:rFonts w:ascii="Times New Roman" w:hAnsi="Times New Roman" w:cs="Times New Roman"/>
          <w:b/>
          <w:sz w:val="28"/>
          <w:szCs w:val="28"/>
        </w:rPr>
        <w:t>Statistikas uzņēmumu reģistrā</w:t>
      </w:r>
    </w:p>
    <w:p w:rsidR="0024583D" w:rsidRPr="00A70A73" w:rsidRDefault="003B1A15" w:rsidP="00A70A73">
      <w:pPr>
        <w:pStyle w:val="ListParagraph"/>
        <w:numPr>
          <w:ilvl w:val="0"/>
          <w:numId w:val="19"/>
        </w:numPr>
        <w:spacing w:after="120" w:line="240" w:lineRule="auto"/>
        <w:jc w:val="both"/>
        <w:rPr>
          <w:rFonts w:ascii="Times New Roman" w:hAnsi="Times New Roman" w:cs="Times New Roman"/>
          <w:b/>
          <w:sz w:val="28"/>
          <w:szCs w:val="28"/>
        </w:rPr>
      </w:pPr>
      <w:bookmarkStart w:id="1" w:name="_Ref416425424"/>
      <w:r w:rsidRPr="00A70A73">
        <w:rPr>
          <w:rFonts w:ascii="Times New Roman" w:hAnsi="Times New Roman" w:cs="Times New Roman"/>
          <w:b/>
          <w:sz w:val="28"/>
          <w:szCs w:val="28"/>
          <w:u w:val="single"/>
        </w:rPr>
        <w:t>Statistikas vienīb</w:t>
      </w:r>
      <w:r w:rsidR="0039314F" w:rsidRPr="00A70A73">
        <w:rPr>
          <w:rFonts w:ascii="Times New Roman" w:hAnsi="Times New Roman" w:cs="Times New Roman"/>
          <w:b/>
          <w:sz w:val="28"/>
          <w:szCs w:val="28"/>
          <w:u w:val="single"/>
        </w:rPr>
        <w:t>as</w:t>
      </w:r>
    </w:p>
    <w:bookmarkEnd w:id="1"/>
    <w:p w:rsidR="003B1A15" w:rsidRPr="00A70A73" w:rsidRDefault="003B1A15" w:rsidP="00A70A73">
      <w:pPr>
        <w:pStyle w:val="ListParagraph"/>
        <w:spacing w:after="120" w:line="240" w:lineRule="auto"/>
        <w:jc w:val="both"/>
        <w:rPr>
          <w:rFonts w:ascii="Times New Roman" w:hAnsi="Times New Roman" w:cs="Times New Roman"/>
          <w:b/>
          <w:sz w:val="28"/>
          <w:szCs w:val="28"/>
        </w:rPr>
      </w:pPr>
    </w:p>
    <w:p w:rsidR="0085143B" w:rsidRPr="00A70A73" w:rsidRDefault="004811F3" w:rsidP="00D32590">
      <w:pPr>
        <w:spacing w:before="120" w:after="120" w:line="240" w:lineRule="auto"/>
        <w:ind w:firstLine="720"/>
        <w:jc w:val="both"/>
        <w:rPr>
          <w:rFonts w:ascii="Times New Roman" w:hAnsi="Times New Roman" w:cs="Times New Roman"/>
          <w:sz w:val="28"/>
          <w:szCs w:val="28"/>
        </w:rPr>
      </w:pPr>
      <w:r w:rsidRPr="00A70A73">
        <w:rPr>
          <w:rFonts w:ascii="Times New Roman" w:hAnsi="Times New Roman" w:cs="Times New Roman"/>
          <w:sz w:val="28"/>
          <w:szCs w:val="28"/>
        </w:rPr>
        <w:t>Statistikas sagatavošanas vajadzībām Centrālā statistikas pārvalde</w:t>
      </w:r>
      <w:r w:rsidR="00E443DC">
        <w:rPr>
          <w:rFonts w:ascii="Times New Roman" w:hAnsi="Times New Roman" w:cs="Times New Roman"/>
          <w:sz w:val="28"/>
          <w:szCs w:val="28"/>
        </w:rPr>
        <w:t xml:space="preserve"> (turpmāk –</w:t>
      </w:r>
      <w:r w:rsidR="00F663DC">
        <w:rPr>
          <w:rFonts w:ascii="Times New Roman" w:hAnsi="Times New Roman" w:cs="Times New Roman"/>
          <w:sz w:val="28"/>
          <w:szCs w:val="28"/>
        </w:rPr>
        <w:t xml:space="preserve"> Pārvalde</w:t>
      </w:r>
      <w:r w:rsidR="00E443DC">
        <w:rPr>
          <w:rFonts w:ascii="Times New Roman" w:hAnsi="Times New Roman" w:cs="Times New Roman"/>
          <w:sz w:val="28"/>
          <w:szCs w:val="28"/>
        </w:rPr>
        <w:t>)</w:t>
      </w:r>
      <w:r w:rsidRPr="00A70A73">
        <w:rPr>
          <w:rFonts w:ascii="Times New Roman" w:hAnsi="Times New Roman" w:cs="Times New Roman"/>
          <w:sz w:val="28"/>
          <w:szCs w:val="28"/>
        </w:rPr>
        <w:t xml:space="preserve"> uztur Statistikas uzņēmumu reģistru (</w:t>
      </w:r>
      <w:r w:rsidR="003968C2" w:rsidRPr="00A70A73">
        <w:rPr>
          <w:rFonts w:ascii="Times New Roman" w:hAnsi="Times New Roman" w:cs="Times New Roman"/>
          <w:sz w:val="28"/>
          <w:szCs w:val="28"/>
        </w:rPr>
        <w:t xml:space="preserve">turpmāk - </w:t>
      </w:r>
      <w:r w:rsidRPr="00A70A73">
        <w:rPr>
          <w:rFonts w:ascii="Times New Roman" w:hAnsi="Times New Roman" w:cs="Times New Roman"/>
          <w:sz w:val="28"/>
          <w:szCs w:val="28"/>
        </w:rPr>
        <w:t xml:space="preserve">SUR), kura pamatfunkcija ir nodrošināt statistisko informāciju par </w:t>
      </w:r>
      <w:r w:rsidRPr="00A70A73">
        <w:rPr>
          <w:rFonts w:ascii="Times New Roman" w:hAnsi="Times New Roman" w:cs="Times New Roman"/>
          <w:bCs/>
          <w:sz w:val="28"/>
          <w:szCs w:val="28"/>
        </w:rPr>
        <w:t xml:space="preserve">ekonomiski aktīvo uzņēmumu kopu </w:t>
      </w:r>
      <w:r w:rsidRPr="00A70A73">
        <w:rPr>
          <w:rFonts w:ascii="Times New Roman" w:hAnsi="Times New Roman" w:cs="Times New Roman"/>
          <w:sz w:val="28"/>
          <w:szCs w:val="28"/>
        </w:rPr>
        <w:t>statistikas apsekojumu sagatavošanai un koordinācijai, administratīvo datu izmantošanai un statistikas vienību noteikšanai un izveidei, uzņēmumu un uzņēmumu demogrāfijas statistikas analīzei, kā arī uzņēmumu grupu noteikšanai un analīzei. Informācija SUR tiek iegūta</w:t>
      </w:r>
      <w:r w:rsidR="0084530F" w:rsidRPr="00A70A73">
        <w:rPr>
          <w:rFonts w:ascii="Times New Roman" w:hAnsi="Times New Roman" w:cs="Times New Roman"/>
          <w:sz w:val="28"/>
          <w:szCs w:val="28"/>
        </w:rPr>
        <w:t>,</w:t>
      </w:r>
      <w:r w:rsidRPr="00A70A73">
        <w:rPr>
          <w:rFonts w:ascii="Times New Roman" w:hAnsi="Times New Roman" w:cs="Times New Roman"/>
          <w:sz w:val="28"/>
          <w:szCs w:val="28"/>
        </w:rPr>
        <w:t xml:space="preserve"> veicot statistiskos apsekojumus, kā arī izmantojot valsts reģistros un citās informācijas sistēmās esošos datus. </w:t>
      </w:r>
      <w:r w:rsidR="0085143B" w:rsidRPr="00A70A73">
        <w:rPr>
          <w:rFonts w:ascii="Times New Roman" w:hAnsi="Times New Roman" w:cs="Times New Roman"/>
          <w:sz w:val="28"/>
          <w:szCs w:val="28"/>
        </w:rPr>
        <w:t>SUR</w:t>
      </w:r>
      <w:r w:rsidRPr="00A70A73">
        <w:rPr>
          <w:rStyle w:val="FootnoteReference"/>
          <w:rFonts w:ascii="Times New Roman" w:hAnsi="Times New Roman" w:cs="Times New Roman"/>
          <w:iCs/>
          <w:sz w:val="28"/>
          <w:szCs w:val="28"/>
        </w:rPr>
        <w:footnoteReference w:id="1"/>
      </w:r>
      <w:r w:rsidRPr="00A70A73">
        <w:rPr>
          <w:rFonts w:ascii="Times New Roman" w:hAnsi="Times New Roman" w:cs="Times New Roman"/>
          <w:sz w:val="28"/>
          <w:szCs w:val="28"/>
        </w:rPr>
        <w:t xml:space="preserve">, tiek uzturēta informācija par </w:t>
      </w:r>
      <w:r w:rsidRPr="00A70A73">
        <w:rPr>
          <w:rFonts w:ascii="Times New Roman" w:hAnsi="Times New Roman" w:cs="Times New Roman"/>
          <w:sz w:val="28"/>
          <w:szCs w:val="28"/>
          <w:u w:val="single"/>
        </w:rPr>
        <w:t>statistikas vienībām</w:t>
      </w:r>
      <w:r w:rsidR="00D35F64" w:rsidRPr="00A70A73">
        <w:rPr>
          <w:rFonts w:ascii="Times New Roman" w:hAnsi="Times New Roman" w:cs="Times New Roman"/>
          <w:sz w:val="28"/>
          <w:szCs w:val="28"/>
          <w:u w:val="single"/>
        </w:rPr>
        <w:t xml:space="preserve"> (turpmāk – vienība)</w:t>
      </w:r>
      <w:r w:rsidRPr="00A70A73">
        <w:rPr>
          <w:rFonts w:ascii="Times New Roman" w:hAnsi="Times New Roman" w:cs="Times New Roman"/>
          <w:sz w:val="28"/>
          <w:szCs w:val="28"/>
          <w:u w:val="single"/>
        </w:rPr>
        <w:t>, kas pilnībā vai daļēji veic saimniecisko darbību.</w:t>
      </w:r>
    </w:p>
    <w:p w:rsidR="00864F30" w:rsidRPr="00A70A73" w:rsidRDefault="0085143B" w:rsidP="00BD6A66">
      <w:pPr>
        <w:pStyle w:val="Default"/>
        <w:spacing w:before="120" w:after="120"/>
        <w:ind w:firstLine="720"/>
        <w:jc w:val="both"/>
        <w:rPr>
          <w:color w:val="auto"/>
          <w:sz w:val="28"/>
          <w:szCs w:val="28"/>
        </w:rPr>
      </w:pPr>
      <w:r w:rsidRPr="00A70A73">
        <w:rPr>
          <w:color w:val="auto"/>
          <w:sz w:val="28"/>
          <w:szCs w:val="28"/>
        </w:rPr>
        <w:t>U</w:t>
      </w:r>
      <w:r w:rsidRPr="00A70A73">
        <w:rPr>
          <w:bCs/>
          <w:color w:val="auto"/>
          <w:sz w:val="28"/>
          <w:szCs w:val="28"/>
          <w:u w:val="single"/>
        </w:rPr>
        <w:t>zņēmums</w:t>
      </w:r>
      <w:r w:rsidR="004811F3" w:rsidRPr="00A70A73">
        <w:rPr>
          <w:rStyle w:val="FootnoteReference"/>
          <w:color w:val="auto"/>
          <w:sz w:val="28"/>
          <w:szCs w:val="28"/>
        </w:rPr>
        <w:footnoteReference w:id="2"/>
      </w:r>
      <w:r w:rsidR="004811F3" w:rsidRPr="00A70A73">
        <w:rPr>
          <w:color w:val="auto"/>
          <w:sz w:val="28"/>
          <w:szCs w:val="28"/>
        </w:rPr>
        <w:t xml:space="preserve"> </w:t>
      </w:r>
      <w:r w:rsidR="00864F30" w:rsidRPr="00A70A73">
        <w:rPr>
          <w:color w:val="auto"/>
          <w:sz w:val="28"/>
          <w:szCs w:val="28"/>
        </w:rPr>
        <w:t>ir organizatoriska vienība, kura ražo preces vai pakalpojumus un kurai ir noteikta autonomijas pakāpe lēmumu pieņemšanā. Uzņēmums veic vienu vai vairākas darbības vienā vai vairākās vietās.</w:t>
      </w:r>
    </w:p>
    <w:p w:rsidR="009A25FD" w:rsidRPr="00A70A73" w:rsidRDefault="004811F3" w:rsidP="00BD6A66">
      <w:pPr>
        <w:pStyle w:val="Default"/>
        <w:spacing w:before="120" w:after="120"/>
        <w:ind w:firstLine="720"/>
        <w:jc w:val="both"/>
        <w:rPr>
          <w:color w:val="auto"/>
          <w:sz w:val="28"/>
          <w:szCs w:val="28"/>
          <w:vertAlign w:val="superscript"/>
        </w:rPr>
      </w:pPr>
      <w:r w:rsidRPr="00A70A73">
        <w:rPr>
          <w:noProof/>
          <w:color w:val="auto"/>
          <w:sz w:val="28"/>
          <w:szCs w:val="28"/>
          <w:u w:val="single"/>
        </w:rPr>
        <w:t>Darbības veida vienība</w:t>
      </w:r>
      <w:r w:rsidR="004E4E88" w:rsidRPr="00A70A73">
        <w:rPr>
          <w:noProof/>
          <w:color w:val="auto"/>
          <w:sz w:val="28"/>
          <w:szCs w:val="28"/>
          <w:u w:val="single"/>
        </w:rPr>
        <w:t>/-a</w:t>
      </w:r>
      <w:r w:rsidRPr="00A70A73">
        <w:rPr>
          <w:noProof/>
          <w:color w:val="auto"/>
          <w:sz w:val="28"/>
          <w:szCs w:val="28"/>
          <w:u w:val="single"/>
        </w:rPr>
        <w:t>s</w:t>
      </w:r>
      <w:r w:rsidRPr="00A70A73">
        <w:rPr>
          <w:noProof/>
          <w:color w:val="auto"/>
          <w:sz w:val="28"/>
          <w:szCs w:val="28"/>
        </w:rPr>
        <w:t xml:space="preserve"> (DVV) apvieno visas uzņēmuma daļas, kas palīdz veikt </w:t>
      </w:r>
      <w:r w:rsidR="004E4E88" w:rsidRPr="00A70A73">
        <w:rPr>
          <w:noProof/>
          <w:color w:val="auto"/>
          <w:sz w:val="28"/>
          <w:szCs w:val="28"/>
        </w:rPr>
        <w:t xml:space="preserve">samniecisko </w:t>
      </w:r>
      <w:r w:rsidRPr="00A70A73">
        <w:rPr>
          <w:noProof/>
          <w:color w:val="auto"/>
          <w:sz w:val="28"/>
          <w:szCs w:val="28"/>
        </w:rPr>
        <w:t xml:space="preserve">darbību NACE klases </w:t>
      </w:r>
      <w:r w:rsidR="004E4E88" w:rsidRPr="00A70A73">
        <w:rPr>
          <w:noProof/>
          <w:color w:val="auto"/>
          <w:sz w:val="28"/>
          <w:szCs w:val="28"/>
        </w:rPr>
        <w:t>(</w:t>
      </w:r>
      <w:r w:rsidR="003C103A" w:rsidRPr="00A70A73">
        <w:rPr>
          <w:noProof/>
          <w:color w:val="auto"/>
          <w:sz w:val="28"/>
          <w:szCs w:val="28"/>
        </w:rPr>
        <w:t>NACE 4 zīmes</w:t>
      </w:r>
      <w:r w:rsidR="004E4E88" w:rsidRPr="00A70A73">
        <w:rPr>
          <w:noProof/>
          <w:color w:val="auto"/>
          <w:sz w:val="28"/>
          <w:szCs w:val="28"/>
        </w:rPr>
        <w:t xml:space="preserve">) </w:t>
      </w:r>
      <w:r w:rsidRPr="00A70A73">
        <w:rPr>
          <w:noProof/>
          <w:color w:val="auto"/>
          <w:sz w:val="28"/>
          <w:szCs w:val="28"/>
        </w:rPr>
        <w:t xml:space="preserve">līmenī, un atbilst vienai vai vairākām uzņēmuma operatīvajām apakšnodaļām. </w:t>
      </w:r>
    </w:p>
    <w:p w:rsidR="004811F3" w:rsidRPr="00A70A73" w:rsidRDefault="00864F30" w:rsidP="00BD6A66">
      <w:pPr>
        <w:pStyle w:val="ManualNumPar1"/>
        <w:ind w:left="0" w:firstLine="720"/>
        <w:rPr>
          <w:noProof/>
          <w:sz w:val="28"/>
          <w:szCs w:val="28"/>
        </w:rPr>
      </w:pPr>
      <w:r w:rsidRPr="00A70A73">
        <w:rPr>
          <w:sz w:val="28"/>
          <w:szCs w:val="28"/>
          <w:u w:val="single"/>
        </w:rPr>
        <w:t>Vietējā darbības veida vienība</w:t>
      </w:r>
      <w:r w:rsidRPr="00A70A73">
        <w:rPr>
          <w:sz w:val="28"/>
          <w:szCs w:val="28"/>
        </w:rPr>
        <w:t xml:space="preserve"> (</w:t>
      </w:r>
      <w:r w:rsidRPr="00A70A73">
        <w:rPr>
          <w:sz w:val="28"/>
          <w:szCs w:val="28"/>
          <w:u w:val="single"/>
        </w:rPr>
        <w:t>V</w:t>
      </w:r>
      <w:r w:rsidRPr="00A70A73">
        <w:rPr>
          <w:noProof/>
          <w:sz w:val="28"/>
          <w:szCs w:val="28"/>
          <w:u w:val="single"/>
        </w:rPr>
        <w:t>DVV</w:t>
      </w:r>
      <w:r w:rsidRPr="00A70A73">
        <w:rPr>
          <w:noProof/>
          <w:sz w:val="28"/>
          <w:szCs w:val="28"/>
        </w:rPr>
        <w:t xml:space="preserve">) </w:t>
      </w:r>
      <w:r w:rsidR="004811F3" w:rsidRPr="00A70A73">
        <w:rPr>
          <w:sz w:val="28"/>
          <w:szCs w:val="28"/>
        </w:rPr>
        <w:t xml:space="preserve"> ir DVV daļa, kas atbilst vietējai vienībai.</w:t>
      </w:r>
      <w:r w:rsidR="004811F3" w:rsidRPr="00A70A73">
        <w:rPr>
          <w:sz w:val="28"/>
          <w:szCs w:val="28"/>
          <w:lang w:eastAsia="en-US"/>
        </w:rPr>
        <w:t xml:space="preserve"> </w:t>
      </w:r>
      <w:r w:rsidR="004811F3" w:rsidRPr="00A70A73">
        <w:rPr>
          <w:sz w:val="28"/>
          <w:szCs w:val="28"/>
        </w:rPr>
        <w:t>VDVV var atbilst institucionālai vienībai kā ražotājs, no otras puses, tā nekad nevar piederēt divām dažādām institucionālām vienībām.</w:t>
      </w:r>
      <w:r w:rsidR="004811F3" w:rsidRPr="00A70A73">
        <w:rPr>
          <w:rStyle w:val="FootnoteReference"/>
          <w:sz w:val="28"/>
          <w:szCs w:val="28"/>
        </w:rPr>
        <w:footnoteReference w:id="3"/>
      </w:r>
      <w:r w:rsidRPr="00A70A73">
        <w:rPr>
          <w:sz w:val="28"/>
          <w:szCs w:val="28"/>
        </w:rPr>
        <w:t xml:space="preserve"> </w:t>
      </w:r>
      <w:r w:rsidRPr="00A70A73">
        <w:rPr>
          <w:noProof/>
          <w:sz w:val="28"/>
          <w:szCs w:val="28"/>
        </w:rPr>
        <w:t>VDVV tiek izmantota vietējo vienību aprēķināšanā.</w:t>
      </w:r>
    </w:p>
    <w:p w:rsidR="00EE5015" w:rsidRPr="00A70A73" w:rsidRDefault="004811F3" w:rsidP="00BD6A66">
      <w:pPr>
        <w:spacing w:before="120" w:after="120" w:line="240" w:lineRule="auto"/>
        <w:ind w:firstLine="720"/>
        <w:jc w:val="both"/>
        <w:rPr>
          <w:rFonts w:ascii="Times New Roman" w:hAnsi="Times New Roman" w:cs="Times New Roman"/>
          <w:sz w:val="28"/>
          <w:szCs w:val="28"/>
        </w:rPr>
      </w:pPr>
      <w:r w:rsidRPr="00A70A73">
        <w:rPr>
          <w:rFonts w:ascii="Times New Roman" w:hAnsi="Times New Roman" w:cs="Times New Roman"/>
          <w:sz w:val="28"/>
          <w:szCs w:val="28"/>
          <w:u w:val="single"/>
        </w:rPr>
        <w:t>Vietējā vienība</w:t>
      </w:r>
      <w:r w:rsidRPr="00A70A73">
        <w:rPr>
          <w:rFonts w:ascii="Times New Roman" w:hAnsi="Times New Roman" w:cs="Times New Roman"/>
          <w:sz w:val="28"/>
          <w:szCs w:val="28"/>
        </w:rPr>
        <w:t xml:space="preserve"> (VV) ir uzņēmums vai tā daļa (piemēram, cehs, rūpnīca, noliktava, birojs, raktuve vai glabātava), kas atrodas ģeogrāfiski identificētā vietā. Šajā vietā vai no šīs vietas veic saimniecisku darbību, kurā </w:t>
      </w:r>
      <w:r w:rsidR="00EE5015" w:rsidRPr="00A70A73">
        <w:rPr>
          <w:rFonts w:ascii="Times New Roman" w:hAnsi="Times New Roman" w:cs="Times New Roman"/>
          <w:sz w:val="28"/>
          <w:szCs w:val="28"/>
        </w:rPr>
        <w:t xml:space="preserve">vienā un tajā pašā uzņēmumā </w:t>
      </w:r>
      <w:r w:rsidRPr="00A70A73">
        <w:rPr>
          <w:rFonts w:ascii="Times New Roman" w:hAnsi="Times New Roman" w:cs="Times New Roman"/>
          <w:sz w:val="28"/>
          <w:szCs w:val="28"/>
        </w:rPr>
        <w:t>– ar dažiem izņēmumiem –strādā viena vai vairākas personas (kaut vai tikai nepilnu laiku).</w:t>
      </w:r>
    </w:p>
    <w:p w:rsidR="00281A0A" w:rsidRPr="00A70A73" w:rsidRDefault="004811F3" w:rsidP="00BD6A66">
      <w:pPr>
        <w:spacing w:before="120" w:after="120" w:line="240" w:lineRule="auto"/>
        <w:ind w:firstLine="720"/>
        <w:jc w:val="both"/>
        <w:rPr>
          <w:rFonts w:ascii="Times New Roman" w:hAnsi="Times New Roman" w:cs="Times New Roman"/>
          <w:sz w:val="28"/>
          <w:szCs w:val="28"/>
        </w:rPr>
      </w:pPr>
      <w:r w:rsidRPr="00A70A73">
        <w:rPr>
          <w:rFonts w:ascii="Times New Roman" w:hAnsi="Times New Roman" w:cs="Times New Roman"/>
          <w:sz w:val="28"/>
          <w:szCs w:val="28"/>
        </w:rPr>
        <w:lastRenderedPageBreak/>
        <w:t>Uzņēmējdarbības statistikā</w:t>
      </w:r>
      <w:r w:rsidR="004E4E88" w:rsidRPr="00A70A73">
        <w:rPr>
          <w:rFonts w:ascii="Times New Roman" w:hAnsi="Times New Roman" w:cs="Times New Roman"/>
          <w:sz w:val="28"/>
          <w:szCs w:val="28"/>
        </w:rPr>
        <w:t>,</w:t>
      </w:r>
      <w:r w:rsidRPr="00A70A73">
        <w:rPr>
          <w:rFonts w:ascii="Times New Roman" w:hAnsi="Times New Roman" w:cs="Times New Roman"/>
          <w:sz w:val="28"/>
          <w:szCs w:val="28"/>
        </w:rPr>
        <w:t xml:space="preserve"> atbilstoši ES </w:t>
      </w:r>
      <w:r w:rsidR="008A7D84" w:rsidRPr="00A70A73">
        <w:rPr>
          <w:rFonts w:ascii="Times New Roman" w:hAnsi="Times New Roman" w:cs="Times New Roman"/>
          <w:sz w:val="28"/>
          <w:szCs w:val="28"/>
        </w:rPr>
        <w:t>prasīb</w:t>
      </w:r>
      <w:r w:rsidR="004E4E88" w:rsidRPr="00A70A73">
        <w:rPr>
          <w:rFonts w:ascii="Times New Roman" w:hAnsi="Times New Roman" w:cs="Times New Roman"/>
          <w:sz w:val="28"/>
          <w:szCs w:val="28"/>
        </w:rPr>
        <w:t>ām un iekšējā tirgus vajadzībām,</w:t>
      </w:r>
      <w:r w:rsidR="008A7D84" w:rsidRPr="00A70A73">
        <w:rPr>
          <w:rFonts w:ascii="Times New Roman" w:hAnsi="Times New Roman" w:cs="Times New Roman"/>
          <w:sz w:val="28"/>
          <w:szCs w:val="28"/>
        </w:rPr>
        <w:t xml:space="preserve"> ir izstrādātas vienotas statistikas vienību definīcijas, lai iespējam</w:t>
      </w:r>
      <w:r w:rsidR="004E4E88" w:rsidRPr="00A70A73">
        <w:rPr>
          <w:rFonts w:ascii="Times New Roman" w:hAnsi="Times New Roman" w:cs="Times New Roman"/>
          <w:sz w:val="28"/>
          <w:szCs w:val="28"/>
        </w:rPr>
        <w:t>i</w:t>
      </w:r>
      <w:r w:rsidR="008A7D84" w:rsidRPr="00A70A73">
        <w:rPr>
          <w:rFonts w:ascii="Times New Roman" w:hAnsi="Times New Roman" w:cs="Times New Roman"/>
          <w:sz w:val="28"/>
          <w:szCs w:val="28"/>
        </w:rPr>
        <w:t xml:space="preserve"> ātri un elastīgi sniegtu saskaņotu</w:t>
      </w:r>
      <w:r w:rsidR="004E4E88" w:rsidRPr="00A70A73">
        <w:rPr>
          <w:rFonts w:ascii="Times New Roman" w:hAnsi="Times New Roman" w:cs="Times New Roman"/>
          <w:sz w:val="28"/>
          <w:szCs w:val="28"/>
        </w:rPr>
        <w:t>,</w:t>
      </w:r>
      <w:r w:rsidR="008A7D84" w:rsidRPr="00A70A73">
        <w:rPr>
          <w:rFonts w:ascii="Times New Roman" w:hAnsi="Times New Roman" w:cs="Times New Roman"/>
          <w:sz w:val="28"/>
          <w:szCs w:val="28"/>
        </w:rPr>
        <w:t xml:space="preserve"> </w:t>
      </w:r>
      <w:r w:rsidR="004E4E88" w:rsidRPr="00A70A73">
        <w:rPr>
          <w:rFonts w:ascii="Times New Roman" w:hAnsi="Times New Roman" w:cs="Times New Roman"/>
          <w:sz w:val="28"/>
          <w:szCs w:val="28"/>
        </w:rPr>
        <w:t xml:space="preserve">ticamu un detalizētu </w:t>
      </w:r>
      <w:r w:rsidR="008A7D84" w:rsidRPr="00A70A73">
        <w:rPr>
          <w:rFonts w:ascii="Times New Roman" w:hAnsi="Times New Roman" w:cs="Times New Roman"/>
          <w:sz w:val="28"/>
          <w:szCs w:val="28"/>
        </w:rPr>
        <w:t>statistisko informāciju</w:t>
      </w:r>
      <w:r w:rsidR="004E4E88" w:rsidRPr="00A70A73">
        <w:rPr>
          <w:rFonts w:ascii="Times New Roman" w:hAnsi="Times New Roman" w:cs="Times New Roman"/>
          <w:sz w:val="28"/>
          <w:szCs w:val="28"/>
        </w:rPr>
        <w:t>.</w:t>
      </w:r>
    </w:p>
    <w:p w:rsidR="00637B85" w:rsidRDefault="008A7D84" w:rsidP="00637B85">
      <w:pPr>
        <w:spacing w:before="120" w:after="120" w:line="240" w:lineRule="auto"/>
        <w:ind w:firstLine="720"/>
        <w:jc w:val="both"/>
        <w:rPr>
          <w:rFonts w:ascii="Times New Roman" w:hAnsi="Times New Roman" w:cs="Times New Roman"/>
          <w:sz w:val="28"/>
          <w:szCs w:val="28"/>
        </w:rPr>
      </w:pPr>
      <w:r w:rsidRPr="00A70A73">
        <w:rPr>
          <w:rFonts w:ascii="Times New Roman" w:hAnsi="Times New Roman" w:cs="Times New Roman"/>
          <w:sz w:val="28"/>
          <w:szCs w:val="28"/>
        </w:rPr>
        <w:t>Novērojamo statistikas vienību</w:t>
      </w:r>
      <w:r w:rsidR="00864F30" w:rsidRPr="00A70A73">
        <w:rPr>
          <w:rFonts w:ascii="Times New Roman" w:hAnsi="Times New Roman" w:cs="Times New Roman"/>
          <w:sz w:val="28"/>
          <w:szCs w:val="28"/>
        </w:rPr>
        <w:t xml:space="preserve"> izmantošanas savstarpējo mijiedarbību uzņēmējdarbības statistikā</w:t>
      </w:r>
      <w:r w:rsidR="007C3BB4" w:rsidRPr="00A70A73">
        <w:rPr>
          <w:rFonts w:ascii="Times New Roman" w:hAnsi="Times New Roman" w:cs="Times New Roman"/>
          <w:sz w:val="28"/>
          <w:szCs w:val="28"/>
        </w:rPr>
        <w:t>,</w:t>
      </w:r>
      <w:r w:rsidRPr="00A70A73">
        <w:rPr>
          <w:rFonts w:ascii="Times New Roman" w:hAnsi="Times New Roman" w:cs="Times New Roman"/>
          <w:sz w:val="28"/>
          <w:szCs w:val="28"/>
        </w:rPr>
        <w:t xml:space="preserve"> </w:t>
      </w:r>
      <w:r w:rsidR="00864F30" w:rsidRPr="00A70A73">
        <w:rPr>
          <w:rFonts w:ascii="Times New Roman" w:hAnsi="Times New Roman" w:cs="Times New Roman"/>
          <w:sz w:val="28"/>
          <w:szCs w:val="28"/>
        </w:rPr>
        <w:t>atbilstoši</w:t>
      </w:r>
      <w:r w:rsidRPr="00A70A73">
        <w:rPr>
          <w:rFonts w:ascii="Times New Roman" w:hAnsi="Times New Roman" w:cs="Times New Roman"/>
          <w:sz w:val="28"/>
          <w:szCs w:val="28"/>
        </w:rPr>
        <w:t xml:space="preserve"> </w:t>
      </w:r>
      <w:r w:rsidR="00D7167D" w:rsidRPr="00A70A73">
        <w:rPr>
          <w:rFonts w:ascii="Times New Roman" w:hAnsi="Times New Roman" w:cs="Times New Roman"/>
          <w:iCs/>
          <w:sz w:val="28"/>
          <w:szCs w:val="28"/>
        </w:rPr>
        <w:t xml:space="preserve">Padomes </w:t>
      </w:r>
      <w:r w:rsidRPr="00A70A73">
        <w:rPr>
          <w:rFonts w:ascii="Times New Roman" w:hAnsi="Times New Roman" w:cs="Times New Roman"/>
          <w:iCs/>
          <w:sz w:val="28"/>
          <w:szCs w:val="28"/>
        </w:rPr>
        <w:t>Regul</w:t>
      </w:r>
      <w:r w:rsidR="00864F30" w:rsidRPr="00A70A73">
        <w:rPr>
          <w:rFonts w:ascii="Times New Roman" w:hAnsi="Times New Roman" w:cs="Times New Roman"/>
          <w:iCs/>
          <w:sz w:val="28"/>
          <w:szCs w:val="28"/>
        </w:rPr>
        <w:t>as</w:t>
      </w:r>
      <w:r w:rsidRPr="00A70A73">
        <w:rPr>
          <w:rFonts w:ascii="Times New Roman" w:hAnsi="Times New Roman" w:cs="Times New Roman"/>
          <w:iCs/>
          <w:sz w:val="28"/>
          <w:szCs w:val="28"/>
        </w:rPr>
        <w:t xml:space="preserve"> Nr. 696/93</w:t>
      </w:r>
      <w:r w:rsidR="00D7167D" w:rsidRPr="00A70A73">
        <w:rPr>
          <w:rStyle w:val="FootnoteReference"/>
          <w:rFonts w:ascii="Times New Roman" w:hAnsi="Times New Roman" w:cs="Times New Roman"/>
          <w:iCs/>
          <w:sz w:val="28"/>
          <w:szCs w:val="28"/>
        </w:rPr>
        <w:footnoteReference w:id="4"/>
      </w:r>
      <w:r w:rsidRPr="00A70A73">
        <w:rPr>
          <w:rFonts w:ascii="Times New Roman" w:hAnsi="Times New Roman" w:cs="Times New Roman"/>
          <w:iCs/>
          <w:sz w:val="28"/>
          <w:szCs w:val="28"/>
        </w:rPr>
        <w:t xml:space="preserve"> par statistikas vienībām</w:t>
      </w:r>
      <w:r w:rsidRPr="00A70A73">
        <w:rPr>
          <w:rFonts w:ascii="Times New Roman" w:hAnsi="Times New Roman" w:cs="Times New Roman"/>
          <w:sz w:val="28"/>
          <w:szCs w:val="28"/>
        </w:rPr>
        <w:t xml:space="preserve"> </w:t>
      </w:r>
      <w:r w:rsidR="00864F30" w:rsidRPr="00A70A73">
        <w:rPr>
          <w:rFonts w:ascii="Times New Roman" w:hAnsi="Times New Roman" w:cs="Times New Roman"/>
          <w:sz w:val="28"/>
          <w:szCs w:val="28"/>
        </w:rPr>
        <w:t xml:space="preserve">prasībām </w:t>
      </w:r>
      <w:r w:rsidRPr="00A70A73">
        <w:rPr>
          <w:rFonts w:ascii="Times New Roman" w:hAnsi="Times New Roman" w:cs="Times New Roman"/>
          <w:sz w:val="28"/>
          <w:szCs w:val="28"/>
        </w:rPr>
        <w:t>skatīt 1.</w:t>
      </w:r>
      <w:r w:rsidR="007C3BB4" w:rsidRPr="00A70A73">
        <w:rPr>
          <w:rFonts w:ascii="Times New Roman" w:hAnsi="Times New Roman" w:cs="Times New Roman"/>
          <w:sz w:val="28"/>
          <w:szCs w:val="28"/>
        </w:rPr>
        <w:t>s</w:t>
      </w:r>
      <w:r w:rsidRPr="00A70A73">
        <w:rPr>
          <w:rFonts w:ascii="Times New Roman" w:hAnsi="Times New Roman" w:cs="Times New Roman"/>
          <w:sz w:val="28"/>
          <w:szCs w:val="28"/>
        </w:rPr>
        <w:t>hēm</w:t>
      </w:r>
      <w:r w:rsidR="007C3BB4" w:rsidRPr="00A70A73">
        <w:rPr>
          <w:rFonts w:ascii="Times New Roman" w:hAnsi="Times New Roman" w:cs="Times New Roman"/>
          <w:sz w:val="28"/>
          <w:szCs w:val="28"/>
        </w:rPr>
        <w:t>ā</w:t>
      </w:r>
      <w:r w:rsidR="00BD6A66">
        <w:rPr>
          <w:rFonts w:ascii="Times New Roman" w:hAnsi="Times New Roman" w:cs="Times New Roman"/>
          <w:sz w:val="28"/>
          <w:szCs w:val="28"/>
        </w:rPr>
        <w:t>.</w:t>
      </w:r>
    </w:p>
    <w:p w:rsidR="00D11C37" w:rsidRDefault="00D11C37" w:rsidP="00637B85">
      <w:pPr>
        <w:spacing w:before="120" w:after="120" w:line="240" w:lineRule="auto"/>
        <w:ind w:firstLine="720"/>
        <w:jc w:val="both"/>
        <w:rPr>
          <w:rFonts w:ascii="Times New Roman" w:hAnsi="Times New Roman" w:cs="Times New Roman"/>
          <w:sz w:val="28"/>
          <w:szCs w:val="28"/>
        </w:rPr>
      </w:pPr>
    </w:p>
    <w:p w:rsidR="00D11C37" w:rsidRDefault="000A1566" w:rsidP="00D11C37">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1.s</w:t>
      </w:r>
      <w:r w:rsidR="008A7D84" w:rsidRPr="00A70A73">
        <w:rPr>
          <w:rFonts w:ascii="Times New Roman" w:hAnsi="Times New Roman" w:cs="Times New Roman"/>
          <w:sz w:val="28"/>
          <w:szCs w:val="28"/>
        </w:rPr>
        <w:t>hēma</w:t>
      </w:r>
      <w:r w:rsidR="008A7D84" w:rsidRPr="00E02127">
        <w:rPr>
          <w:rFonts w:ascii="Times New Roman" w:hAnsi="Times New Roman" w:cs="Times New Roman"/>
          <w:b/>
          <w:noProof/>
          <w:sz w:val="24"/>
          <w:szCs w:val="24"/>
          <w:lang w:eastAsia="lv-LV"/>
        </w:rPr>
        <w:drawing>
          <wp:inline distT="0" distB="0" distL="0" distR="0" wp14:anchorId="2975D218" wp14:editId="2809A050">
            <wp:extent cx="5268827" cy="5860112"/>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9230" cy="5860560"/>
                    </a:xfrm>
                    <a:prstGeom prst="rect">
                      <a:avLst/>
                    </a:prstGeom>
                    <a:noFill/>
                    <a:ln>
                      <a:noFill/>
                    </a:ln>
                  </pic:spPr>
                </pic:pic>
              </a:graphicData>
            </a:graphic>
          </wp:inline>
        </w:drawing>
      </w:r>
    </w:p>
    <w:p w:rsidR="008A7D84" w:rsidRPr="00A70A73" w:rsidRDefault="00E95A77" w:rsidP="00D11C37">
      <w:pPr>
        <w:spacing w:before="120" w:after="120" w:line="240" w:lineRule="auto"/>
        <w:ind w:firstLine="720"/>
        <w:jc w:val="both"/>
        <w:rPr>
          <w:rFonts w:ascii="Times New Roman" w:hAnsi="Times New Roman" w:cs="Times New Roman"/>
          <w:sz w:val="28"/>
          <w:szCs w:val="28"/>
        </w:rPr>
      </w:pPr>
      <w:r w:rsidRPr="00A70A73">
        <w:rPr>
          <w:rFonts w:ascii="Times New Roman" w:hAnsi="Times New Roman" w:cs="Times New Roman"/>
          <w:sz w:val="28"/>
          <w:szCs w:val="28"/>
        </w:rPr>
        <w:t>SUR tiek uzturēta vēsturiskā informācija par uzņēmumiem, VV un uzņēmumu grupām</w:t>
      </w:r>
      <w:r w:rsidR="00EE5015" w:rsidRPr="00A70A73">
        <w:rPr>
          <w:rFonts w:ascii="Times New Roman" w:hAnsi="Times New Roman" w:cs="Times New Roman"/>
          <w:sz w:val="28"/>
          <w:szCs w:val="28"/>
        </w:rPr>
        <w:t xml:space="preserve"> Atbilstoši Regulas 177/2008 ar ko izveido kopēju uzņēmumu reģistru sistēm</w:t>
      </w:r>
      <w:r w:rsidR="003C103A" w:rsidRPr="00A70A73">
        <w:rPr>
          <w:rFonts w:ascii="Times New Roman" w:hAnsi="Times New Roman" w:cs="Times New Roman"/>
          <w:sz w:val="28"/>
          <w:szCs w:val="28"/>
        </w:rPr>
        <w:t>u prasībām</w:t>
      </w:r>
      <w:r w:rsidR="003C103A" w:rsidRPr="00A70A73">
        <w:rPr>
          <w:rStyle w:val="FootnoteReference"/>
          <w:rFonts w:ascii="Times New Roman" w:hAnsi="Times New Roman" w:cs="Times New Roman"/>
          <w:sz w:val="28"/>
          <w:szCs w:val="28"/>
        </w:rPr>
        <w:footnoteReference w:id="5"/>
      </w:r>
      <w:r w:rsidR="002031D7">
        <w:rPr>
          <w:rFonts w:ascii="Times New Roman" w:hAnsi="Times New Roman" w:cs="Times New Roman"/>
          <w:sz w:val="28"/>
          <w:szCs w:val="28"/>
        </w:rPr>
        <w:t>.</w:t>
      </w:r>
    </w:p>
    <w:p w:rsidR="007E04EA" w:rsidRDefault="007E04EA" w:rsidP="00D11C37">
      <w:pPr>
        <w:spacing w:after="120" w:line="240" w:lineRule="auto"/>
        <w:jc w:val="both"/>
        <w:rPr>
          <w:rFonts w:ascii="Times New Roman" w:hAnsi="Times New Roman" w:cs="Times New Roman"/>
          <w:b/>
          <w:sz w:val="28"/>
          <w:szCs w:val="28"/>
          <w:u w:val="single"/>
        </w:rPr>
      </w:pPr>
    </w:p>
    <w:p w:rsidR="00D7167D" w:rsidRPr="002031D7" w:rsidRDefault="0039314F" w:rsidP="00A70A73">
      <w:pPr>
        <w:spacing w:after="120" w:line="240" w:lineRule="auto"/>
        <w:jc w:val="both"/>
        <w:rPr>
          <w:rFonts w:ascii="Times New Roman" w:hAnsi="Times New Roman" w:cs="Times New Roman"/>
          <w:b/>
          <w:sz w:val="28"/>
          <w:szCs w:val="28"/>
        </w:rPr>
      </w:pPr>
      <w:r w:rsidRPr="00A70A73">
        <w:rPr>
          <w:rFonts w:ascii="Times New Roman" w:hAnsi="Times New Roman" w:cs="Times New Roman"/>
          <w:b/>
          <w:sz w:val="28"/>
          <w:szCs w:val="28"/>
          <w:u w:val="single"/>
        </w:rPr>
        <w:t>NACE noteikšanas metodoloģija</w:t>
      </w:r>
    </w:p>
    <w:p w:rsidR="00864F30" w:rsidRPr="00A70A73" w:rsidRDefault="00864F30" w:rsidP="002031D7">
      <w:pPr>
        <w:pStyle w:val="Default"/>
        <w:spacing w:before="120" w:after="120"/>
        <w:ind w:firstLine="720"/>
        <w:jc w:val="both"/>
        <w:rPr>
          <w:color w:val="auto"/>
          <w:sz w:val="28"/>
          <w:szCs w:val="28"/>
        </w:rPr>
      </w:pPr>
      <w:r w:rsidRPr="00A70A73">
        <w:rPr>
          <w:color w:val="auto"/>
          <w:sz w:val="28"/>
          <w:szCs w:val="28"/>
        </w:rPr>
        <w:t xml:space="preserve">Katrai vienībai, kas iekļauta SUR, tiek piešķirts NACE kods, atbilstoši tās veiktajai saimnieciskajai darbībai. Katra vienība var veikt vienu vai vairākas saimnieciskās darbības, kas aprakstītas vienā vai vairākās NACE kategorijās, izdalot tās pamatdarbību, sekundāro un palīgdarbību. </w:t>
      </w:r>
    </w:p>
    <w:p w:rsidR="00864F30" w:rsidRPr="00A70A73" w:rsidRDefault="00864F30" w:rsidP="002031D7">
      <w:pPr>
        <w:pStyle w:val="Default"/>
        <w:spacing w:before="120" w:after="120"/>
        <w:ind w:firstLine="720"/>
        <w:jc w:val="both"/>
        <w:rPr>
          <w:color w:val="auto"/>
          <w:sz w:val="28"/>
          <w:szCs w:val="28"/>
        </w:rPr>
      </w:pPr>
      <w:r w:rsidRPr="00A70A73">
        <w:rPr>
          <w:b/>
          <w:bCs/>
          <w:color w:val="auto"/>
          <w:sz w:val="28"/>
          <w:szCs w:val="28"/>
        </w:rPr>
        <w:t xml:space="preserve">Pamatdarbība </w:t>
      </w:r>
      <w:r w:rsidRPr="00A70A73">
        <w:rPr>
          <w:color w:val="auto"/>
          <w:sz w:val="28"/>
          <w:szCs w:val="28"/>
        </w:rPr>
        <w:t xml:space="preserve">ir darbība, kas dod vislielāko ieguldījumu vienības pievienotajā vērtībā un tā ir pamats vienības klasificēšanai atbilstoši saimnieciskajām darbībām. </w:t>
      </w:r>
    </w:p>
    <w:p w:rsidR="00864F30" w:rsidRPr="00A70A73" w:rsidRDefault="00864F30" w:rsidP="002031D7">
      <w:pPr>
        <w:pStyle w:val="Default"/>
        <w:spacing w:before="100" w:beforeAutospacing="1" w:after="120"/>
        <w:ind w:firstLine="720"/>
        <w:jc w:val="both"/>
        <w:rPr>
          <w:color w:val="auto"/>
          <w:sz w:val="28"/>
          <w:szCs w:val="28"/>
        </w:rPr>
      </w:pPr>
      <w:r w:rsidRPr="00A70A73">
        <w:rPr>
          <w:b/>
          <w:bCs/>
          <w:color w:val="auto"/>
          <w:sz w:val="28"/>
          <w:szCs w:val="28"/>
        </w:rPr>
        <w:t xml:space="preserve">Sekundārā darbība </w:t>
      </w:r>
      <w:r w:rsidRPr="00A70A73">
        <w:rPr>
          <w:color w:val="auto"/>
          <w:sz w:val="28"/>
          <w:szCs w:val="28"/>
        </w:rPr>
        <w:t xml:space="preserve">ir jebkura cita vienības darbība, kuras rezultātā tiek ražotas preces vai pakalpojumi trešajām personām. Sekundārās darbības pievienotajai vērtībai jābūt mazākai nekā pamatdarbības pievienotajai vērtībai. </w:t>
      </w:r>
    </w:p>
    <w:p w:rsidR="00864F30" w:rsidRPr="00A70A73" w:rsidRDefault="00864F30" w:rsidP="00282251">
      <w:pPr>
        <w:pStyle w:val="Default"/>
        <w:spacing w:before="100" w:beforeAutospacing="1"/>
        <w:ind w:firstLine="720"/>
        <w:jc w:val="both"/>
        <w:rPr>
          <w:color w:val="auto"/>
          <w:sz w:val="28"/>
          <w:szCs w:val="28"/>
        </w:rPr>
      </w:pPr>
      <w:r w:rsidRPr="00A70A73">
        <w:rPr>
          <w:b/>
          <w:bCs/>
          <w:color w:val="auto"/>
          <w:sz w:val="28"/>
          <w:szCs w:val="28"/>
        </w:rPr>
        <w:t xml:space="preserve">Palīgdarbības </w:t>
      </w:r>
      <w:r w:rsidRPr="00A70A73">
        <w:rPr>
          <w:color w:val="auto"/>
          <w:sz w:val="28"/>
          <w:szCs w:val="28"/>
        </w:rPr>
        <w:t xml:space="preserve">tiek veiktas vienīgi, lai atbalstītu vienības pamatdarbību vai sekundārās saimnieciskās darbības, nodrošinot preces vai pakalpojumus tikai attiecīgās vienības lietošanai </w:t>
      </w:r>
      <w:r w:rsidRPr="00A70A73">
        <w:rPr>
          <w:b/>
          <w:color w:val="auto"/>
          <w:sz w:val="28"/>
          <w:szCs w:val="28"/>
        </w:rPr>
        <w:t xml:space="preserve">(piemēram, grāmatvedības uzskaite, pārvadājumi, glabāšana u.c.) </w:t>
      </w:r>
      <w:r w:rsidRPr="00A70A73">
        <w:rPr>
          <w:color w:val="auto"/>
          <w:sz w:val="28"/>
          <w:szCs w:val="28"/>
        </w:rPr>
        <w:t xml:space="preserve">Palīgdarbībai jāatbilst šādiem nosacījumiem: </w:t>
      </w:r>
    </w:p>
    <w:p w:rsidR="00864F30" w:rsidRPr="00A70A73" w:rsidRDefault="00864F30" w:rsidP="00A70A73">
      <w:pPr>
        <w:pStyle w:val="Default"/>
        <w:numPr>
          <w:ilvl w:val="0"/>
          <w:numId w:val="3"/>
        </w:numPr>
        <w:jc w:val="both"/>
        <w:rPr>
          <w:color w:val="auto"/>
          <w:sz w:val="28"/>
          <w:szCs w:val="28"/>
        </w:rPr>
      </w:pPr>
      <w:r w:rsidRPr="00A70A73">
        <w:rPr>
          <w:color w:val="auto"/>
          <w:sz w:val="28"/>
          <w:szCs w:val="28"/>
        </w:rPr>
        <w:t xml:space="preserve">tā kalpo tikai minētajai vienībai vai vienībām; </w:t>
      </w:r>
    </w:p>
    <w:p w:rsidR="00864F30" w:rsidRPr="00A70A73" w:rsidRDefault="00864F30" w:rsidP="00A70A73">
      <w:pPr>
        <w:pStyle w:val="Default"/>
        <w:numPr>
          <w:ilvl w:val="0"/>
          <w:numId w:val="3"/>
        </w:numPr>
        <w:jc w:val="both"/>
        <w:rPr>
          <w:color w:val="auto"/>
          <w:sz w:val="28"/>
          <w:szCs w:val="28"/>
        </w:rPr>
      </w:pPr>
      <w:r w:rsidRPr="00A70A73">
        <w:rPr>
          <w:color w:val="auto"/>
          <w:sz w:val="28"/>
          <w:szCs w:val="28"/>
        </w:rPr>
        <w:t xml:space="preserve">izejmateriāli veido daļu no vienības izmaksām; </w:t>
      </w:r>
    </w:p>
    <w:p w:rsidR="00864F30" w:rsidRPr="00A70A73" w:rsidRDefault="00864F30" w:rsidP="00A70A73">
      <w:pPr>
        <w:pStyle w:val="Default"/>
        <w:numPr>
          <w:ilvl w:val="0"/>
          <w:numId w:val="3"/>
        </w:numPr>
        <w:jc w:val="both"/>
        <w:rPr>
          <w:color w:val="auto"/>
          <w:sz w:val="28"/>
          <w:szCs w:val="28"/>
        </w:rPr>
      </w:pPr>
      <w:r w:rsidRPr="00A70A73">
        <w:rPr>
          <w:color w:val="auto"/>
          <w:sz w:val="28"/>
          <w:szCs w:val="28"/>
        </w:rPr>
        <w:t xml:space="preserve">izlaide (parasti pakalpojumi, reti preces) neveido daļu no vienības gala produkta un neveido bruto ieguldījumus pamatkapitālā; </w:t>
      </w:r>
    </w:p>
    <w:p w:rsidR="00864F30" w:rsidRPr="00A70A73" w:rsidRDefault="00864F30" w:rsidP="00A70A73">
      <w:pPr>
        <w:pStyle w:val="Default"/>
        <w:numPr>
          <w:ilvl w:val="0"/>
          <w:numId w:val="3"/>
        </w:numPr>
        <w:jc w:val="both"/>
        <w:rPr>
          <w:color w:val="auto"/>
          <w:sz w:val="28"/>
          <w:szCs w:val="28"/>
        </w:rPr>
      </w:pPr>
      <w:r w:rsidRPr="00A70A73">
        <w:rPr>
          <w:color w:val="auto"/>
          <w:sz w:val="28"/>
          <w:szCs w:val="28"/>
        </w:rPr>
        <w:t xml:space="preserve">līdzīga darbība tādā pašā proporcijā tiek veikta līdzīgās ražošanas vienībās. </w:t>
      </w:r>
    </w:p>
    <w:p w:rsidR="00282251" w:rsidRDefault="00282251" w:rsidP="00282251">
      <w:pPr>
        <w:pStyle w:val="Default"/>
        <w:ind w:firstLine="720"/>
        <w:jc w:val="both"/>
        <w:rPr>
          <w:color w:val="auto"/>
          <w:sz w:val="28"/>
          <w:szCs w:val="28"/>
        </w:rPr>
      </w:pPr>
    </w:p>
    <w:p w:rsidR="00864F30" w:rsidRPr="00A70A73" w:rsidRDefault="00864F30" w:rsidP="00282251">
      <w:pPr>
        <w:pStyle w:val="Default"/>
        <w:ind w:firstLine="720"/>
        <w:jc w:val="both"/>
        <w:rPr>
          <w:color w:val="auto"/>
          <w:sz w:val="28"/>
          <w:szCs w:val="28"/>
        </w:rPr>
      </w:pPr>
      <w:r w:rsidRPr="00A70A73">
        <w:rPr>
          <w:color w:val="auto"/>
          <w:sz w:val="28"/>
          <w:szCs w:val="28"/>
        </w:rPr>
        <w:t xml:space="preserve">Par palīgdarbību nevar uzskatīt šādus darbības veidus: </w:t>
      </w:r>
    </w:p>
    <w:p w:rsidR="00864F30" w:rsidRPr="00A70A73" w:rsidRDefault="00864F30" w:rsidP="00A70A73">
      <w:pPr>
        <w:pStyle w:val="Default"/>
        <w:numPr>
          <w:ilvl w:val="0"/>
          <w:numId w:val="3"/>
        </w:numPr>
        <w:jc w:val="both"/>
        <w:rPr>
          <w:color w:val="auto"/>
          <w:sz w:val="28"/>
          <w:szCs w:val="28"/>
        </w:rPr>
      </w:pPr>
      <w:r w:rsidRPr="00A70A73">
        <w:rPr>
          <w:color w:val="auto"/>
          <w:sz w:val="28"/>
          <w:szCs w:val="28"/>
        </w:rPr>
        <w:t xml:space="preserve">preču un pakalpojumu ražošana, kas veido ieguldījumus pamatkapitālā, piemēram, būvniecības darbi uz pašu rēķina, kas, </w:t>
      </w:r>
      <w:r w:rsidRPr="00A70A73">
        <w:rPr>
          <w:color w:val="auto"/>
          <w:sz w:val="28"/>
          <w:szCs w:val="28"/>
          <w:u w:val="single"/>
        </w:rPr>
        <w:t>ja vien ir pieejami dati</w:t>
      </w:r>
      <w:r w:rsidRPr="00A70A73">
        <w:rPr>
          <w:color w:val="auto"/>
          <w:sz w:val="28"/>
          <w:szCs w:val="28"/>
        </w:rPr>
        <w:t xml:space="preserve">, būtu jāklasificē atsevišķi pie būvniecības; programmatūras izstrāde; </w:t>
      </w:r>
    </w:p>
    <w:p w:rsidR="00864F30" w:rsidRPr="00A70A73" w:rsidRDefault="00864F30" w:rsidP="00A70A73">
      <w:pPr>
        <w:pStyle w:val="Default"/>
        <w:numPr>
          <w:ilvl w:val="0"/>
          <w:numId w:val="3"/>
        </w:numPr>
        <w:jc w:val="both"/>
        <w:rPr>
          <w:color w:val="auto"/>
          <w:sz w:val="28"/>
          <w:szCs w:val="28"/>
        </w:rPr>
      </w:pPr>
      <w:r w:rsidRPr="00A70A73">
        <w:rPr>
          <w:color w:val="auto"/>
          <w:sz w:val="28"/>
          <w:szCs w:val="28"/>
        </w:rPr>
        <w:t xml:space="preserve">produkcijas ražošana, no kuras vismaz 20% tiek pārdoti tirgū, pat ja šīs produkcijas atlikusī daļa tiek patērēta pamatdarbībai; </w:t>
      </w:r>
    </w:p>
    <w:p w:rsidR="00864F30" w:rsidRPr="00A70A73" w:rsidRDefault="00864F30" w:rsidP="00A70A73">
      <w:pPr>
        <w:pStyle w:val="Default"/>
        <w:numPr>
          <w:ilvl w:val="0"/>
          <w:numId w:val="3"/>
        </w:numPr>
        <w:spacing w:before="100" w:beforeAutospacing="1"/>
        <w:jc w:val="both"/>
        <w:rPr>
          <w:color w:val="auto"/>
          <w:sz w:val="28"/>
          <w:szCs w:val="28"/>
        </w:rPr>
      </w:pPr>
      <w:r w:rsidRPr="00A70A73">
        <w:rPr>
          <w:color w:val="auto"/>
          <w:sz w:val="28"/>
          <w:szCs w:val="28"/>
        </w:rPr>
        <w:t xml:space="preserve">preču un pakalpojumu ražošana, kas vēlāk kļūst par pamatdarbības vai sekundārās darbības izlaides neatņemamu daļu (piemēram, kastes, ko uzņēmuma struktūrvienība ražo saražoto produktu iepakošanai); </w:t>
      </w:r>
    </w:p>
    <w:p w:rsidR="00864F30" w:rsidRPr="00A70A73" w:rsidRDefault="00864F30" w:rsidP="00A70A73">
      <w:pPr>
        <w:pStyle w:val="Default"/>
        <w:numPr>
          <w:ilvl w:val="0"/>
          <w:numId w:val="3"/>
        </w:numPr>
        <w:jc w:val="both"/>
        <w:rPr>
          <w:color w:val="auto"/>
          <w:sz w:val="28"/>
          <w:szCs w:val="28"/>
        </w:rPr>
      </w:pPr>
      <w:r w:rsidRPr="00A70A73">
        <w:rPr>
          <w:color w:val="auto"/>
          <w:sz w:val="28"/>
          <w:szCs w:val="28"/>
        </w:rPr>
        <w:t>enerģijas ražošana (uzņēmuma sastāvā ietilpstošā spēkstacija</w:t>
      </w:r>
      <w:r w:rsidR="00250267" w:rsidRPr="00A70A73">
        <w:rPr>
          <w:color w:val="auto"/>
          <w:sz w:val="28"/>
          <w:szCs w:val="28"/>
        </w:rPr>
        <w:t xml:space="preserve"> vai katlumāj</w:t>
      </w:r>
      <w:r w:rsidR="004C1A40" w:rsidRPr="00A70A73">
        <w:rPr>
          <w:color w:val="auto"/>
          <w:sz w:val="28"/>
          <w:szCs w:val="28"/>
        </w:rPr>
        <w:t xml:space="preserve">a, </w:t>
      </w:r>
      <w:r w:rsidRPr="00A70A73">
        <w:rPr>
          <w:color w:val="auto"/>
          <w:sz w:val="28"/>
          <w:szCs w:val="28"/>
        </w:rPr>
        <w:t>ja ražo siltumenerģiju pārdošanai, pat ja daļa š</w:t>
      </w:r>
      <w:r w:rsidR="00993C91" w:rsidRPr="00A70A73">
        <w:rPr>
          <w:color w:val="auto"/>
          <w:sz w:val="28"/>
          <w:szCs w:val="28"/>
        </w:rPr>
        <w:t>ī</w:t>
      </w:r>
      <w:r w:rsidRPr="00A70A73">
        <w:rPr>
          <w:color w:val="auto"/>
          <w:sz w:val="28"/>
          <w:szCs w:val="28"/>
        </w:rPr>
        <w:t>s produkcijas tiek patērēta savām vajadzībām</w:t>
      </w:r>
      <w:r w:rsidR="00993C91" w:rsidRPr="00A70A73">
        <w:rPr>
          <w:color w:val="auto"/>
          <w:sz w:val="28"/>
          <w:szCs w:val="28"/>
        </w:rPr>
        <w:t>)</w:t>
      </w:r>
      <w:r w:rsidRPr="00A70A73">
        <w:rPr>
          <w:color w:val="auto"/>
          <w:sz w:val="28"/>
          <w:szCs w:val="28"/>
        </w:rPr>
        <w:t xml:space="preserve"> </w:t>
      </w:r>
    </w:p>
    <w:p w:rsidR="00E84A9D" w:rsidRPr="00A70A73" w:rsidRDefault="00E84A9D" w:rsidP="00A70A73">
      <w:pPr>
        <w:pStyle w:val="Default"/>
        <w:numPr>
          <w:ilvl w:val="0"/>
          <w:numId w:val="3"/>
        </w:numPr>
        <w:jc w:val="both"/>
        <w:rPr>
          <w:color w:val="auto"/>
          <w:sz w:val="28"/>
          <w:szCs w:val="28"/>
        </w:rPr>
      </w:pPr>
      <w:r w:rsidRPr="00A70A73">
        <w:rPr>
          <w:color w:val="auto"/>
          <w:sz w:val="28"/>
          <w:szCs w:val="28"/>
        </w:rPr>
        <w:t xml:space="preserve">preču pirkšana tālākai pārdošanai neizmainītā veidā (tirdzniecība); </w:t>
      </w:r>
    </w:p>
    <w:p w:rsidR="00E84A9D" w:rsidRPr="00A70A73" w:rsidRDefault="00E84A9D" w:rsidP="00A70A73">
      <w:pPr>
        <w:pStyle w:val="Default"/>
        <w:numPr>
          <w:ilvl w:val="0"/>
          <w:numId w:val="3"/>
        </w:numPr>
        <w:spacing w:after="120"/>
        <w:jc w:val="both"/>
        <w:rPr>
          <w:color w:val="auto"/>
          <w:sz w:val="28"/>
          <w:szCs w:val="28"/>
        </w:rPr>
      </w:pPr>
      <w:r w:rsidRPr="00A70A73">
        <w:rPr>
          <w:color w:val="auto"/>
          <w:sz w:val="28"/>
          <w:szCs w:val="28"/>
        </w:rPr>
        <w:t xml:space="preserve">pētījumu un attīstības darbs. </w:t>
      </w:r>
    </w:p>
    <w:p w:rsidR="00D7167D" w:rsidRPr="00A70A73" w:rsidRDefault="00D7167D" w:rsidP="00E443DC">
      <w:pPr>
        <w:pStyle w:val="Default"/>
        <w:spacing w:after="120"/>
        <w:ind w:firstLine="720"/>
        <w:jc w:val="both"/>
        <w:rPr>
          <w:color w:val="auto"/>
          <w:sz w:val="28"/>
          <w:szCs w:val="28"/>
        </w:rPr>
      </w:pPr>
      <w:r w:rsidRPr="00A70A73">
        <w:rPr>
          <w:color w:val="auto"/>
          <w:sz w:val="28"/>
          <w:szCs w:val="28"/>
        </w:rPr>
        <w:t xml:space="preserve">Nosakot NACE kodu, netiek ņemtas vērā statistikas vienību īpašuma, juridiskās formas vai citi darbības aspekti, jo šādi kritēriji neattiecas uz darbības raksturīgajām pazīmēm. NACE neparedz iedalījumu starp oficiālu un neoficiālu vai likumīgu un nelikumīgu ražošanu. </w:t>
      </w:r>
    </w:p>
    <w:p w:rsidR="00D7167D" w:rsidRPr="00A70A73" w:rsidRDefault="00D7167D" w:rsidP="00E443DC">
      <w:pPr>
        <w:pStyle w:val="Default"/>
        <w:spacing w:after="120"/>
        <w:ind w:firstLine="720"/>
        <w:jc w:val="both"/>
        <w:rPr>
          <w:color w:val="auto"/>
          <w:sz w:val="28"/>
          <w:szCs w:val="28"/>
        </w:rPr>
      </w:pPr>
      <w:r w:rsidRPr="00A70A73">
        <w:rPr>
          <w:color w:val="auto"/>
          <w:sz w:val="28"/>
          <w:szCs w:val="28"/>
        </w:rPr>
        <w:t>Lai no</w:t>
      </w:r>
      <w:r w:rsidR="007E04EA">
        <w:rPr>
          <w:color w:val="auto"/>
          <w:sz w:val="28"/>
          <w:szCs w:val="28"/>
        </w:rPr>
        <w:t xml:space="preserve">teiktu vienības pamatdarbību, </w:t>
      </w:r>
      <w:r w:rsidRPr="00A70A73">
        <w:rPr>
          <w:color w:val="auto"/>
          <w:sz w:val="28"/>
          <w:szCs w:val="28"/>
        </w:rPr>
        <w:t>P</w:t>
      </w:r>
      <w:r w:rsidR="007E04EA">
        <w:rPr>
          <w:color w:val="auto"/>
          <w:sz w:val="28"/>
          <w:szCs w:val="28"/>
        </w:rPr>
        <w:t>ārvalde</w:t>
      </w:r>
      <w:r w:rsidRPr="00A70A73">
        <w:rPr>
          <w:color w:val="auto"/>
          <w:sz w:val="28"/>
          <w:szCs w:val="28"/>
        </w:rPr>
        <w:t xml:space="preserve"> apkopo informāciju par uzņēmuma saimniecisko darbību no statistikas pārskatiem, apsekojot uzņēmumus, izmanto gada pārskatu informāciju, mājas lapas, publikācijas presē un citu publiski pieejamu informāciju. </w:t>
      </w:r>
    </w:p>
    <w:p w:rsidR="00E95A77" w:rsidRPr="00A70A73" w:rsidRDefault="00D7167D" w:rsidP="00E443DC">
      <w:pPr>
        <w:pStyle w:val="Default"/>
        <w:spacing w:after="120"/>
        <w:ind w:firstLine="720"/>
        <w:jc w:val="both"/>
        <w:rPr>
          <w:color w:val="auto"/>
          <w:sz w:val="28"/>
          <w:szCs w:val="28"/>
        </w:rPr>
      </w:pPr>
      <w:r w:rsidRPr="00A70A73">
        <w:rPr>
          <w:color w:val="auto"/>
          <w:sz w:val="28"/>
          <w:szCs w:val="28"/>
        </w:rPr>
        <w:t>Pamatdarbības veids vien</w:t>
      </w:r>
      <w:r w:rsidR="007E04EA">
        <w:rPr>
          <w:color w:val="auto"/>
          <w:sz w:val="28"/>
          <w:szCs w:val="28"/>
        </w:rPr>
        <w:t xml:space="preserve">ībām tiek aktualizēts tiklīdz </w:t>
      </w:r>
      <w:r w:rsidRPr="00A70A73">
        <w:rPr>
          <w:color w:val="auto"/>
          <w:sz w:val="28"/>
          <w:szCs w:val="28"/>
        </w:rPr>
        <w:t>P</w:t>
      </w:r>
      <w:r w:rsidR="007E04EA">
        <w:rPr>
          <w:color w:val="auto"/>
          <w:sz w:val="28"/>
          <w:szCs w:val="28"/>
        </w:rPr>
        <w:t>ārvalde</w:t>
      </w:r>
      <w:r w:rsidRPr="00A70A73">
        <w:rPr>
          <w:color w:val="auto"/>
          <w:sz w:val="28"/>
          <w:szCs w:val="28"/>
        </w:rPr>
        <w:t xml:space="preserve"> ir saņēmusi informāciju no uzņēmuma vai citiem datu avotiem par saimnieciskās darbības veida maiņu un izvērtējusi tās pamatotību. Galvenais no tiem ir uzņēmumu gada pārskati, kuros, saskaņā ar Gada pārskatu likumu</w:t>
      </w:r>
      <w:r w:rsidR="003968C2" w:rsidRPr="00A70A73">
        <w:rPr>
          <w:color w:val="auto"/>
          <w:sz w:val="28"/>
          <w:szCs w:val="28"/>
        </w:rPr>
        <w:t xml:space="preserve"> (turpmāk - GPL)</w:t>
      </w:r>
      <w:r w:rsidRPr="00A70A73">
        <w:rPr>
          <w:color w:val="auto"/>
          <w:sz w:val="28"/>
          <w:szCs w:val="28"/>
        </w:rPr>
        <w:t>, ir jānorāda uzņēmuma NACE kods. Informācija tiek iegūta arī no SUR aptaujas un citiem regulārajiem statistikas pārskatiem, tādiem kā pārskats par rūpniecisko ražošanu, par tirdzniecības un pakalpojumu nozaru a</w:t>
      </w:r>
      <w:r w:rsidR="007E04EA">
        <w:rPr>
          <w:color w:val="auto"/>
          <w:sz w:val="28"/>
          <w:szCs w:val="28"/>
        </w:rPr>
        <w:t xml:space="preserve">pgrozījumu u.c. Papildus tam, </w:t>
      </w:r>
      <w:r w:rsidRPr="00A70A73">
        <w:rPr>
          <w:color w:val="auto"/>
          <w:sz w:val="28"/>
          <w:szCs w:val="28"/>
        </w:rPr>
        <w:t>P</w:t>
      </w:r>
      <w:r w:rsidR="007E04EA">
        <w:rPr>
          <w:color w:val="auto"/>
          <w:sz w:val="28"/>
          <w:szCs w:val="28"/>
        </w:rPr>
        <w:t>ārvalde</w:t>
      </w:r>
      <w:r w:rsidRPr="00A70A73">
        <w:rPr>
          <w:color w:val="auto"/>
          <w:sz w:val="28"/>
          <w:szCs w:val="28"/>
        </w:rPr>
        <w:t xml:space="preserve"> ir izstrādājusi iespēju aktualizēt uzņēmumam pašam saimniecisk</w:t>
      </w:r>
      <w:r w:rsidR="007E04EA">
        <w:rPr>
          <w:color w:val="auto"/>
          <w:sz w:val="28"/>
          <w:szCs w:val="28"/>
        </w:rPr>
        <w:t xml:space="preserve">ās darbības veidu, izmantojot </w:t>
      </w:r>
      <w:r w:rsidRPr="00A70A73">
        <w:rPr>
          <w:color w:val="auto"/>
          <w:sz w:val="28"/>
          <w:szCs w:val="28"/>
        </w:rPr>
        <w:t>P</w:t>
      </w:r>
      <w:r w:rsidR="007E04EA">
        <w:rPr>
          <w:color w:val="auto"/>
          <w:sz w:val="28"/>
          <w:szCs w:val="28"/>
        </w:rPr>
        <w:t>ārvaldes</w:t>
      </w:r>
      <w:r w:rsidRPr="00A70A73">
        <w:rPr>
          <w:color w:val="auto"/>
          <w:sz w:val="28"/>
          <w:szCs w:val="28"/>
        </w:rPr>
        <w:t xml:space="preserve"> mājas lapas sadaļas „Respondentiem” izvēlni „Mans uzņēmums”. Ievadot reģistrācijas numuru, uzņēmumi var pārbaudīt vai aktualizēt kontaktinformāciju, kas atrodas SUR, t.i. uzņēmuma nosaukums, adrese, tālruņa numurs, e-pasta adrese, mājas lapas adrese un pamatdarbības veids, saskaņā ar NACE 2.red. 4 zīmēs. </w:t>
      </w:r>
    </w:p>
    <w:p w:rsidR="00D7167D" w:rsidRPr="000A4EBE" w:rsidRDefault="00D7167D" w:rsidP="00810D1F">
      <w:pPr>
        <w:pStyle w:val="Default"/>
        <w:spacing w:after="120"/>
        <w:ind w:firstLine="720"/>
        <w:jc w:val="both"/>
        <w:rPr>
          <w:color w:val="auto"/>
          <w:sz w:val="28"/>
          <w:szCs w:val="28"/>
        </w:rPr>
      </w:pPr>
      <w:r w:rsidRPr="00A70A73">
        <w:rPr>
          <w:color w:val="auto"/>
          <w:sz w:val="28"/>
          <w:szCs w:val="28"/>
          <w:u w:val="single"/>
        </w:rPr>
        <w:t>Informācijas iegūšanai par uzņēmuma sekundārajiem darbības veidiem un palīg</w:t>
      </w:r>
      <w:r w:rsidR="002806EB">
        <w:rPr>
          <w:color w:val="auto"/>
          <w:sz w:val="28"/>
          <w:szCs w:val="28"/>
          <w:u w:val="single"/>
        </w:rPr>
        <w:t xml:space="preserve">darbībām tiek izmantota tikai </w:t>
      </w:r>
      <w:r w:rsidRPr="00A70A73">
        <w:rPr>
          <w:color w:val="auto"/>
          <w:sz w:val="28"/>
          <w:szCs w:val="28"/>
          <w:u w:val="single"/>
        </w:rPr>
        <w:t>P</w:t>
      </w:r>
      <w:r w:rsidR="002806EB">
        <w:rPr>
          <w:color w:val="auto"/>
          <w:sz w:val="28"/>
          <w:szCs w:val="28"/>
          <w:u w:val="single"/>
        </w:rPr>
        <w:t>ārvaldes</w:t>
      </w:r>
      <w:r w:rsidRPr="00A70A73">
        <w:rPr>
          <w:color w:val="auto"/>
          <w:sz w:val="28"/>
          <w:szCs w:val="28"/>
          <w:u w:val="single"/>
        </w:rPr>
        <w:t xml:space="preserve"> pārskatos </w:t>
      </w:r>
      <w:r w:rsidR="00992CFF" w:rsidRPr="00A70A73">
        <w:rPr>
          <w:color w:val="auto"/>
          <w:sz w:val="28"/>
          <w:szCs w:val="28"/>
        </w:rPr>
        <w:t>1-gada „Kompleksais pārskats par darbību” un 1-reģistrs „Statistikas uzņēmumu reģistra aktualizācijas veidlapa”</w:t>
      </w:r>
      <w:r w:rsidRPr="00A70A73">
        <w:rPr>
          <w:color w:val="auto"/>
          <w:sz w:val="28"/>
          <w:szCs w:val="28"/>
          <w:u w:val="single"/>
        </w:rPr>
        <w:t>sniegtā in</w:t>
      </w:r>
      <w:r w:rsidR="00810D1F">
        <w:rPr>
          <w:color w:val="auto"/>
          <w:sz w:val="28"/>
          <w:szCs w:val="28"/>
          <w:u w:val="single"/>
        </w:rPr>
        <w:t>formācija.</w:t>
      </w:r>
      <w:r w:rsidR="00810D1F" w:rsidRPr="00810D1F">
        <w:rPr>
          <w:color w:val="auto"/>
          <w:sz w:val="28"/>
          <w:szCs w:val="28"/>
        </w:rPr>
        <w:t xml:space="preserve"> </w:t>
      </w:r>
      <w:r w:rsidR="002806EB" w:rsidRPr="000A4EBE">
        <w:rPr>
          <w:sz w:val="28"/>
          <w:szCs w:val="28"/>
        </w:rPr>
        <w:t xml:space="preserve">Saskaņā ar </w:t>
      </w:r>
      <w:r w:rsidRPr="000A4EBE">
        <w:rPr>
          <w:sz w:val="28"/>
          <w:szCs w:val="28"/>
        </w:rPr>
        <w:t>P</w:t>
      </w:r>
      <w:r w:rsidR="002806EB" w:rsidRPr="000A4EBE">
        <w:rPr>
          <w:sz w:val="28"/>
          <w:szCs w:val="28"/>
        </w:rPr>
        <w:t>ārvaldes</w:t>
      </w:r>
      <w:r w:rsidRPr="000A4EBE">
        <w:rPr>
          <w:sz w:val="28"/>
          <w:szCs w:val="28"/>
        </w:rPr>
        <w:t xml:space="preserve"> ieviestiem Kvalitātes vadības sistēma</w:t>
      </w:r>
      <w:r w:rsidR="002806EB" w:rsidRPr="000A4EBE">
        <w:rPr>
          <w:sz w:val="28"/>
          <w:szCs w:val="28"/>
        </w:rPr>
        <w:t>s</w:t>
      </w:r>
      <w:r w:rsidRPr="000A4EBE">
        <w:rPr>
          <w:sz w:val="28"/>
          <w:szCs w:val="28"/>
        </w:rPr>
        <w:t xml:space="preserve"> procesiem</w:t>
      </w:r>
      <w:r w:rsidRPr="000A4EBE">
        <w:rPr>
          <w:rStyle w:val="FootnoteReference"/>
          <w:sz w:val="28"/>
          <w:szCs w:val="28"/>
        </w:rPr>
        <w:footnoteReference w:id="6"/>
      </w:r>
      <w:r w:rsidR="000A4EBE" w:rsidRPr="000A4EBE">
        <w:rPr>
          <w:sz w:val="28"/>
          <w:szCs w:val="28"/>
        </w:rPr>
        <w:t xml:space="preserve"> </w:t>
      </w:r>
      <w:r w:rsidRPr="000A4EBE">
        <w:rPr>
          <w:color w:val="auto"/>
          <w:sz w:val="28"/>
          <w:szCs w:val="28"/>
        </w:rPr>
        <w:t xml:space="preserve">sekundāro nozari fiksē, ja </w:t>
      </w:r>
      <w:r w:rsidRPr="000A4EBE">
        <w:rPr>
          <w:color w:val="auto"/>
          <w:sz w:val="28"/>
          <w:szCs w:val="28"/>
          <w:u w:val="single"/>
        </w:rPr>
        <w:t>uzņēmuma</w:t>
      </w:r>
      <w:r w:rsidRPr="000A4EBE">
        <w:rPr>
          <w:color w:val="auto"/>
          <w:sz w:val="28"/>
          <w:szCs w:val="28"/>
        </w:rPr>
        <w:t xml:space="preserve"> gada vidējais strādājošo skaits &gt;= 20</w:t>
      </w:r>
      <w:r w:rsidR="000A4EBE" w:rsidRPr="000A4EBE">
        <w:rPr>
          <w:sz w:val="28"/>
          <w:szCs w:val="28"/>
        </w:rPr>
        <w:t>.</w:t>
      </w:r>
      <w:r w:rsidRPr="000A4EBE">
        <w:rPr>
          <w:color w:val="auto"/>
          <w:sz w:val="28"/>
          <w:szCs w:val="28"/>
        </w:rPr>
        <w:t xml:space="preserve"> </w:t>
      </w:r>
    </w:p>
    <w:p w:rsidR="00D7167D" w:rsidRPr="00A70A73" w:rsidRDefault="00D7167D" w:rsidP="000A4EBE">
      <w:pPr>
        <w:pStyle w:val="Default"/>
        <w:spacing w:after="120"/>
        <w:ind w:firstLine="720"/>
        <w:jc w:val="both"/>
        <w:rPr>
          <w:color w:val="auto"/>
          <w:sz w:val="28"/>
          <w:szCs w:val="28"/>
        </w:rPr>
      </w:pPr>
      <w:r w:rsidRPr="00A70A73">
        <w:rPr>
          <w:color w:val="auto"/>
          <w:sz w:val="28"/>
          <w:szCs w:val="28"/>
        </w:rPr>
        <w:t>Šie kritēriji ir izstrādāti, lai neradītu pārmērīgu administratīvo slogu mazajiem uzņēmumiem. Parasti mazajos uzņēmumos viens un tas pats personāls tiek nodarbināts vairākos darbības veidos, līdz ar to ir grūti veikt precīzu uzskaiti.</w:t>
      </w:r>
    </w:p>
    <w:p w:rsidR="00E95A77" w:rsidRPr="00A70A73" w:rsidRDefault="00E95A77" w:rsidP="004F6BAB">
      <w:pPr>
        <w:pStyle w:val="Default"/>
        <w:ind w:firstLine="720"/>
        <w:jc w:val="both"/>
        <w:rPr>
          <w:color w:val="auto"/>
          <w:sz w:val="28"/>
          <w:szCs w:val="28"/>
        </w:rPr>
      </w:pPr>
      <w:r w:rsidRPr="00A70A73">
        <w:rPr>
          <w:color w:val="auto"/>
          <w:sz w:val="28"/>
          <w:szCs w:val="28"/>
        </w:rPr>
        <w:t xml:space="preserve">Nosakot uzņēmuma darbības </w:t>
      </w:r>
      <w:r w:rsidR="003C103A" w:rsidRPr="00A70A73">
        <w:rPr>
          <w:color w:val="auto"/>
          <w:sz w:val="28"/>
          <w:szCs w:val="28"/>
        </w:rPr>
        <w:t>ir pieļaujami</w:t>
      </w:r>
      <w:r w:rsidR="001E2C15" w:rsidRPr="00A70A73">
        <w:rPr>
          <w:color w:val="auto"/>
          <w:sz w:val="28"/>
          <w:szCs w:val="28"/>
        </w:rPr>
        <w:t xml:space="preserve"> </w:t>
      </w:r>
      <w:r w:rsidRPr="00A70A73">
        <w:rPr>
          <w:color w:val="auto"/>
          <w:sz w:val="28"/>
          <w:szCs w:val="28"/>
        </w:rPr>
        <w:t xml:space="preserve"> izņēmumi</w:t>
      </w:r>
      <w:r w:rsidR="0024583D" w:rsidRPr="00A70A73">
        <w:rPr>
          <w:color w:val="auto"/>
          <w:sz w:val="28"/>
          <w:szCs w:val="28"/>
        </w:rPr>
        <w:t xml:space="preserve">, </w:t>
      </w:r>
      <w:r w:rsidRPr="00A70A73">
        <w:rPr>
          <w:color w:val="auto"/>
          <w:sz w:val="28"/>
          <w:szCs w:val="28"/>
        </w:rPr>
        <w:t xml:space="preserve">ieskaitot darbību savām vajadzībām: </w:t>
      </w:r>
    </w:p>
    <w:p w:rsidR="00E95A77" w:rsidRPr="00A70A73" w:rsidRDefault="001E2C15" w:rsidP="00A70A73">
      <w:pPr>
        <w:pStyle w:val="Default"/>
        <w:numPr>
          <w:ilvl w:val="0"/>
          <w:numId w:val="10"/>
        </w:numPr>
        <w:rPr>
          <w:color w:val="auto"/>
          <w:sz w:val="28"/>
          <w:szCs w:val="28"/>
        </w:rPr>
      </w:pPr>
      <w:r w:rsidRPr="00A70A73">
        <w:rPr>
          <w:color w:val="auto"/>
          <w:sz w:val="28"/>
          <w:szCs w:val="28"/>
        </w:rPr>
        <w:t xml:space="preserve">būvdarbus </w:t>
      </w:r>
      <w:r w:rsidR="00E95A77" w:rsidRPr="00A70A73">
        <w:rPr>
          <w:color w:val="auto"/>
          <w:sz w:val="28"/>
          <w:szCs w:val="28"/>
        </w:rPr>
        <w:t xml:space="preserve">un </w:t>
      </w:r>
      <w:r w:rsidRPr="00A70A73">
        <w:rPr>
          <w:color w:val="auto"/>
          <w:sz w:val="28"/>
          <w:szCs w:val="28"/>
        </w:rPr>
        <w:t>remontdarbus</w:t>
      </w:r>
      <w:r w:rsidR="004F6BAB">
        <w:rPr>
          <w:color w:val="auto"/>
          <w:sz w:val="28"/>
          <w:szCs w:val="28"/>
        </w:rPr>
        <w:t xml:space="preserve"> </w:t>
      </w:r>
      <w:r w:rsidR="00E95A77" w:rsidRPr="00A70A73">
        <w:rPr>
          <w:color w:val="auto"/>
          <w:sz w:val="28"/>
          <w:szCs w:val="28"/>
        </w:rPr>
        <w:t>(NACE 41- 43) uzrāda tiem uzņēmumiem, kuri veic būvdarbus uz pašu rēķina, kas veido ieguldījumus pamatkapitālā;</w:t>
      </w:r>
    </w:p>
    <w:p w:rsidR="00E95A77" w:rsidRPr="004F6BAB" w:rsidRDefault="00E95A77" w:rsidP="004F6BAB">
      <w:pPr>
        <w:pStyle w:val="Default"/>
        <w:numPr>
          <w:ilvl w:val="0"/>
          <w:numId w:val="10"/>
        </w:numPr>
        <w:jc w:val="both"/>
        <w:rPr>
          <w:color w:val="auto"/>
          <w:sz w:val="28"/>
          <w:szCs w:val="28"/>
        </w:rPr>
      </w:pPr>
      <w:r w:rsidRPr="00A70A73">
        <w:rPr>
          <w:color w:val="auto"/>
          <w:sz w:val="28"/>
          <w:szCs w:val="28"/>
        </w:rPr>
        <w:t>zinātnisk</w:t>
      </w:r>
      <w:r w:rsidR="004F6BAB">
        <w:rPr>
          <w:color w:val="auto"/>
          <w:sz w:val="28"/>
          <w:szCs w:val="28"/>
        </w:rPr>
        <w:t>i pētnieciskā darbība (NACE 72),</w:t>
      </w:r>
      <w:r w:rsidRPr="00A70A73">
        <w:rPr>
          <w:color w:val="auto"/>
          <w:sz w:val="28"/>
          <w:szCs w:val="28"/>
        </w:rPr>
        <w:t xml:space="preserve"> </w:t>
      </w:r>
      <w:r w:rsidRPr="004F6BAB">
        <w:rPr>
          <w:color w:val="auto"/>
          <w:sz w:val="28"/>
          <w:szCs w:val="28"/>
        </w:rPr>
        <w:t>katlu mājas (NACE 35.30) uzrāda tiem uzņēmumiem, kuri ražo siltumenerģiju pārdošanai</w:t>
      </w:r>
      <w:r w:rsidR="004F6BAB">
        <w:rPr>
          <w:color w:val="auto"/>
          <w:sz w:val="28"/>
          <w:szCs w:val="28"/>
        </w:rPr>
        <w:t xml:space="preserve">. </w:t>
      </w:r>
      <w:r w:rsidRPr="004F6BAB">
        <w:rPr>
          <w:color w:val="auto"/>
          <w:sz w:val="28"/>
          <w:szCs w:val="28"/>
        </w:rPr>
        <w:t xml:space="preserve">Pārējos gadījumos, atbilstoši NACE pamatnostādnēm, sekundārās nozares izdala un atzīst par darbības veida vienībām, ja ir pieejami atsevišķi dati, un tos klasificē atbilstoši to darbībai. </w:t>
      </w:r>
    </w:p>
    <w:p w:rsidR="00701636" w:rsidRDefault="00701636" w:rsidP="00701636">
      <w:pPr>
        <w:pStyle w:val="Default"/>
        <w:spacing w:after="120"/>
        <w:ind w:firstLine="720"/>
        <w:jc w:val="both"/>
        <w:rPr>
          <w:color w:val="auto"/>
          <w:sz w:val="28"/>
          <w:szCs w:val="28"/>
        </w:rPr>
      </w:pPr>
    </w:p>
    <w:p w:rsidR="00E95A77" w:rsidRPr="00A70A73" w:rsidRDefault="00E95A77" w:rsidP="00701636">
      <w:pPr>
        <w:pStyle w:val="Default"/>
        <w:spacing w:after="120"/>
        <w:ind w:firstLine="720"/>
        <w:jc w:val="both"/>
        <w:rPr>
          <w:color w:val="auto"/>
          <w:sz w:val="28"/>
          <w:szCs w:val="28"/>
        </w:rPr>
      </w:pPr>
      <w:r w:rsidRPr="00A70A73">
        <w:rPr>
          <w:color w:val="auto"/>
          <w:sz w:val="28"/>
          <w:szCs w:val="28"/>
        </w:rPr>
        <w:t>Ja uzņēmumiem, kuros nodarbināto skaits, salīdzinājumā ar iepriekšējo gadu, ir kļuvis mazāks par noteikto slieksni</w:t>
      </w:r>
      <w:r w:rsidR="00701636">
        <w:rPr>
          <w:color w:val="auto"/>
          <w:sz w:val="28"/>
          <w:szCs w:val="28"/>
        </w:rPr>
        <w:t>,</w:t>
      </w:r>
      <w:r w:rsidR="001E2C15" w:rsidRPr="00A70A73">
        <w:rPr>
          <w:color w:val="auto"/>
          <w:sz w:val="28"/>
          <w:szCs w:val="28"/>
        </w:rPr>
        <w:t xml:space="preserve"> t.i.</w:t>
      </w:r>
      <w:r w:rsidR="00701636">
        <w:rPr>
          <w:color w:val="auto"/>
          <w:sz w:val="28"/>
          <w:szCs w:val="28"/>
        </w:rPr>
        <w:t xml:space="preserve">, </w:t>
      </w:r>
      <w:r w:rsidRPr="00A70A73">
        <w:rPr>
          <w:color w:val="auto"/>
          <w:sz w:val="28"/>
          <w:szCs w:val="28"/>
        </w:rPr>
        <w:t>20 darbiniek</w:t>
      </w:r>
      <w:r w:rsidR="001E2C15" w:rsidRPr="00A70A73">
        <w:rPr>
          <w:color w:val="auto"/>
          <w:sz w:val="28"/>
          <w:szCs w:val="28"/>
        </w:rPr>
        <w:t>iem</w:t>
      </w:r>
      <w:r w:rsidRPr="00A70A73">
        <w:rPr>
          <w:color w:val="auto"/>
          <w:sz w:val="28"/>
          <w:szCs w:val="28"/>
        </w:rPr>
        <w:t xml:space="preserve">, bet </w:t>
      </w:r>
      <w:r w:rsidR="001E2C15" w:rsidRPr="00A70A73">
        <w:rPr>
          <w:color w:val="auto"/>
          <w:sz w:val="28"/>
          <w:szCs w:val="28"/>
        </w:rPr>
        <w:t xml:space="preserve">iepriekš </w:t>
      </w:r>
      <w:r w:rsidRPr="00A70A73">
        <w:rPr>
          <w:color w:val="auto"/>
          <w:sz w:val="28"/>
          <w:szCs w:val="28"/>
        </w:rPr>
        <w:t xml:space="preserve">fiksētās sekundārās nozares un VDVV darbojas, tad, lai saglabātu VDVV un sekundārās nozares laika rindu, izņemot sekundāro nozaru izņēmumus, tiek saglabāta iepriekšējā gada situācija. </w:t>
      </w:r>
    </w:p>
    <w:p w:rsidR="00E95A77" w:rsidRPr="00A70A73" w:rsidRDefault="00E95A77" w:rsidP="009A7327">
      <w:pPr>
        <w:pStyle w:val="Default"/>
        <w:spacing w:after="120"/>
        <w:ind w:firstLine="720"/>
        <w:jc w:val="both"/>
        <w:rPr>
          <w:color w:val="auto"/>
          <w:sz w:val="28"/>
          <w:szCs w:val="28"/>
        </w:rPr>
      </w:pPr>
      <w:r w:rsidRPr="00A70A73">
        <w:rPr>
          <w:color w:val="auto"/>
          <w:sz w:val="28"/>
          <w:szCs w:val="28"/>
        </w:rPr>
        <w:t>Sekundārā nozare un VDVV statistikā vairs netiek uzskaitīta, ja uzņēmumam darbinieku skaits neatbilst noteiktajam slieksnim 2 gadus pēc kārtas.</w:t>
      </w:r>
    </w:p>
    <w:p w:rsidR="003968C2" w:rsidRPr="00A70A73" w:rsidRDefault="00CF2A34" w:rsidP="009A7327">
      <w:pPr>
        <w:pStyle w:val="Default"/>
        <w:spacing w:after="120"/>
        <w:ind w:firstLine="720"/>
        <w:jc w:val="both"/>
        <w:rPr>
          <w:color w:val="auto"/>
          <w:sz w:val="28"/>
          <w:szCs w:val="28"/>
        </w:rPr>
      </w:pPr>
      <w:r w:rsidRPr="00A70A73">
        <w:rPr>
          <w:i/>
          <w:color w:val="auto"/>
          <w:sz w:val="28"/>
          <w:szCs w:val="28"/>
        </w:rPr>
        <w:t>Piemērs:</w:t>
      </w:r>
      <w:r w:rsidR="0024583D" w:rsidRPr="00A70A73">
        <w:rPr>
          <w:i/>
          <w:color w:val="auto"/>
          <w:sz w:val="28"/>
          <w:szCs w:val="28"/>
        </w:rPr>
        <w:t xml:space="preserve"> </w:t>
      </w:r>
      <w:r w:rsidR="003968C2" w:rsidRPr="00A70A73">
        <w:rPr>
          <w:i/>
          <w:color w:val="auto"/>
          <w:sz w:val="28"/>
          <w:szCs w:val="28"/>
        </w:rPr>
        <w:t>GPL</w:t>
      </w:r>
      <w:r w:rsidR="009D138A">
        <w:rPr>
          <w:color w:val="auto"/>
          <w:sz w:val="28"/>
          <w:szCs w:val="28"/>
        </w:rPr>
        <w:t xml:space="preserve"> </w:t>
      </w:r>
      <w:r w:rsidR="009D138A">
        <w:rPr>
          <w:i/>
          <w:color w:val="auto"/>
          <w:sz w:val="28"/>
          <w:szCs w:val="28"/>
        </w:rPr>
        <w:t>paredz sagatavot gada pārskatu</w:t>
      </w:r>
      <w:r w:rsidR="00DC36D3" w:rsidRPr="00A70A73">
        <w:rPr>
          <w:i/>
          <w:color w:val="auto"/>
          <w:sz w:val="28"/>
          <w:szCs w:val="28"/>
        </w:rPr>
        <w:t xml:space="preserve"> par </w:t>
      </w:r>
      <w:r w:rsidR="001E2C15" w:rsidRPr="00A70A73">
        <w:rPr>
          <w:i/>
          <w:color w:val="auto"/>
          <w:sz w:val="28"/>
          <w:szCs w:val="28"/>
        </w:rPr>
        <w:t xml:space="preserve">uzņēmuma (saskaņā ar GPL </w:t>
      </w:r>
      <w:r w:rsidR="003C103A" w:rsidRPr="00A70A73">
        <w:rPr>
          <w:i/>
          <w:color w:val="auto"/>
          <w:sz w:val="28"/>
          <w:szCs w:val="28"/>
        </w:rPr>
        <w:t xml:space="preserve">terminoloģiju </w:t>
      </w:r>
      <w:r w:rsidR="001E2C15" w:rsidRPr="00A70A73">
        <w:rPr>
          <w:i/>
          <w:color w:val="auto"/>
          <w:sz w:val="28"/>
          <w:szCs w:val="28"/>
        </w:rPr>
        <w:t>-</w:t>
      </w:r>
      <w:r w:rsidR="00380701" w:rsidRPr="00A70A73">
        <w:rPr>
          <w:i/>
          <w:color w:val="auto"/>
          <w:sz w:val="28"/>
          <w:szCs w:val="28"/>
        </w:rPr>
        <w:t xml:space="preserve"> </w:t>
      </w:r>
      <w:r w:rsidR="00DC36D3" w:rsidRPr="00A70A73">
        <w:rPr>
          <w:i/>
          <w:color w:val="auto"/>
          <w:sz w:val="28"/>
          <w:szCs w:val="28"/>
        </w:rPr>
        <w:t>sabiedrības</w:t>
      </w:r>
      <w:r w:rsidR="001E2C15" w:rsidRPr="00A70A73">
        <w:rPr>
          <w:i/>
          <w:color w:val="auto"/>
          <w:sz w:val="28"/>
          <w:szCs w:val="28"/>
        </w:rPr>
        <w:t>)</w:t>
      </w:r>
      <w:r w:rsidR="00DC36D3" w:rsidRPr="00A70A73">
        <w:rPr>
          <w:i/>
          <w:color w:val="auto"/>
          <w:sz w:val="28"/>
          <w:szCs w:val="28"/>
        </w:rPr>
        <w:t xml:space="preserve"> darbību kopumā, pielikumos sniedzot apgrozījuma atšifr</w:t>
      </w:r>
      <w:r w:rsidRPr="00A70A73">
        <w:rPr>
          <w:i/>
          <w:color w:val="auto"/>
          <w:sz w:val="28"/>
          <w:szCs w:val="28"/>
        </w:rPr>
        <w:t>ē</w:t>
      </w:r>
      <w:r w:rsidR="00DC36D3" w:rsidRPr="00A70A73">
        <w:rPr>
          <w:i/>
          <w:color w:val="auto"/>
          <w:sz w:val="28"/>
          <w:szCs w:val="28"/>
        </w:rPr>
        <w:t>jumus pa darbības veidiem un ģeogrāfis</w:t>
      </w:r>
      <w:r w:rsidRPr="00A70A73">
        <w:rPr>
          <w:i/>
          <w:color w:val="auto"/>
          <w:sz w:val="28"/>
          <w:szCs w:val="28"/>
        </w:rPr>
        <w:t>kajiem</w:t>
      </w:r>
      <w:r w:rsidR="00DC36D3" w:rsidRPr="00A70A73">
        <w:rPr>
          <w:i/>
          <w:color w:val="auto"/>
          <w:sz w:val="28"/>
          <w:szCs w:val="28"/>
        </w:rPr>
        <w:t xml:space="preserve"> tirgiem: piemēram</w:t>
      </w:r>
      <w:r w:rsidR="00192FB9" w:rsidRPr="00A70A73">
        <w:rPr>
          <w:i/>
          <w:color w:val="auto"/>
          <w:sz w:val="28"/>
          <w:szCs w:val="28"/>
        </w:rPr>
        <w:t>,</w:t>
      </w:r>
      <w:r w:rsidR="00DC36D3" w:rsidRPr="00A70A73">
        <w:rPr>
          <w:i/>
          <w:color w:val="auto"/>
          <w:sz w:val="28"/>
          <w:szCs w:val="28"/>
        </w:rPr>
        <w:t xml:space="preserve"> uzņēmuma „A” kopējais apgrozījums ir 23</w:t>
      </w:r>
      <w:r w:rsidR="00192FB9" w:rsidRPr="00A70A73">
        <w:rPr>
          <w:i/>
          <w:color w:val="auto"/>
          <w:sz w:val="28"/>
          <w:szCs w:val="28"/>
        </w:rPr>
        <w:t xml:space="preserve"> </w:t>
      </w:r>
      <w:r w:rsidR="00DC36D3" w:rsidRPr="00A70A73">
        <w:rPr>
          <w:i/>
          <w:color w:val="auto"/>
          <w:sz w:val="28"/>
          <w:szCs w:val="28"/>
        </w:rPr>
        <w:t xml:space="preserve">tūkst. euro, no tā </w:t>
      </w:r>
      <w:r w:rsidR="008258F4" w:rsidRPr="00A70A73">
        <w:rPr>
          <w:i/>
          <w:color w:val="auto"/>
          <w:sz w:val="28"/>
          <w:szCs w:val="28"/>
        </w:rPr>
        <w:t>ieņēmumi no mēbeļu pārdošanas</w:t>
      </w:r>
      <w:r w:rsidR="00DC36D3" w:rsidRPr="00A70A73">
        <w:rPr>
          <w:i/>
          <w:color w:val="auto"/>
          <w:sz w:val="28"/>
          <w:szCs w:val="28"/>
        </w:rPr>
        <w:t xml:space="preserve"> 10 tūkst. euro, </w:t>
      </w:r>
      <w:r w:rsidR="008258F4" w:rsidRPr="00A70A73">
        <w:rPr>
          <w:i/>
          <w:color w:val="auto"/>
          <w:sz w:val="28"/>
          <w:szCs w:val="28"/>
        </w:rPr>
        <w:t>no zāģmateriāliem</w:t>
      </w:r>
      <w:r w:rsidR="00DC36D3" w:rsidRPr="00A70A73">
        <w:rPr>
          <w:i/>
          <w:color w:val="auto"/>
          <w:sz w:val="28"/>
          <w:szCs w:val="28"/>
        </w:rPr>
        <w:t xml:space="preserve"> 8</w:t>
      </w:r>
      <w:r w:rsidR="001A63A9" w:rsidRPr="00A70A73">
        <w:rPr>
          <w:i/>
          <w:color w:val="auto"/>
          <w:sz w:val="28"/>
          <w:szCs w:val="28"/>
        </w:rPr>
        <w:t xml:space="preserve"> </w:t>
      </w:r>
      <w:r w:rsidRPr="00A70A73">
        <w:rPr>
          <w:i/>
          <w:color w:val="auto"/>
          <w:sz w:val="28"/>
          <w:szCs w:val="28"/>
        </w:rPr>
        <w:t>tūkst.</w:t>
      </w:r>
      <w:r w:rsidR="00DC36D3" w:rsidRPr="00A70A73">
        <w:rPr>
          <w:i/>
          <w:color w:val="auto"/>
          <w:sz w:val="28"/>
          <w:szCs w:val="28"/>
        </w:rPr>
        <w:t xml:space="preserve"> euro, dizaina pak</w:t>
      </w:r>
      <w:r w:rsidR="001A63A9" w:rsidRPr="00A70A73">
        <w:rPr>
          <w:i/>
          <w:color w:val="auto"/>
          <w:sz w:val="28"/>
          <w:szCs w:val="28"/>
        </w:rPr>
        <w:t>a</w:t>
      </w:r>
      <w:r w:rsidR="00DC36D3" w:rsidRPr="00A70A73">
        <w:rPr>
          <w:i/>
          <w:color w:val="auto"/>
          <w:sz w:val="28"/>
          <w:szCs w:val="28"/>
        </w:rPr>
        <w:t>lpojumi 5</w:t>
      </w:r>
      <w:r w:rsidR="00192FB9" w:rsidRPr="00A70A73">
        <w:rPr>
          <w:i/>
          <w:color w:val="auto"/>
          <w:sz w:val="28"/>
          <w:szCs w:val="28"/>
        </w:rPr>
        <w:t xml:space="preserve"> </w:t>
      </w:r>
      <w:r w:rsidRPr="00A70A73">
        <w:rPr>
          <w:i/>
          <w:color w:val="auto"/>
          <w:sz w:val="28"/>
          <w:szCs w:val="28"/>
        </w:rPr>
        <w:t>tūkst.</w:t>
      </w:r>
      <w:r w:rsidR="00DC36D3" w:rsidRPr="00A70A73">
        <w:rPr>
          <w:i/>
          <w:color w:val="auto"/>
          <w:sz w:val="28"/>
          <w:szCs w:val="28"/>
        </w:rPr>
        <w:t xml:space="preserve"> euro </w:t>
      </w:r>
      <w:r w:rsidR="001A63A9" w:rsidRPr="00A70A73">
        <w:rPr>
          <w:i/>
          <w:color w:val="auto"/>
          <w:sz w:val="28"/>
          <w:szCs w:val="28"/>
        </w:rPr>
        <w:t xml:space="preserve">- </w:t>
      </w:r>
      <w:r w:rsidR="00DC36D3" w:rsidRPr="00A70A73">
        <w:rPr>
          <w:i/>
          <w:color w:val="auto"/>
          <w:sz w:val="28"/>
          <w:szCs w:val="28"/>
        </w:rPr>
        <w:t>dalījumā pa tirgiem</w:t>
      </w:r>
      <w:r w:rsidRPr="00A70A73">
        <w:rPr>
          <w:i/>
          <w:color w:val="auto"/>
          <w:sz w:val="28"/>
          <w:szCs w:val="28"/>
        </w:rPr>
        <w:t xml:space="preserve"> </w:t>
      </w:r>
      <w:r w:rsidR="00DC36D3" w:rsidRPr="00A70A73">
        <w:rPr>
          <w:i/>
          <w:color w:val="auto"/>
          <w:sz w:val="28"/>
          <w:szCs w:val="28"/>
        </w:rPr>
        <w:t>- Latvija, ES, ārpus ES</w:t>
      </w:r>
      <w:r w:rsidR="008258F4" w:rsidRPr="00A70A73">
        <w:rPr>
          <w:i/>
          <w:color w:val="auto"/>
          <w:sz w:val="28"/>
          <w:szCs w:val="28"/>
        </w:rPr>
        <w:t>.</w:t>
      </w:r>
      <w:r w:rsidR="00DC36D3" w:rsidRPr="00A70A73">
        <w:rPr>
          <w:i/>
          <w:color w:val="auto"/>
          <w:sz w:val="28"/>
          <w:szCs w:val="28"/>
        </w:rPr>
        <w:t xml:space="preserve"> </w:t>
      </w:r>
      <w:r w:rsidR="008258F4" w:rsidRPr="00A70A73">
        <w:rPr>
          <w:b/>
          <w:i/>
          <w:color w:val="auto"/>
          <w:sz w:val="28"/>
          <w:szCs w:val="28"/>
        </w:rPr>
        <w:t xml:space="preserve">Likums nenosaka prasību </w:t>
      </w:r>
      <w:r w:rsidR="00AA346E">
        <w:rPr>
          <w:b/>
          <w:i/>
          <w:color w:val="auto"/>
          <w:sz w:val="28"/>
          <w:szCs w:val="28"/>
        </w:rPr>
        <w:t>sagatavot gada pārskatu</w:t>
      </w:r>
      <w:r w:rsidR="00615274">
        <w:rPr>
          <w:b/>
          <w:i/>
          <w:color w:val="auto"/>
          <w:sz w:val="28"/>
          <w:szCs w:val="28"/>
        </w:rPr>
        <w:t xml:space="preserve"> tā</w:t>
      </w:r>
      <w:r w:rsidR="008258F4" w:rsidRPr="00A70A73">
        <w:rPr>
          <w:b/>
          <w:i/>
          <w:color w:val="auto"/>
          <w:sz w:val="28"/>
          <w:szCs w:val="28"/>
        </w:rPr>
        <w:t>, lai varētu</w:t>
      </w:r>
      <w:r w:rsidR="00DC36D3" w:rsidRPr="00A70A73">
        <w:rPr>
          <w:b/>
          <w:i/>
          <w:noProof/>
          <w:color w:val="auto"/>
          <w:sz w:val="28"/>
          <w:szCs w:val="28"/>
        </w:rPr>
        <w:t xml:space="preserve"> norādīt vai aprēķināt katrai DVV </w:t>
      </w:r>
      <w:r w:rsidR="009A7327">
        <w:rPr>
          <w:b/>
          <w:i/>
          <w:noProof/>
          <w:color w:val="auto"/>
          <w:sz w:val="28"/>
          <w:szCs w:val="28"/>
        </w:rPr>
        <w:t>(mēbeles, zāģ</w:t>
      </w:r>
      <w:r w:rsidR="008258F4" w:rsidRPr="00A70A73">
        <w:rPr>
          <w:b/>
          <w:i/>
          <w:noProof/>
          <w:color w:val="auto"/>
          <w:sz w:val="28"/>
          <w:szCs w:val="28"/>
        </w:rPr>
        <w:t>materiāli, dizai</w:t>
      </w:r>
      <w:r w:rsidR="001A63A9" w:rsidRPr="00A70A73">
        <w:rPr>
          <w:b/>
          <w:i/>
          <w:noProof/>
          <w:color w:val="auto"/>
          <w:sz w:val="28"/>
          <w:szCs w:val="28"/>
        </w:rPr>
        <w:t>n</w:t>
      </w:r>
      <w:r w:rsidR="008258F4" w:rsidRPr="00A70A73">
        <w:rPr>
          <w:b/>
          <w:i/>
          <w:noProof/>
          <w:color w:val="auto"/>
          <w:sz w:val="28"/>
          <w:szCs w:val="28"/>
        </w:rPr>
        <w:t>a pak</w:t>
      </w:r>
      <w:r w:rsidR="001A63A9" w:rsidRPr="00A70A73">
        <w:rPr>
          <w:b/>
          <w:i/>
          <w:noProof/>
          <w:color w:val="auto"/>
          <w:sz w:val="28"/>
          <w:szCs w:val="28"/>
        </w:rPr>
        <w:t>a</w:t>
      </w:r>
      <w:r w:rsidR="008258F4" w:rsidRPr="00A70A73">
        <w:rPr>
          <w:b/>
          <w:i/>
          <w:noProof/>
          <w:color w:val="auto"/>
          <w:sz w:val="28"/>
          <w:szCs w:val="28"/>
        </w:rPr>
        <w:t>lpojumi</w:t>
      </w:r>
      <w:r w:rsidR="008258F4" w:rsidRPr="00A70A73">
        <w:rPr>
          <w:i/>
          <w:noProof/>
          <w:color w:val="auto"/>
          <w:sz w:val="28"/>
          <w:szCs w:val="28"/>
        </w:rPr>
        <w:t xml:space="preserve">) </w:t>
      </w:r>
      <w:r w:rsidR="00DC36D3" w:rsidRPr="00A70A73">
        <w:rPr>
          <w:i/>
          <w:color w:val="auto"/>
          <w:sz w:val="28"/>
          <w:szCs w:val="28"/>
        </w:rPr>
        <w:t>ražošanas vērtību, starppatēriņu, darbaspēka izmaksas, pamatdarbības pārpalikumu un nodarbinātību, un bruto pamatkapitāla veidošanos</w:t>
      </w:r>
      <w:r w:rsidR="00DC36D3" w:rsidRPr="00A70A73">
        <w:rPr>
          <w:color w:val="auto"/>
          <w:sz w:val="28"/>
          <w:szCs w:val="28"/>
        </w:rPr>
        <w:t>.</w:t>
      </w:r>
      <w:r w:rsidR="00DC36D3" w:rsidRPr="00A70A73">
        <w:rPr>
          <w:color w:val="auto"/>
          <w:sz w:val="28"/>
          <w:szCs w:val="28"/>
          <w:vertAlign w:val="superscript"/>
        </w:rPr>
        <w:t xml:space="preserve"> </w:t>
      </w:r>
    </w:p>
    <w:p w:rsidR="003968C2" w:rsidRPr="00A70A73" w:rsidRDefault="00532CC7" w:rsidP="009A7327">
      <w:pPr>
        <w:pStyle w:val="Default"/>
        <w:spacing w:after="120"/>
        <w:ind w:firstLine="720"/>
        <w:jc w:val="both"/>
        <w:rPr>
          <w:color w:val="auto"/>
          <w:sz w:val="28"/>
          <w:szCs w:val="28"/>
        </w:rPr>
      </w:pPr>
      <w:r w:rsidRPr="00532CC7">
        <w:rPr>
          <w:color w:val="auto"/>
          <w:sz w:val="28"/>
          <w:szCs w:val="28"/>
        </w:rPr>
        <w:t xml:space="preserve">GPL 48.panta pirmā </w:t>
      </w:r>
      <w:r w:rsidR="003968C2" w:rsidRPr="00532CC7">
        <w:rPr>
          <w:color w:val="auto"/>
          <w:sz w:val="28"/>
          <w:szCs w:val="28"/>
        </w:rPr>
        <w:t xml:space="preserve">daļa paredz, ka </w:t>
      </w:r>
      <w:r w:rsidR="00B45490" w:rsidRPr="00532CC7">
        <w:rPr>
          <w:color w:val="auto"/>
          <w:sz w:val="28"/>
          <w:szCs w:val="28"/>
        </w:rPr>
        <w:t xml:space="preserve">uzņēmumiem </w:t>
      </w:r>
      <w:r w:rsidR="003968C2" w:rsidRPr="00532CC7">
        <w:rPr>
          <w:color w:val="auto"/>
          <w:sz w:val="28"/>
          <w:szCs w:val="28"/>
        </w:rPr>
        <w:t>gada pārskata</w:t>
      </w:r>
      <w:r w:rsidR="003968C2" w:rsidRPr="00A70A73">
        <w:rPr>
          <w:color w:val="auto"/>
          <w:sz w:val="28"/>
          <w:szCs w:val="28"/>
        </w:rPr>
        <w:t xml:space="preserve"> pielikumā ir jāsniedz Peļņas vai zaudējumu aprēķinā norādītais Neto apgrozījums sadalījumā pa pamatdarbības veidiem un ģeogrāfiskajiem tirgiem, ja </w:t>
      </w:r>
      <w:r w:rsidR="00380701" w:rsidRPr="00A70A73">
        <w:rPr>
          <w:color w:val="auto"/>
          <w:sz w:val="28"/>
          <w:szCs w:val="28"/>
        </w:rPr>
        <w:t>uzņēmuma</w:t>
      </w:r>
      <w:r w:rsidR="003968C2" w:rsidRPr="00A70A73">
        <w:rPr>
          <w:color w:val="auto"/>
          <w:sz w:val="28"/>
          <w:szCs w:val="28"/>
        </w:rPr>
        <w:t xml:space="preserve"> pamatdarbības veidi un ģeogrāfiskie tirgi </w:t>
      </w:r>
      <w:r w:rsidR="003968C2" w:rsidRPr="00A70A73">
        <w:rPr>
          <w:color w:val="auto"/>
          <w:sz w:val="28"/>
          <w:szCs w:val="28"/>
          <w:u w:val="single"/>
        </w:rPr>
        <w:t>būtiski atšķiras</w:t>
      </w:r>
      <w:r w:rsidR="003968C2" w:rsidRPr="00A70A73">
        <w:rPr>
          <w:color w:val="auto"/>
          <w:sz w:val="28"/>
          <w:szCs w:val="28"/>
        </w:rPr>
        <w:t>.</w:t>
      </w:r>
    </w:p>
    <w:p w:rsidR="003968C2" w:rsidRPr="00A70A73" w:rsidRDefault="003968C2" w:rsidP="009A7327">
      <w:pPr>
        <w:pStyle w:val="Default"/>
        <w:ind w:firstLine="720"/>
        <w:jc w:val="both"/>
        <w:rPr>
          <w:color w:val="auto"/>
          <w:sz w:val="28"/>
          <w:szCs w:val="28"/>
        </w:rPr>
      </w:pPr>
      <w:r w:rsidRPr="00A70A73">
        <w:rPr>
          <w:color w:val="auto"/>
          <w:sz w:val="28"/>
          <w:szCs w:val="28"/>
        </w:rPr>
        <w:t xml:space="preserve">Vienlaicīgi šie noteikumi neattiecas uz </w:t>
      </w:r>
      <w:r w:rsidR="00995D19" w:rsidRPr="00A70A73">
        <w:rPr>
          <w:color w:val="auto"/>
          <w:sz w:val="28"/>
          <w:szCs w:val="28"/>
        </w:rPr>
        <w:t>uzņēmumiem</w:t>
      </w:r>
      <w:r w:rsidR="009A7327">
        <w:rPr>
          <w:color w:val="auto"/>
          <w:sz w:val="28"/>
          <w:szCs w:val="28"/>
        </w:rPr>
        <w:t>, kuri</w:t>
      </w:r>
      <w:r w:rsidRPr="00A70A73">
        <w:rPr>
          <w:color w:val="auto"/>
          <w:sz w:val="28"/>
          <w:szCs w:val="28"/>
        </w:rPr>
        <w:t xml:space="preserve"> nepārsniedz divus no šādiem kritērijiem:</w:t>
      </w:r>
    </w:p>
    <w:p w:rsidR="003968C2" w:rsidRPr="00A70A73" w:rsidRDefault="003968C2" w:rsidP="008E1F01">
      <w:pPr>
        <w:pStyle w:val="Default"/>
        <w:numPr>
          <w:ilvl w:val="0"/>
          <w:numId w:val="35"/>
        </w:numPr>
        <w:ind w:left="709" w:firstLine="425"/>
        <w:jc w:val="both"/>
        <w:rPr>
          <w:color w:val="auto"/>
          <w:sz w:val="28"/>
          <w:szCs w:val="28"/>
        </w:rPr>
      </w:pPr>
      <w:r w:rsidRPr="00A70A73">
        <w:rPr>
          <w:color w:val="auto"/>
          <w:sz w:val="28"/>
          <w:szCs w:val="28"/>
        </w:rPr>
        <w:t>bilances kopsumma – 1 400 000 euro;</w:t>
      </w:r>
    </w:p>
    <w:p w:rsidR="003968C2" w:rsidRPr="00A70A73" w:rsidRDefault="003968C2" w:rsidP="008E1F01">
      <w:pPr>
        <w:pStyle w:val="Default"/>
        <w:numPr>
          <w:ilvl w:val="0"/>
          <w:numId w:val="35"/>
        </w:numPr>
        <w:ind w:left="709" w:firstLine="425"/>
        <w:jc w:val="both"/>
        <w:rPr>
          <w:color w:val="auto"/>
          <w:sz w:val="28"/>
          <w:szCs w:val="28"/>
        </w:rPr>
      </w:pPr>
      <w:r w:rsidRPr="00A70A73">
        <w:rPr>
          <w:color w:val="auto"/>
          <w:sz w:val="28"/>
          <w:szCs w:val="28"/>
        </w:rPr>
        <w:t>neto apgrozījums – 3 400 000 euro;</w:t>
      </w:r>
    </w:p>
    <w:p w:rsidR="003968C2" w:rsidRPr="00A70A73" w:rsidRDefault="003968C2" w:rsidP="008E1F01">
      <w:pPr>
        <w:pStyle w:val="Default"/>
        <w:numPr>
          <w:ilvl w:val="0"/>
          <w:numId w:val="35"/>
        </w:numPr>
        <w:ind w:left="709" w:firstLine="425"/>
        <w:jc w:val="both"/>
        <w:rPr>
          <w:color w:val="auto"/>
          <w:sz w:val="28"/>
          <w:szCs w:val="28"/>
        </w:rPr>
      </w:pPr>
      <w:r w:rsidRPr="00A70A73">
        <w:rPr>
          <w:color w:val="auto"/>
          <w:sz w:val="28"/>
          <w:szCs w:val="28"/>
        </w:rPr>
        <w:t>pārskata gada vidējais darbinieku skaits – 250,</w:t>
      </w:r>
    </w:p>
    <w:p w:rsidR="003968C2" w:rsidRPr="00A70A73" w:rsidRDefault="003968C2" w:rsidP="00A70A73">
      <w:pPr>
        <w:pStyle w:val="Default"/>
        <w:spacing w:after="120"/>
        <w:jc w:val="both"/>
        <w:rPr>
          <w:color w:val="auto"/>
          <w:sz w:val="28"/>
          <w:szCs w:val="28"/>
        </w:rPr>
      </w:pPr>
      <w:r w:rsidRPr="00A70A73">
        <w:rPr>
          <w:color w:val="auto"/>
          <w:sz w:val="28"/>
          <w:szCs w:val="28"/>
        </w:rPr>
        <w:t xml:space="preserve">kā arī </w:t>
      </w:r>
      <w:r w:rsidR="00380701" w:rsidRPr="00A70A73">
        <w:rPr>
          <w:color w:val="auto"/>
          <w:sz w:val="28"/>
          <w:szCs w:val="28"/>
        </w:rPr>
        <w:t>uzņēmums</w:t>
      </w:r>
      <w:r w:rsidRPr="00A70A73">
        <w:rPr>
          <w:color w:val="auto"/>
          <w:sz w:val="28"/>
          <w:szCs w:val="28"/>
        </w:rPr>
        <w:t xml:space="preserve"> šo informāciju var nesniegt, ja tā v</w:t>
      </w:r>
      <w:r w:rsidR="00380701" w:rsidRPr="00A70A73">
        <w:rPr>
          <w:color w:val="auto"/>
          <w:sz w:val="28"/>
          <w:szCs w:val="28"/>
        </w:rPr>
        <w:t>arētu nopietni kaitēt attiecīgā</w:t>
      </w:r>
      <w:r w:rsidRPr="00A70A73">
        <w:rPr>
          <w:color w:val="auto"/>
          <w:sz w:val="28"/>
          <w:szCs w:val="28"/>
        </w:rPr>
        <w:t xml:space="preserve"> </w:t>
      </w:r>
      <w:r w:rsidR="00380701" w:rsidRPr="00A70A73">
        <w:rPr>
          <w:color w:val="auto"/>
          <w:sz w:val="28"/>
          <w:szCs w:val="28"/>
        </w:rPr>
        <w:t>uzņēmuma</w:t>
      </w:r>
      <w:r w:rsidRPr="00A70A73">
        <w:rPr>
          <w:color w:val="auto"/>
          <w:sz w:val="28"/>
          <w:szCs w:val="28"/>
        </w:rPr>
        <w:t xml:space="preserve"> interesēm, pielikumā norādot, ka šī informācija netiek sniegta minētā iemesla dēļ. </w:t>
      </w:r>
    </w:p>
    <w:p w:rsidR="003968C2" w:rsidRPr="00A70A73" w:rsidRDefault="003968C2" w:rsidP="00116916">
      <w:pPr>
        <w:pStyle w:val="Default"/>
        <w:ind w:firstLine="720"/>
        <w:jc w:val="both"/>
        <w:rPr>
          <w:color w:val="auto"/>
          <w:sz w:val="28"/>
          <w:szCs w:val="28"/>
        </w:rPr>
      </w:pPr>
      <w:r w:rsidRPr="00A70A73">
        <w:rPr>
          <w:color w:val="auto"/>
          <w:sz w:val="28"/>
          <w:szCs w:val="28"/>
        </w:rPr>
        <w:t>Jaunā Gada pārskatu un konsolidēto gada pārskatu likuma (turpmāk - JGPL) projekta 54</w:t>
      </w:r>
      <w:r w:rsidR="00116916">
        <w:rPr>
          <w:color w:val="auto"/>
          <w:sz w:val="28"/>
          <w:szCs w:val="28"/>
        </w:rPr>
        <w:t>.</w:t>
      </w:r>
      <w:r w:rsidR="005856C9">
        <w:rPr>
          <w:color w:val="auto"/>
          <w:sz w:val="28"/>
          <w:szCs w:val="28"/>
        </w:rPr>
        <w:t xml:space="preserve">panta pirmā </w:t>
      </w:r>
      <w:r w:rsidRPr="00A70A73">
        <w:rPr>
          <w:color w:val="auto"/>
          <w:sz w:val="28"/>
          <w:szCs w:val="28"/>
        </w:rPr>
        <w:t>daļa pare</w:t>
      </w:r>
      <w:r w:rsidR="00A5471C">
        <w:rPr>
          <w:color w:val="auto"/>
          <w:sz w:val="28"/>
          <w:szCs w:val="28"/>
        </w:rPr>
        <w:t>dz, ka turpmāk</w:t>
      </w:r>
      <w:r w:rsidRPr="00A70A73">
        <w:rPr>
          <w:color w:val="auto"/>
          <w:sz w:val="28"/>
          <w:szCs w:val="28"/>
        </w:rPr>
        <w:t xml:space="preserve"> neto apgrozījums sadalījumā pa saimnieciskās darbības veidiem, atbilstoši Eiropas Parlamenta un Padomes 2006.gada 20.decembra regulā (EK) Nr.1893/2006, ar ko izveido NACE 2.red. saimniecisko darbību statistisko klasifikāciju, kā arī groza Padomes regulu (EEK) Nr.3037/90 un dažas EK regulas par īpašām statistikas  jomām (</w:t>
      </w:r>
      <w:r w:rsidR="00192FB9" w:rsidRPr="00A70A73">
        <w:rPr>
          <w:color w:val="auto"/>
          <w:sz w:val="28"/>
          <w:szCs w:val="28"/>
        </w:rPr>
        <w:t>d</w:t>
      </w:r>
      <w:r w:rsidRPr="00A70A73">
        <w:rPr>
          <w:color w:val="auto"/>
          <w:sz w:val="28"/>
          <w:szCs w:val="28"/>
        </w:rPr>
        <w:t xml:space="preserve">okuments attiecas uz EEZ), noteiktajai saimnieciskās darbības statistiskajai klasifikācijai, un pa ģeogrāfiskajiem tirgiem, ja </w:t>
      </w:r>
      <w:r w:rsidR="00380701" w:rsidRPr="00A70A73">
        <w:rPr>
          <w:color w:val="auto"/>
          <w:sz w:val="28"/>
          <w:szCs w:val="28"/>
        </w:rPr>
        <w:t>uzņēmuma</w:t>
      </w:r>
      <w:r w:rsidRPr="00A70A73">
        <w:rPr>
          <w:color w:val="auto"/>
          <w:sz w:val="28"/>
          <w:szCs w:val="28"/>
        </w:rPr>
        <w:t xml:space="preserve"> darbības veidi un ģeogrāfiskie tirgi būtiski atšķiras, būs pielikumā jāatšifrē tikai lielaj</w:t>
      </w:r>
      <w:r w:rsidR="00380701" w:rsidRPr="00A70A73">
        <w:rPr>
          <w:color w:val="auto"/>
          <w:sz w:val="28"/>
          <w:szCs w:val="28"/>
        </w:rPr>
        <w:t>iem uzņēmumiem</w:t>
      </w:r>
      <w:r w:rsidRPr="00A70A73">
        <w:rPr>
          <w:color w:val="auto"/>
          <w:sz w:val="28"/>
          <w:szCs w:val="28"/>
        </w:rPr>
        <w:t>, t.i., kuras pārsniegs divus no šādiem kritērijiem:</w:t>
      </w:r>
    </w:p>
    <w:p w:rsidR="003968C2" w:rsidRPr="00A70A73" w:rsidRDefault="003968C2" w:rsidP="00116916">
      <w:pPr>
        <w:pStyle w:val="Default"/>
        <w:numPr>
          <w:ilvl w:val="0"/>
          <w:numId w:val="36"/>
        </w:numPr>
        <w:ind w:left="709" w:firstLine="425"/>
        <w:jc w:val="both"/>
        <w:rPr>
          <w:color w:val="auto"/>
          <w:sz w:val="28"/>
          <w:szCs w:val="28"/>
        </w:rPr>
      </w:pPr>
      <w:r w:rsidRPr="00A70A73">
        <w:rPr>
          <w:color w:val="auto"/>
          <w:sz w:val="28"/>
          <w:szCs w:val="28"/>
        </w:rPr>
        <w:t>bilances kopsumma – 20 000 000 euro;</w:t>
      </w:r>
    </w:p>
    <w:p w:rsidR="003968C2" w:rsidRPr="00A70A73" w:rsidRDefault="003968C2" w:rsidP="00116916">
      <w:pPr>
        <w:pStyle w:val="Default"/>
        <w:numPr>
          <w:ilvl w:val="0"/>
          <w:numId w:val="36"/>
        </w:numPr>
        <w:ind w:left="709" w:firstLine="425"/>
        <w:jc w:val="both"/>
        <w:rPr>
          <w:color w:val="auto"/>
          <w:sz w:val="28"/>
          <w:szCs w:val="28"/>
        </w:rPr>
      </w:pPr>
      <w:r w:rsidRPr="00A70A73">
        <w:rPr>
          <w:color w:val="auto"/>
          <w:sz w:val="28"/>
          <w:szCs w:val="28"/>
        </w:rPr>
        <w:t>neto apgrozījums – 40 000 000 euro;</w:t>
      </w:r>
    </w:p>
    <w:p w:rsidR="003968C2" w:rsidRPr="00A70A73" w:rsidRDefault="003968C2" w:rsidP="00116916">
      <w:pPr>
        <w:pStyle w:val="Default"/>
        <w:numPr>
          <w:ilvl w:val="0"/>
          <w:numId w:val="36"/>
        </w:numPr>
        <w:ind w:left="709" w:firstLine="425"/>
        <w:jc w:val="both"/>
        <w:rPr>
          <w:color w:val="auto"/>
          <w:sz w:val="28"/>
          <w:szCs w:val="28"/>
        </w:rPr>
      </w:pPr>
      <w:r w:rsidRPr="00A70A73">
        <w:rPr>
          <w:color w:val="auto"/>
          <w:sz w:val="28"/>
          <w:szCs w:val="28"/>
        </w:rPr>
        <w:t>pārskata gada vidējais darbinieku skaits – 250</w:t>
      </w:r>
      <w:r w:rsidR="00116916">
        <w:rPr>
          <w:color w:val="auto"/>
          <w:sz w:val="28"/>
          <w:szCs w:val="28"/>
        </w:rPr>
        <w:t>,</w:t>
      </w:r>
    </w:p>
    <w:p w:rsidR="003968C2" w:rsidRPr="00A70A73" w:rsidRDefault="003968C2" w:rsidP="00A70A73">
      <w:pPr>
        <w:pStyle w:val="Default"/>
        <w:spacing w:after="120"/>
        <w:jc w:val="both"/>
        <w:rPr>
          <w:color w:val="auto"/>
          <w:sz w:val="28"/>
          <w:szCs w:val="28"/>
        </w:rPr>
      </w:pPr>
      <w:r w:rsidRPr="00A70A73">
        <w:rPr>
          <w:color w:val="auto"/>
          <w:sz w:val="28"/>
          <w:szCs w:val="28"/>
        </w:rPr>
        <w:t xml:space="preserve">kā arī noteikto informāciju atļauts nesniegt, ja tā varētu nopietni kaitēt attiecīgā </w:t>
      </w:r>
      <w:r w:rsidR="00380701" w:rsidRPr="00A70A73">
        <w:rPr>
          <w:color w:val="auto"/>
          <w:sz w:val="28"/>
          <w:szCs w:val="28"/>
        </w:rPr>
        <w:t>uzņēmuma</w:t>
      </w:r>
      <w:r w:rsidRPr="00A70A73">
        <w:rPr>
          <w:color w:val="auto"/>
          <w:sz w:val="28"/>
          <w:szCs w:val="28"/>
        </w:rPr>
        <w:t xml:space="preserve"> interesēm, finanšu pārskata pielikumā norādot, ka šī informācija netiek sniegta minētā iemesla dēļ.</w:t>
      </w:r>
    </w:p>
    <w:p w:rsidR="003968C2" w:rsidRPr="00A70A73" w:rsidRDefault="00A5471C" w:rsidP="00116916">
      <w:pPr>
        <w:pStyle w:val="Default"/>
        <w:ind w:firstLine="720"/>
        <w:jc w:val="both"/>
        <w:rPr>
          <w:color w:val="auto"/>
          <w:sz w:val="28"/>
          <w:szCs w:val="28"/>
        </w:rPr>
      </w:pPr>
      <w:r w:rsidRPr="00A5471C">
        <w:rPr>
          <w:color w:val="auto"/>
          <w:sz w:val="28"/>
          <w:szCs w:val="28"/>
        </w:rPr>
        <w:t xml:space="preserve">GPL 50.panta pirmā </w:t>
      </w:r>
      <w:r w:rsidR="003968C2" w:rsidRPr="00A5471C">
        <w:rPr>
          <w:color w:val="auto"/>
          <w:sz w:val="28"/>
          <w:szCs w:val="28"/>
        </w:rPr>
        <w:t xml:space="preserve">daļa nosaka, ka pielikumā </w:t>
      </w:r>
      <w:r w:rsidR="00380701" w:rsidRPr="00A5471C">
        <w:rPr>
          <w:color w:val="auto"/>
          <w:sz w:val="28"/>
          <w:szCs w:val="28"/>
        </w:rPr>
        <w:t>uzņēmumiem</w:t>
      </w:r>
      <w:r w:rsidR="003968C2" w:rsidRPr="00A5471C">
        <w:rPr>
          <w:color w:val="auto"/>
          <w:sz w:val="28"/>
          <w:szCs w:val="28"/>
        </w:rPr>
        <w:t xml:space="preserve"> jāsniedz</w:t>
      </w:r>
      <w:r w:rsidR="003968C2" w:rsidRPr="00A70A73">
        <w:rPr>
          <w:color w:val="auto"/>
          <w:sz w:val="28"/>
          <w:szCs w:val="28"/>
        </w:rPr>
        <w:t xml:space="preserve"> informācija par nodarbināto personu vidējo skaitu pārskata gadā. Savukārt personāla izmaksas jādetalizē šādā veidā:</w:t>
      </w:r>
    </w:p>
    <w:p w:rsidR="003968C2" w:rsidRPr="00A70A73" w:rsidRDefault="003968C2" w:rsidP="00116916">
      <w:pPr>
        <w:pStyle w:val="Default"/>
        <w:numPr>
          <w:ilvl w:val="0"/>
          <w:numId w:val="37"/>
        </w:numPr>
        <w:ind w:left="709" w:firstLine="425"/>
        <w:jc w:val="both"/>
        <w:rPr>
          <w:color w:val="auto"/>
          <w:sz w:val="28"/>
          <w:szCs w:val="28"/>
        </w:rPr>
      </w:pPr>
      <w:r w:rsidRPr="00A70A73">
        <w:rPr>
          <w:color w:val="auto"/>
          <w:sz w:val="28"/>
          <w:szCs w:val="28"/>
        </w:rPr>
        <w:t>atlīdzība par darbu;</w:t>
      </w:r>
    </w:p>
    <w:p w:rsidR="003968C2" w:rsidRPr="00A70A73" w:rsidRDefault="003968C2" w:rsidP="00116916">
      <w:pPr>
        <w:pStyle w:val="Default"/>
        <w:numPr>
          <w:ilvl w:val="0"/>
          <w:numId w:val="37"/>
        </w:numPr>
        <w:ind w:left="709" w:firstLine="425"/>
        <w:jc w:val="both"/>
        <w:rPr>
          <w:color w:val="auto"/>
          <w:sz w:val="28"/>
          <w:szCs w:val="28"/>
        </w:rPr>
      </w:pPr>
      <w:r w:rsidRPr="00A70A73">
        <w:rPr>
          <w:color w:val="auto"/>
          <w:sz w:val="28"/>
          <w:szCs w:val="28"/>
        </w:rPr>
        <w:t xml:space="preserve">pensijas no </w:t>
      </w:r>
      <w:r w:rsidR="00380701" w:rsidRPr="00A70A73">
        <w:rPr>
          <w:color w:val="auto"/>
          <w:sz w:val="28"/>
          <w:szCs w:val="28"/>
        </w:rPr>
        <w:t>uzņēmuma</w:t>
      </w:r>
      <w:r w:rsidRPr="00A70A73">
        <w:rPr>
          <w:color w:val="auto"/>
          <w:sz w:val="28"/>
          <w:szCs w:val="28"/>
        </w:rPr>
        <w:t xml:space="preserve"> līdzekļiem;</w:t>
      </w:r>
    </w:p>
    <w:p w:rsidR="003968C2" w:rsidRPr="00A70A73" w:rsidRDefault="003968C2" w:rsidP="00116916">
      <w:pPr>
        <w:pStyle w:val="Default"/>
        <w:numPr>
          <w:ilvl w:val="0"/>
          <w:numId w:val="37"/>
        </w:numPr>
        <w:ind w:left="709" w:firstLine="425"/>
        <w:jc w:val="both"/>
        <w:rPr>
          <w:color w:val="auto"/>
          <w:sz w:val="28"/>
          <w:szCs w:val="28"/>
        </w:rPr>
      </w:pPr>
      <w:r w:rsidRPr="00A70A73">
        <w:rPr>
          <w:color w:val="auto"/>
          <w:sz w:val="28"/>
          <w:szCs w:val="28"/>
        </w:rPr>
        <w:t>valsts sociālās apdrošināšanas obligātās iemaksas;</w:t>
      </w:r>
    </w:p>
    <w:p w:rsidR="003968C2" w:rsidRPr="00A70A73" w:rsidRDefault="003968C2" w:rsidP="00116916">
      <w:pPr>
        <w:pStyle w:val="Default"/>
        <w:numPr>
          <w:ilvl w:val="0"/>
          <w:numId w:val="37"/>
        </w:numPr>
        <w:ind w:left="709" w:firstLine="425"/>
        <w:jc w:val="both"/>
        <w:rPr>
          <w:color w:val="auto"/>
          <w:sz w:val="28"/>
          <w:szCs w:val="28"/>
        </w:rPr>
      </w:pPr>
      <w:r w:rsidRPr="00A70A73">
        <w:rPr>
          <w:color w:val="auto"/>
          <w:sz w:val="28"/>
          <w:szCs w:val="28"/>
        </w:rPr>
        <w:t>pārējās sociālās nodrošināšanas izmaksas.</w:t>
      </w:r>
    </w:p>
    <w:p w:rsidR="003968C2" w:rsidRPr="00A70A73" w:rsidRDefault="003968C2" w:rsidP="00116916">
      <w:pPr>
        <w:pStyle w:val="Default"/>
        <w:spacing w:after="120"/>
        <w:ind w:firstLine="720"/>
        <w:jc w:val="both"/>
        <w:rPr>
          <w:color w:val="auto"/>
          <w:sz w:val="28"/>
          <w:szCs w:val="28"/>
        </w:rPr>
      </w:pPr>
      <w:r w:rsidRPr="00A70A73">
        <w:rPr>
          <w:color w:val="auto"/>
          <w:sz w:val="28"/>
          <w:szCs w:val="28"/>
        </w:rPr>
        <w:t>Attiecībā uz šo normu JGPL nosaka, ka vidējām (nepārsniedz divus kritērijus no: bilances kopsumma – 20 000 000 euro, neto apgrozījums – 40 000 000 euro, vidējais darbinieku skaits pārskata gadā – 250) un liel</w:t>
      </w:r>
      <w:r w:rsidR="00380701" w:rsidRPr="00A70A73">
        <w:rPr>
          <w:color w:val="auto"/>
          <w:sz w:val="28"/>
          <w:szCs w:val="28"/>
        </w:rPr>
        <w:t>iem</w:t>
      </w:r>
      <w:r w:rsidRPr="00A70A73">
        <w:rPr>
          <w:color w:val="auto"/>
          <w:sz w:val="28"/>
          <w:szCs w:val="28"/>
        </w:rPr>
        <w:t xml:space="preserve"> </w:t>
      </w:r>
      <w:r w:rsidR="00380701" w:rsidRPr="00A70A73">
        <w:rPr>
          <w:color w:val="auto"/>
          <w:sz w:val="28"/>
          <w:szCs w:val="28"/>
        </w:rPr>
        <w:t>uzņēmumiem</w:t>
      </w:r>
      <w:r w:rsidRPr="00A70A73">
        <w:rPr>
          <w:color w:val="auto"/>
          <w:sz w:val="28"/>
          <w:szCs w:val="28"/>
        </w:rPr>
        <w:t xml:space="preserve"> pielikumā jānorāda vadībai par funkciju pildīšanu piešķirtās atlīdzības kopsumma sadalījumā pa atsevišķām amatu grupām (padomes un valdes locekļi). Tas pats attiecas uz pensijām un līdzīgām saistībām pret bijušajiem pārvaldes institūciju locekļiem, kā arī jānorāda vidējais darbinieku skaits pārskata gadā sadalījumā pa kategorijām (padomes locekļi, valdes locekļi, pārējie darbinieki), ja peļņas vai zaudējumu aprēķins nav sagatavots pēc izdevumu veidiem.</w:t>
      </w:r>
    </w:p>
    <w:p w:rsidR="003968C2" w:rsidRPr="00A70A73" w:rsidRDefault="003968C2" w:rsidP="00EF1DC9">
      <w:pPr>
        <w:pStyle w:val="Default"/>
        <w:spacing w:after="120"/>
        <w:ind w:firstLine="720"/>
        <w:jc w:val="both"/>
        <w:rPr>
          <w:color w:val="auto"/>
          <w:sz w:val="28"/>
          <w:szCs w:val="28"/>
        </w:rPr>
      </w:pPr>
      <w:r w:rsidRPr="00A70A73">
        <w:rPr>
          <w:color w:val="auto"/>
          <w:sz w:val="28"/>
          <w:szCs w:val="28"/>
        </w:rPr>
        <w:t>Gan ieņēmum</w:t>
      </w:r>
      <w:r w:rsidR="00380701" w:rsidRPr="00A70A73">
        <w:rPr>
          <w:color w:val="auto"/>
          <w:sz w:val="28"/>
          <w:szCs w:val="28"/>
        </w:rPr>
        <w:t>i, gan izmaksas, kas ietvertas uzņēmumu</w:t>
      </w:r>
      <w:r w:rsidRPr="00A70A73">
        <w:rPr>
          <w:color w:val="auto"/>
          <w:sz w:val="28"/>
          <w:szCs w:val="28"/>
        </w:rPr>
        <w:t xml:space="preserve"> gada pārskatos peļņas vai zaudējumu aprēķinā saskaņā ar GPL un turpmāk ar JGPL tiek sagatavotas atbilstoši vai nu izdevumu funkcijai (GPL 12.pants – klasificēta pēc apgrozījumu izmaksu metodes, JGPL 2.pielikums) vai arī – izdevumu veidam (GPL 11.pants - klasificēta pēc periodu izmaksu metodes, JGPL 3.pielikums). Tātad likums paredz izmaksas klasificēt pēc to funkcijām vai to būtības un ne </w:t>
      </w:r>
      <w:r w:rsidR="00192FB9" w:rsidRPr="00A70A73">
        <w:rPr>
          <w:color w:val="auto"/>
          <w:sz w:val="28"/>
          <w:szCs w:val="28"/>
        </w:rPr>
        <w:t>citā</w:t>
      </w:r>
      <w:r w:rsidRPr="00A70A73">
        <w:rPr>
          <w:color w:val="auto"/>
          <w:sz w:val="28"/>
          <w:szCs w:val="28"/>
        </w:rPr>
        <w:t>dāk.</w:t>
      </w:r>
    </w:p>
    <w:p w:rsidR="00CF2A34" w:rsidRPr="00A70A73" w:rsidRDefault="008258F4" w:rsidP="00EF1DC9">
      <w:pPr>
        <w:pStyle w:val="Default"/>
        <w:spacing w:before="120" w:after="120"/>
        <w:ind w:firstLine="720"/>
        <w:jc w:val="both"/>
        <w:rPr>
          <w:color w:val="auto"/>
          <w:sz w:val="28"/>
          <w:szCs w:val="28"/>
        </w:rPr>
      </w:pPr>
      <w:r w:rsidRPr="00A70A73">
        <w:rPr>
          <w:color w:val="auto"/>
          <w:sz w:val="28"/>
          <w:szCs w:val="28"/>
        </w:rPr>
        <w:t>Līdz ar to arī adm</w:t>
      </w:r>
      <w:r w:rsidR="0039314F" w:rsidRPr="00A70A73">
        <w:rPr>
          <w:color w:val="auto"/>
          <w:sz w:val="28"/>
          <w:szCs w:val="28"/>
        </w:rPr>
        <w:t>i</w:t>
      </w:r>
      <w:r w:rsidRPr="00A70A73">
        <w:rPr>
          <w:color w:val="auto"/>
          <w:sz w:val="28"/>
          <w:szCs w:val="28"/>
        </w:rPr>
        <w:t>nistratīvie datu avoti nevar nodrošināt šādu informāciju. Jā</w:t>
      </w:r>
      <w:r w:rsidR="00CF2A34" w:rsidRPr="00A70A73">
        <w:rPr>
          <w:color w:val="auto"/>
          <w:sz w:val="28"/>
          <w:szCs w:val="28"/>
        </w:rPr>
        <w:t>at</w:t>
      </w:r>
      <w:r w:rsidRPr="00A70A73">
        <w:rPr>
          <w:color w:val="auto"/>
          <w:sz w:val="28"/>
          <w:szCs w:val="28"/>
        </w:rPr>
        <w:t xml:space="preserve">zīmē, ka </w:t>
      </w:r>
      <w:r w:rsidR="0024583D" w:rsidRPr="00A70A73">
        <w:rPr>
          <w:color w:val="auto"/>
          <w:sz w:val="28"/>
          <w:szCs w:val="28"/>
        </w:rPr>
        <w:t xml:space="preserve">atšifrējumi </w:t>
      </w:r>
      <w:r w:rsidRPr="00A70A73">
        <w:rPr>
          <w:color w:val="auto"/>
          <w:sz w:val="28"/>
          <w:szCs w:val="28"/>
        </w:rPr>
        <w:t>par darbības veidiem un tirgiem uzņēmums sniedz brī</w:t>
      </w:r>
      <w:r w:rsidR="00CF2A34" w:rsidRPr="00A70A73">
        <w:rPr>
          <w:color w:val="auto"/>
          <w:sz w:val="28"/>
          <w:szCs w:val="28"/>
        </w:rPr>
        <w:t>v</w:t>
      </w:r>
      <w:r w:rsidRPr="00A70A73">
        <w:rPr>
          <w:color w:val="auto"/>
          <w:sz w:val="28"/>
          <w:szCs w:val="28"/>
        </w:rPr>
        <w:t>ā for</w:t>
      </w:r>
      <w:r w:rsidR="00CF2A34" w:rsidRPr="00A70A73">
        <w:rPr>
          <w:color w:val="auto"/>
          <w:sz w:val="28"/>
          <w:szCs w:val="28"/>
        </w:rPr>
        <w:t>m</w:t>
      </w:r>
      <w:r w:rsidRPr="00A70A73">
        <w:rPr>
          <w:color w:val="auto"/>
          <w:sz w:val="28"/>
          <w:szCs w:val="28"/>
        </w:rPr>
        <w:t xml:space="preserve">ā gada pārskata </w:t>
      </w:r>
      <w:r w:rsidR="00CF2A34" w:rsidRPr="00A70A73">
        <w:rPr>
          <w:color w:val="auto"/>
          <w:sz w:val="28"/>
          <w:szCs w:val="28"/>
        </w:rPr>
        <w:t>pielikumos</w:t>
      </w:r>
      <w:r w:rsidRPr="00A70A73">
        <w:rPr>
          <w:color w:val="auto"/>
          <w:sz w:val="28"/>
          <w:szCs w:val="28"/>
        </w:rPr>
        <w:t xml:space="preserve">, līdz ar to </w:t>
      </w:r>
      <w:r w:rsidR="00CF2A34" w:rsidRPr="00A70A73">
        <w:rPr>
          <w:color w:val="auto"/>
          <w:sz w:val="28"/>
          <w:szCs w:val="28"/>
        </w:rPr>
        <w:t>P</w:t>
      </w:r>
      <w:r w:rsidR="00EF1DC9">
        <w:rPr>
          <w:color w:val="auto"/>
          <w:sz w:val="28"/>
          <w:szCs w:val="28"/>
        </w:rPr>
        <w:t>ārvaldei</w:t>
      </w:r>
      <w:r w:rsidR="00CF2A34" w:rsidRPr="00A70A73">
        <w:rPr>
          <w:color w:val="auto"/>
          <w:sz w:val="28"/>
          <w:szCs w:val="28"/>
        </w:rPr>
        <w:t xml:space="preserve"> </w:t>
      </w:r>
      <w:r w:rsidRPr="00A70A73">
        <w:rPr>
          <w:color w:val="auto"/>
          <w:sz w:val="28"/>
          <w:szCs w:val="28"/>
        </w:rPr>
        <w:t>nav iespēj</w:t>
      </w:r>
      <w:r w:rsidR="00EF1DC9">
        <w:rPr>
          <w:color w:val="auto"/>
          <w:sz w:val="28"/>
          <w:szCs w:val="28"/>
        </w:rPr>
        <w:t>ams apstrādāt šo informāciju tās</w:t>
      </w:r>
      <w:r w:rsidRPr="00A70A73">
        <w:rPr>
          <w:color w:val="auto"/>
          <w:sz w:val="28"/>
          <w:szCs w:val="28"/>
        </w:rPr>
        <w:t xml:space="preserve"> lielā apjoma </w:t>
      </w:r>
      <w:r w:rsidR="00192FB9" w:rsidRPr="00A70A73">
        <w:rPr>
          <w:color w:val="auto"/>
          <w:sz w:val="28"/>
          <w:szCs w:val="28"/>
        </w:rPr>
        <w:t xml:space="preserve">dēļ </w:t>
      </w:r>
      <w:r w:rsidRPr="00A70A73">
        <w:rPr>
          <w:color w:val="auto"/>
          <w:sz w:val="28"/>
          <w:szCs w:val="28"/>
        </w:rPr>
        <w:t>(</w:t>
      </w:r>
      <w:r w:rsidR="00CF2A34" w:rsidRPr="00A70A73">
        <w:rPr>
          <w:color w:val="auto"/>
          <w:sz w:val="28"/>
          <w:szCs w:val="28"/>
        </w:rPr>
        <w:t>individuāls</w:t>
      </w:r>
      <w:r w:rsidRPr="00A70A73">
        <w:rPr>
          <w:color w:val="auto"/>
          <w:sz w:val="28"/>
          <w:szCs w:val="28"/>
        </w:rPr>
        <w:t xml:space="preserve"> dar</w:t>
      </w:r>
      <w:r w:rsidR="00CF2A34" w:rsidRPr="00A70A73">
        <w:rPr>
          <w:color w:val="auto"/>
          <w:sz w:val="28"/>
          <w:szCs w:val="28"/>
        </w:rPr>
        <w:t>b</w:t>
      </w:r>
      <w:r w:rsidRPr="00A70A73">
        <w:rPr>
          <w:color w:val="auto"/>
          <w:sz w:val="28"/>
          <w:szCs w:val="28"/>
        </w:rPr>
        <w:t>s ar katru pā</w:t>
      </w:r>
      <w:r w:rsidR="00CF2A34" w:rsidRPr="00A70A73">
        <w:rPr>
          <w:color w:val="auto"/>
          <w:sz w:val="28"/>
          <w:szCs w:val="28"/>
        </w:rPr>
        <w:t>r</w:t>
      </w:r>
      <w:r w:rsidRPr="00A70A73">
        <w:rPr>
          <w:color w:val="auto"/>
          <w:sz w:val="28"/>
          <w:szCs w:val="28"/>
        </w:rPr>
        <w:t>skatu</w:t>
      </w:r>
      <w:r w:rsidR="00CF2A34" w:rsidRPr="00A70A73">
        <w:rPr>
          <w:color w:val="auto"/>
          <w:sz w:val="28"/>
          <w:szCs w:val="28"/>
        </w:rPr>
        <w:t>, iesniegtās informācijas apjoms un kvalitāte ir atšķirīgi, datu atšifrējumi var arī nebūt).</w:t>
      </w:r>
    </w:p>
    <w:p w:rsidR="003E0183" w:rsidRDefault="003E0183" w:rsidP="00A70A73">
      <w:pPr>
        <w:pStyle w:val="Default"/>
        <w:spacing w:after="120"/>
        <w:ind w:left="720"/>
        <w:jc w:val="both"/>
        <w:rPr>
          <w:color w:val="auto"/>
          <w:sz w:val="28"/>
          <w:szCs w:val="28"/>
        </w:rPr>
      </w:pPr>
    </w:p>
    <w:p w:rsidR="0039314F" w:rsidRPr="00A70A73" w:rsidRDefault="0039314F" w:rsidP="00A70A73">
      <w:pPr>
        <w:spacing w:after="120" w:line="240" w:lineRule="auto"/>
        <w:jc w:val="both"/>
        <w:rPr>
          <w:rFonts w:ascii="Times New Roman" w:hAnsi="Times New Roman" w:cs="Times New Roman"/>
          <w:b/>
          <w:sz w:val="28"/>
          <w:szCs w:val="28"/>
          <w:u w:val="single"/>
        </w:rPr>
      </w:pPr>
      <w:r w:rsidRPr="00A70A73">
        <w:rPr>
          <w:rFonts w:ascii="Times New Roman" w:hAnsi="Times New Roman" w:cs="Times New Roman"/>
          <w:b/>
          <w:sz w:val="28"/>
          <w:szCs w:val="28"/>
          <w:u w:val="single"/>
        </w:rPr>
        <w:t>Informācijas uzturēšana SUR</w:t>
      </w:r>
    </w:p>
    <w:p w:rsidR="0039314F" w:rsidRPr="00A70A73" w:rsidRDefault="0039314F" w:rsidP="00EF1DC9">
      <w:pPr>
        <w:spacing w:after="0" w:line="240" w:lineRule="auto"/>
        <w:ind w:firstLine="720"/>
        <w:jc w:val="both"/>
        <w:rPr>
          <w:rFonts w:ascii="Times New Roman" w:hAnsi="Times New Roman" w:cs="Times New Roman"/>
          <w:sz w:val="28"/>
          <w:szCs w:val="28"/>
        </w:rPr>
      </w:pPr>
      <w:r w:rsidRPr="00A70A73">
        <w:rPr>
          <w:rFonts w:ascii="Times New Roman" w:hAnsi="Times New Roman" w:cs="Times New Roman"/>
          <w:sz w:val="28"/>
          <w:szCs w:val="28"/>
        </w:rPr>
        <w:t>SUR iekļauj</w:t>
      </w:r>
      <w:r w:rsidR="00EF1DC9">
        <w:rPr>
          <w:rFonts w:ascii="Times New Roman" w:hAnsi="Times New Roman" w:cs="Times New Roman"/>
          <w:sz w:val="28"/>
          <w:szCs w:val="28"/>
        </w:rPr>
        <w:t xml:space="preserve"> s</w:t>
      </w:r>
      <w:r w:rsidR="005B71B9" w:rsidRPr="00A70A73">
        <w:rPr>
          <w:rFonts w:ascii="Times New Roman" w:hAnsi="Times New Roman" w:cs="Times New Roman"/>
          <w:sz w:val="28"/>
          <w:szCs w:val="28"/>
        </w:rPr>
        <w:t xml:space="preserve">askaņā ar </w:t>
      </w:r>
      <w:r w:rsidR="005B71B9" w:rsidRPr="00A70A73">
        <w:rPr>
          <w:rFonts w:ascii="Times New Roman" w:hAnsi="Times New Roman" w:cs="Times New Roman"/>
          <w:iCs/>
          <w:sz w:val="28"/>
          <w:szCs w:val="28"/>
        </w:rPr>
        <w:t xml:space="preserve">Regulas </w:t>
      </w:r>
      <w:r w:rsidR="00EF1DC9">
        <w:rPr>
          <w:rFonts w:ascii="Times New Roman" w:hAnsi="Times New Roman" w:cs="Times New Roman"/>
          <w:iCs/>
          <w:sz w:val="28"/>
          <w:szCs w:val="28"/>
        </w:rPr>
        <w:t>Nr.</w:t>
      </w:r>
      <w:r w:rsidR="005B71B9" w:rsidRPr="00A70A73">
        <w:rPr>
          <w:rFonts w:ascii="Times New Roman" w:hAnsi="Times New Roman" w:cs="Times New Roman"/>
          <w:iCs/>
          <w:sz w:val="28"/>
          <w:szCs w:val="28"/>
        </w:rPr>
        <w:t>177/2008 par kopēju uzņēmumu reģistru sistēmu statistikas vajadzībām 3.pantu</w:t>
      </w:r>
      <w:r w:rsidR="005B71B9" w:rsidRPr="00A70A73">
        <w:rPr>
          <w:rStyle w:val="FootnoteReference"/>
          <w:rFonts w:ascii="Times New Roman" w:hAnsi="Times New Roman" w:cs="Times New Roman"/>
          <w:sz w:val="28"/>
          <w:szCs w:val="28"/>
        </w:rPr>
        <w:footnoteReference w:id="7"/>
      </w:r>
      <w:r w:rsidRPr="00A70A73">
        <w:rPr>
          <w:rFonts w:ascii="Times New Roman" w:hAnsi="Times New Roman" w:cs="Times New Roman"/>
          <w:sz w:val="28"/>
          <w:szCs w:val="28"/>
        </w:rPr>
        <w:t>:</w:t>
      </w:r>
    </w:p>
    <w:p w:rsidR="0039314F" w:rsidRPr="00A70A73" w:rsidRDefault="0039314F" w:rsidP="00EF1DC9">
      <w:pPr>
        <w:pStyle w:val="ListParagraph"/>
        <w:numPr>
          <w:ilvl w:val="0"/>
          <w:numId w:val="12"/>
        </w:numPr>
        <w:spacing w:after="0" w:line="240" w:lineRule="auto"/>
        <w:ind w:left="1418" w:hanging="284"/>
        <w:jc w:val="both"/>
        <w:rPr>
          <w:rFonts w:ascii="Times New Roman" w:hAnsi="Times New Roman" w:cs="Times New Roman"/>
          <w:sz w:val="28"/>
          <w:szCs w:val="28"/>
        </w:rPr>
      </w:pPr>
      <w:r w:rsidRPr="00A70A73">
        <w:rPr>
          <w:rFonts w:ascii="Times New Roman" w:hAnsi="Times New Roman" w:cs="Times New Roman"/>
          <w:sz w:val="28"/>
          <w:szCs w:val="28"/>
        </w:rPr>
        <w:t xml:space="preserve">visus uzņēmumus, kas veic saimniecisko darbību, kuri ietekmē </w:t>
      </w:r>
      <w:r w:rsidRPr="00A70A73">
        <w:rPr>
          <w:rFonts w:ascii="Times New Roman" w:hAnsi="Times New Roman" w:cs="Times New Roman"/>
          <w:sz w:val="28"/>
          <w:szCs w:val="28"/>
          <w:u w:val="single"/>
        </w:rPr>
        <w:t>nacionālo kopproduktu</w:t>
      </w:r>
      <w:r w:rsidRPr="00A70A73">
        <w:rPr>
          <w:rFonts w:ascii="Times New Roman" w:hAnsi="Times New Roman" w:cs="Times New Roman"/>
          <w:sz w:val="28"/>
          <w:szCs w:val="28"/>
        </w:rPr>
        <w:t>, un to vietējās vienības (VV);</w:t>
      </w:r>
    </w:p>
    <w:p w:rsidR="0039314F" w:rsidRPr="00A70A73" w:rsidRDefault="0039314F" w:rsidP="00EF1DC9">
      <w:pPr>
        <w:pStyle w:val="ListParagraph"/>
        <w:numPr>
          <w:ilvl w:val="0"/>
          <w:numId w:val="12"/>
        </w:numPr>
        <w:spacing w:after="120" w:line="240" w:lineRule="auto"/>
        <w:ind w:left="1418" w:hanging="284"/>
        <w:jc w:val="both"/>
        <w:rPr>
          <w:rFonts w:ascii="Times New Roman" w:hAnsi="Times New Roman" w:cs="Times New Roman"/>
          <w:sz w:val="28"/>
          <w:szCs w:val="28"/>
        </w:rPr>
      </w:pPr>
      <w:r w:rsidRPr="00A70A73">
        <w:rPr>
          <w:rFonts w:ascii="Times New Roman" w:hAnsi="Times New Roman" w:cs="Times New Roman"/>
          <w:sz w:val="28"/>
          <w:szCs w:val="28"/>
        </w:rPr>
        <w:t>juridiskās vienības, kas ir šajos uzņēmumos;</w:t>
      </w:r>
    </w:p>
    <w:p w:rsidR="0039314F" w:rsidRPr="00A70A73" w:rsidRDefault="0039314F" w:rsidP="00EF1DC9">
      <w:pPr>
        <w:pStyle w:val="ListParagraph"/>
        <w:numPr>
          <w:ilvl w:val="0"/>
          <w:numId w:val="12"/>
        </w:numPr>
        <w:spacing w:after="120" w:line="240" w:lineRule="auto"/>
        <w:ind w:left="1418" w:hanging="284"/>
        <w:jc w:val="both"/>
        <w:rPr>
          <w:rFonts w:ascii="Times New Roman" w:hAnsi="Times New Roman" w:cs="Times New Roman"/>
          <w:sz w:val="28"/>
          <w:szCs w:val="28"/>
        </w:rPr>
      </w:pPr>
      <w:r w:rsidRPr="00A70A73">
        <w:rPr>
          <w:rFonts w:ascii="Times New Roman" w:hAnsi="Times New Roman" w:cs="Times New Roman"/>
          <w:sz w:val="28"/>
          <w:szCs w:val="28"/>
        </w:rPr>
        <w:t>uzņēmumu grupas.</w:t>
      </w:r>
    </w:p>
    <w:p w:rsidR="0039314F" w:rsidRPr="00A70A73" w:rsidRDefault="0039314F" w:rsidP="00EF1DC9">
      <w:pPr>
        <w:pStyle w:val="ManualNumPar1"/>
        <w:spacing w:before="0" w:after="0"/>
        <w:ind w:left="0" w:firstLine="720"/>
        <w:rPr>
          <w:sz w:val="28"/>
          <w:szCs w:val="28"/>
        </w:rPr>
      </w:pPr>
      <w:r w:rsidRPr="00A70A73">
        <w:rPr>
          <w:sz w:val="28"/>
          <w:szCs w:val="28"/>
        </w:rPr>
        <w:t>Papildus SUR tiek uzturēta informācija par:</w:t>
      </w:r>
    </w:p>
    <w:p w:rsidR="0039314F" w:rsidRPr="00A70A73" w:rsidRDefault="0039314F" w:rsidP="00EF1DC9">
      <w:pPr>
        <w:pStyle w:val="Text1"/>
        <w:numPr>
          <w:ilvl w:val="0"/>
          <w:numId w:val="13"/>
        </w:numPr>
        <w:spacing w:before="0" w:after="0"/>
        <w:ind w:firstLine="54"/>
        <w:rPr>
          <w:sz w:val="28"/>
          <w:szCs w:val="28"/>
        </w:rPr>
      </w:pPr>
      <w:r w:rsidRPr="00A70A73">
        <w:rPr>
          <w:sz w:val="28"/>
          <w:szCs w:val="28"/>
        </w:rPr>
        <w:t>darbības veida vienībām (DVV);</w:t>
      </w:r>
    </w:p>
    <w:p w:rsidR="0039314F" w:rsidRPr="00A70A73" w:rsidRDefault="0039314F" w:rsidP="00EF1DC9">
      <w:pPr>
        <w:pStyle w:val="Default"/>
        <w:numPr>
          <w:ilvl w:val="0"/>
          <w:numId w:val="13"/>
        </w:numPr>
        <w:ind w:firstLine="54"/>
        <w:jc w:val="both"/>
        <w:rPr>
          <w:color w:val="auto"/>
          <w:sz w:val="28"/>
          <w:szCs w:val="28"/>
        </w:rPr>
      </w:pPr>
      <w:r w:rsidRPr="00A70A73">
        <w:rPr>
          <w:color w:val="auto"/>
          <w:sz w:val="28"/>
          <w:szCs w:val="28"/>
        </w:rPr>
        <w:t>vietējās darbības veida vienībām (VDVV).</w:t>
      </w:r>
    </w:p>
    <w:p w:rsidR="00E84A9D" w:rsidRPr="00A70A73" w:rsidRDefault="005B71B9" w:rsidP="00EF1DC9">
      <w:pPr>
        <w:pStyle w:val="Default"/>
        <w:ind w:firstLine="720"/>
        <w:jc w:val="both"/>
        <w:rPr>
          <w:color w:val="auto"/>
          <w:sz w:val="28"/>
          <w:szCs w:val="28"/>
        </w:rPr>
      </w:pPr>
      <w:r w:rsidRPr="00A70A73">
        <w:rPr>
          <w:color w:val="auto"/>
          <w:sz w:val="28"/>
          <w:szCs w:val="28"/>
          <w:u w:val="single"/>
        </w:rPr>
        <w:t>K</w:t>
      </w:r>
      <w:r w:rsidR="00E84A9D" w:rsidRPr="00A70A73">
        <w:rPr>
          <w:color w:val="auto"/>
          <w:sz w:val="28"/>
          <w:szCs w:val="28"/>
          <w:u w:val="single"/>
        </w:rPr>
        <w:t>atrai statistikas vienībai „uzņēmums” SUR ir</w:t>
      </w:r>
      <w:r w:rsidR="00353D5C" w:rsidRPr="00A70A73">
        <w:rPr>
          <w:color w:val="auto"/>
          <w:sz w:val="28"/>
          <w:szCs w:val="28"/>
          <w:u w:val="single"/>
        </w:rPr>
        <w:t xml:space="preserve"> </w:t>
      </w:r>
      <w:r w:rsidR="004C1A40" w:rsidRPr="00A70A73">
        <w:rPr>
          <w:color w:val="auto"/>
          <w:sz w:val="28"/>
          <w:szCs w:val="28"/>
          <w:u w:val="single"/>
        </w:rPr>
        <w:t xml:space="preserve">izdalīta </w:t>
      </w:r>
      <w:r w:rsidR="00E84A9D" w:rsidRPr="00A70A73">
        <w:rPr>
          <w:color w:val="auto"/>
          <w:sz w:val="28"/>
          <w:szCs w:val="28"/>
          <w:u w:val="single"/>
        </w:rPr>
        <w:t>vismaz viena DVV, VDVV un VV</w:t>
      </w:r>
      <w:r w:rsidR="00EF1DC9">
        <w:rPr>
          <w:color w:val="auto"/>
          <w:sz w:val="28"/>
          <w:szCs w:val="28"/>
          <w:u w:val="single"/>
        </w:rPr>
        <w:t xml:space="preserve"> a</w:t>
      </w:r>
      <w:r w:rsidRPr="00A70A73">
        <w:rPr>
          <w:color w:val="auto"/>
          <w:sz w:val="28"/>
          <w:szCs w:val="28"/>
          <w:u w:val="single"/>
        </w:rPr>
        <w:t>tbilstoši Statistikas uzņēmumu reģistra rokasgrāmatā sniegtajiem metodoloģiskajiem</w:t>
      </w:r>
      <w:r w:rsidR="003C103A" w:rsidRPr="00A70A73">
        <w:rPr>
          <w:color w:val="auto"/>
          <w:sz w:val="28"/>
          <w:szCs w:val="28"/>
          <w:u w:val="single"/>
        </w:rPr>
        <w:t xml:space="preserve"> norādījumiem.</w:t>
      </w:r>
      <w:r w:rsidR="003C103A" w:rsidRPr="00EF1DC9">
        <w:rPr>
          <w:color w:val="auto"/>
          <w:sz w:val="28"/>
          <w:szCs w:val="28"/>
        </w:rPr>
        <w:t xml:space="preserve"> </w:t>
      </w:r>
      <w:r w:rsidR="00E84A9D" w:rsidRPr="00A70A73">
        <w:rPr>
          <w:color w:val="auto"/>
          <w:sz w:val="28"/>
          <w:szCs w:val="28"/>
        </w:rPr>
        <w:t>Atsevišķos gadījumos vienam uzņēmumam var būt vairāk nekā viena VDVV</w:t>
      </w:r>
      <w:r w:rsidR="00B45490" w:rsidRPr="00A70A73">
        <w:rPr>
          <w:color w:val="auto"/>
          <w:sz w:val="28"/>
          <w:szCs w:val="28"/>
        </w:rPr>
        <w:t xml:space="preserve">, </w:t>
      </w:r>
      <w:r w:rsidR="00E84A9D" w:rsidRPr="00A70A73">
        <w:rPr>
          <w:color w:val="auto"/>
          <w:sz w:val="28"/>
          <w:szCs w:val="28"/>
          <w:u w:val="single"/>
        </w:rPr>
        <w:t>neatkarīgi no VID reģistrētajām vienībām</w:t>
      </w:r>
      <w:r w:rsidR="00E84A9D" w:rsidRPr="00A70A73">
        <w:rPr>
          <w:color w:val="auto"/>
          <w:sz w:val="28"/>
          <w:szCs w:val="28"/>
        </w:rPr>
        <w:t>:</w:t>
      </w:r>
    </w:p>
    <w:p w:rsidR="00E84A9D" w:rsidRPr="00A70A73" w:rsidRDefault="00E84A9D" w:rsidP="00EF1DC9">
      <w:pPr>
        <w:pStyle w:val="Default"/>
        <w:numPr>
          <w:ilvl w:val="0"/>
          <w:numId w:val="14"/>
        </w:numPr>
        <w:ind w:left="1418" w:hanging="284"/>
        <w:jc w:val="both"/>
        <w:rPr>
          <w:color w:val="auto"/>
          <w:sz w:val="28"/>
          <w:szCs w:val="28"/>
        </w:rPr>
      </w:pPr>
      <w:r w:rsidRPr="00A70A73">
        <w:rPr>
          <w:color w:val="auto"/>
          <w:sz w:val="28"/>
          <w:szCs w:val="28"/>
        </w:rPr>
        <w:t>zemnieku un  zvejnieku saimniecības, kuru pamatdarbība ir lauksaimniecība vai zivsaimniecība;</w:t>
      </w:r>
    </w:p>
    <w:p w:rsidR="00E84A9D" w:rsidRPr="00A70A73" w:rsidRDefault="00E84A9D" w:rsidP="00EF1DC9">
      <w:pPr>
        <w:pStyle w:val="Default"/>
        <w:numPr>
          <w:ilvl w:val="0"/>
          <w:numId w:val="14"/>
        </w:numPr>
        <w:ind w:left="1418" w:hanging="284"/>
        <w:jc w:val="both"/>
        <w:rPr>
          <w:color w:val="auto"/>
          <w:sz w:val="28"/>
          <w:szCs w:val="28"/>
        </w:rPr>
      </w:pPr>
      <w:r w:rsidRPr="00A70A73">
        <w:rPr>
          <w:color w:val="auto"/>
          <w:sz w:val="28"/>
          <w:szCs w:val="28"/>
        </w:rPr>
        <w:t>sabiedriskās organizācijas (fondi, nodibinājumi un biedrības);</w:t>
      </w:r>
    </w:p>
    <w:p w:rsidR="00E84A9D" w:rsidRPr="00A70A73" w:rsidRDefault="00E84A9D" w:rsidP="00EF1DC9">
      <w:pPr>
        <w:pStyle w:val="Default"/>
        <w:numPr>
          <w:ilvl w:val="0"/>
          <w:numId w:val="14"/>
        </w:numPr>
        <w:spacing w:after="120"/>
        <w:ind w:left="1418" w:hanging="284"/>
        <w:jc w:val="both"/>
        <w:rPr>
          <w:color w:val="auto"/>
          <w:sz w:val="28"/>
          <w:szCs w:val="28"/>
        </w:rPr>
      </w:pPr>
      <w:r w:rsidRPr="00A70A73">
        <w:rPr>
          <w:color w:val="auto"/>
          <w:sz w:val="28"/>
          <w:szCs w:val="28"/>
        </w:rPr>
        <w:t xml:space="preserve">lauksaimniecības pakalpojumu </w:t>
      </w:r>
      <w:r w:rsidR="00353D5C" w:rsidRPr="00A70A73">
        <w:rPr>
          <w:color w:val="auto"/>
          <w:sz w:val="28"/>
          <w:szCs w:val="28"/>
        </w:rPr>
        <w:t xml:space="preserve">kooperatīvās </w:t>
      </w:r>
      <w:r w:rsidRPr="00A70A73">
        <w:rPr>
          <w:color w:val="auto"/>
          <w:sz w:val="28"/>
          <w:szCs w:val="28"/>
        </w:rPr>
        <w:t>sabiedrības, dzīvokļu īpašnieku kooperatīvās sabiedrības, automašīnu garāžu īpašnieku kooperatīvās sabiedrības, laivu garāžu īpašnieku kooperatīvās sabiedrības un dārzkopības kooperatīvās sabiedrības</w:t>
      </w:r>
      <w:r w:rsidR="00B331DB" w:rsidRPr="00A70A73">
        <w:rPr>
          <w:rStyle w:val="FootnoteReference"/>
          <w:color w:val="auto"/>
          <w:sz w:val="28"/>
          <w:szCs w:val="28"/>
        </w:rPr>
        <w:footnoteReference w:id="8"/>
      </w:r>
      <w:r w:rsidRPr="00A70A73">
        <w:rPr>
          <w:color w:val="auto"/>
          <w:sz w:val="28"/>
          <w:szCs w:val="28"/>
        </w:rPr>
        <w:t>.</w:t>
      </w:r>
    </w:p>
    <w:p w:rsidR="00192FB9" w:rsidRPr="00A70A73" w:rsidRDefault="00192FB9" w:rsidP="00EF1DC9">
      <w:pPr>
        <w:spacing w:after="0" w:line="240" w:lineRule="auto"/>
        <w:ind w:firstLine="720"/>
        <w:jc w:val="both"/>
        <w:rPr>
          <w:rFonts w:ascii="Times New Roman" w:hAnsi="Times New Roman" w:cs="Times New Roman"/>
          <w:sz w:val="28"/>
          <w:szCs w:val="28"/>
        </w:rPr>
      </w:pPr>
      <w:r w:rsidRPr="00A70A73">
        <w:rPr>
          <w:rFonts w:ascii="Times New Roman" w:hAnsi="Times New Roman" w:cs="Times New Roman"/>
          <w:sz w:val="28"/>
          <w:szCs w:val="28"/>
        </w:rPr>
        <w:t>Lai nodrošinātu informācijas par VV vākšanu</w:t>
      </w:r>
      <w:r w:rsidR="009C12B1" w:rsidRPr="00A70A73">
        <w:rPr>
          <w:rFonts w:ascii="Times New Roman" w:hAnsi="Times New Roman" w:cs="Times New Roman"/>
          <w:sz w:val="28"/>
          <w:szCs w:val="28"/>
        </w:rPr>
        <w:t>,</w:t>
      </w:r>
      <w:r w:rsidRPr="00A70A73">
        <w:rPr>
          <w:rFonts w:ascii="Times New Roman" w:hAnsi="Times New Roman" w:cs="Times New Roman"/>
          <w:sz w:val="28"/>
          <w:szCs w:val="28"/>
        </w:rPr>
        <w:t xml:space="preserve"> atbilstoši Regulā</w:t>
      </w:r>
      <w:r w:rsidR="00EF1DC9">
        <w:rPr>
          <w:rFonts w:ascii="Times New Roman" w:hAnsi="Times New Roman" w:cs="Times New Roman"/>
          <w:sz w:val="28"/>
          <w:szCs w:val="28"/>
        </w:rPr>
        <w:t xml:space="preserve"> Nr.</w:t>
      </w:r>
      <w:r w:rsidRPr="00A70A73">
        <w:rPr>
          <w:rFonts w:ascii="Times New Roman" w:hAnsi="Times New Roman" w:cs="Times New Roman"/>
          <w:sz w:val="28"/>
          <w:szCs w:val="28"/>
        </w:rPr>
        <w:t>177/2008</w:t>
      </w:r>
      <w:r w:rsidRPr="00A70A73">
        <w:rPr>
          <w:rFonts w:ascii="Times New Roman" w:hAnsi="Times New Roman" w:cs="Times New Roman"/>
          <w:sz w:val="28"/>
          <w:szCs w:val="28"/>
          <w:vertAlign w:val="superscript"/>
        </w:rPr>
        <w:t xml:space="preserve">10 </w:t>
      </w:r>
      <w:r w:rsidRPr="00A70A73">
        <w:rPr>
          <w:rFonts w:ascii="Times New Roman" w:hAnsi="Times New Roman" w:cs="Times New Roman"/>
          <w:sz w:val="28"/>
          <w:szCs w:val="28"/>
        </w:rPr>
        <w:t xml:space="preserve">kopumam, </w:t>
      </w:r>
      <w:r w:rsidR="009C12B1" w:rsidRPr="00A70A73">
        <w:rPr>
          <w:rFonts w:ascii="Times New Roman" w:hAnsi="Times New Roman" w:cs="Times New Roman"/>
          <w:sz w:val="28"/>
          <w:szCs w:val="28"/>
        </w:rPr>
        <w:t>p</w:t>
      </w:r>
      <w:r w:rsidR="005B71B9" w:rsidRPr="00A70A73">
        <w:rPr>
          <w:rFonts w:ascii="Times New Roman" w:hAnsi="Times New Roman" w:cs="Times New Roman"/>
          <w:sz w:val="28"/>
          <w:szCs w:val="28"/>
        </w:rPr>
        <w:t xml:space="preserve">ar VDVV </w:t>
      </w:r>
      <w:r w:rsidRPr="00A70A73">
        <w:rPr>
          <w:rFonts w:ascii="Times New Roman" w:hAnsi="Times New Roman" w:cs="Times New Roman"/>
          <w:sz w:val="28"/>
          <w:szCs w:val="28"/>
        </w:rPr>
        <w:t>SUR tiek uzturēta</w:t>
      </w:r>
      <w:r w:rsidR="005B71B9" w:rsidRPr="00A70A73">
        <w:rPr>
          <w:rFonts w:ascii="Times New Roman" w:hAnsi="Times New Roman" w:cs="Times New Roman"/>
          <w:sz w:val="28"/>
          <w:szCs w:val="28"/>
        </w:rPr>
        <w:t xml:space="preserve"> šāda</w:t>
      </w:r>
      <w:r w:rsidRPr="00A70A73">
        <w:rPr>
          <w:rFonts w:ascii="Times New Roman" w:hAnsi="Times New Roman" w:cs="Times New Roman"/>
          <w:sz w:val="28"/>
          <w:szCs w:val="28"/>
        </w:rPr>
        <w:t xml:space="preserve"> informācija:</w:t>
      </w:r>
    </w:p>
    <w:p w:rsidR="00192FB9" w:rsidRPr="00A70A73" w:rsidRDefault="00192FB9" w:rsidP="00EF1DC9">
      <w:pPr>
        <w:pStyle w:val="ListParagraph"/>
        <w:numPr>
          <w:ilvl w:val="0"/>
          <w:numId w:val="22"/>
        </w:numPr>
        <w:spacing w:after="0" w:line="240" w:lineRule="auto"/>
        <w:ind w:left="851" w:firstLine="283"/>
        <w:jc w:val="both"/>
        <w:rPr>
          <w:rFonts w:ascii="Times New Roman" w:hAnsi="Times New Roman" w:cs="Times New Roman"/>
          <w:sz w:val="28"/>
          <w:szCs w:val="28"/>
        </w:rPr>
      </w:pPr>
      <w:r w:rsidRPr="00A70A73">
        <w:rPr>
          <w:rFonts w:ascii="Times New Roman" w:hAnsi="Times New Roman" w:cs="Times New Roman"/>
          <w:sz w:val="28"/>
          <w:szCs w:val="28"/>
        </w:rPr>
        <w:t>adrese un ATVK;</w:t>
      </w:r>
    </w:p>
    <w:p w:rsidR="00192FB9" w:rsidRPr="00A70A73" w:rsidRDefault="00192FB9" w:rsidP="00EF1DC9">
      <w:pPr>
        <w:pStyle w:val="ListParagraph"/>
        <w:numPr>
          <w:ilvl w:val="0"/>
          <w:numId w:val="22"/>
        </w:numPr>
        <w:spacing w:after="0" w:line="240" w:lineRule="auto"/>
        <w:ind w:left="851" w:firstLine="283"/>
        <w:jc w:val="both"/>
        <w:rPr>
          <w:rFonts w:ascii="Times New Roman" w:hAnsi="Times New Roman" w:cs="Times New Roman"/>
          <w:sz w:val="28"/>
          <w:szCs w:val="28"/>
        </w:rPr>
      </w:pPr>
      <w:r w:rsidRPr="00A70A73">
        <w:rPr>
          <w:rFonts w:ascii="Times New Roman" w:hAnsi="Times New Roman" w:cs="Times New Roman"/>
          <w:sz w:val="28"/>
          <w:szCs w:val="28"/>
        </w:rPr>
        <w:t>vidējais nodarbināto skaits gadā;</w:t>
      </w:r>
    </w:p>
    <w:p w:rsidR="00192FB9" w:rsidRPr="00A70A73" w:rsidRDefault="00192FB9" w:rsidP="00EF1DC9">
      <w:pPr>
        <w:pStyle w:val="ListParagraph"/>
        <w:numPr>
          <w:ilvl w:val="0"/>
          <w:numId w:val="22"/>
        </w:numPr>
        <w:spacing w:after="0" w:line="240" w:lineRule="auto"/>
        <w:ind w:left="851" w:firstLine="283"/>
        <w:jc w:val="both"/>
        <w:rPr>
          <w:rFonts w:ascii="Times New Roman" w:hAnsi="Times New Roman" w:cs="Times New Roman"/>
          <w:sz w:val="28"/>
          <w:szCs w:val="28"/>
        </w:rPr>
      </w:pPr>
      <w:r w:rsidRPr="00A70A73">
        <w:rPr>
          <w:rFonts w:ascii="Times New Roman" w:hAnsi="Times New Roman" w:cs="Times New Roman"/>
          <w:sz w:val="28"/>
          <w:szCs w:val="28"/>
        </w:rPr>
        <w:t xml:space="preserve">NACE </w:t>
      </w:r>
      <w:r w:rsidR="005B71B9" w:rsidRPr="00A70A73">
        <w:rPr>
          <w:rFonts w:ascii="Times New Roman" w:hAnsi="Times New Roman" w:cs="Times New Roman"/>
          <w:sz w:val="28"/>
          <w:szCs w:val="28"/>
        </w:rPr>
        <w:t>4-zīmju (</w:t>
      </w:r>
      <w:r w:rsidRPr="00A70A73">
        <w:rPr>
          <w:rFonts w:ascii="Times New Roman" w:hAnsi="Times New Roman" w:cs="Times New Roman"/>
          <w:sz w:val="28"/>
          <w:szCs w:val="28"/>
        </w:rPr>
        <w:t>klašu</w:t>
      </w:r>
      <w:r w:rsidR="005B71B9" w:rsidRPr="00A70A73">
        <w:rPr>
          <w:rFonts w:ascii="Times New Roman" w:hAnsi="Times New Roman" w:cs="Times New Roman"/>
          <w:sz w:val="28"/>
          <w:szCs w:val="28"/>
        </w:rPr>
        <w:t>)</w:t>
      </w:r>
      <w:r w:rsidRPr="00A70A73">
        <w:rPr>
          <w:rFonts w:ascii="Times New Roman" w:hAnsi="Times New Roman" w:cs="Times New Roman"/>
          <w:sz w:val="28"/>
          <w:szCs w:val="28"/>
        </w:rPr>
        <w:t xml:space="preserve"> līmenī;</w:t>
      </w:r>
    </w:p>
    <w:p w:rsidR="00192FB9" w:rsidRPr="00A70A73" w:rsidRDefault="00EF1DC9" w:rsidP="00EF1DC9">
      <w:pPr>
        <w:pStyle w:val="ListParagraph"/>
        <w:numPr>
          <w:ilvl w:val="0"/>
          <w:numId w:val="22"/>
        </w:numPr>
        <w:spacing w:after="120" w:line="240" w:lineRule="auto"/>
        <w:ind w:left="851" w:firstLine="283"/>
        <w:jc w:val="both"/>
        <w:rPr>
          <w:rFonts w:ascii="Times New Roman" w:hAnsi="Times New Roman" w:cs="Times New Roman"/>
          <w:b/>
          <w:i/>
          <w:sz w:val="28"/>
          <w:szCs w:val="28"/>
        </w:rPr>
      </w:pPr>
      <w:r>
        <w:rPr>
          <w:rFonts w:ascii="Times New Roman" w:hAnsi="Times New Roman" w:cs="Times New Roman"/>
          <w:sz w:val="28"/>
          <w:szCs w:val="28"/>
        </w:rPr>
        <w:t>a</w:t>
      </w:r>
      <w:r w:rsidR="005B71B9" w:rsidRPr="00A70A73">
        <w:rPr>
          <w:rFonts w:ascii="Times New Roman" w:hAnsi="Times New Roman" w:cs="Times New Roman"/>
          <w:sz w:val="28"/>
          <w:szCs w:val="28"/>
        </w:rPr>
        <w:t xml:space="preserve">tzīme par reģistrāciju </w:t>
      </w:r>
      <w:r w:rsidR="00192FB9" w:rsidRPr="00A70A73">
        <w:rPr>
          <w:rFonts w:ascii="Times New Roman" w:hAnsi="Times New Roman" w:cs="Times New Roman"/>
          <w:sz w:val="28"/>
          <w:szCs w:val="28"/>
        </w:rPr>
        <w:t xml:space="preserve">un </w:t>
      </w:r>
      <w:r w:rsidR="005B71B9" w:rsidRPr="00A70A73">
        <w:rPr>
          <w:rFonts w:ascii="Times New Roman" w:hAnsi="Times New Roman" w:cs="Times New Roman"/>
          <w:sz w:val="28"/>
          <w:szCs w:val="28"/>
        </w:rPr>
        <w:t>likvidāciju</w:t>
      </w:r>
      <w:r>
        <w:rPr>
          <w:rFonts w:ascii="Times New Roman" w:hAnsi="Times New Roman" w:cs="Times New Roman"/>
          <w:sz w:val="28"/>
          <w:szCs w:val="28"/>
        </w:rPr>
        <w:t>.</w:t>
      </w:r>
    </w:p>
    <w:p w:rsidR="005E5D1E" w:rsidRPr="00A70A73" w:rsidRDefault="005E5D1E" w:rsidP="00A70A73">
      <w:pPr>
        <w:pStyle w:val="Default"/>
        <w:jc w:val="both"/>
        <w:rPr>
          <w:color w:val="auto"/>
          <w:sz w:val="28"/>
          <w:szCs w:val="28"/>
        </w:rPr>
      </w:pPr>
      <w:r w:rsidRPr="00A70A73">
        <w:rPr>
          <w:b/>
          <w:color w:val="auto"/>
          <w:sz w:val="28"/>
          <w:szCs w:val="28"/>
        </w:rPr>
        <w:t>2.etaps</w:t>
      </w:r>
      <w:r w:rsidRPr="00A70A73">
        <w:rPr>
          <w:color w:val="auto"/>
          <w:sz w:val="28"/>
          <w:szCs w:val="28"/>
        </w:rPr>
        <w:t xml:space="preserve">. </w:t>
      </w:r>
      <w:r w:rsidRPr="00A70A73">
        <w:rPr>
          <w:color w:val="auto"/>
          <w:sz w:val="28"/>
          <w:szCs w:val="28"/>
          <w:u w:val="single"/>
        </w:rPr>
        <w:t>Divu un vairāk VDVV pamatprincipi SUR</w:t>
      </w:r>
      <w:r w:rsidRPr="00A70A73">
        <w:rPr>
          <w:color w:val="auto"/>
          <w:sz w:val="28"/>
          <w:szCs w:val="28"/>
        </w:rPr>
        <w:t>:</w:t>
      </w:r>
    </w:p>
    <w:p w:rsidR="009C12B1" w:rsidRPr="00A70A73" w:rsidRDefault="009C12B1" w:rsidP="008C7ED5">
      <w:pPr>
        <w:pStyle w:val="Default"/>
        <w:spacing w:before="120" w:after="120"/>
        <w:ind w:firstLine="720"/>
        <w:jc w:val="both"/>
        <w:rPr>
          <w:color w:val="auto"/>
          <w:sz w:val="28"/>
          <w:szCs w:val="28"/>
          <w:vertAlign w:val="superscript"/>
        </w:rPr>
      </w:pPr>
      <w:r w:rsidRPr="00A70A73">
        <w:rPr>
          <w:color w:val="auto"/>
          <w:sz w:val="28"/>
          <w:szCs w:val="28"/>
        </w:rPr>
        <w:t>L</w:t>
      </w:r>
      <w:r w:rsidR="005E5D1E" w:rsidRPr="00A70A73">
        <w:rPr>
          <w:color w:val="auto"/>
          <w:sz w:val="28"/>
          <w:szCs w:val="28"/>
        </w:rPr>
        <w:t xml:space="preserve">ai uzturētu </w:t>
      </w:r>
      <w:r w:rsidR="008C7ED5">
        <w:rPr>
          <w:color w:val="auto"/>
          <w:sz w:val="28"/>
          <w:szCs w:val="28"/>
        </w:rPr>
        <w:t>informāciju par DVV statistikai,</w:t>
      </w:r>
      <w:r w:rsidR="005E5D1E" w:rsidRPr="00A70A73">
        <w:rPr>
          <w:color w:val="auto"/>
          <w:sz w:val="28"/>
          <w:szCs w:val="28"/>
        </w:rPr>
        <w:t xml:space="preserve"> ir </w:t>
      </w:r>
      <w:r w:rsidR="005E5D1E" w:rsidRPr="00A70A73">
        <w:rPr>
          <w:b/>
          <w:color w:val="auto"/>
          <w:sz w:val="28"/>
          <w:szCs w:val="28"/>
          <w:u w:val="single"/>
        </w:rPr>
        <w:t>jāspēj katrai vienībai uzrādīt vai aprēķināt vismaz</w:t>
      </w:r>
      <w:r w:rsidRPr="00A70A73">
        <w:rPr>
          <w:b/>
          <w:noProof/>
          <w:color w:val="auto"/>
          <w:sz w:val="28"/>
          <w:szCs w:val="28"/>
        </w:rPr>
        <w:t xml:space="preserve"> katras vienības </w:t>
      </w:r>
      <w:r w:rsidRPr="00A70A73">
        <w:rPr>
          <w:b/>
          <w:color w:val="auto"/>
          <w:sz w:val="28"/>
          <w:szCs w:val="28"/>
        </w:rPr>
        <w:t>ražošanas vērtību, starppatēriņu, darbaspēka izmaksas, pamatdarbības pārpalikumu, nodarbinātību un bruto pamatkapitāla veidošanu</w:t>
      </w:r>
      <w:r w:rsidRPr="00A70A73">
        <w:rPr>
          <w:color w:val="auto"/>
          <w:sz w:val="28"/>
          <w:szCs w:val="28"/>
        </w:rPr>
        <w:t>.</w:t>
      </w:r>
      <w:r w:rsidRPr="00A70A73">
        <w:rPr>
          <w:color w:val="auto"/>
          <w:sz w:val="28"/>
          <w:szCs w:val="28"/>
          <w:vertAlign w:val="superscript"/>
        </w:rPr>
        <w:t xml:space="preserve"> </w:t>
      </w:r>
    </w:p>
    <w:p w:rsidR="005E5D1E" w:rsidRPr="00A70A73" w:rsidRDefault="009C12B1" w:rsidP="00A70A73">
      <w:pPr>
        <w:spacing w:after="0" w:line="240" w:lineRule="auto"/>
        <w:jc w:val="both"/>
        <w:rPr>
          <w:rFonts w:ascii="Times New Roman" w:hAnsi="Times New Roman" w:cs="Times New Roman"/>
          <w:b/>
          <w:sz w:val="28"/>
          <w:szCs w:val="28"/>
          <w:u w:val="single"/>
        </w:rPr>
      </w:pPr>
      <w:r w:rsidRPr="00A70A73">
        <w:rPr>
          <w:rFonts w:ascii="Times New Roman" w:hAnsi="Times New Roman" w:cs="Times New Roman"/>
          <w:b/>
          <w:sz w:val="28"/>
          <w:szCs w:val="28"/>
          <w:u w:val="single"/>
        </w:rPr>
        <w:t xml:space="preserve"> </w:t>
      </w:r>
    </w:p>
    <w:p w:rsidR="005E5D1E" w:rsidRPr="00A70A73" w:rsidRDefault="005E5D1E" w:rsidP="008C7ED5">
      <w:pPr>
        <w:spacing w:after="120" w:line="240" w:lineRule="auto"/>
        <w:ind w:firstLine="720"/>
        <w:jc w:val="both"/>
        <w:rPr>
          <w:rFonts w:ascii="Times New Roman" w:hAnsi="Times New Roman" w:cs="Times New Roman"/>
          <w:sz w:val="28"/>
          <w:szCs w:val="28"/>
        </w:rPr>
      </w:pPr>
      <w:r w:rsidRPr="00A70A73">
        <w:rPr>
          <w:rFonts w:ascii="Times New Roman" w:hAnsi="Times New Roman" w:cs="Times New Roman"/>
          <w:sz w:val="28"/>
          <w:szCs w:val="28"/>
        </w:rPr>
        <w:t xml:space="preserve">Gadījumos, </w:t>
      </w:r>
      <w:r w:rsidRPr="00A70A73">
        <w:rPr>
          <w:rFonts w:ascii="Times New Roman" w:hAnsi="Times New Roman" w:cs="Times New Roman"/>
          <w:b/>
          <w:sz w:val="28"/>
          <w:szCs w:val="28"/>
          <w:u w:val="single"/>
        </w:rPr>
        <w:t>ja nav iespējams iegūt vai aprēķināt datu</w:t>
      </w:r>
      <w:r w:rsidRPr="00A70A73">
        <w:rPr>
          <w:rFonts w:ascii="Times New Roman" w:hAnsi="Times New Roman" w:cs="Times New Roman"/>
          <w:sz w:val="28"/>
          <w:szCs w:val="28"/>
          <w:u w:val="single"/>
        </w:rPr>
        <w:t>s</w:t>
      </w:r>
      <w:r w:rsidRPr="00A70A73">
        <w:rPr>
          <w:rFonts w:ascii="Times New Roman" w:hAnsi="Times New Roman" w:cs="Times New Roman"/>
          <w:sz w:val="28"/>
          <w:szCs w:val="28"/>
        </w:rPr>
        <w:t xml:space="preserve"> par DVV pa </w:t>
      </w:r>
      <w:r w:rsidR="00663A0A" w:rsidRPr="00A70A73">
        <w:rPr>
          <w:rFonts w:ascii="Times New Roman" w:hAnsi="Times New Roman" w:cs="Times New Roman"/>
          <w:sz w:val="28"/>
          <w:szCs w:val="28"/>
        </w:rPr>
        <w:t xml:space="preserve">iepriekšminētajiem </w:t>
      </w:r>
      <w:r w:rsidRPr="00A70A73">
        <w:rPr>
          <w:rFonts w:ascii="Times New Roman" w:hAnsi="Times New Roman" w:cs="Times New Roman"/>
          <w:sz w:val="28"/>
          <w:szCs w:val="28"/>
        </w:rPr>
        <w:t xml:space="preserve">rādītājiem, </w:t>
      </w:r>
      <w:r w:rsidRPr="00A70A73">
        <w:rPr>
          <w:rFonts w:ascii="Times New Roman" w:hAnsi="Times New Roman" w:cs="Times New Roman"/>
          <w:b/>
          <w:sz w:val="28"/>
          <w:szCs w:val="28"/>
          <w:u w:val="single"/>
        </w:rPr>
        <w:t xml:space="preserve">VDVV, izņemot palīgdarbības, netiek izdalīta un </w:t>
      </w:r>
      <w:r w:rsidR="00663A0A" w:rsidRPr="00A70A73">
        <w:rPr>
          <w:rFonts w:ascii="Times New Roman" w:hAnsi="Times New Roman" w:cs="Times New Roman"/>
          <w:b/>
          <w:sz w:val="28"/>
          <w:szCs w:val="28"/>
          <w:u w:val="single"/>
        </w:rPr>
        <w:t xml:space="preserve">fiksēta </w:t>
      </w:r>
      <w:r w:rsidRPr="00A70A73">
        <w:rPr>
          <w:rFonts w:ascii="Times New Roman" w:hAnsi="Times New Roman" w:cs="Times New Roman"/>
          <w:b/>
          <w:sz w:val="28"/>
          <w:szCs w:val="28"/>
          <w:u w:val="single"/>
        </w:rPr>
        <w:t>SUR</w:t>
      </w:r>
      <w:r w:rsidR="00EE5817" w:rsidRPr="00A70A73">
        <w:rPr>
          <w:rFonts w:ascii="Times New Roman" w:hAnsi="Times New Roman" w:cs="Times New Roman"/>
          <w:b/>
          <w:sz w:val="28"/>
          <w:szCs w:val="28"/>
          <w:u w:val="single"/>
        </w:rPr>
        <w:t>.</w:t>
      </w:r>
      <w:r w:rsidR="00EE5817" w:rsidRPr="008C7ED5">
        <w:rPr>
          <w:rFonts w:ascii="Times New Roman" w:hAnsi="Times New Roman" w:cs="Times New Roman"/>
          <w:b/>
          <w:sz w:val="28"/>
          <w:szCs w:val="28"/>
        </w:rPr>
        <w:t xml:space="preserve"> </w:t>
      </w:r>
      <w:r w:rsidRPr="00A70A73">
        <w:rPr>
          <w:rFonts w:ascii="Times New Roman" w:hAnsi="Times New Roman" w:cs="Times New Roman"/>
          <w:sz w:val="28"/>
          <w:szCs w:val="28"/>
        </w:rPr>
        <w:t>Viena uzņēmuma divas un vairāk aktīvas VDVV statistikā vairs netiek uzskaitītas, ja neatbilst noteikšanas pamatprincipiem 2 gadus pēc kārtas (t+2).</w:t>
      </w:r>
    </w:p>
    <w:p w:rsidR="007F02A3" w:rsidRPr="00A70A73" w:rsidRDefault="007F02A3" w:rsidP="008C7ED5">
      <w:pPr>
        <w:spacing w:after="0" w:line="240" w:lineRule="auto"/>
        <w:ind w:firstLine="720"/>
        <w:jc w:val="both"/>
        <w:rPr>
          <w:rFonts w:ascii="Times New Roman" w:hAnsi="Times New Roman" w:cs="Times New Roman"/>
          <w:sz w:val="28"/>
          <w:szCs w:val="28"/>
        </w:rPr>
      </w:pPr>
      <w:r w:rsidRPr="00A70A73">
        <w:rPr>
          <w:rFonts w:ascii="Times New Roman" w:hAnsi="Times New Roman" w:cs="Times New Roman"/>
          <w:sz w:val="28"/>
          <w:szCs w:val="28"/>
        </w:rPr>
        <w:t>Informācijas par VDVV aktualizācijas avoti</w:t>
      </w:r>
      <w:r w:rsidR="00EE5817" w:rsidRPr="00A70A73">
        <w:rPr>
          <w:rFonts w:ascii="Times New Roman" w:hAnsi="Times New Roman" w:cs="Times New Roman"/>
          <w:sz w:val="28"/>
          <w:szCs w:val="28"/>
        </w:rPr>
        <w:t xml:space="preserve"> ir administratīvie dati (</w:t>
      </w:r>
      <w:r w:rsidRPr="00A70A73">
        <w:rPr>
          <w:rFonts w:ascii="Times New Roman" w:hAnsi="Times New Roman" w:cs="Times New Roman"/>
          <w:sz w:val="28"/>
          <w:szCs w:val="28"/>
        </w:rPr>
        <w:t xml:space="preserve">VID </w:t>
      </w:r>
      <w:r w:rsidR="00EE5817" w:rsidRPr="00A70A73">
        <w:rPr>
          <w:rFonts w:ascii="Times New Roman" w:hAnsi="Times New Roman" w:cs="Times New Roman"/>
          <w:sz w:val="28"/>
          <w:szCs w:val="28"/>
        </w:rPr>
        <w:t xml:space="preserve">ikmēneša </w:t>
      </w:r>
      <w:r w:rsidR="008C7ED5">
        <w:rPr>
          <w:rFonts w:ascii="Times New Roman" w:hAnsi="Times New Roman" w:cs="Times New Roman"/>
          <w:sz w:val="28"/>
          <w:szCs w:val="28"/>
        </w:rPr>
        <w:t>informācija par reģistrētām/</w:t>
      </w:r>
      <w:r w:rsidRPr="00A70A73">
        <w:rPr>
          <w:rFonts w:ascii="Times New Roman" w:hAnsi="Times New Roman" w:cs="Times New Roman"/>
          <w:sz w:val="28"/>
          <w:szCs w:val="28"/>
        </w:rPr>
        <w:t>likvidētām struktūrvienībām un to adresēm</w:t>
      </w:r>
      <w:r w:rsidR="00035DD7" w:rsidRPr="00A70A73">
        <w:rPr>
          <w:rFonts w:ascii="Times New Roman" w:hAnsi="Times New Roman" w:cs="Times New Roman"/>
          <w:sz w:val="28"/>
          <w:szCs w:val="28"/>
        </w:rPr>
        <w:t>,</w:t>
      </w:r>
      <w:r w:rsidR="00EE5817" w:rsidRPr="00A70A73">
        <w:rPr>
          <w:rFonts w:ascii="Times New Roman" w:hAnsi="Times New Roman" w:cs="Times New Roman"/>
          <w:sz w:val="28"/>
          <w:szCs w:val="28"/>
        </w:rPr>
        <w:t xml:space="preserve"> statistikas pārskatu </w:t>
      </w:r>
      <w:r w:rsidR="00035DD7" w:rsidRPr="00A70A73">
        <w:rPr>
          <w:rFonts w:ascii="Times New Roman" w:hAnsi="Times New Roman" w:cs="Times New Roman"/>
          <w:sz w:val="28"/>
          <w:szCs w:val="28"/>
        </w:rPr>
        <w:t xml:space="preserve">un citu </w:t>
      </w:r>
      <w:r w:rsidR="00035DD7" w:rsidRPr="00A70A73">
        <w:rPr>
          <w:rFonts w:ascii="Times New Roman" w:hAnsi="Times New Roman" w:cs="Times New Roman"/>
          <w:iCs/>
          <w:sz w:val="28"/>
          <w:szCs w:val="28"/>
        </w:rPr>
        <w:t>ārējo informācijas avotu dati</w:t>
      </w:r>
      <w:r w:rsidR="00035DD7" w:rsidRPr="00A70A73">
        <w:rPr>
          <w:rFonts w:ascii="Times New Roman" w:hAnsi="Times New Roman" w:cs="Times New Roman"/>
          <w:sz w:val="28"/>
          <w:szCs w:val="28"/>
        </w:rPr>
        <w:t>.</w:t>
      </w:r>
    </w:p>
    <w:p w:rsidR="00286287" w:rsidRPr="00286287" w:rsidRDefault="00286287" w:rsidP="008C7ED5">
      <w:pPr>
        <w:spacing w:after="120" w:line="240" w:lineRule="auto"/>
        <w:ind w:firstLine="720"/>
        <w:jc w:val="both"/>
        <w:rPr>
          <w:rFonts w:ascii="Times New Roman" w:hAnsi="Times New Roman" w:cs="Times New Roman"/>
          <w:sz w:val="16"/>
          <w:szCs w:val="16"/>
        </w:rPr>
      </w:pPr>
    </w:p>
    <w:p w:rsidR="00035DD7" w:rsidRPr="00A70A73" w:rsidRDefault="007F02A3" w:rsidP="008C7ED5">
      <w:pPr>
        <w:spacing w:after="120" w:line="240" w:lineRule="auto"/>
        <w:ind w:firstLine="720"/>
        <w:jc w:val="both"/>
        <w:rPr>
          <w:rFonts w:ascii="Times New Roman" w:hAnsi="Times New Roman" w:cs="Times New Roman"/>
          <w:sz w:val="28"/>
          <w:szCs w:val="28"/>
        </w:rPr>
      </w:pPr>
      <w:r w:rsidRPr="00A70A73">
        <w:rPr>
          <w:rFonts w:ascii="Times New Roman" w:hAnsi="Times New Roman" w:cs="Times New Roman"/>
          <w:sz w:val="28"/>
          <w:szCs w:val="28"/>
        </w:rPr>
        <w:t>Pamatinformācija VDVV reģistrēšanai tiek saņemta no VID par reģistrētām uzņēmumu struktūrvienībām, taču atšķirības  dažādu administratīvo datu uzturēšanā un statistikas jomu metodoloģijā apgrūtina datu integrēšanu SUR.</w:t>
      </w:r>
    </w:p>
    <w:p w:rsidR="00035DD7" w:rsidRPr="00A70A73" w:rsidRDefault="00035DD7" w:rsidP="008C7ED5">
      <w:pPr>
        <w:spacing w:after="120" w:line="240" w:lineRule="auto"/>
        <w:ind w:firstLine="720"/>
        <w:jc w:val="both"/>
        <w:rPr>
          <w:rFonts w:ascii="Times New Roman" w:hAnsi="Times New Roman" w:cs="Times New Roman"/>
          <w:i/>
          <w:sz w:val="28"/>
          <w:szCs w:val="28"/>
        </w:rPr>
      </w:pPr>
      <w:r w:rsidRPr="00A70A73">
        <w:rPr>
          <w:rFonts w:ascii="Times New Roman" w:hAnsi="Times New Roman" w:cs="Times New Roman"/>
          <w:sz w:val="28"/>
          <w:szCs w:val="28"/>
        </w:rPr>
        <w:t xml:space="preserve">Piemēram, </w:t>
      </w:r>
      <w:r w:rsidRPr="00A70A73">
        <w:rPr>
          <w:rFonts w:ascii="Times New Roman" w:hAnsi="Times New Roman" w:cs="Times New Roman"/>
          <w:i/>
          <w:sz w:val="28"/>
          <w:szCs w:val="28"/>
        </w:rPr>
        <w:t>i</w:t>
      </w:r>
      <w:r w:rsidR="007F02A3" w:rsidRPr="00A70A73">
        <w:rPr>
          <w:rFonts w:ascii="Times New Roman" w:hAnsi="Times New Roman" w:cs="Times New Roman"/>
          <w:i/>
          <w:sz w:val="28"/>
          <w:szCs w:val="28"/>
        </w:rPr>
        <w:t>nformācijas par vidējo darbinieku skaitu, strādājošo skaitu uzturēšanai SUR netiek veikts statistiskais apsekojums, bet gan tiek izmantota p</w:t>
      </w:r>
      <w:r w:rsidR="008C7ED5">
        <w:rPr>
          <w:rFonts w:ascii="Times New Roman" w:hAnsi="Times New Roman" w:cs="Times New Roman"/>
          <w:i/>
          <w:sz w:val="28"/>
          <w:szCs w:val="28"/>
        </w:rPr>
        <w:t xml:space="preserve">ieejamā informācija no citiem </w:t>
      </w:r>
      <w:r w:rsidR="007F02A3" w:rsidRPr="00A70A73">
        <w:rPr>
          <w:rFonts w:ascii="Times New Roman" w:hAnsi="Times New Roman" w:cs="Times New Roman"/>
          <w:i/>
          <w:sz w:val="28"/>
          <w:szCs w:val="28"/>
        </w:rPr>
        <w:t>P</w:t>
      </w:r>
      <w:r w:rsidR="008C7ED5">
        <w:rPr>
          <w:rFonts w:ascii="Times New Roman" w:hAnsi="Times New Roman" w:cs="Times New Roman"/>
          <w:i/>
          <w:sz w:val="28"/>
          <w:szCs w:val="28"/>
        </w:rPr>
        <w:t>ārvaldes</w:t>
      </w:r>
      <w:r w:rsidR="007F02A3" w:rsidRPr="00A70A73">
        <w:rPr>
          <w:rFonts w:ascii="Times New Roman" w:hAnsi="Times New Roman" w:cs="Times New Roman"/>
          <w:i/>
          <w:sz w:val="28"/>
          <w:szCs w:val="28"/>
        </w:rPr>
        <w:t xml:space="preserve"> apsekojumiem vai VID</w:t>
      </w:r>
      <w:r w:rsidRPr="00A70A73">
        <w:rPr>
          <w:rFonts w:ascii="Times New Roman" w:hAnsi="Times New Roman" w:cs="Times New Roman"/>
          <w:i/>
          <w:sz w:val="28"/>
          <w:szCs w:val="28"/>
        </w:rPr>
        <w:t>,</w:t>
      </w:r>
      <w:r w:rsidR="007F02A3" w:rsidRPr="00A70A73">
        <w:rPr>
          <w:rFonts w:ascii="Times New Roman" w:hAnsi="Times New Roman" w:cs="Times New Roman"/>
          <w:i/>
          <w:sz w:val="28"/>
          <w:szCs w:val="28"/>
        </w:rPr>
        <w:t xml:space="preserve"> un katrā jomā atšķiras uzturamā informācija</w:t>
      </w:r>
      <w:r w:rsidR="008C7ED5">
        <w:rPr>
          <w:rFonts w:ascii="Times New Roman" w:hAnsi="Times New Roman" w:cs="Times New Roman"/>
          <w:i/>
          <w:sz w:val="28"/>
          <w:szCs w:val="28"/>
        </w:rPr>
        <w:t>.</w:t>
      </w:r>
    </w:p>
    <w:p w:rsidR="007F02A3" w:rsidRPr="00A70A73" w:rsidRDefault="007F02A3" w:rsidP="008C7ED5">
      <w:pPr>
        <w:spacing w:after="120" w:line="240" w:lineRule="auto"/>
        <w:ind w:firstLine="720"/>
        <w:jc w:val="both"/>
        <w:rPr>
          <w:rFonts w:ascii="Times New Roman" w:hAnsi="Times New Roman" w:cs="Times New Roman"/>
          <w:i/>
          <w:sz w:val="28"/>
          <w:szCs w:val="28"/>
        </w:rPr>
      </w:pPr>
      <w:r w:rsidRPr="00A70A73">
        <w:rPr>
          <w:rFonts w:ascii="Times New Roman" w:hAnsi="Times New Roman" w:cs="Times New Roman"/>
          <w:i/>
          <w:sz w:val="28"/>
          <w:szCs w:val="28"/>
        </w:rPr>
        <w:t>VID uztur informāciju par darbinieku skaitu, darba samaksas statistika uztur informāciju pēc strādājošo skaita, uzņēmējdarbības strukturālā statistika</w:t>
      </w:r>
      <w:r w:rsidR="00035DD7" w:rsidRPr="00A70A73">
        <w:rPr>
          <w:rFonts w:ascii="Times New Roman" w:hAnsi="Times New Roman" w:cs="Times New Roman"/>
          <w:i/>
          <w:sz w:val="28"/>
          <w:szCs w:val="28"/>
        </w:rPr>
        <w:t xml:space="preserve"> -</w:t>
      </w:r>
      <w:r w:rsidRPr="00A70A73">
        <w:rPr>
          <w:rFonts w:ascii="Times New Roman" w:hAnsi="Times New Roman" w:cs="Times New Roman"/>
          <w:i/>
          <w:sz w:val="28"/>
          <w:szCs w:val="28"/>
        </w:rPr>
        <w:t xml:space="preserve"> vidējo nodarbināto skaitu gadā. Papildus tam jāatzīmē, ka no VID tiek saņemta informācija par vienības nosaukumu, reģistrācijas vai likvidācijas datumu, atrašanās vietu, bet </w:t>
      </w:r>
      <w:r w:rsidRPr="00A70A73">
        <w:rPr>
          <w:rFonts w:ascii="Times New Roman" w:hAnsi="Times New Roman" w:cs="Times New Roman"/>
          <w:b/>
          <w:i/>
          <w:sz w:val="28"/>
          <w:szCs w:val="28"/>
        </w:rPr>
        <w:t>nav pieejama informācija par vienības NACE kodu, strādājošo skaitu.</w:t>
      </w:r>
      <w:r w:rsidRPr="00A70A73">
        <w:rPr>
          <w:rFonts w:ascii="Times New Roman" w:hAnsi="Times New Roman" w:cs="Times New Roman"/>
          <w:i/>
          <w:sz w:val="28"/>
          <w:szCs w:val="28"/>
        </w:rPr>
        <w:t xml:space="preserve"> VDVV pārskata periodā tiek </w:t>
      </w:r>
      <w:r w:rsidR="005907AC" w:rsidRPr="00A70A73">
        <w:rPr>
          <w:rFonts w:ascii="Times New Roman" w:hAnsi="Times New Roman" w:cs="Times New Roman"/>
          <w:i/>
          <w:sz w:val="28"/>
          <w:szCs w:val="28"/>
        </w:rPr>
        <w:t xml:space="preserve">fiksēta </w:t>
      </w:r>
      <w:r w:rsidRPr="00A70A73">
        <w:rPr>
          <w:rFonts w:ascii="Times New Roman" w:hAnsi="Times New Roman" w:cs="Times New Roman"/>
          <w:i/>
          <w:sz w:val="28"/>
          <w:szCs w:val="28"/>
        </w:rPr>
        <w:t xml:space="preserve">tikai tad, ja </w:t>
      </w:r>
      <w:r w:rsidR="005907AC" w:rsidRPr="00A70A73">
        <w:rPr>
          <w:rFonts w:ascii="Times New Roman" w:hAnsi="Times New Roman" w:cs="Times New Roman"/>
          <w:i/>
          <w:sz w:val="28"/>
          <w:szCs w:val="28"/>
        </w:rPr>
        <w:t xml:space="preserve">ir informācija par nodarbinātajiem, </w:t>
      </w:r>
      <w:r w:rsidRPr="00A70A73">
        <w:rPr>
          <w:rFonts w:ascii="Times New Roman" w:hAnsi="Times New Roman" w:cs="Times New Roman"/>
          <w:i/>
          <w:sz w:val="28"/>
          <w:szCs w:val="28"/>
        </w:rPr>
        <w:t xml:space="preserve"> kaut vai nepilnu darba laiku</w:t>
      </w:r>
      <w:r w:rsidR="005907AC" w:rsidRPr="00A70A73">
        <w:rPr>
          <w:rFonts w:ascii="Times New Roman" w:hAnsi="Times New Roman" w:cs="Times New Roman"/>
          <w:i/>
          <w:sz w:val="28"/>
          <w:szCs w:val="28"/>
        </w:rPr>
        <w:t>.</w:t>
      </w:r>
      <w:r w:rsidRPr="00A70A73">
        <w:rPr>
          <w:rFonts w:ascii="Times New Roman" w:hAnsi="Times New Roman" w:cs="Times New Roman"/>
          <w:i/>
          <w:sz w:val="28"/>
          <w:szCs w:val="28"/>
        </w:rPr>
        <w:t xml:space="preserve"> </w:t>
      </w:r>
    </w:p>
    <w:p w:rsidR="005907AC" w:rsidRPr="00A70A73" w:rsidRDefault="007F02A3" w:rsidP="00A70A73">
      <w:pPr>
        <w:spacing w:after="120" w:line="240" w:lineRule="auto"/>
        <w:jc w:val="both"/>
        <w:rPr>
          <w:rFonts w:ascii="Times New Roman" w:hAnsi="Times New Roman" w:cs="Times New Roman"/>
          <w:sz w:val="28"/>
          <w:szCs w:val="28"/>
        </w:rPr>
      </w:pPr>
      <w:r w:rsidRPr="00A70A73">
        <w:rPr>
          <w:rFonts w:ascii="Times New Roman" w:hAnsi="Times New Roman" w:cs="Times New Roman"/>
          <w:i/>
          <w:sz w:val="28"/>
          <w:szCs w:val="28"/>
        </w:rPr>
        <w:t>Piemēr</w:t>
      </w:r>
      <w:r w:rsidR="005907AC" w:rsidRPr="00A70A73">
        <w:rPr>
          <w:rFonts w:ascii="Times New Roman" w:hAnsi="Times New Roman" w:cs="Times New Roman"/>
          <w:i/>
          <w:sz w:val="28"/>
          <w:szCs w:val="28"/>
        </w:rPr>
        <w:t>i</w:t>
      </w:r>
      <w:r w:rsidRPr="00A70A73">
        <w:rPr>
          <w:rFonts w:ascii="Times New Roman" w:hAnsi="Times New Roman" w:cs="Times New Roman"/>
          <w:i/>
          <w:sz w:val="28"/>
          <w:szCs w:val="28"/>
        </w:rPr>
        <w:t>:</w:t>
      </w:r>
      <w:r w:rsidR="004C1AC8" w:rsidRPr="00A70A73">
        <w:rPr>
          <w:rFonts w:ascii="Times New Roman" w:hAnsi="Times New Roman" w:cs="Times New Roman"/>
          <w:sz w:val="28"/>
          <w:szCs w:val="28"/>
        </w:rPr>
        <w:t xml:space="preserve"> </w:t>
      </w:r>
    </w:p>
    <w:p w:rsidR="005E5D1E" w:rsidRPr="00A70A73" w:rsidRDefault="004C1AC8" w:rsidP="00A70A73">
      <w:pPr>
        <w:pStyle w:val="ListParagraph"/>
        <w:numPr>
          <w:ilvl w:val="0"/>
          <w:numId w:val="38"/>
        </w:numPr>
        <w:spacing w:after="120" w:line="240" w:lineRule="auto"/>
        <w:jc w:val="both"/>
        <w:rPr>
          <w:rFonts w:ascii="Times New Roman" w:hAnsi="Times New Roman" w:cs="Times New Roman"/>
          <w:i/>
          <w:sz w:val="28"/>
          <w:szCs w:val="28"/>
        </w:rPr>
      </w:pPr>
      <w:r w:rsidRPr="00A70A73">
        <w:rPr>
          <w:rFonts w:ascii="Times New Roman" w:hAnsi="Times New Roman" w:cs="Times New Roman"/>
          <w:i/>
          <w:sz w:val="28"/>
          <w:szCs w:val="28"/>
        </w:rPr>
        <w:t>Zemkopības ministrijas Valsts meža dienesta struktūrā</w:t>
      </w:r>
      <w:r w:rsidR="007F02A3" w:rsidRPr="00A70A73">
        <w:rPr>
          <w:rFonts w:ascii="Times New Roman" w:hAnsi="Times New Roman" w:cs="Times New Roman"/>
          <w:i/>
          <w:sz w:val="28"/>
          <w:szCs w:val="28"/>
        </w:rPr>
        <w:t xml:space="preserve"> ir mežniecība</w:t>
      </w:r>
      <w:r w:rsidR="00192FB9" w:rsidRPr="00A70A73">
        <w:rPr>
          <w:rFonts w:ascii="Times New Roman" w:hAnsi="Times New Roman" w:cs="Times New Roman"/>
          <w:i/>
          <w:sz w:val="28"/>
          <w:szCs w:val="28"/>
        </w:rPr>
        <w:t>s</w:t>
      </w:r>
      <w:r w:rsidRPr="00A70A73">
        <w:rPr>
          <w:rFonts w:ascii="Times New Roman" w:hAnsi="Times New Roman" w:cs="Times New Roman"/>
          <w:i/>
          <w:sz w:val="28"/>
          <w:szCs w:val="28"/>
        </w:rPr>
        <w:t xml:space="preserve"> (Mež</w:t>
      </w:r>
      <w:r w:rsidR="009517FE" w:rsidRPr="00A70A73">
        <w:rPr>
          <w:rFonts w:ascii="Times New Roman" w:hAnsi="Times New Roman" w:cs="Times New Roman"/>
          <w:i/>
          <w:sz w:val="28"/>
          <w:szCs w:val="28"/>
        </w:rPr>
        <w:t>s</w:t>
      </w:r>
      <w:r w:rsidRPr="00A70A73">
        <w:rPr>
          <w:rFonts w:ascii="Times New Roman" w:hAnsi="Times New Roman" w:cs="Times New Roman"/>
          <w:i/>
          <w:sz w:val="28"/>
          <w:szCs w:val="28"/>
        </w:rPr>
        <w:t>aimniecības palīgdarbības</w:t>
      </w:r>
      <w:r w:rsidR="001724CA" w:rsidRPr="00A70A73">
        <w:rPr>
          <w:rFonts w:ascii="Times New Roman" w:hAnsi="Times New Roman" w:cs="Times New Roman"/>
          <w:i/>
          <w:sz w:val="28"/>
          <w:szCs w:val="28"/>
        </w:rPr>
        <w:t xml:space="preserve"> (NACE 02.40)</w:t>
      </w:r>
      <w:r w:rsidRPr="00A70A73">
        <w:rPr>
          <w:rFonts w:ascii="Times New Roman" w:hAnsi="Times New Roman" w:cs="Times New Roman"/>
          <w:i/>
          <w:sz w:val="28"/>
          <w:szCs w:val="28"/>
        </w:rPr>
        <w:t>)</w:t>
      </w:r>
      <w:r w:rsidR="007F02A3" w:rsidRPr="00A70A73">
        <w:rPr>
          <w:rFonts w:ascii="Times New Roman" w:hAnsi="Times New Roman" w:cs="Times New Roman"/>
          <w:i/>
          <w:sz w:val="28"/>
          <w:szCs w:val="28"/>
        </w:rPr>
        <w:t xml:space="preserve">, kas atrodas dažādās valsts teritorijās. VID ir iespējams iegūt tikai kopējo </w:t>
      </w:r>
      <w:r w:rsidRPr="00A70A73">
        <w:rPr>
          <w:rFonts w:ascii="Times New Roman" w:hAnsi="Times New Roman" w:cs="Times New Roman"/>
          <w:i/>
          <w:sz w:val="28"/>
          <w:szCs w:val="28"/>
        </w:rPr>
        <w:t xml:space="preserve">struktūrvienību skaitu un atrašanās </w:t>
      </w:r>
      <w:r w:rsidR="00C3631F" w:rsidRPr="00A70A73">
        <w:rPr>
          <w:rFonts w:ascii="Times New Roman" w:hAnsi="Times New Roman" w:cs="Times New Roman"/>
          <w:i/>
          <w:sz w:val="28"/>
          <w:szCs w:val="28"/>
        </w:rPr>
        <w:t>vietu. Uzņēmumam ir reģistrētas 1 DVV, 11 VDVV un 11 VV.</w:t>
      </w:r>
    </w:p>
    <w:p w:rsidR="005E5D1E" w:rsidRPr="00A70A73" w:rsidRDefault="005E5D1E" w:rsidP="00A70A73">
      <w:pPr>
        <w:pStyle w:val="Default"/>
        <w:numPr>
          <w:ilvl w:val="0"/>
          <w:numId w:val="19"/>
        </w:numPr>
        <w:jc w:val="both"/>
        <w:rPr>
          <w:i/>
          <w:color w:val="auto"/>
          <w:sz w:val="28"/>
          <w:szCs w:val="28"/>
        </w:rPr>
      </w:pPr>
      <w:r w:rsidRPr="00A70A73">
        <w:rPr>
          <w:i/>
          <w:color w:val="auto"/>
          <w:sz w:val="28"/>
          <w:szCs w:val="28"/>
        </w:rPr>
        <w:t>AS Latvijas balz</w:t>
      </w:r>
      <w:r w:rsidR="00C3631F" w:rsidRPr="00A70A73">
        <w:rPr>
          <w:i/>
          <w:color w:val="auto"/>
          <w:sz w:val="28"/>
          <w:szCs w:val="28"/>
        </w:rPr>
        <w:t>a</w:t>
      </w:r>
      <w:r w:rsidRPr="00A70A73">
        <w:rPr>
          <w:i/>
          <w:color w:val="auto"/>
          <w:sz w:val="28"/>
          <w:szCs w:val="28"/>
        </w:rPr>
        <w:t>ms</w:t>
      </w:r>
      <w:r w:rsidR="001724CA" w:rsidRPr="00A70A73">
        <w:rPr>
          <w:i/>
          <w:color w:val="auto"/>
          <w:sz w:val="28"/>
          <w:szCs w:val="28"/>
        </w:rPr>
        <w:t xml:space="preserve"> ir vairāki darbības veidi: </w:t>
      </w:r>
      <w:r w:rsidR="00921601" w:rsidRPr="00A70A73">
        <w:rPr>
          <w:i/>
          <w:color w:val="auto"/>
          <w:sz w:val="28"/>
          <w:szCs w:val="28"/>
        </w:rPr>
        <w:t>s</w:t>
      </w:r>
      <w:r w:rsidR="001724CA" w:rsidRPr="00A70A73">
        <w:rPr>
          <w:i/>
          <w:color w:val="auto"/>
          <w:sz w:val="28"/>
          <w:szCs w:val="28"/>
        </w:rPr>
        <w:t>pirtu destilēšana, rektificēšana un maisīšana (</w:t>
      </w:r>
      <w:r w:rsidRPr="00A70A73">
        <w:rPr>
          <w:i/>
          <w:color w:val="auto"/>
          <w:sz w:val="28"/>
          <w:szCs w:val="28"/>
        </w:rPr>
        <w:t>NACE 11</w:t>
      </w:r>
      <w:r w:rsidR="001724CA" w:rsidRPr="00A70A73">
        <w:rPr>
          <w:i/>
          <w:color w:val="auto"/>
          <w:sz w:val="28"/>
          <w:szCs w:val="28"/>
        </w:rPr>
        <w:t xml:space="preserve">.0); </w:t>
      </w:r>
      <w:r w:rsidR="00921601" w:rsidRPr="00A70A73">
        <w:rPr>
          <w:i/>
          <w:color w:val="auto"/>
          <w:sz w:val="28"/>
          <w:szCs w:val="28"/>
        </w:rPr>
        <w:t>v</w:t>
      </w:r>
      <w:r w:rsidRPr="00A70A73">
        <w:rPr>
          <w:i/>
          <w:color w:val="auto"/>
          <w:sz w:val="28"/>
          <w:szCs w:val="28"/>
        </w:rPr>
        <w:t>īnu ražošana no vīnogām</w:t>
      </w:r>
      <w:r w:rsidR="001724CA" w:rsidRPr="00A70A73">
        <w:rPr>
          <w:i/>
          <w:color w:val="auto"/>
          <w:sz w:val="28"/>
          <w:szCs w:val="28"/>
        </w:rPr>
        <w:t xml:space="preserve"> </w:t>
      </w:r>
      <w:r w:rsidR="00C3631F" w:rsidRPr="00A70A73">
        <w:rPr>
          <w:i/>
          <w:color w:val="auto"/>
          <w:sz w:val="28"/>
          <w:szCs w:val="28"/>
        </w:rPr>
        <w:t>(</w:t>
      </w:r>
      <w:r w:rsidR="001724CA" w:rsidRPr="00A70A73">
        <w:rPr>
          <w:i/>
          <w:color w:val="auto"/>
          <w:sz w:val="28"/>
          <w:szCs w:val="28"/>
        </w:rPr>
        <w:t>NACE 11.02</w:t>
      </w:r>
      <w:r w:rsidR="00C3631F" w:rsidRPr="00A70A73">
        <w:rPr>
          <w:i/>
          <w:color w:val="auto"/>
          <w:sz w:val="28"/>
          <w:szCs w:val="28"/>
        </w:rPr>
        <w:t>);</w:t>
      </w:r>
      <w:r w:rsidRPr="00A70A73">
        <w:rPr>
          <w:i/>
          <w:color w:val="auto"/>
          <w:sz w:val="28"/>
          <w:szCs w:val="28"/>
        </w:rPr>
        <w:t xml:space="preserve"> </w:t>
      </w:r>
      <w:r w:rsidR="001724CA" w:rsidRPr="00A70A73">
        <w:rPr>
          <w:i/>
          <w:color w:val="auto"/>
          <w:sz w:val="28"/>
          <w:szCs w:val="28"/>
        </w:rPr>
        <w:t>palīgdarbība</w:t>
      </w:r>
      <w:r w:rsidR="00921601" w:rsidRPr="00A70A73">
        <w:rPr>
          <w:i/>
          <w:color w:val="auto"/>
          <w:sz w:val="28"/>
          <w:szCs w:val="28"/>
        </w:rPr>
        <w:t xml:space="preserve"> - tv</w:t>
      </w:r>
      <w:r w:rsidR="00C3631F" w:rsidRPr="00A70A73">
        <w:rPr>
          <w:i/>
          <w:color w:val="auto"/>
          <w:sz w:val="28"/>
          <w:szCs w:val="28"/>
        </w:rPr>
        <w:t>aika piegāde un kondicionēšana (</w:t>
      </w:r>
      <w:r w:rsidRPr="00A70A73">
        <w:rPr>
          <w:i/>
          <w:color w:val="auto"/>
          <w:sz w:val="28"/>
          <w:szCs w:val="28"/>
        </w:rPr>
        <w:t>NACE 35</w:t>
      </w:r>
      <w:r w:rsidR="00C3631F" w:rsidRPr="00A70A73">
        <w:rPr>
          <w:i/>
          <w:color w:val="auto"/>
          <w:sz w:val="28"/>
          <w:szCs w:val="28"/>
        </w:rPr>
        <w:t>.</w:t>
      </w:r>
      <w:r w:rsidRPr="00A70A73">
        <w:rPr>
          <w:i/>
          <w:color w:val="auto"/>
          <w:sz w:val="28"/>
          <w:szCs w:val="28"/>
        </w:rPr>
        <w:t>30</w:t>
      </w:r>
      <w:r w:rsidR="00C3631F" w:rsidRPr="00A70A73">
        <w:rPr>
          <w:i/>
          <w:color w:val="auto"/>
          <w:sz w:val="28"/>
          <w:szCs w:val="28"/>
        </w:rPr>
        <w:t>, jo neražo siltumenerģiju pārdošanai un tiek attiecināts uz pamatdar</w:t>
      </w:r>
      <w:r w:rsidR="009517FE" w:rsidRPr="00A70A73">
        <w:rPr>
          <w:i/>
          <w:color w:val="auto"/>
          <w:sz w:val="28"/>
          <w:szCs w:val="28"/>
        </w:rPr>
        <w:t>b</w:t>
      </w:r>
      <w:r w:rsidR="00C3631F" w:rsidRPr="00A70A73">
        <w:rPr>
          <w:i/>
          <w:color w:val="auto"/>
          <w:sz w:val="28"/>
          <w:szCs w:val="28"/>
        </w:rPr>
        <w:t>ību (NACE 11.01). Uzņēmumam ir reģistrētas 2 DVV, 9 VDVV un 5 VV;</w:t>
      </w:r>
    </w:p>
    <w:p w:rsidR="005E5D1E" w:rsidRPr="00A70A73" w:rsidRDefault="005E5D1E" w:rsidP="00A70A73">
      <w:pPr>
        <w:pStyle w:val="Default"/>
        <w:numPr>
          <w:ilvl w:val="0"/>
          <w:numId w:val="19"/>
        </w:numPr>
        <w:jc w:val="both"/>
        <w:rPr>
          <w:i/>
          <w:color w:val="auto"/>
          <w:sz w:val="28"/>
          <w:szCs w:val="28"/>
        </w:rPr>
      </w:pPr>
      <w:r w:rsidRPr="00A70A73">
        <w:rPr>
          <w:i/>
          <w:color w:val="auto"/>
          <w:sz w:val="28"/>
          <w:szCs w:val="28"/>
        </w:rPr>
        <w:t xml:space="preserve">Uzņēmums AS Valmieras stikla šķiedra veic saimniecisko darbību vienā </w:t>
      </w:r>
      <w:r w:rsidR="00C3631F" w:rsidRPr="00A70A73">
        <w:rPr>
          <w:i/>
          <w:color w:val="auto"/>
          <w:sz w:val="28"/>
          <w:szCs w:val="28"/>
        </w:rPr>
        <w:t>administratīvajā teritorijā</w:t>
      </w:r>
      <w:r w:rsidRPr="00A70A73">
        <w:rPr>
          <w:i/>
          <w:color w:val="auto"/>
          <w:sz w:val="28"/>
          <w:szCs w:val="28"/>
        </w:rPr>
        <w:t xml:space="preserve"> un tam ir divi darbības veidi: </w:t>
      </w:r>
      <w:r w:rsidR="00921601" w:rsidRPr="00A70A73">
        <w:rPr>
          <w:i/>
          <w:color w:val="auto"/>
          <w:sz w:val="28"/>
          <w:szCs w:val="28"/>
        </w:rPr>
        <w:t>t</w:t>
      </w:r>
      <w:r w:rsidRPr="00A70A73">
        <w:rPr>
          <w:i/>
          <w:color w:val="auto"/>
          <w:sz w:val="28"/>
          <w:szCs w:val="28"/>
        </w:rPr>
        <w:t>ekstilmateriālu aušana (NACE</w:t>
      </w:r>
      <w:r w:rsidR="001724CA" w:rsidRPr="00A70A73">
        <w:rPr>
          <w:i/>
          <w:color w:val="auto"/>
          <w:sz w:val="28"/>
          <w:szCs w:val="28"/>
        </w:rPr>
        <w:t xml:space="preserve"> </w:t>
      </w:r>
      <w:r w:rsidRPr="00A70A73">
        <w:rPr>
          <w:i/>
          <w:color w:val="auto"/>
          <w:sz w:val="28"/>
          <w:szCs w:val="28"/>
        </w:rPr>
        <w:t>13</w:t>
      </w:r>
      <w:r w:rsidR="001724CA" w:rsidRPr="00A70A73">
        <w:rPr>
          <w:i/>
          <w:color w:val="auto"/>
          <w:sz w:val="28"/>
          <w:szCs w:val="28"/>
        </w:rPr>
        <w:t>.</w:t>
      </w:r>
      <w:r w:rsidRPr="00A70A73">
        <w:rPr>
          <w:i/>
          <w:color w:val="auto"/>
          <w:sz w:val="28"/>
          <w:szCs w:val="28"/>
        </w:rPr>
        <w:t xml:space="preserve">20) un </w:t>
      </w:r>
      <w:r w:rsidR="00921601" w:rsidRPr="00A70A73">
        <w:rPr>
          <w:i/>
          <w:color w:val="auto"/>
          <w:sz w:val="28"/>
          <w:szCs w:val="28"/>
        </w:rPr>
        <w:t>s</w:t>
      </w:r>
      <w:r w:rsidRPr="00A70A73">
        <w:rPr>
          <w:i/>
          <w:color w:val="auto"/>
          <w:sz w:val="28"/>
          <w:szCs w:val="28"/>
        </w:rPr>
        <w:t xml:space="preserve">tikla šķiedras ražošana </w:t>
      </w:r>
      <w:r w:rsidR="001724CA" w:rsidRPr="00A70A73">
        <w:rPr>
          <w:i/>
          <w:color w:val="auto"/>
          <w:sz w:val="28"/>
          <w:szCs w:val="28"/>
        </w:rPr>
        <w:t>(</w:t>
      </w:r>
      <w:r w:rsidRPr="00A70A73">
        <w:rPr>
          <w:i/>
          <w:color w:val="auto"/>
          <w:sz w:val="28"/>
          <w:szCs w:val="28"/>
        </w:rPr>
        <w:t>NACE 23</w:t>
      </w:r>
      <w:r w:rsidR="001724CA" w:rsidRPr="00A70A73">
        <w:rPr>
          <w:i/>
          <w:color w:val="auto"/>
          <w:sz w:val="28"/>
          <w:szCs w:val="28"/>
        </w:rPr>
        <w:t>.</w:t>
      </w:r>
      <w:r w:rsidRPr="00A70A73">
        <w:rPr>
          <w:i/>
          <w:color w:val="auto"/>
          <w:sz w:val="28"/>
          <w:szCs w:val="28"/>
        </w:rPr>
        <w:t>14</w:t>
      </w:r>
      <w:r w:rsidR="001724CA" w:rsidRPr="00A70A73">
        <w:rPr>
          <w:i/>
          <w:color w:val="auto"/>
          <w:sz w:val="28"/>
          <w:szCs w:val="28"/>
        </w:rPr>
        <w:t>)</w:t>
      </w:r>
      <w:r w:rsidR="00C3631F" w:rsidRPr="00A70A73">
        <w:rPr>
          <w:i/>
          <w:color w:val="auto"/>
          <w:sz w:val="28"/>
          <w:szCs w:val="28"/>
        </w:rPr>
        <w:t>. Uzņēmumam ir 2 DVV, 6 VDVV un 1 VV</w:t>
      </w:r>
      <w:r w:rsidR="0024583D" w:rsidRPr="00A70A73">
        <w:rPr>
          <w:i/>
          <w:color w:val="auto"/>
          <w:sz w:val="28"/>
          <w:szCs w:val="28"/>
        </w:rPr>
        <w:t>;</w:t>
      </w:r>
    </w:p>
    <w:p w:rsidR="005E5D1E" w:rsidRPr="00A70A73" w:rsidRDefault="005E5D1E" w:rsidP="00A70A73">
      <w:pPr>
        <w:pStyle w:val="ListParagraph"/>
        <w:numPr>
          <w:ilvl w:val="0"/>
          <w:numId w:val="19"/>
        </w:numPr>
        <w:spacing w:after="0" w:line="240" w:lineRule="auto"/>
        <w:jc w:val="both"/>
        <w:rPr>
          <w:rFonts w:ascii="Times New Roman" w:hAnsi="Times New Roman" w:cs="Times New Roman"/>
          <w:i/>
          <w:sz w:val="28"/>
          <w:szCs w:val="28"/>
        </w:rPr>
      </w:pPr>
      <w:r w:rsidRPr="00A70A73">
        <w:rPr>
          <w:rFonts w:ascii="Times New Roman" w:hAnsi="Times New Roman" w:cs="Times New Roman"/>
          <w:i/>
          <w:sz w:val="28"/>
          <w:szCs w:val="28"/>
        </w:rPr>
        <w:t xml:space="preserve">SIA Gaujas koks </w:t>
      </w:r>
      <w:r w:rsidR="00C3631F" w:rsidRPr="00A70A73">
        <w:rPr>
          <w:rFonts w:ascii="Times New Roman" w:hAnsi="Times New Roman" w:cs="Times New Roman"/>
          <w:i/>
          <w:sz w:val="28"/>
          <w:szCs w:val="28"/>
        </w:rPr>
        <w:t xml:space="preserve">darbības veids ir </w:t>
      </w:r>
      <w:r w:rsidR="00921601" w:rsidRPr="00A70A73">
        <w:rPr>
          <w:rFonts w:ascii="Times New Roman" w:hAnsi="Times New Roman" w:cs="Times New Roman"/>
          <w:i/>
          <w:sz w:val="28"/>
          <w:szCs w:val="28"/>
        </w:rPr>
        <w:t>z</w:t>
      </w:r>
      <w:r w:rsidR="00C3631F" w:rsidRPr="00A70A73">
        <w:rPr>
          <w:rFonts w:ascii="Times New Roman" w:hAnsi="Times New Roman" w:cs="Times New Roman"/>
          <w:i/>
          <w:sz w:val="28"/>
          <w:szCs w:val="28"/>
        </w:rPr>
        <w:t xml:space="preserve">āģēšana, ēvelēšana un impregnēšana (NACE 16.10) un </w:t>
      </w:r>
      <w:r w:rsidR="00921601" w:rsidRPr="00A70A73">
        <w:rPr>
          <w:rFonts w:ascii="Times New Roman" w:hAnsi="Times New Roman" w:cs="Times New Roman"/>
          <w:i/>
          <w:sz w:val="28"/>
          <w:szCs w:val="28"/>
        </w:rPr>
        <w:t>saimniecisko darbību veic</w:t>
      </w:r>
      <w:r w:rsidR="00C3631F" w:rsidRPr="00A70A73">
        <w:rPr>
          <w:rFonts w:ascii="Times New Roman" w:hAnsi="Times New Roman" w:cs="Times New Roman"/>
          <w:i/>
          <w:sz w:val="28"/>
          <w:szCs w:val="28"/>
        </w:rPr>
        <w:t xml:space="preserve"> dažādās administratīvajā</w:t>
      </w:r>
      <w:r w:rsidR="00921601" w:rsidRPr="00A70A73">
        <w:rPr>
          <w:rFonts w:ascii="Times New Roman" w:hAnsi="Times New Roman" w:cs="Times New Roman"/>
          <w:i/>
          <w:sz w:val="28"/>
          <w:szCs w:val="28"/>
        </w:rPr>
        <w:t>s</w:t>
      </w:r>
      <w:r w:rsidR="00C3631F" w:rsidRPr="00A70A73">
        <w:rPr>
          <w:rFonts w:ascii="Times New Roman" w:hAnsi="Times New Roman" w:cs="Times New Roman"/>
          <w:i/>
          <w:sz w:val="28"/>
          <w:szCs w:val="28"/>
        </w:rPr>
        <w:t xml:space="preserve"> teritorijās. Uzņēmumam ir 1 DVV, 5 VDVV un 5 VV</w:t>
      </w:r>
      <w:r w:rsidR="0024583D" w:rsidRPr="00A70A73">
        <w:rPr>
          <w:rFonts w:ascii="Times New Roman" w:hAnsi="Times New Roman" w:cs="Times New Roman"/>
          <w:i/>
          <w:sz w:val="28"/>
          <w:szCs w:val="28"/>
        </w:rPr>
        <w:t>;</w:t>
      </w:r>
    </w:p>
    <w:p w:rsidR="00963EBF" w:rsidRPr="00A70A73" w:rsidRDefault="004C1AC8" w:rsidP="00A70A73">
      <w:pPr>
        <w:pStyle w:val="Default"/>
        <w:numPr>
          <w:ilvl w:val="0"/>
          <w:numId w:val="19"/>
        </w:numPr>
        <w:jc w:val="both"/>
        <w:rPr>
          <w:i/>
          <w:color w:val="auto"/>
          <w:sz w:val="28"/>
          <w:szCs w:val="28"/>
        </w:rPr>
      </w:pPr>
      <w:r w:rsidRPr="00A70A73">
        <w:rPr>
          <w:i/>
          <w:color w:val="auto"/>
          <w:sz w:val="28"/>
          <w:szCs w:val="28"/>
        </w:rPr>
        <w:t xml:space="preserve">SIA Augstceltne </w:t>
      </w:r>
      <w:r w:rsidR="00963EBF" w:rsidRPr="00A70A73">
        <w:rPr>
          <w:i/>
          <w:color w:val="auto"/>
          <w:sz w:val="28"/>
          <w:szCs w:val="28"/>
        </w:rPr>
        <w:t xml:space="preserve">darbības veidi: </w:t>
      </w:r>
      <w:r w:rsidR="00921601" w:rsidRPr="00A70A73">
        <w:rPr>
          <w:i/>
          <w:color w:val="auto"/>
          <w:sz w:val="28"/>
          <w:szCs w:val="28"/>
        </w:rPr>
        <w:t>d</w:t>
      </w:r>
      <w:r w:rsidR="00963EBF" w:rsidRPr="00A70A73">
        <w:rPr>
          <w:i/>
          <w:color w:val="auto"/>
          <w:sz w:val="28"/>
          <w:szCs w:val="28"/>
        </w:rPr>
        <w:t xml:space="preserve">egvielas mazumtirdzniecība degvielas uzpildes stacijās (NACE 47.30); </w:t>
      </w:r>
      <w:r w:rsidR="00921601" w:rsidRPr="00A70A73">
        <w:rPr>
          <w:i/>
          <w:color w:val="auto"/>
          <w:sz w:val="28"/>
          <w:szCs w:val="28"/>
        </w:rPr>
        <w:t>d</w:t>
      </w:r>
      <w:r w:rsidR="00963EBF" w:rsidRPr="00A70A73">
        <w:rPr>
          <w:i/>
          <w:color w:val="auto"/>
          <w:sz w:val="28"/>
          <w:szCs w:val="28"/>
        </w:rPr>
        <w:t xml:space="preserve">zīvojamo māju un nedzīvojamo ēku būvniecība (NACE 41.20); </w:t>
      </w:r>
      <w:r w:rsidR="00921601" w:rsidRPr="00A70A73">
        <w:rPr>
          <w:i/>
          <w:color w:val="auto"/>
          <w:sz w:val="28"/>
          <w:szCs w:val="28"/>
        </w:rPr>
        <w:t>n</w:t>
      </w:r>
      <w:r w:rsidR="00963EBF" w:rsidRPr="00A70A73">
        <w:rPr>
          <w:i/>
          <w:color w:val="auto"/>
          <w:sz w:val="28"/>
          <w:szCs w:val="28"/>
        </w:rPr>
        <w:t xml:space="preserve">ekustamā īpašuma pārvaldīšana par atlīdzību vai uz līguma pamata (NACE 68.32); </w:t>
      </w:r>
      <w:r w:rsidR="00921601" w:rsidRPr="00A70A73">
        <w:rPr>
          <w:i/>
          <w:color w:val="auto"/>
          <w:sz w:val="28"/>
          <w:szCs w:val="28"/>
        </w:rPr>
        <w:t>r</w:t>
      </w:r>
      <w:r w:rsidR="00963EBF" w:rsidRPr="00A70A73">
        <w:rPr>
          <w:i/>
          <w:color w:val="auto"/>
          <w:sz w:val="28"/>
          <w:szCs w:val="28"/>
        </w:rPr>
        <w:t xml:space="preserve">estorānu un mobilo ēdināšanas vietu pakalpojumi (NACE 56.10) un </w:t>
      </w:r>
      <w:r w:rsidR="00921601" w:rsidRPr="00A70A73">
        <w:rPr>
          <w:i/>
          <w:color w:val="auto"/>
          <w:sz w:val="28"/>
          <w:szCs w:val="28"/>
        </w:rPr>
        <w:t>saimniecisko darbību veic</w:t>
      </w:r>
      <w:r w:rsidR="00963EBF" w:rsidRPr="00A70A73">
        <w:rPr>
          <w:i/>
          <w:color w:val="auto"/>
          <w:sz w:val="28"/>
          <w:szCs w:val="28"/>
        </w:rPr>
        <w:t xml:space="preserve"> dažādās administratīvajās teritorijās. Uzņēmumam ir 4 DVV, 12 VDVV un 8 VV;</w:t>
      </w:r>
    </w:p>
    <w:p w:rsidR="00D17F53" w:rsidRPr="00A70A73" w:rsidRDefault="004C1AC8" w:rsidP="00A70A73">
      <w:pPr>
        <w:pStyle w:val="Default"/>
        <w:numPr>
          <w:ilvl w:val="0"/>
          <w:numId w:val="19"/>
        </w:numPr>
        <w:jc w:val="both"/>
        <w:rPr>
          <w:i/>
          <w:color w:val="auto"/>
          <w:sz w:val="28"/>
          <w:szCs w:val="28"/>
        </w:rPr>
      </w:pPr>
      <w:r w:rsidRPr="00A70A73">
        <w:rPr>
          <w:i/>
          <w:color w:val="auto"/>
          <w:sz w:val="28"/>
          <w:szCs w:val="28"/>
        </w:rPr>
        <w:t xml:space="preserve">SIA </w:t>
      </w:r>
      <w:r w:rsidR="005E5D1E" w:rsidRPr="00A70A73">
        <w:rPr>
          <w:i/>
          <w:color w:val="auto"/>
          <w:sz w:val="28"/>
          <w:szCs w:val="28"/>
        </w:rPr>
        <w:t>AJM W</w:t>
      </w:r>
      <w:r w:rsidRPr="00A70A73">
        <w:rPr>
          <w:i/>
          <w:color w:val="auto"/>
          <w:sz w:val="28"/>
          <w:szCs w:val="28"/>
        </w:rPr>
        <w:t xml:space="preserve">ood </w:t>
      </w:r>
      <w:r w:rsidR="00963EBF" w:rsidRPr="00A70A73">
        <w:rPr>
          <w:i/>
          <w:color w:val="auto"/>
          <w:sz w:val="28"/>
          <w:szCs w:val="28"/>
        </w:rPr>
        <w:t xml:space="preserve">darbības veids ir koka izstrādājumu ražošana (NACE 16.29) un </w:t>
      </w:r>
      <w:r w:rsidR="00D17F53" w:rsidRPr="00A70A73">
        <w:rPr>
          <w:i/>
          <w:color w:val="auto"/>
          <w:sz w:val="28"/>
          <w:szCs w:val="28"/>
        </w:rPr>
        <w:t>P</w:t>
      </w:r>
      <w:r w:rsidR="001E3728">
        <w:rPr>
          <w:i/>
          <w:color w:val="auto"/>
          <w:sz w:val="28"/>
          <w:szCs w:val="28"/>
        </w:rPr>
        <w:t>ārvaldes pārskatā</w:t>
      </w:r>
      <w:r w:rsidR="005E5D1E" w:rsidRPr="00A70A73">
        <w:rPr>
          <w:i/>
          <w:color w:val="auto"/>
          <w:sz w:val="28"/>
          <w:szCs w:val="28"/>
        </w:rPr>
        <w:t xml:space="preserve"> </w:t>
      </w:r>
      <w:r w:rsidR="00D17F53" w:rsidRPr="00A70A73">
        <w:rPr>
          <w:i/>
          <w:iCs/>
          <w:color w:val="auto"/>
          <w:sz w:val="28"/>
          <w:szCs w:val="28"/>
        </w:rPr>
        <w:t>„Kompleksa</w:t>
      </w:r>
      <w:r w:rsidR="001E3728">
        <w:rPr>
          <w:i/>
          <w:iCs/>
          <w:color w:val="auto"/>
          <w:sz w:val="28"/>
          <w:szCs w:val="28"/>
        </w:rPr>
        <w:t>is pārskats par darbību 1-gada”</w:t>
      </w:r>
      <w:r w:rsidR="005E5D1E" w:rsidRPr="00A70A73">
        <w:rPr>
          <w:i/>
          <w:color w:val="auto"/>
          <w:sz w:val="28"/>
          <w:szCs w:val="28"/>
        </w:rPr>
        <w:t xml:space="preserve"> </w:t>
      </w:r>
      <w:r w:rsidR="00963EBF" w:rsidRPr="00A70A73">
        <w:rPr>
          <w:i/>
          <w:color w:val="auto"/>
          <w:sz w:val="28"/>
          <w:szCs w:val="28"/>
        </w:rPr>
        <w:t xml:space="preserve">izdala palīgdarbību </w:t>
      </w:r>
      <w:r w:rsidR="00D17F53" w:rsidRPr="00A70A73">
        <w:rPr>
          <w:i/>
          <w:color w:val="auto"/>
          <w:sz w:val="28"/>
          <w:szCs w:val="28"/>
        </w:rPr>
        <w:t xml:space="preserve">mēbeļu ražošana (NACE 31.09), kura tiek pakārtota uzņēmumu pamatdarbībai, un </w:t>
      </w:r>
      <w:r w:rsidR="00921601" w:rsidRPr="00A70A73">
        <w:rPr>
          <w:i/>
          <w:color w:val="auto"/>
          <w:sz w:val="28"/>
          <w:szCs w:val="28"/>
        </w:rPr>
        <w:t xml:space="preserve">saimniecisko darbību veic </w:t>
      </w:r>
      <w:r w:rsidR="00D17F53" w:rsidRPr="00A70A73">
        <w:rPr>
          <w:i/>
          <w:color w:val="auto"/>
          <w:sz w:val="28"/>
          <w:szCs w:val="28"/>
        </w:rPr>
        <w:t>dažādās administratīvajās teritorijās. Uzņēmumam ir 1 DVV, 2 VDVV un 2 VV;</w:t>
      </w:r>
    </w:p>
    <w:p w:rsidR="005E5D1E" w:rsidRPr="00A70A73" w:rsidRDefault="00D17F53" w:rsidP="00A70A73">
      <w:pPr>
        <w:pStyle w:val="Default"/>
        <w:numPr>
          <w:ilvl w:val="0"/>
          <w:numId w:val="19"/>
        </w:numPr>
        <w:jc w:val="both"/>
        <w:rPr>
          <w:i/>
          <w:color w:val="auto"/>
          <w:sz w:val="28"/>
          <w:szCs w:val="28"/>
        </w:rPr>
      </w:pPr>
      <w:r w:rsidRPr="00A70A73">
        <w:rPr>
          <w:i/>
          <w:color w:val="auto"/>
          <w:sz w:val="28"/>
          <w:szCs w:val="28"/>
        </w:rPr>
        <w:t xml:space="preserve"> </w:t>
      </w:r>
      <w:r w:rsidR="004C1AC8" w:rsidRPr="00A70A73">
        <w:rPr>
          <w:i/>
          <w:color w:val="auto"/>
          <w:sz w:val="28"/>
          <w:szCs w:val="28"/>
        </w:rPr>
        <w:t>SIA Rimi Latvia</w:t>
      </w:r>
      <w:r w:rsidR="005E5D1E" w:rsidRPr="00A70A73">
        <w:rPr>
          <w:i/>
          <w:color w:val="auto"/>
          <w:sz w:val="28"/>
          <w:szCs w:val="28"/>
        </w:rPr>
        <w:t xml:space="preserve"> darbības veids </w:t>
      </w:r>
      <w:r w:rsidRPr="00A70A73">
        <w:rPr>
          <w:i/>
          <w:color w:val="auto"/>
          <w:sz w:val="28"/>
          <w:szCs w:val="28"/>
        </w:rPr>
        <w:t>ir mazumtirdzniecība nespecializētajos veikalos, kuros galvenokārt pārdod pārtikas preces, dzērienus un tabaku (</w:t>
      </w:r>
      <w:r w:rsidR="005E5D1E" w:rsidRPr="00A70A73">
        <w:rPr>
          <w:i/>
          <w:color w:val="auto"/>
          <w:sz w:val="28"/>
          <w:szCs w:val="28"/>
        </w:rPr>
        <w:t>NACE 47</w:t>
      </w:r>
      <w:r w:rsidRPr="00A70A73">
        <w:rPr>
          <w:i/>
          <w:color w:val="auto"/>
          <w:sz w:val="28"/>
          <w:szCs w:val="28"/>
        </w:rPr>
        <w:t>.</w:t>
      </w:r>
      <w:r w:rsidR="005E5D1E" w:rsidRPr="00A70A73">
        <w:rPr>
          <w:i/>
          <w:color w:val="auto"/>
          <w:sz w:val="28"/>
          <w:szCs w:val="28"/>
        </w:rPr>
        <w:t>11</w:t>
      </w:r>
      <w:r w:rsidRPr="00A70A73">
        <w:rPr>
          <w:i/>
          <w:color w:val="auto"/>
          <w:sz w:val="28"/>
          <w:szCs w:val="28"/>
        </w:rPr>
        <w:t xml:space="preserve">) un </w:t>
      </w:r>
      <w:r w:rsidR="00921601" w:rsidRPr="00A70A73">
        <w:rPr>
          <w:i/>
          <w:color w:val="auto"/>
          <w:sz w:val="28"/>
          <w:szCs w:val="28"/>
        </w:rPr>
        <w:t>saimniecisko darbību veic</w:t>
      </w:r>
      <w:r w:rsidRPr="00A70A73">
        <w:rPr>
          <w:i/>
          <w:color w:val="auto"/>
          <w:sz w:val="28"/>
          <w:szCs w:val="28"/>
        </w:rPr>
        <w:t xml:space="preserve"> dažādās administratīvajās teritorijās. Uzņēmumam ir 1 DVV, 116 VDVV un 113 VV.</w:t>
      </w:r>
    </w:p>
    <w:p w:rsidR="005907AC" w:rsidRPr="00A70A73" w:rsidRDefault="005907AC" w:rsidP="00A70A73">
      <w:pPr>
        <w:spacing w:after="120" w:line="240" w:lineRule="auto"/>
        <w:jc w:val="both"/>
        <w:rPr>
          <w:rFonts w:ascii="Times New Roman" w:hAnsi="Times New Roman" w:cs="Times New Roman"/>
          <w:sz w:val="28"/>
          <w:szCs w:val="28"/>
        </w:rPr>
      </w:pPr>
    </w:p>
    <w:p w:rsidR="007F02A3" w:rsidRPr="00A70A73" w:rsidRDefault="007F02A3" w:rsidP="008C7ED5">
      <w:pPr>
        <w:spacing w:after="120" w:line="240" w:lineRule="auto"/>
        <w:ind w:firstLine="720"/>
        <w:jc w:val="both"/>
        <w:rPr>
          <w:rFonts w:ascii="Times New Roman" w:hAnsi="Times New Roman" w:cs="Times New Roman"/>
          <w:sz w:val="28"/>
          <w:szCs w:val="28"/>
        </w:rPr>
      </w:pPr>
      <w:r w:rsidRPr="00A70A73">
        <w:rPr>
          <w:rFonts w:ascii="Times New Roman" w:hAnsi="Times New Roman" w:cs="Times New Roman"/>
          <w:sz w:val="28"/>
          <w:szCs w:val="28"/>
        </w:rPr>
        <w:t xml:space="preserve">No kopējā ekonomiski aktīvā uzņēmumu skaita 2012.gadā 11% uzņēmumu </w:t>
      </w:r>
      <w:r w:rsidR="005907AC" w:rsidRPr="00A70A73">
        <w:rPr>
          <w:rFonts w:ascii="Times New Roman" w:hAnsi="Times New Roman" w:cs="Times New Roman"/>
          <w:sz w:val="28"/>
          <w:szCs w:val="28"/>
        </w:rPr>
        <w:t xml:space="preserve">bija </w:t>
      </w:r>
      <w:r w:rsidRPr="00A70A73">
        <w:rPr>
          <w:rFonts w:ascii="Times New Roman" w:hAnsi="Times New Roman" w:cs="Times New Roman"/>
          <w:sz w:val="28"/>
          <w:szCs w:val="28"/>
        </w:rPr>
        <w:t xml:space="preserve">reģistrētas aktīvas VDVV, kurām ir </w:t>
      </w:r>
      <w:r w:rsidR="005907AC" w:rsidRPr="00A70A73">
        <w:rPr>
          <w:rFonts w:ascii="Times New Roman" w:hAnsi="Times New Roman" w:cs="Times New Roman"/>
          <w:sz w:val="28"/>
          <w:szCs w:val="28"/>
        </w:rPr>
        <w:t>vairāk nekā viens</w:t>
      </w:r>
      <w:r w:rsidRPr="00A70A73">
        <w:rPr>
          <w:rFonts w:ascii="Times New Roman" w:hAnsi="Times New Roman" w:cs="Times New Roman"/>
          <w:sz w:val="28"/>
          <w:szCs w:val="28"/>
        </w:rPr>
        <w:t xml:space="preserve"> darbības veids (ieskaitot palīgdarbības) un ir </w:t>
      </w:r>
      <w:r w:rsidR="005907AC" w:rsidRPr="00A70A73">
        <w:rPr>
          <w:rFonts w:ascii="Times New Roman" w:hAnsi="Times New Roman" w:cs="Times New Roman"/>
          <w:sz w:val="28"/>
          <w:szCs w:val="28"/>
        </w:rPr>
        <w:t>vairāk nekā viena</w:t>
      </w:r>
      <w:r w:rsidRPr="00A70A73">
        <w:rPr>
          <w:rFonts w:ascii="Times New Roman" w:hAnsi="Times New Roman" w:cs="Times New Roman"/>
          <w:sz w:val="28"/>
          <w:szCs w:val="28"/>
        </w:rPr>
        <w:t xml:space="preserve"> VDVV. </w:t>
      </w:r>
      <w:r w:rsidR="008C7ED5">
        <w:rPr>
          <w:rFonts w:ascii="Times New Roman" w:hAnsi="Times New Roman" w:cs="Times New Roman"/>
          <w:sz w:val="28"/>
          <w:szCs w:val="28"/>
        </w:rPr>
        <w:t xml:space="preserve"> 6.9% i</w:t>
      </w:r>
      <w:r w:rsidR="005907AC" w:rsidRPr="00A70A73">
        <w:rPr>
          <w:rFonts w:ascii="Times New Roman" w:hAnsi="Times New Roman" w:cs="Times New Roman"/>
          <w:sz w:val="28"/>
          <w:szCs w:val="28"/>
        </w:rPr>
        <w:t>nformācija</w:t>
      </w:r>
      <w:r w:rsidR="008C7ED5">
        <w:rPr>
          <w:rFonts w:ascii="Times New Roman" w:hAnsi="Times New Roman" w:cs="Times New Roman"/>
          <w:sz w:val="28"/>
          <w:szCs w:val="28"/>
        </w:rPr>
        <w:t>s</w:t>
      </w:r>
      <w:r w:rsidR="005907AC" w:rsidRPr="00A70A73">
        <w:rPr>
          <w:rFonts w:ascii="Times New Roman" w:hAnsi="Times New Roman" w:cs="Times New Roman"/>
          <w:sz w:val="28"/>
          <w:szCs w:val="28"/>
        </w:rPr>
        <w:t xml:space="preserve"> iegūta ar statistisko pārskatu palīdzību.</w:t>
      </w:r>
    </w:p>
    <w:p w:rsidR="007F02A3" w:rsidRPr="00A70A73" w:rsidRDefault="007F02A3" w:rsidP="00A70A73">
      <w:pPr>
        <w:pStyle w:val="ListParagraph"/>
        <w:numPr>
          <w:ilvl w:val="0"/>
          <w:numId w:val="30"/>
        </w:numPr>
        <w:autoSpaceDE w:val="0"/>
        <w:autoSpaceDN w:val="0"/>
        <w:adjustRightInd w:val="0"/>
        <w:spacing w:after="120" w:line="240" w:lineRule="auto"/>
        <w:jc w:val="both"/>
        <w:rPr>
          <w:rFonts w:ascii="Times New Roman" w:hAnsi="Times New Roman" w:cs="Times New Roman"/>
          <w:sz w:val="28"/>
          <w:szCs w:val="28"/>
        </w:rPr>
      </w:pPr>
      <w:r w:rsidRPr="00A70A73">
        <w:rPr>
          <w:rFonts w:ascii="Times New Roman" w:hAnsi="Times New Roman" w:cs="Times New Roman"/>
          <w:sz w:val="28"/>
          <w:szCs w:val="28"/>
        </w:rPr>
        <w:t>4,1%</w:t>
      </w:r>
      <w:r w:rsidR="00791204" w:rsidRPr="00A70A73">
        <w:rPr>
          <w:rFonts w:ascii="Times New Roman" w:hAnsi="Times New Roman" w:cs="Times New Roman"/>
          <w:sz w:val="28"/>
          <w:szCs w:val="28"/>
        </w:rPr>
        <w:t xml:space="preserve"> uzņēmumu</w:t>
      </w:r>
      <w:r w:rsidRPr="00A70A73">
        <w:rPr>
          <w:rFonts w:ascii="Times New Roman" w:hAnsi="Times New Roman" w:cs="Times New Roman"/>
          <w:sz w:val="28"/>
          <w:szCs w:val="28"/>
        </w:rPr>
        <w:t xml:space="preserve">, </w:t>
      </w:r>
      <w:r w:rsidR="00791204" w:rsidRPr="00A70A73">
        <w:rPr>
          <w:rFonts w:ascii="Times New Roman" w:hAnsi="Times New Roman" w:cs="Times New Roman"/>
          <w:sz w:val="28"/>
          <w:szCs w:val="28"/>
        </w:rPr>
        <w:t xml:space="preserve">tai skaitā MVU, </w:t>
      </w:r>
      <w:r w:rsidRPr="00A70A73">
        <w:rPr>
          <w:rFonts w:ascii="Times New Roman" w:hAnsi="Times New Roman" w:cs="Times New Roman"/>
          <w:sz w:val="28"/>
          <w:szCs w:val="28"/>
        </w:rPr>
        <w:t>netiek apsekoti un vidējā darbiniekus skaita noteikšanai tiek izmantoti aprēķini</w:t>
      </w:r>
      <w:r w:rsidR="008C7ED5">
        <w:rPr>
          <w:rFonts w:ascii="Times New Roman" w:hAnsi="Times New Roman" w:cs="Times New Roman"/>
          <w:sz w:val="28"/>
          <w:szCs w:val="28"/>
        </w:rPr>
        <w:t>. VDVV, kuras</w:t>
      </w:r>
      <w:r w:rsidRPr="00A70A73">
        <w:rPr>
          <w:rFonts w:ascii="Times New Roman" w:hAnsi="Times New Roman" w:cs="Times New Roman"/>
          <w:sz w:val="28"/>
          <w:szCs w:val="28"/>
        </w:rPr>
        <w:t xml:space="preserve"> SUR ir </w:t>
      </w:r>
      <w:r w:rsidR="00791204" w:rsidRPr="00A70A73">
        <w:rPr>
          <w:rFonts w:ascii="Times New Roman" w:hAnsi="Times New Roman" w:cs="Times New Roman"/>
          <w:sz w:val="28"/>
          <w:szCs w:val="28"/>
        </w:rPr>
        <w:t xml:space="preserve">fiksētas </w:t>
      </w:r>
      <w:r w:rsidRPr="00A70A73">
        <w:rPr>
          <w:rFonts w:ascii="Times New Roman" w:hAnsi="Times New Roman" w:cs="Times New Roman"/>
          <w:sz w:val="28"/>
          <w:szCs w:val="28"/>
        </w:rPr>
        <w:t xml:space="preserve">un tās darbības veids nav attiecināms uz uzņēmuma pamatdarbības veidu, ir tikai informācija par NACE un nodarbinātajiem, bet nav pieejami dati, kas nepieciešami DVV rādītāju aprēķināšanai. Attiecīgi, šī uzņēmumu daļa, lai nodrošinātu </w:t>
      </w:r>
      <w:r w:rsidR="00791204" w:rsidRPr="00A70A73">
        <w:rPr>
          <w:rFonts w:ascii="Times New Roman" w:hAnsi="Times New Roman" w:cs="Times New Roman"/>
          <w:sz w:val="28"/>
          <w:szCs w:val="28"/>
        </w:rPr>
        <w:t xml:space="preserve">nepieciešamo informāciju, </w:t>
      </w:r>
      <w:r w:rsidRPr="00A70A73">
        <w:rPr>
          <w:rFonts w:ascii="Times New Roman" w:hAnsi="Times New Roman" w:cs="Times New Roman"/>
          <w:sz w:val="28"/>
          <w:szCs w:val="28"/>
        </w:rPr>
        <w:t>var palielināt respondentu noslodzi.</w:t>
      </w:r>
    </w:p>
    <w:p w:rsidR="007511AC" w:rsidRDefault="009517FE" w:rsidP="008C7ED5">
      <w:pPr>
        <w:pStyle w:val="Default"/>
        <w:spacing w:after="120"/>
        <w:ind w:firstLine="720"/>
        <w:jc w:val="both"/>
        <w:rPr>
          <w:color w:val="auto"/>
          <w:sz w:val="28"/>
          <w:szCs w:val="28"/>
          <w:u w:val="single"/>
        </w:rPr>
      </w:pPr>
      <w:r w:rsidRPr="00A70A73">
        <w:rPr>
          <w:color w:val="auto"/>
          <w:sz w:val="28"/>
          <w:szCs w:val="28"/>
        </w:rPr>
        <w:t xml:space="preserve">Ņemot vērā, ka uzņēmumiem gada pārskatos, kurus </w:t>
      </w:r>
      <w:r w:rsidR="00791204" w:rsidRPr="00A70A73">
        <w:rPr>
          <w:color w:val="auto"/>
          <w:sz w:val="28"/>
          <w:szCs w:val="28"/>
        </w:rPr>
        <w:t xml:space="preserve">tie </w:t>
      </w:r>
      <w:r w:rsidRPr="00A70A73">
        <w:rPr>
          <w:color w:val="auto"/>
          <w:sz w:val="28"/>
          <w:szCs w:val="28"/>
        </w:rPr>
        <w:t>iesniedz VID</w:t>
      </w:r>
      <w:r w:rsidR="00791204" w:rsidRPr="00A70A73">
        <w:rPr>
          <w:color w:val="auto"/>
          <w:sz w:val="28"/>
          <w:szCs w:val="28"/>
        </w:rPr>
        <w:t>,</w:t>
      </w:r>
      <w:r w:rsidRPr="00A70A73">
        <w:rPr>
          <w:color w:val="auto"/>
          <w:sz w:val="28"/>
          <w:szCs w:val="28"/>
        </w:rPr>
        <w:t xml:space="preserve"> nav pienākums sniegt informāciju dalījumā pa DVV, VDVV vai VV</w:t>
      </w:r>
      <w:r w:rsidR="00791204" w:rsidRPr="00A70A73">
        <w:rPr>
          <w:color w:val="auto"/>
          <w:sz w:val="28"/>
          <w:szCs w:val="28"/>
        </w:rPr>
        <w:t>,</w:t>
      </w:r>
      <w:r w:rsidR="008C7ED5">
        <w:rPr>
          <w:color w:val="auto"/>
          <w:sz w:val="28"/>
          <w:szCs w:val="28"/>
        </w:rPr>
        <w:t xml:space="preserve"> un </w:t>
      </w:r>
      <w:r w:rsidRPr="00A70A73">
        <w:rPr>
          <w:color w:val="auto"/>
          <w:sz w:val="28"/>
          <w:szCs w:val="28"/>
        </w:rPr>
        <w:t>P</w:t>
      </w:r>
      <w:r w:rsidR="008C7ED5">
        <w:rPr>
          <w:color w:val="auto"/>
          <w:sz w:val="28"/>
          <w:szCs w:val="28"/>
        </w:rPr>
        <w:t>ārvalde</w:t>
      </w:r>
      <w:r w:rsidRPr="00A70A73">
        <w:rPr>
          <w:color w:val="auto"/>
          <w:sz w:val="28"/>
          <w:szCs w:val="28"/>
        </w:rPr>
        <w:t xml:space="preserve"> </w:t>
      </w:r>
      <w:r w:rsidR="008C7ED5">
        <w:rPr>
          <w:color w:val="auto"/>
          <w:sz w:val="28"/>
          <w:szCs w:val="28"/>
        </w:rPr>
        <w:t>veic</w:t>
      </w:r>
      <w:r w:rsidRPr="00A70A73">
        <w:rPr>
          <w:color w:val="auto"/>
          <w:sz w:val="28"/>
          <w:szCs w:val="28"/>
        </w:rPr>
        <w:t xml:space="preserve"> izlases apsekojum</w:t>
      </w:r>
      <w:r w:rsidR="008C7ED5">
        <w:rPr>
          <w:color w:val="auto"/>
          <w:sz w:val="28"/>
          <w:szCs w:val="28"/>
        </w:rPr>
        <w:t>us</w:t>
      </w:r>
      <w:r w:rsidRPr="00A70A73">
        <w:rPr>
          <w:color w:val="auto"/>
          <w:sz w:val="28"/>
          <w:szCs w:val="28"/>
        </w:rPr>
        <w:t xml:space="preserve">, </w:t>
      </w:r>
      <w:r w:rsidRPr="00A70A73">
        <w:rPr>
          <w:color w:val="auto"/>
          <w:sz w:val="28"/>
          <w:szCs w:val="28"/>
          <w:u w:val="single"/>
        </w:rPr>
        <w:t>precīzas, savlaicīgas un salīdzināmas informācijas nodrošināšanai pa a</w:t>
      </w:r>
      <w:r w:rsidR="008C7ED5">
        <w:rPr>
          <w:color w:val="auto"/>
          <w:sz w:val="28"/>
          <w:szCs w:val="28"/>
          <w:u w:val="single"/>
        </w:rPr>
        <w:t xml:space="preserve">dministratīvajām teritorijām, </w:t>
      </w:r>
      <w:r w:rsidRPr="00A70A73">
        <w:rPr>
          <w:color w:val="auto"/>
          <w:sz w:val="28"/>
          <w:szCs w:val="28"/>
          <w:u w:val="single"/>
        </w:rPr>
        <w:t>P</w:t>
      </w:r>
      <w:r w:rsidR="008C7ED5">
        <w:rPr>
          <w:color w:val="auto"/>
          <w:sz w:val="28"/>
          <w:szCs w:val="28"/>
          <w:u w:val="single"/>
        </w:rPr>
        <w:t>ārvaldei</w:t>
      </w:r>
      <w:r w:rsidRPr="00A70A73">
        <w:rPr>
          <w:color w:val="auto"/>
          <w:sz w:val="28"/>
          <w:szCs w:val="28"/>
          <w:u w:val="single"/>
        </w:rPr>
        <w:t xml:space="preserve"> nepieciešamas papildus apsekot 3800 uzņēmumus.</w:t>
      </w:r>
    </w:p>
    <w:p w:rsidR="00EF148B" w:rsidRDefault="00EF148B" w:rsidP="007511AC"/>
    <w:p w:rsidR="007511AC" w:rsidRDefault="007511AC" w:rsidP="00504632">
      <w:pPr>
        <w:tabs>
          <w:tab w:val="right" w:pos="9072"/>
        </w:tabs>
        <w:spacing w:after="0" w:line="240" w:lineRule="auto"/>
        <w:rPr>
          <w:rFonts w:ascii="Times New Roman" w:hAnsi="Times New Roman" w:cs="Times New Roman"/>
          <w:sz w:val="28"/>
          <w:szCs w:val="28"/>
        </w:rPr>
      </w:pPr>
      <w:r>
        <w:rPr>
          <w:rFonts w:ascii="Times New Roman" w:hAnsi="Times New Roman" w:cs="Times New Roman"/>
          <w:sz w:val="28"/>
          <w:szCs w:val="28"/>
        </w:rPr>
        <w:t>Ekonomikas ministre</w:t>
      </w:r>
      <w:r>
        <w:rPr>
          <w:rFonts w:ascii="Times New Roman" w:hAnsi="Times New Roman" w:cs="Times New Roman"/>
          <w:sz w:val="28"/>
          <w:szCs w:val="28"/>
        </w:rPr>
        <w:tab/>
        <w:t>D. Reizniece-Ozola</w:t>
      </w:r>
    </w:p>
    <w:p w:rsidR="007511AC" w:rsidRPr="00504632" w:rsidRDefault="007511AC" w:rsidP="00504632">
      <w:pPr>
        <w:spacing w:after="0" w:line="240" w:lineRule="auto"/>
        <w:jc w:val="both"/>
        <w:rPr>
          <w:rFonts w:ascii="Times New Roman" w:hAnsi="Times New Roman" w:cs="Times New Roman"/>
          <w:sz w:val="24"/>
          <w:szCs w:val="24"/>
          <w:lang w:eastAsia="lv-LV"/>
        </w:rPr>
      </w:pPr>
    </w:p>
    <w:p w:rsidR="00504632" w:rsidRPr="00504632" w:rsidRDefault="00504632" w:rsidP="00504632">
      <w:pPr>
        <w:spacing w:after="0" w:line="240" w:lineRule="auto"/>
        <w:jc w:val="both"/>
        <w:rPr>
          <w:rFonts w:ascii="Times New Roman" w:hAnsi="Times New Roman" w:cs="Times New Roman"/>
          <w:sz w:val="24"/>
          <w:szCs w:val="24"/>
          <w:lang w:eastAsia="lv-LV"/>
        </w:rPr>
      </w:pPr>
    </w:p>
    <w:p w:rsidR="007511AC" w:rsidRDefault="00D11C37" w:rsidP="00504632">
      <w:pPr>
        <w:tabs>
          <w:tab w:val="right" w:pos="9072"/>
        </w:tabs>
        <w:spacing w:after="0" w:line="240" w:lineRule="auto"/>
        <w:rPr>
          <w:rFonts w:ascii="Times New Roman" w:hAnsi="Times New Roman" w:cs="Times New Roman"/>
          <w:sz w:val="28"/>
          <w:szCs w:val="28"/>
        </w:rPr>
      </w:pPr>
      <w:r>
        <w:rPr>
          <w:rFonts w:ascii="Times New Roman" w:hAnsi="Times New Roman" w:cs="Times New Roman"/>
          <w:sz w:val="28"/>
          <w:szCs w:val="28"/>
        </w:rPr>
        <w:t>Vīza: V</w:t>
      </w:r>
      <w:r w:rsidR="007511AC">
        <w:rPr>
          <w:rFonts w:ascii="Times New Roman" w:hAnsi="Times New Roman" w:cs="Times New Roman"/>
          <w:sz w:val="28"/>
          <w:szCs w:val="28"/>
        </w:rPr>
        <w:t xml:space="preserve">alsts </w:t>
      </w:r>
      <w:r w:rsidR="00CD03EC">
        <w:rPr>
          <w:rFonts w:ascii="Times New Roman" w:hAnsi="Times New Roman" w:cs="Times New Roman"/>
          <w:sz w:val="28"/>
          <w:szCs w:val="28"/>
        </w:rPr>
        <w:t>sekretārs</w:t>
      </w:r>
      <w:r w:rsidR="007511AC">
        <w:rPr>
          <w:rFonts w:ascii="Times New Roman" w:hAnsi="Times New Roman" w:cs="Times New Roman"/>
          <w:sz w:val="28"/>
          <w:szCs w:val="28"/>
        </w:rPr>
        <w:tab/>
      </w:r>
      <w:r w:rsidR="00CD03EC">
        <w:rPr>
          <w:rFonts w:ascii="Times New Roman" w:hAnsi="Times New Roman" w:cs="Times New Roman"/>
          <w:sz w:val="28"/>
          <w:szCs w:val="28"/>
        </w:rPr>
        <w:t>R.</w:t>
      </w:r>
      <w:r w:rsidR="00A549C3">
        <w:rPr>
          <w:rFonts w:ascii="Times New Roman" w:hAnsi="Times New Roman" w:cs="Times New Roman"/>
          <w:sz w:val="28"/>
          <w:szCs w:val="28"/>
        </w:rPr>
        <w:t xml:space="preserve"> </w:t>
      </w:r>
      <w:r w:rsidR="00CD03EC">
        <w:rPr>
          <w:rFonts w:ascii="Times New Roman" w:hAnsi="Times New Roman" w:cs="Times New Roman"/>
          <w:sz w:val="28"/>
          <w:szCs w:val="28"/>
        </w:rPr>
        <w:t>Beinarovičs</w:t>
      </w:r>
    </w:p>
    <w:p w:rsidR="00D94CE4" w:rsidRDefault="00D94CE4" w:rsidP="00504632">
      <w:pPr>
        <w:spacing w:after="0" w:line="240" w:lineRule="auto"/>
        <w:rPr>
          <w:rFonts w:ascii="Times New Roman" w:hAnsi="Times New Roman" w:cs="Times New Roman"/>
          <w:sz w:val="20"/>
        </w:rPr>
      </w:pPr>
    </w:p>
    <w:p w:rsidR="00504632" w:rsidRDefault="00504632" w:rsidP="007511AC">
      <w:pPr>
        <w:spacing w:after="0" w:line="240" w:lineRule="auto"/>
        <w:rPr>
          <w:rFonts w:ascii="Times New Roman" w:hAnsi="Times New Roman" w:cs="Times New Roman"/>
          <w:sz w:val="20"/>
        </w:rPr>
      </w:pPr>
    </w:p>
    <w:p w:rsidR="00504632" w:rsidRDefault="00504632" w:rsidP="007511AC">
      <w:pPr>
        <w:spacing w:after="0" w:line="240" w:lineRule="auto"/>
        <w:rPr>
          <w:rFonts w:ascii="Times New Roman" w:hAnsi="Times New Roman" w:cs="Times New Roman"/>
          <w:sz w:val="20"/>
        </w:rPr>
      </w:pPr>
    </w:p>
    <w:p w:rsidR="007511AC" w:rsidRDefault="00504632" w:rsidP="007511AC">
      <w:pPr>
        <w:spacing w:after="0" w:line="240" w:lineRule="auto"/>
        <w:rPr>
          <w:rFonts w:ascii="Times New Roman" w:hAnsi="Times New Roman" w:cs="Times New Roman"/>
          <w:sz w:val="20"/>
        </w:rPr>
      </w:pPr>
      <w:r>
        <w:rPr>
          <w:rFonts w:ascii="Times New Roman" w:hAnsi="Times New Roman" w:cs="Times New Roman"/>
          <w:sz w:val="20"/>
        </w:rPr>
        <w:t>14</w:t>
      </w:r>
      <w:r w:rsidR="00DD5859">
        <w:rPr>
          <w:rFonts w:ascii="Times New Roman" w:hAnsi="Times New Roman" w:cs="Times New Roman"/>
          <w:sz w:val="20"/>
        </w:rPr>
        <w:t>.08</w:t>
      </w:r>
      <w:r w:rsidR="007511AC">
        <w:rPr>
          <w:rFonts w:ascii="Times New Roman" w:hAnsi="Times New Roman" w:cs="Times New Roman"/>
          <w:sz w:val="20"/>
        </w:rPr>
        <w:t>.2015.</w:t>
      </w:r>
    </w:p>
    <w:p w:rsidR="00D11C37" w:rsidRDefault="00504632" w:rsidP="007511AC">
      <w:pPr>
        <w:spacing w:after="0" w:line="240" w:lineRule="auto"/>
        <w:rPr>
          <w:rFonts w:ascii="Times New Roman" w:hAnsi="Times New Roman" w:cs="Times New Roman"/>
          <w:sz w:val="20"/>
        </w:rPr>
      </w:pPr>
      <w:r>
        <w:rPr>
          <w:rFonts w:ascii="Times New Roman" w:hAnsi="Times New Roman" w:cs="Times New Roman"/>
          <w:sz w:val="20"/>
        </w:rPr>
        <w:t>2523</w:t>
      </w:r>
    </w:p>
    <w:p w:rsidR="007511AC" w:rsidRDefault="007511AC" w:rsidP="007511AC">
      <w:pPr>
        <w:spacing w:after="0" w:line="240" w:lineRule="auto"/>
        <w:rPr>
          <w:rFonts w:ascii="Times New Roman" w:hAnsi="Times New Roman" w:cs="Times New Roman"/>
          <w:sz w:val="20"/>
        </w:rPr>
      </w:pPr>
      <w:r>
        <w:rPr>
          <w:rFonts w:ascii="Times New Roman" w:hAnsi="Times New Roman" w:cs="Times New Roman"/>
          <w:sz w:val="20"/>
        </w:rPr>
        <w:t>Andis Rožkalns</w:t>
      </w:r>
    </w:p>
    <w:p w:rsidR="00D11C37" w:rsidRDefault="007511AC" w:rsidP="007511AC">
      <w:pPr>
        <w:spacing w:after="0" w:line="240" w:lineRule="auto"/>
        <w:rPr>
          <w:rFonts w:ascii="Times New Roman" w:hAnsi="Times New Roman" w:cs="Times New Roman"/>
          <w:sz w:val="20"/>
        </w:rPr>
      </w:pPr>
      <w:r>
        <w:rPr>
          <w:rFonts w:ascii="Times New Roman" w:hAnsi="Times New Roman" w:cs="Times New Roman"/>
          <w:sz w:val="20"/>
        </w:rPr>
        <w:t>67366634</w:t>
      </w:r>
      <w:r w:rsidR="00D11C37">
        <w:rPr>
          <w:rFonts w:ascii="Times New Roman" w:hAnsi="Times New Roman" w:cs="Times New Roman"/>
          <w:sz w:val="20"/>
        </w:rPr>
        <w:t xml:space="preserve">, </w:t>
      </w:r>
      <w:hyperlink r:id="rId9" w:history="1">
        <w:r w:rsidR="00D11C37" w:rsidRPr="00772278">
          <w:rPr>
            <w:rStyle w:val="Hyperlink"/>
            <w:rFonts w:ascii="Times New Roman" w:hAnsi="Times New Roman" w:cs="Times New Roman"/>
            <w:sz w:val="20"/>
          </w:rPr>
          <w:t>Andis.Rozkalns@csb.gov.lv</w:t>
        </w:r>
      </w:hyperlink>
    </w:p>
    <w:sectPr w:rsidR="00D11C37" w:rsidSect="000801C8">
      <w:headerReference w:type="default" r:id="rId10"/>
      <w:footerReference w:type="default" r:id="rId11"/>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DDF" w:rsidRDefault="00E82DDF" w:rsidP="004811F3">
      <w:pPr>
        <w:spacing w:after="0" w:line="240" w:lineRule="auto"/>
      </w:pPr>
      <w:r>
        <w:separator/>
      </w:r>
    </w:p>
  </w:endnote>
  <w:endnote w:type="continuationSeparator" w:id="0">
    <w:p w:rsidR="00E82DDF" w:rsidRDefault="00E82DDF" w:rsidP="00481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B85" w:rsidRPr="00D11C37" w:rsidRDefault="00637B85" w:rsidP="00D11C37">
    <w:pPr>
      <w:spacing w:before="120" w:after="0" w:line="240" w:lineRule="auto"/>
      <w:jc w:val="both"/>
      <w:rPr>
        <w:rFonts w:ascii="Times New Roman" w:hAnsi="Times New Roman" w:cs="Times New Roman"/>
        <w:sz w:val="20"/>
        <w:szCs w:val="20"/>
      </w:rPr>
    </w:pPr>
    <w:r w:rsidRPr="00637B85">
      <w:rPr>
        <w:rFonts w:ascii="Times New Roman" w:hAnsi="Times New Roman" w:cs="Times New Roman"/>
        <w:sz w:val="20"/>
        <w:szCs w:val="20"/>
      </w:rPr>
      <w:t>E</w:t>
    </w:r>
    <w:r w:rsidR="00CD03EC">
      <w:rPr>
        <w:rFonts w:ascii="Times New Roman" w:hAnsi="Times New Roman" w:cs="Times New Roman"/>
        <w:sz w:val="20"/>
        <w:szCs w:val="20"/>
      </w:rPr>
      <w:t>MZinp2_</w:t>
    </w:r>
    <w:r w:rsidR="00504632">
      <w:rPr>
        <w:rFonts w:ascii="Times New Roman" w:hAnsi="Times New Roman" w:cs="Times New Roman"/>
        <w:sz w:val="20"/>
        <w:szCs w:val="20"/>
      </w:rPr>
      <w:t>14</w:t>
    </w:r>
    <w:r w:rsidR="00D94CE4">
      <w:rPr>
        <w:rFonts w:ascii="Times New Roman" w:hAnsi="Times New Roman" w:cs="Times New Roman"/>
        <w:sz w:val="20"/>
        <w:szCs w:val="20"/>
      </w:rPr>
      <w:t>0815_IKP_PV</w:t>
    </w:r>
    <w:r w:rsidR="00AB78DF">
      <w:rPr>
        <w:rFonts w:ascii="Times New Roman" w:hAnsi="Times New Roman" w:cs="Times New Roman"/>
        <w:sz w:val="20"/>
        <w:szCs w:val="20"/>
      </w:rPr>
      <w:t>; Informatīvais ziņojums</w:t>
    </w:r>
    <w:r w:rsidRPr="00637B85">
      <w:rPr>
        <w:rFonts w:ascii="Times New Roman" w:hAnsi="Times New Roman" w:cs="Times New Roman"/>
        <w:sz w:val="20"/>
        <w:szCs w:val="20"/>
      </w:rPr>
      <w:t xml:space="preserve"> „Par rādītāju - republikas pilsētu iekšzemes kopprodukts un pievienotā vērtība - iegūšanas iespējām un šādas informācijas iegūšanas nodrošināšanai nepieciešamo finansējumu”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DDF" w:rsidRDefault="00E82DDF" w:rsidP="004811F3">
      <w:pPr>
        <w:spacing w:after="0" w:line="240" w:lineRule="auto"/>
      </w:pPr>
      <w:r>
        <w:separator/>
      </w:r>
    </w:p>
  </w:footnote>
  <w:footnote w:type="continuationSeparator" w:id="0">
    <w:p w:rsidR="00E82DDF" w:rsidRDefault="00E82DDF" w:rsidP="004811F3">
      <w:pPr>
        <w:spacing w:after="0" w:line="240" w:lineRule="auto"/>
      </w:pPr>
      <w:r>
        <w:continuationSeparator/>
      </w:r>
    </w:p>
  </w:footnote>
  <w:footnote w:id="1">
    <w:p w:rsidR="004811F3" w:rsidRDefault="004811F3" w:rsidP="00D11C3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Eiropas Parlamenta un Padomes Regula (EK) Nr.177/2008 (2008.gada 20.februāris), ar ko izveido kopēju uzņēmumu reģistru sistēmu statistikas vajadzībām un atceļ Padomes Regulu (EEK) Nr.2186/93</w:t>
      </w:r>
    </w:p>
  </w:footnote>
  <w:footnote w:id="2">
    <w:p w:rsidR="004811F3" w:rsidRDefault="004811F3" w:rsidP="00D11C3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Padomes 1993.gada 15.marta Regula (EEK) Nr.696/93 par statistikas vienībām ražošanas sistēmas novērošanai un analīzei Kopienā.</w:t>
      </w:r>
    </w:p>
  </w:footnote>
  <w:footnote w:id="3">
    <w:p w:rsidR="004811F3" w:rsidRDefault="004811F3" w:rsidP="00D11C37">
      <w:pPr>
        <w:pStyle w:val="FootnoteText"/>
        <w:jc w:val="both"/>
      </w:pPr>
      <w:r>
        <w:rPr>
          <w:rStyle w:val="FootnoteReference"/>
          <w:rFonts w:ascii="Times New Roman" w:hAnsi="Times New Roman" w:cs="Times New Roman"/>
        </w:rPr>
        <w:footnoteRef/>
      </w:r>
      <w:r>
        <w:rPr>
          <w:rFonts w:ascii="Times New Roman" w:hAnsi="Times New Roman" w:cs="Times New Roman"/>
        </w:rPr>
        <w:t xml:space="preserve"> Eiropas kontu sistēma (EKS 2010), 2.148.punkts</w:t>
      </w:r>
    </w:p>
  </w:footnote>
  <w:footnote w:id="4">
    <w:p w:rsidR="00D7167D" w:rsidRPr="00D11C37" w:rsidRDefault="00D7167D" w:rsidP="00D11C37">
      <w:pPr>
        <w:pStyle w:val="FootnoteText"/>
        <w:jc w:val="both"/>
        <w:rPr>
          <w:rFonts w:ascii="Times New Roman" w:hAnsi="Times New Roman" w:cs="Times New Roman"/>
        </w:rPr>
      </w:pPr>
      <w:r w:rsidRPr="00D11C37">
        <w:rPr>
          <w:rStyle w:val="FootnoteReference"/>
          <w:rFonts w:ascii="Times New Roman" w:hAnsi="Times New Roman" w:cs="Times New Roman"/>
        </w:rPr>
        <w:footnoteRef/>
      </w:r>
      <w:r w:rsidRPr="00D11C37">
        <w:rPr>
          <w:rFonts w:ascii="Times New Roman" w:hAnsi="Times New Roman" w:cs="Times New Roman"/>
        </w:rPr>
        <w:t xml:space="preserve"> Padomes 1993.gada 15.marta Regula (EEK) Nr.696/93 par statistikas vienībām ražošanas sistēmas novērošanai un analīzei Kopienā</w:t>
      </w:r>
    </w:p>
  </w:footnote>
  <w:footnote w:id="5">
    <w:p w:rsidR="003C103A" w:rsidRPr="00286287" w:rsidRDefault="003C103A" w:rsidP="00286287">
      <w:pPr>
        <w:pStyle w:val="FootnoteText"/>
        <w:jc w:val="both"/>
        <w:rPr>
          <w:rFonts w:ascii="Times New Roman" w:hAnsi="Times New Roman" w:cs="Times New Roman"/>
        </w:rPr>
      </w:pPr>
      <w:r w:rsidRPr="00286287">
        <w:rPr>
          <w:rStyle w:val="FootnoteReference"/>
          <w:rFonts w:ascii="Times New Roman" w:hAnsi="Times New Roman" w:cs="Times New Roman"/>
        </w:rPr>
        <w:footnoteRef/>
      </w:r>
      <w:r w:rsidRPr="00286287">
        <w:rPr>
          <w:rFonts w:ascii="Times New Roman" w:hAnsi="Times New Roman" w:cs="Times New Roman"/>
        </w:rPr>
        <w:t xml:space="preserve"> Eiropas Parlamenta un Padomes Regula (EK) Nr.177/2008 (2008.gada 20.februāris), ar ko izveido kopēju uzņēmumu reģistru sistēmu statistikas vajadzībām un atceļ Padomes Regulu (EEK) Nr.2186/93</w:t>
      </w:r>
    </w:p>
  </w:footnote>
  <w:footnote w:id="6">
    <w:p w:rsidR="00D7167D" w:rsidRPr="00185B93" w:rsidRDefault="00D7167D" w:rsidP="00286287">
      <w:pPr>
        <w:pStyle w:val="FootnoteText"/>
        <w:jc w:val="both"/>
        <w:rPr>
          <w:rFonts w:ascii="Times New Roman" w:hAnsi="Times New Roman" w:cs="Times New Roman"/>
        </w:rPr>
      </w:pPr>
      <w:r w:rsidRPr="00185B93">
        <w:rPr>
          <w:rStyle w:val="FootnoteReference"/>
          <w:rFonts w:ascii="Times New Roman" w:hAnsi="Times New Roman" w:cs="Times New Roman"/>
        </w:rPr>
        <w:footnoteRef/>
      </w:r>
      <w:r w:rsidRPr="00185B93">
        <w:rPr>
          <w:rFonts w:ascii="Times New Roman" w:hAnsi="Times New Roman" w:cs="Times New Roman"/>
        </w:rPr>
        <w:t xml:space="preserve"> </w:t>
      </w:r>
      <w:r w:rsidRPr="002355FD">
        <w:rPr>
          <w:rFonts w:ascii="Times New Roman" w:hAnsi="Times New Roman" w:cs="Times New Roman"/>
          <w:color w:val="000000"/>
        </w:rPr>
        <w:t>Kvalitātes vadības sistēma, tās ieviešanas un uzturēšanas kārtība (148-Nor/2013; 10.07.2013)</w:t>
      </w:r>
      <w:r>
        <w:rPr>
          <w:rFonts w:ascii="Times New Roman" w:hAnsi="Times New Roman" w:cs="Times New Roman"/>
          <w:color w:val="000000"/>
        </w:rPr>
        <w:t xml:space="preserve"> NACE kodu maiņa (4.4.1.4. process)</w:t>
      </w:r>
    </w:p>
    <w:p w:rsidR="00D7167D" w:rsidRDefault="00D7167D" w:rsidP="00D7167D">
      <w:pPr>
        <w:pStyle w:val="FootnoteText"/>
      </w:pPr>
    </w:p>
  </w:footnote>
  <w:footnote w:id="7">
    <w:p w:rsidR="005B71B9" w:rsidRPr="00286287" w:rsidRDefault="005B71B9" w:rsidP="00D11C37">
      <w:pPr>
        <w:pStyle w:val="FootnoteText"/>
        <w:jc w:val="both"/>
        <w:rPr>
          <w:rFonts w:ascii="Times New Roman" w:hAnsi="Times New Roman" w:cs="Times New Roman"/>
        </w:rPr>
      </w:pPr>
      <w:r w:rsidRPr="00185B93">
        <w:rPr>
          <w:rStyle w:val="FootnoteReference"/>
          <w:rFonts w:ascii="Times New Roman" w:hAnsi="Times New Roman" w:cs="Times New Roman"/>
        </w:rPr>
        <w:footnoteRef/>
      </w:r>
      <w:r w:rsidRPr="00185B93">
        <w:rPr>
          <w:rFonts w:ascii="Times New Roman" w:hAnsi="Times New Roman" w:cs="Times New Roman"/>
        </w:rPr>
        <w:t xml:space="preserve"> Eiropas Parlamenta un Padomes Regula (EK) Nr.177/2008 (2008.gada 20.februāris), ar ko izveido kopēju uzņēmumu reģistru sistēmu statistikas vajadzībām un atceļ Padomes Regulu (EEK) Nr.2186/93</w:t>
      </w:r>
      <w:r w:rsidR="003C103A">
        <w:rPr>
          <w:rFonts w:ascii="Times New Roman" w:hAnsi="Times New Roman" w:cs="Times New Roman"/>
        </w:rPr>
        <w:t>, 3.pants</w:t>
      </w:r>
    </w:p>
  </w:footnote>
  <w:footnote w:id="8">
    <w:p w:rsidR="00B331DB" w:rsidRDefault="00B331DB" w:rsidP="00D11C37">
      <w:pPr>
        <w:pStyle w:val="FootnoteText"/>
        <w:jc w:val="both"/>
      </w:pPr>
      <w:r w:rsidRPr="00185B93">
        <w:rPr>
          <w:rStyle w:val="FootnoteReference"/>
          <w:rFonts w:ascii="Times New Roman" w:hAnsi="Times New Roman" w:cs="Times New Roman"/>
        </w:rPr>
        <w:footnoteRef/>
      </w:r>
      <w:r w:rsidRPr="00185B93">
        <w:rPr>
          <w:rFonts w:ascii="Times New Roman" w:hAnsi="Times New Roman" w:cs="Times New Roman"/>
        </w:rPr>
        <w:t xml:space="preserve"> </w:t>
      </w:r>
      <w:r>
        <w:rPr>
          <w:rFonts w:ascii="Times New Roman" w:hAnsi="Times New Roman" w:cs="Times New Roman"/>
        </w:rPr>
        <w:t>Šeit un turpmāk aprakstītie VDVV uzturēšanas pamatpr</w:t>
      </w:r>
      <w:r w:rsidR="00585581">
        <w:rPr>
          <w:rFonts w:ascii="Times New Roman" w:hAnsi="Times New Roman" w:cs="Times New Roman"/>
        </w:rPr>
        <w:t xml:space="preserve">incipi apstiprināti </w:t>
      </w:r>
      <w:r>
        <w:rPr>
          <w:rFonts w:ascii="Times New Roman" w:hAnsi="Times New Roman" w:cs="Times New Roman"/>
        </w:rPr>
        <w:t>P</w:t>
      </w:r>
      <w:r w:rsidR="00585581">
        <w:rPr>
          <w:rFonts w:ascii="Times New Roman" w:hAnsi="Times New Roman" w:cs="Times New Roman"/>
        </w:rPr>
        <w:t>ārvaldes</w:t>
      </w:r>
      <w:r>
        <w:rPr>
          <w:rFonts w:ascii="Times New Roman" w:hAnsi="Times New Roman" w:cs="Times New Roman"/>
        </w:rPr>
        <w:t xml:space="preserve"> </w:t>
      </w:r>
      <w:r w:rsidR="00353D5C">
        <w:rPr>
          <w:rFonts w:ascii="Times New Roman" w:hAnsi="Times New Roman" w:cs="Times New Roman"/>
        </w:rPr>
        <w:t>Metodoloģiskajā</w:t>
      </w:r>
      <w:r>
        <w:rPr>
          <w:rFonts w:ascii="Times New Roman" w:hAnsi="Times New Roman" w:cs="Times New Roman"/>
        </w:rPr>
        <w:t xml:space="preserve"> padomē 05.12.2013.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162305"/>
      <w:docPartObj>
        <w:docPartGallery w:val="Page Numbers (Top of Page)"/>
        <w:docPartUnique/>
      </w:docPartObj>
    </w:sdtPr>
    <w:sdtEndPr>
      <w:rPr>
        <w:rFonts w:ascii="Times New Roman" w:hAnsi="Times New Roman" w:cs="Times New Roman"/>
        <w:noProof/>
      </w:rPr>
    </w:sdtEndPr>
    <w:sdtContent>
      <w:p w:rsidR="000E18B4" w:rsidRPr="00D11C37" w:rsidRDefault="000E18B4">
        <w:pPr>
          <w:pStyle w:val="Header"/>
          <w:jc w:val="center"/>
          <w:rPr>
            <w:rFonts w:ascii="Times New Roman" w:hAnsi="Times New Roman" w:cs="Times New Roman"/>
          </w:rPr>
        </w:pPr>
        <w:r w:rsidRPr="00D11C37">
          <w:rPr>
            <w:rFonts w:ascii="Times New Roman" w:hAnsi="Times New Roman" w:cs="Times New Roman"/>
          </w:rPr>
          <w:fldChar w:fldCharType="begin"/>
        </w:r>
        <w:r w:rsidRPr="00D11C37">
          <w:rPr>
            <w:rFonts w:ascii="Times New Roman" w:hAnsi="Times New Roman" w:cs="Times New Roman"/>
          </w:rPr>
          <w:instrText xml:space="preserve"> PAGE   \* MERGEFORMAT </w:instrText>
        </w:r>
        <w:r w:rsidRPr="00D11C37">
          <w:rPr>
            <w:rFonts w:ascii="Times New Roman" w:hAnsi="Times New Roman" w:cs="Times New Roman"/>
          </w:rPr>
          <w:fldChar w:fldCharType="separate"/>
        </w:r>
        <w:r w:rsidR="00E82DDF">
          <w:rPr>
            <w:rFonts w:ascii="Times New Roman" w:hAnsi="Times New Roman" w:cs="Times New Roman"/>
            <w:noProof/>
          </w:rPr>
          <w:t>1</w:t>
        </w:r>
        <w:r w:rsidRPr="00D11C37">
          <w:rPr>
            <w:rFonts w:ascii="Times New Roman" w:hAnsi="Times New Roman" w:cs="Times New Roman"/>
            <w:noProof/>
          </w:rPr>
          <w:fldChar w:fldCharType="end"/>
        </w:r>
      </w:p>
    </w:sdtContent>
  </w:sdt>
  <w:p w:rsidR="000E18B4" w:rsidRDefault="000E18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531E"/>
    <w:multiLevelType w:val="hybridMultilevel"/>
    <w:tmpl w:val="EFFC2046"/>
    <w:lvl w:ilvl="0" w:tplc="04260001">
      <w:start w:val="1"/>
      <w:numFmt w:val="bullet"/>
      <w:lvlText w:val=""/>
      <w:lvlJc w:val="left"/>
      <w:pPr>
        <w:ind w:left="2366" w:hanging="360"/>
      </w:pPr>
      <w:rPr>
        <w:rFonts w:ascii="Symbol" w:hAnsi="Symbol" w:hint="default"/>
      </w:rPr>
    </w:lvl>
    <w:lvl w:ilvl="1" w:tplc="04260003" w:tentative="1">
      <w:start w:val="1"/>
      <w:numFmt w:val="bullet"/>
      <w:lvlText w:val="o"/>
      <w:lvlJc w:val="left"/>
      <w:pPr>
        <w:ind w:left="3086" w:hanging="360"/>
      </w:pPr>
      <w:rPr>
        <w:rFonts w:ascii="Courier New" w:hAnsi="Courier New" w:cs="Courier New" w:hint="default"/>
      </w:rPr>
    </w:lvl>
    <w:lvl w:ilvl="2" w:tplc="04260005" w:tentative="1">
      <w:start w:val="1"/>
      <w:numFmt w:val="bullet"/>
      <w:lvlText w:val=""/>
      <w:lvlJc w:val="left"/>
      <w:pPr>
        <w:ind w:left="3806" w:hanging="360"/>
      </w:pPr>
      <w:rPr>
        <w:rFonts w:ascii="Wingdings" w:hAnsi="Wingdings" w:hint="default"/>
      </w:rPr>
    </w:lvl>
    <w:lvl w:ilvl="3" w:tplc="04260001" w:tentative="1">
      <w:start w:val="1"/>
      <w:numFmt w:val="bullet"/>
      <w:lvlText w:val=""/>
      <w:lvlJc w:val="left"/>
      <w:pPr>
        <w:ind w:left="4526" w:hanging="360"/>
      </w:pPr>
      <w:rPr>
        <w:rFonts w:ascii="Symbol" w:hAnsi="Symbol" w:hint="default"/>
      </w:rPr>
    </w:lvl>
    <w:lvl w:ilvl="4" w:tplc="04260003" w:tentative="1">
      <w:start w:val="1"/>
      <w:numFmt w:val="bullet"/>
      <w:lvlText w:val="o"/>
      <w:lvlJc w:val="left"/>
      <w:pPr>
        <w:ind w:left="5246" w:hanging="360"/>
      </w:pPr>
      <w:rPr>
        <w:rFonts w:ascii="Courier New" w:hAnsi="Courier New" w:cs="Courier New" w:hint="default"/>
      </w:rPr>
    </w:lvl>
    <w:lvl w:ilvl="5" w:tplc="04260005" w:tentative="1">
      <w:start w:val="1"/>
      <w:numFmt w:val="bullet"/>
      <w:lvlText w:val=""/>
      <w:lvlJc w:val="left"/>
      <w:pPr>
        <w:ind w:left="5966" w:hanging="360"/>
      </w:pPr>
      <w:rPr>
        <w:rFonts w:ascii="Wingdings" w:hAnsi="Wingdings" w:hint="default"/>
      </w:rPr>
    </w:lvl>
    <w:lvl w:ilvl="6" w:tplc="04260001" w:tentative="1">
      <w:start w:val="1"/>
      <w:numFmt w:val="bullet"/>
      <w:lvlText w:val=""/>
      <w:lvlJc w:val="left"/>
      <w:pPr>
        <w:ind w:left="6686" w:hanging="360"/>
      </w:pPr>
      <w:rPr>
        <w:rFonts w:ascii="Symbol" w:hAnsi="Symbol" w:hint="default"/>
      </w:rPr>
    </w:lvl>
    <w:lvl w:ilvl="7" w:tplc="04260003" w:tentative="1">
      <w:start w:val="1"/>
      <w:numFmt w:val="bullet"/>
      <w:lvlText w:val="o"/>
      <w:lvlJc w:val="left"/>
      <w:pPr>
        <w:ind w:left="7406" w:hanging="360"/>
      </w:pPr>
      <w:rPr>
        <w:rFonts w:ascii="Courier New" w:hAnsi="Courier New" w:cs="Courier New" w:hint="default"/>
      </w:rPr>
    </w:lvl>
    <w:lvl w:ilvl="8" w:tplc="04260005" w:tentative="1">
      <w:start w:val="1"/>
      <w:numFmt w:val="bullet"/>
      <w:lvlText w:val=""/>
      <w:lvlJc w:val="left"/>
      <w:pPr>
        <w:ind w:left="8126" w:hanging="360"/>
      </w:pPr>
      <w:rPr>
        <w:rFonts w:ascii="Wingdings" w:hAnsi="Wingdings" w:hint="default"/>
      </w:rPr>
    </w:lvl>
  </w:abstractNum>
  <w:abstractNum w:abstractNumId="1" w15:restartNumberingAfterBreak="0">
    <w:nsid w:val="07F90184"/>
    <w:multiLevelType w:val="hybridMultilevel"/>
    <w:tmpl w:val="94E8FA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4F40C1C"/>
    <w:multiLevelType w:val="hybridMultilevel"/>
    <w:tmpl w:val="802A4980"/>
    <w:lvl w:ilvl="0" w:tplc="B1A6A48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DB60E6E"/>
    <w:multiLevelType w:val="hybridMultilevel"/>
    <w:tmpl w:val="A81225C6"/>
    <w:lvl w:ilvl="0" w:tplc="8102B304">
      <w:start w:val="1"/>
      <w:numFmt w:val="bullet"/>
      <w:lvlText w:val="-"/>
      <w:lvlJc w:val="left"/>
      <w:pPr>
        <w:tabs>
          <w:tab w:val="num" w:pos="720"/>
        </w:tabs>
        <w:ind w:left="720" w:hanging="360"/>
      </w:pPr>
      <w:rPr>
        <w:rFonts w:ascii="Times New Roman" w:hAnsi="Times New Roman" w:hint="default"/>
      </w:rPr>
    </w:lvl>
    <w:lvl w:ilvl="1" w:tplc="1A602CA8" w:tentative="1">
      <w:start w:val="1"/>
      <w:numFmt w:val="bullet"/>
      <w:lvlText w:val="-"/>
      <w:lvlJc w:val="left"/>
      <w:pPr>
        <w:tabs>
          <w:tab w:val="num" w:pos="1440"/>
        </w:tabs>
        <w:ind w:left="1440" w:hanging="360"/>
      </w:pPr>
      <w:rPr>
        <w:rFonts w:ascii="Times New Roman" w:hAnsi="Times New Roman" w:hint="default"/>
      </w:rPr>
    </w:lvl>
    <w:lvl w:ilvl="2" w:tplc="A17A3CFA" w:tentative="1">
      <w:start w:val="1"/>
      <w:numFmt w:val="bullet"/>
      <w:lvlText w:val="-"/>
      <w:lvlJc w:val="left"/>
      <w:pPr>
        <w:tabs>
          <w:tab w:val="num" w:pos="2160"/>
        </w:tabs>
        <w:ind w:left="2160" w:hanging="360"/>
      </w:pPr>
      <w:rPr>
        <w:rFonts w:ascii="Times New Roman" w:hAnsi="Times New Roman" w:hint="default"/>
      </w:rPr>
    </w:lvl>
    <w:lvl w:ilvl="3" w:tplc="CE24C706" w:tentative="1">
      <w:start w:val="1"/>
      <w:numFmt w:val="bullet"/>
      <w:lvlText w:val="-"/>
      <w:lvlJc w:val="left"/>
      <w:pPr>
        <w:tabs>
          <w:tab w:val="num" w:pos="2880"/>
        </w:tabs>
        <w:ind w:left="2880" w:hanging="360"/>
      </w:pPr>
      <w:rPr>
        <w:rFonts w:ascii="Times New Roman" w:hAnsi="Times New Roman" w:hint="default"/>
      </w:rPr>
    </w:lvl>
    <w:lvl w:ilvl="4" w:tplc="D2AA438E" w:tentative="1">
      <w:start w:val="1"/>
      <w:numFmt w:val="bullet"/>
      <w:lvlText w:val="-"/>
      <w:lvlJc w:val="left"/>
      <w:pPr>
        <w:tabs>
          <w:tab w:val="num" w:pos="3600"/>
        </w:tabs>
        <w:ind w:left="3600" w:hanging="360"/>
      </w:pPr>
      <w:rPr>
        <w:rFonts w:ascii="Times New Roman" w:hAnsi="Times New Roman" w:hint="default"/>
      </w:rPr>
    </w:lvl>
    <w:lvl w:ilvl="5" w:tplc="1018D57C" w:tentative="1">
      <w:start w:val="1"/>
      <w:numFmt w:val="bullet"/>
      <w:lvlText w:val="-"/>
      <w:lvlJc w:val="left"/>
      <w:pPr>
        <w:tabs>
          <w:tab w:val="num" w:pos="4320"/>
        </w:tabs>
        <w:ind w:left="4320" w:hanging="360"/>
      </w:pPr>
      <w:rPr>
        <w:rFonts w:ascii="Times New Roman" w:hAnsi="Times New Roman" w:hint="default"/>
      </w:rPr>
    </w:lvl>
    <w:lvl w:ilvl="6" w:tplc="8F16C952" w:tentative="1">
      <w:start w:val="1"/>
      <w:numFmt w:val="bullet"/>
      <w:lvlText w:val="-"/>
      <w:lvlJc w:val="left"/>
      <w:pPr>
        <w:tabs>
          <w:tab w:val="num" w:pos="5040"/>
        </w:tabs>
        <w:ind w:left="5040" w:hanging="360"/>
      </w:pPr>
      <w:rPr>
        <w:rFonts w:ascii="Times New Roman" w:hAnsi="Times New Roman" w:hint="default"/>
      </w:rPr>
    </w:lvl>
    <w:lvl w:ilvl="7" w:tplc="C534020A" w:tentative="1">
      <w:start w:val="1"/>
      <w:numFmt w:val="bullet"/>
      <w:lvlText w:val="-"/>
      <w:lvlJc w:val="left"/>
      <w:pPr>
        <w:tabs>
          <w:tab w:val="num" w:pos="5760"/>
        </w:tabs>
        <w:ind w:left="5760" w:hanging="360"/>
      </w:pPr>
      <w:rPr>
        <w:rFonts w:ascii="Times New Roman" w:hAnsi="Times New Roman" w:hint="default"/>
      </w:rPr>
    </w:lvl>
    <w:lvl w:ilvl="8" w:tplc="9BC0B61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DC95733"/>
    <w:multiLevelType w:val="hybridMultilevel"/>
    <w:tmpl w:val="1C2AD31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349585B"/>
    <w:multiLevelType w:val="hybridMultilevel"/>
    <w:tmpl w:val="D756C08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36F188A"/>
    <w:multiLevelType w:val="hybridMultilevel"/>
    <w:tmpl w:val="52EEDD4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7F0663"/>
    <w:multiLevelType w:val="hybridMultilevel"/>
    <w:tmpl w:val="3A66C5BC"/>
    <w:lvl w:ilvl="0" w:tplc="1EF4D88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8C836DC"/>
    <w:multiLevelType w:val="hybridMultilevel"/>
    <w:tmpl w:val="8F065892"/>
    <w:lvl w:ilvl="0" w:tplc="5A0E4910">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928"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D35020C"/>
    <w:multiLevelType w:val="hybridMultilevel"/>
    <w:tmpl w:val="504CD4C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2A3916"/>
    <w:multiLevelType w:val="hybridMultilevel"/>
    <w:tmpl w:val="BE3C9B38"/>
    <w:lvl w:ilvl="0" w:tplc="0FB84F4E">
      <w:start w:val="3"/>
      <w:numFmt w:val="bullet"/>
      <w:lvlText w:val="-"/>
      <w:lvlJc w:val="left"/>
      <w:pPr>
        <w:ind w:left="720" w:hanging="360"/>
      </w:pPr>
      <w:rPr>
        <w:rFonts w:ascii="Times New Roman" w:eastAsiaTheme="minorHAnsi" w:hAnsi="Times New Roman" w:cs="Times New Roman" w:hint="default"/>
        <w:color w:val="000000" w:themeColor="text1"/>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E7C7632"/>
    <w:multiLevelType w:val="hybridMultilevel"/>
    <w:tmpl w:val="3E00121C"/>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3045249"/>
    <w:multiLevelType w:val="hybridMultilevel"/>
    <w:tmpl w:val="F02C6B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3877EDF"/>
    <w:multiLevelType w:val="hybridMultilevel"/>
    <w:tmpl w:val="FE2C61A0"/>
    <w:lvl w:ilvl="0" w:tplc="04260003">
      <w:start w:val="1"/>
      <w:numFmt w:val="bullet"/>
      <w:lvlText w:val="o"/>
      <w:lvlJc w:val="left"/>
      <w:pPr>
        <w:ind w:left="180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346556A4"/>
    <w:multiLevelType w:val="hybridMultilevel"/>
    <w:tmpl w:val="2328007E"/>
    <w:lvl w:ilvl="0" w:tplc="04260003">
      <w:start w:val="1"/>
      <w:numFmt w:val="bullet"/>
      <w:lvlText w:val="o"/>
      <w:lvlJc w:val="left"/>
      <w:pPr>
        <w:ind w:left="2366" w:hanging="360"/>
      </w:pPr>
      <w:rPr>
        <w:rFonts w:ascii="Courier New" w:hAnsi="Courier New" w:cs="Courier New" w:hint="default"/>
      </w:rPr>
    </w:lvl>
    <w:lvl w:ilvl="1" w:tplc="04260003" w:tentative="1">
      <w:start w:val="1"/>
      <w:numFmt w:val="bullet"/>
      <w:lvlText w:val="o"/>
      <w:lvlJc w:val="left"/>
      <w:pPr>
        <w:ind w:left="3086" w:hanging="360"/>
      </w:pPr>
      <w:rPr>
        <w:rFonts w:ascii="Courier New" w:hAnsi="Courier New" w:cs="Courier New" w:hint="default"/>
      </w:rPr>
    </w:lvl>
    <w:lvl w:ilvl="2" w:tplc="04260005" w:tentative="1">
      <w:start w:val="1"/>
      <w:numFmt w:val="bullet"/>
      <w:lvlText w:val=""/>
      <w:lvlJc w:val="left"/>
      <w:pPr>
        <w:ind w:left="3806" w:hanging="360"/>
      </w:pPr>
      <w:rPr>
        <w:rFonts w:ascii="Wingdings" w:hAnsi="Wingdings" w:hint="default"/>
      </w:rPr>
    </w:lvl>
    <w:lvl w:ilvl="3" w:tplc="04260001" w:tentative="1">
      <w:start w:val="1"/>
      <w:numFmt w:val="bullet"/>
      <w:lvlText w:val=""/>
      <w:lvlJc w:val="left"/>
      <w:pPr>
        <w:ind w:left="4526" w:hanging="360"/>
      </w:pPr>
      <w:rPr>
        <w:rFonts w:ascii="Symbol" w:hAnsi="Symbol" w:hint="default"/>
      </w:rPr>
    </w:lvl>
    <w:lvl w:ilvl="4" w:tplc="04260003" w:tentative="1">
      <w:start w:val="1"/>
      <w:numFmt w:val="bullet"/>
      <w:lvlText w:val="o"/>
      <w:lvlJc w:val="left"/>
      <w:pPr>
        <w:ind w:left="5246" w:hanging="360"/>
      </w:pPr>
      <w:rPr>
        <w:rFonts w:ascii="Courier New" w:hAnsi="Courier New" w:cs="Courier New" w:hint="default"/>
      </w:rPr>
    </w:lvl>
    <w:lvl w:ilvl="5" w:tplc="04260005" w:tentative="1">
      <w:start w:val="1"/>
      <w:numFmt w:val="bullet"/>
      <w:lvlText w:val=""/>
      <w:lvlJc w:val="left"/>
      <w:pPr>
        <w:ind w:left="5966" w:hanging="360"/>
      </w:pPr>
      <w:rPr>
        <w:rFonts w:ascii="Wingdings" w:hAnsi="Wingdings" w:hint="default"/>
      </w:rPr>
    </w:lvl>
    <w:lvl w:ilvl="6" w:tplc="04260001" w:tentative="1">
      <w:start w:val="1"/>
      <w:numFmt w:val="bullet"/>
      <w:lvlText w:val=""/>
      <w:lvlJc w:val="left"/>
      <w:pPr>
        <w:ind w:left="6686" w:hanging="360"/>
      </w:pPr>
      <w:rPr>
        <w:rFonts w:ascii="Symbol" w:hAnsi="Symbol" w:hint="default"/>
      </w:rPr>
    </w:lvl>
    <w:lvl w:ilvl="7" w:tplc="04260003" w:tentative="1">
      <w:start w:val="1"/>
      <w:numFmt w:val="bullet"/>
      <w:lvlText w:val="o"/>
      <w:lvlJc w:val="left"/>
      <w:pPr>
        <w:ind w:left="7406" w:hanging="360"/>
      </w:pPr>
      <w:rPr>
        <w:rFonts w:ascii="Courier New" w:hAnsi="Courier New" w:cs="Courier New" w:hint="default"/>
      </w:rPr>
    </w:lvl>
    <w:lvl w:ilvl="8" w:tplc="04260005" w:tentative="1">
      <w:start w:val="1"/>
      <w:numFmt w:val="bullet"/>
      <w:lvlText w:val=""/>
      <w:lvlJc w:val="left"/>
      <w:pPr>
        <w:ind w:left="8126" w:hanging="360"/>
      </w:pPr>
      <w:rPr>
        <w:rFonts w:ascii="Wingdings" w:hAnsi="Wingdings" w:hint="default"/>
      </w:rPr>
    </w:lvl>
  </w:abstractNum>
  <w:abstractNum w:abstractNumId="15" w15:restartNumberingAfterBreak="0">
    <w:nsid w:val="36284C2A"/>
    <w:multiLevelType w:val="hybridMultilevel"/>
    <w:tmpl w:val="5B36BE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EF453FD"/>
    <w:multiLevelType w:val="hybridMultilevel"/>
    <w:tmpl w:val="D354C7D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40CD3672"/>
    <w:multiLevelType w:val="hybridMultilevel"/>
    <w:tmpl w:val="FA66B00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61433B0"/>
    <w:multiLevelType w:val="hybridMultilevel"/>
    <w:tmpl w:val="07EE8012"/>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B007B0E"/>
    <w:multiLevelType w:val="hybridMultilevel"/>
    <w:tmpl w:val="47DAE6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BAA6C9F"/>
    <w:multiLevelType w:val="hybridMultilevel"/>
    <w:tmpl w:val="E130A708"/>
    <w:lvl w:ilvl="0" w:tplc="0426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D003D34"/>
    <w:multiLevelType w:val="hybridMultilevel"/>
    <w:tmpl w:val="697AE298"/>
    <w:lvl w:ilvl="0" w:tplc="5A0E4910">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36478AB"/>
    <w:multiLevelType w:val="hybridMultilevel"/>
    <w:tmpl w:val="1F1E38BC"/>
    <w:lvl w:ilvl="0" w:tplc="FD22ABA0">
      <w:start w:val="1"/>
      <w:numFmt w:val="bullet"/>
      <w:lvlText w:val="-"/>
      <w:lvlJc w:val="left"/>
      <w:pPr>
        <w:tabs>
          <w:tab w:val="num" w:pos="720"/>
        </w:tabs>
        <w:ind w:left="720" w:hanging="360"/>
      </w:pPr>
      <w:rPr>
        <w:rFonts w:ascii="Times New Roman" w:hAnsi="Times New Roman" w:hint="default"/>
      </w:rPr>
    </w:lvl>
    <w:lvl w:ilvl="1" w:tplc="A92C6FA4">
      <w:start w:val="1"/>
      <w:numFmt w:val="bullet"/>
      <w:lvlText w:val="-"/>
      <w:lvlJc w:val="left"/>
      <w:pPr>
        <w:tabs>
          <w:tab w:val="num" w:pos="1440"/>
        </w:tabs>
        <w:ind w:left="1440" w:hanging="360"/>
      </w:pPr>
      <w:rPr>
        <w:rFonts w:ascii="Times New Roman" w:hAnsi="Times New Roman" w:hint="default"/>
      </w:rPr>
    </w:lvl>
    <w:lvl w:ilvl="2" w:tplc="72549FD2" w:tentative="1">
      <w:start w:val="1"/>
      <w:numFmt w:val="bullet"/>
      <w:lvlText w:val="-"/>
      <w:lvlJc w:val="left"/>
      <w:pPr>
        <w:tabs>
          <w:tab w:val="num" w:pos="2160"/>
        </w:tabs>
        <w:ind w:left="2160" w:hanging="360"/>
      </w:pPr>
      <w:rPr>
        <w:rFonts w:ascii="Times New Roman" w:hAnsi="Times New Roman" w:hint="default"/>
      </w:rPr>
    </w:lvl>
    <w:lvl w:ilvl="3" w:tplc="CA58138C" w:tentative="1">
      <w:start w:val="1"/>
      <w:numFmt w:val="bullet"/>
      <w:lvlText w:val="-"/>
      <w:lvlJc w:val="left"/>
      <w:pPr>
        <w:tabs>
          <w:tab w:val="num" w:pos="2880"/>
        </w:tabs>
        <w:ind w:left="2880" w:hanging="360"/>
      </w:pPr>
      <w:rPr>
        <w:rFonts w:ascii="Times New Roman" w:hAnsi="Times New Roman" w:hint="default"/>
      </w:rPr>
    </w:lvl>
    <w:lvl w:ilvl="4" w:tplc="3CF6F79C" w:tentative="1">
      <w:start w:val="1"/>
      <w:numFmt w:val="bullet"/>
      <w:lvlText w:val="-"/>
      <w:lvlJc w:val="left"/>
      <w:pPr>
        <w:tabs>
          <w:tab w:val="num" w:pos="3600"/>
        </w:tabs>
        <w:ind w:left="3600" w:hanging="360"/>
      </w:pPr>
      <w:rPr>
        <w:rFonts w:ascii="Times New Roman" w:hAnsi="Times New Roman" w:hint="default"/>
      </w:rPr>
    </w:lvl>
    <w:lvl w:ilvl="5" w:tplc="B21EBE80" w:tentative="1">
      <w:start w:val="1"/>
      <w:numFmt w:val="bullet"/>
      <w:lvlText w:val="-"/>
      <w:lvlJc w:val="left"/>
      <w:pPr>
        <w:tabs>
          <w:tab w:val="num" w:pos="4320"/>
        </w:tabs>
        <w:ind w:left="4320" w:hanging="360"/>
      </w:pPr>
      <w:rPr>
        <w:rFonts w:ascii="Times New Roman" w:hAnsi="Times New Roman" w:hint="default"/>
      </w:rPr>
    </w:lvl>
    <w:lvl w:ilvl="6" w:tplc="F01E6E84" w:tentative="1">
      <w:start w:val="1"/>
      <w:numFmt w:val="bullet"/>
      <w:lvlText w:val="-"/>
      <w:lvlJc w:val="left"/>
      <w:pPr>
        <w:tabs>
          <w:tab w:val="num" w:pos="5040"/>
        </w:tabs>
        <w:ind w:left="5040" w:hanging="360"/>
      </w:pPr>
      <w:rPr>
        <w:rFonts w:ascii="Times New Roman" w:hAnsi="Times New Roman" w:hint="default"/>
      </w:rPr>
    </w:lvl>
    <w:lvl w:ilvl="7" w:tplc="24B82D68" w:tentative="1">
      <w:start w:val="1"/>
      <w:numFmt w:val="bullet"/>
      <w:lvlText w:val="-"/>
      <w:lvlJc w:val="left"/>
      <w:pPr>
        <w:tabs>
          <w:tab w:val="num" w:pos="5760"/>
        </w:tabs>
        <w:ind w:left="5760" w:hanging="360"/>
      </w:pPr>
      <w:rPr>
        <w:rFonts w:ascii="Times New Roman" w:hAnsi="Times New Roman" w:hint="default"/>
      </w:rPr>
    </w:lvl>
    <w:lvl w:ilvl="8" w:tplc="513864A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7383ADC"/>
    <w:multiLevelType w:val="hybridMultilevel"/>
    <w:tmpl w:val="9606FC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77E41C7"/>
    <w:multiLevelType w:val="hybridMultilevel"/>
    <w:tmpl w:val="7E3AF4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89053C1"/>
    <w:multiLevelType w:val="hybridMultilevel"/>
    <w:tmpl w:val="AC5819D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5C5A3643"/>
    <w:multiLevelType w:val="hybridMultilevel"/>
    <w:tmpl w:val="B3AA0602"/>
    <w:lvl w:ilvl="0" w:tplc="0426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E6334A0"/>
    <w:multiLevelType w:val="hybridMultilevel"/>
    <w:tmpl w:val="2804ACC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570387E"/>
    <w:multiLevelType w:val="hybridMultilevel"/>
    <w:tmpl w:val="003C3DDE"/>
    <w:lvl w:ilvl="0" w:tplc="BB565228">
      <w:start w:val="1"/>
      <w:numFmt w:val="bullet"/>
      <w:lvlText w:val=""/>
      <w:lvlJc w:val="left"/>
      <w:pPr>
        <w:tabs>
          <w:tab w:val="num" w:pos="720"/>
        </w:tabs>
        <w:ind w:left="720" w:hanging="360"/>
      </w:pPr>
      <w:rPr>
        <w:rFonts w:ascii="Wingdings" w:hAnsi="Wingdings" w:hint="default"/>
      </w:rPr>
    </w:lvl>
    <w:lvl w:ilvl="1" w:tplc="534E3420" w:tentative="1">
      <w:start w:val="1"/>
      <w:numFmt w:val="bullet"/>
      <w:lvlText w:val=""/>
      <w:lvlJc w:val="left"/>
      <w:pPr>
        <w:tabs>
          <w:tab w:val="num" w:pos="1440"/>
        </w:tabs>
        <w:ind w:left="1440" w:hanging="360"/>
      </w:pPr>
      <w:rPr>
        <w:rFonts w:ascii="Wingdings" w:hAnsi="Wingdings" w:hint="default"/>
      </w:rPr>
    </w:lvl>
    <w:lvl w:ilvl="2" w:tplc="34C49C48" w:tentative="1">
      <w:start w:val="1"/>
      <w:numFmt w:val="bullet"/>
      <w:lvlText w:val=""/>
      <w:lvlJc w:val="left"/>
      <w:pPr>
        <w:tabs>
          <w:tab w:val="num" w:pos="2160"/>
        </w:tabs>
        <w:ind w:left="2160" w:hanging="360"/>
      </w:pPr>
      <w:rPr>
        <w:rFonts w:ascii="Wingdings" w:hAnsi="Wingdings" w:hint="default"/>
      </w:rPr>
    </w:lvl>
    <w:lvl w:ilvl="3" w:tplc="107A7AB6" w:tentative="1">
      <w:start w:val="1"/>
      <w:numFmt w:val="bullet"/>
      <w:lvlText w:val=""/>
      <w:lvlJc w:val="left"/>
      <w:pPr>
        <w:tabs>
          <w:tab w:val="num" w:pos="2880"/>
        </w:tabs>
        <w:ind w:left="2880" w:hanging="360"/>
      </w:pPr>
      <w:rPr>
        <w:rFonts w:ascii="Wingdings" w:hAnsi="Wingdings" w:hint="default"/>
      </w:rPr>
    </w:lvl>
    <w:lvl w:ilvl="4" w:tplc="01E60D2C" w:tentative="1">
      <w:start w:val="1"/>
      <w:numFmt w:val="bullet"/>
      <w:lvlText w:val=""/>
      <w:lvlJc w:val="left"/>
      <w:pPr>
        <w:tabs>
          <w:tab w:val="num" w:pos="3600"/>
        </w:tabs>
        <w:ind w:left="3600" w:hanging="360"/>
      </w:pPr>
      <w:rPr>
        <w:rFonts w:ascii="Wingdings" w:hAnsi="Wingdings" w:hint="default"/>
      </w:rPr>
    </w:lvl>
    <w:lvl w:ilvl="5" w:tplc="D1AAF632" w:tentative="1">
      <w:start w:val="1"/>
      <w:numFmt w:val="bullet"/>
      <w:lvlText w:val=""/>
      <w:lvlJc w:val="left"/>
      <w:pPr>
        <w:tabs>
          <w:tab w:val="num" w:pos="4320"/>
        </w:tabs>
        <w:ind w:left="4320" w:hanging="360"/>
      </w:pPr>
      <w:rPr>
        <w:rFonts w:ascii="Wingdings" w:hAnsi="Wingdings" w:hint="default"/>
      </w:rPr>
    </w:lvl>
    <w:lvl w:ilvl="6" w:tplc="A5B0F432" w:tentative="1">
      <w:start w:val="1"/>
      <w:numFmt w:val="bullet"/>
      <w:lvlText w:val=""/>
      <w:lvlJc w:val="left"/>
      <w:pPr>
        <w:tabs>
          <w:tab w:val="num" w:pos="5040"/>
        </w:tabs>
        <w:ind w:left="5040" w:hanging="360"/>
      </w:pPr>
      <w:rPr>
        <w:rFonts w:ascii="Wingdings" w:hAnsi="Wingdings" w:hint="default"/>
      </w:rPr>
    </w:lvl>
    <w:lvl w:ilvl="7" w:tplc="B8400CB0" w:tentative="1">
      <w:start w:val="1"/>
      <w:numFmt w:val="bullet"/>
      <w:lvlText w:val=""/>
      <w:lvlJc w:val="left"/>
      <w:pPr>
        <w:tabs>
          <w:tab w:val="num" w:pos="5760"/>
        </w:tabs>
        <w:ind w:left="5760" w:hanging="360"/>
      </w:pPr>
      <w:rPr>
        <w:rFonts w:ascii="Wingdings" w:hAnsi="Wingdings" w:hint="default"/>
      </w:rPr>
    </w:lvl>
    <w:lvl w:ilvl="8" w:tplc="32204CC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831E05"/>
    <w:multiLevelType w:val="hybridMultilevel"/>
    <w:tmpl w:val="C4268A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5A65120"/>
    <w:multiLevelType w:val="hybridMultilevel"/>
    <w:tmpl w:val="F530EA68"/>
    <w:lvl w:ilvl="0" w:tplc="5A0E491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70F02C8"/>
    <w:multiLevelType w:val="hybridMultilevel"/>
    <w:tmpl w:val="D16CBA8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68F37C42"/>
    <w:multiLevelType w:val="hybridMultilevel"/>
    <w:tmpl w:val="615EEDCE"/>
    <w:lvl w:ilvl="0" w:tplc="0426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61671D1"/>
    <w:multiLevelType w:val="hybridMultilevel"/>
    <w:tmpl w:val="5920A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9973EF"/>
    <w:multiLevelType w:val="hybridMultilevel"/>
    <w:tmpl w:val="DB6C60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BC21A02"/>
    <w:multiLevelType w:val="hybridMultilevel"/>
    <w:tmpl w:val="E0CA50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BC74A6E"/>
    <w:multiLevelType w:val="hybridMultilevel"/>
    <w:tmpl w:val="27E49DDE"/>
    <w:lvl w:ilvl="0" w:tplc="C8F86A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D2B3B0C"/>
    <w:multiLevelType w:val="hybridMultilevel"/>
    <w:tmpl w:val="DCCACF9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24"/>
  </w:num>
  <w:num w:numId="4">
    <w:abstractNumId w:val="12"/>
  </w:num>
  <w:num w:numId="5">
    <w:abstractNumId w:val="10"/>
  </w:num>
  <w:num w:numId="6">
    <w:abstractNumId w:val="2"/>
  </w:num>
  <w:num w:numId="7">
    <w:abstractNumId w:val="21"/>
  </w:num>
  <w:num w:numId="8">
    <w:abstractNumId w:val="30"/>
  </w:num>
  <w:num w:numId="9">
    <w:abstractNumId w:val="8"/>
  </w:num>
  <w:num w:numId="10">
    <w:abstractNumId w:val="1"/>
  </w:num>
  <w:num w:numId="11">
    <w:abstractNumId w:val="19"/>
  </w:num>
  <w:num w:numId="12">
    <w:abstractNumId w:val="16"/>
  </w:num>
  <w:num w:numId="13">
    <w:abstractNumId w:val="5"/>
  </w:num>
  <w:num w:numId="14">
    <w:abstractNumId w:val="25"/>
  </w:num>
  <w:num w:numId="15">
    <w:abstractNumId w:val="13"/>
  </w:num>
  <w:num w:numId="16">
    <w:abstractNumId w:val="4"/>
  </w:num>
  <w:num w:numId="17">
    <w:abstractNumId w:val="6"/>
  </w:num>
  <w:num w:numId="18">
    <w:abstractNumId w:val="31"/>
  </w:num>
  <w:num w:numId="19">
    <w:abstractNumId w:val="18"/>
  </w:num>
  <w:num w:numId="20">
    <w:abstractNumId w:val="3"/>
  </w:num>
  <w:num w:numId="21">
    <w:abstractNumId w:val="22"/>
  </w:num>
  <w:num w:numId="22">
    <w:abstractNumId w:val="37"/>
  </w:num>
  <w:num w:numId="23">
    <w:abstractNumId w:val="23"/>
  </w:num>
  <w:num w:numId="24">
    <w:abstractNumId w:val="17"/>
  </w:num>
  <w:num w:numId="25">
    <w:abstractNumId w:val="0"/>
  </w:num>
  <w:num w:numId="26">
    <w:abstractNumId w:val="34"/>
  </w:num>
  <w:num w:numId="27">
    <w:abstractNumId w:val="14"/>
  </w:num>
  <w:num w:numId="28">
    <w:abstractNumId w:val="33"/>
  </w:num>
  <w:num w:numId="29">
    <w:abstractNumId w:val="11"/>
  </w:num>
  <w:num w:numId="30">
    <w:abstractNumId w:val="35"/>
  </w:num>
  <w:num w:numId="31">
    <w:abstractNumId w:val="9"/>
  </w:num>
  <w:num w:numId="32">
    <w:abstractNumId w:val="36"/>
  </w:num>
  <w:num w:numId="33">
    <w:abstractNumId w:val="27"/>
  </w:num>
  <w:num w:numId="34">
    <w:abstractNumId w:val="28"/>
  </w:num>
  <w:num w:numId="35">
    <w:abstractNumId w:val="32"/>
  </w:num>
  <w:num w:numId="36">
    <w:abstractNumId w:val="20"/>
  </w:num>
  <w:num w:numId="37">
    <w:abstractNumId w:val="26"/>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1F3"/>
    <w:rsid w:val="00032B27"/>
    <w:rsid w:val="00035DD7"/>
    <w:rsid w:val="000504B8"/>
    <w:rsid w:val="000801C8"/>
    <w:rsid w:val="000A1566"/>
    <w:rsid w:val="000A4EBE"/>
    <w:rsid w:val="000A517F"/>
    <w:rsid w:val="000B2FF1"/>
    <w:rsid w:val="000B47DF"/>
    <w:rsid w:val="000E18B4"/>
    <w:rsid w:val="00116916"/>
    <w:rsid w:val="00133F83"/>
    <w:rsid w:val="001724CA"/>
    <w:rsid w:val="00192FB9"/>
    <w:rsid w:val="001A63A9"/>
    <w:rsid w:val="001B37D0"/>
    <w:rsid w:val="001E2774"/>
    <w:rsid w:val="001E2C15"/>
    <w:rsid w:val="001E3728"/>
    <w:rsid w:val="002031D7"/>
    <w:rsid w:val="00220BA8"/>
    <w:rsid w:val="0024583D"/>
    <w:rsid w:val="00250267"/>
    <w:rsid w:val="00256D25"/>
    <w:rsid w:val="00275016"/>
    <w:rsid w:val="002806EB"/>
    <w:rsid w:val="00281A0A"/>
    <w:rsid w:val="00282251"/>
    <w:rsid w:val="00286287"/>
    <w:rsid w:val="002B6A2C"/>
    <w:rsid w:val="003152FC"/>
    <w:rsid w:val="003460E0"/>
    <w:rsid w:val="00346814"/>
    <w:rsid w:val="003533C1"/>
    <w:rsid w:val="00353D5C"/>
    <w:rsid w:val="00360380"/>
    <w:rsid w:val="00373D07"/>
    <w:rsid w:val="00380701"/>
    <w:rsid w:val="0039314F"/>
    <w:rsid w:val="003968C2"/>
    <w:rsid w:val="003A457B"/>
    <w:rsid w:val="003B1A15"/>
    <w:rsid w:val="003C103A"/>
    <w:rsid w:val="003C48FF"/>
    <w:rsid w:val="003D6461"/>
    <w:rsid w:val="003E0183"/>
    <w:rsid w:val="003F191F"/>
    <w:rsid w:val="00425D37"/>
    <w:rsid w:val="00450B3C"/>
    <w:rsid w:val="004811F3"/>
    <w:rsid w:val="004C1A40"/>
    <w:rsid w:val="004C1AC8"/>
    <w:rsid w:val="004E320B"/>
    <w:rsid w:val="004E4E88"/>
    <w:rsid w:val="004F6BAB"/>
    <w:rsid w:val="00504632"/>
    <w:rsid w:val="0052022E"/>
    <w:rsid w:val="00532CC7"/>
    <w:rsid w:val="00536CDB"/>
    <w:rsid w:val="005469F4"/>
    <w:rsid w:val="00585581"/>
    <w:rsid w:val="005856C9"/>
    <w:rsid w:val="005907AC"/>
    <w:rsid w:val="00594D1E"/>
    <w:rsid w:val="005B71B9"/>
    <w:rsid w:val="005D0D47"/>
    <w:rsid w:val="005D7471"/>
    <w:rsid w:val="005E5D1E"/>
    <w:rsid w:val="005F430A"/>
    <w:rsid w:val="00615274"/>
    <w:rsid w:val="006207F1"/>
    <w:rsid w:val="00637B85"/>
    <w:rsid w:val="00645483"/>
    <w:rsid w:val="00663A0A"/>
    <w:rsid w:val="0067188D"/>
    <w:rsid w:val="006765E8"/>
    <w:rsid w:val="006A0604"/>
    <w:rsid w:val="006C1EC7"/>
    <w:rsid w:val="006C7D77"/>
    <w:rsid w:val="006D2F76"/>
    <w:rsid w:val="00701636"/>
    <w:rsid w:val="00720A55"/>
    <w:rsid w:val="007511AC"/>
    <w:rsid w:val="00766E3E"/>
    <w:rsid w:val="007711B6"/>
    <w:rsid w:val="0077405C"/>
    <w:rsid w:val="00791204"/>
    <w:rsid w:val="00793001"/>
    <w:rsid w:val="007A070B"/>
    <w:rsid w:val="007A2645"/>
    <w:rsid w:val="007B1DFE"/>
    <w:rsid w:val="007C3BB4"/>
    <w:rsid w:val="007D3229"/>
    <w:rsid w:val="007E04EA"/>
    <w:rsid w:val="007F02A3"/>
    <w:rsid w:val="00810D1F"/>
    <w:rsid w:val="008258F4"/>
    <w:rsid w:val="0084530F"/>
    <w:rsid w:val="0085143B"/>
    <w:rsid w:val="00864F30"/>
    <w:rsid w:val="008830B6"/>
    <w:rsid w:val="008A7D84"/>
    <w:rsid w:val="008C7ED5"/>
    <w:rsid w:val="008D5E5C"/>
    <w:rsid w:val="008E1F01"/>
    <w:rsid w:val="00921601"/>
    <w:rsid w:val="009517FE"/>
    <w:rsid w:val="00963EBF"/>
    <w:rsid w:val="00970F6E"/>
    <w:rsid w:val="00992CFF"/>
    <w:rsid w:val="00993C91"/>
    <w:rsid w:val="00995D19"/>
    <w:rsid w:val="009A25FD"/>
    <w:rsid w:val="009A2B06"/>
    <w:rsid w:val="009A7327"/>
    <w:rsid w:val="009C12B1"/>
    <w:rsid w:val="009D138A"/>
    <w:rsid w:val="009E1650"/>
    <w:rsid w:val="00A24B5B"/>
    <w:rsid w:val="00A33C52"/>
    <w:rsid w:val="00A5471C"/>
    <w:rsid w:val="00A549C3"/>
    <w:rsid w:val="00A70A73"/>
    <w:rsid w:val="00AA346E"/>
    <w:rsid w:val="00AB78DF"/>
    <w:rsid w:val="00AC0381"/>
    <w:rsid w:val="00B331DB"/>
    <w:rsid w:val="00B34B04"/>
    <w:rsid w:val="00B45490"/>
    <w:rsid w:val="00B46B45"/>
    <w:rsid w:val="00B54664"/>
    <w:rsid w:val="00B67C6E"/>
    <w:rsid w:val="00BD6A66"/>
    <w:rsid w:val="00BF3160"/>
    <w:rsid w:val="00C038CD"/>
    <w:rsid w:val="00C12EAC"/>
    <w:rsid w:val="00C23962"/>
    <w:rsid w:val="00C355EB"/>
    <w:rsid w:val="00C3631F"/>
    <w:rsid w:val="00C95611"/>
    <w:rsid w:val="00C95C6A"/>
    <w:rsid w:val="00CA605D"/>
    <w:rsid w:val="00CD03EC"/>
    <w:rsid w:val="00CD27CC"/>
    <w:rsid w:val="00CD3BBF"/>
    <w:rsid w:val="00CD52DC"/>
    <w:rsid w:val="00CD6A65"/>
    <w:rsid w:val="00CF1DAE"/>
    <w:rsid w:val="00CF2A34"/>
    <w:rsid w:val="00CF377F"/>
    <w:rsid w:val="00D11C37"/>
    <w:rsid w:val="00D17F53"/>
    <w:rsid w:val="00D32590"/>
    <w:rsid w:val="00D35F64"/>
    <w:rsid w:val="00D50CEB"/>
    <w:rsid w:val="00D51E0E"/>
    <w:rsid w:val="00D5625B"/>
    <w:rsid w:val="00D7167D"/>
    <w:rsid w:val="00D73B7B"/>
    <w:rsid w:val="00D83E2D"/>
    <w:rsid w:val="00D919B1"/>
    <w:rsid w:val="00D94CE4"/>
    <w:rsid w:val="00DA708E"/>
    <w:rsid w:val="00DC36D3"/>
    <w:rsid w:val="00DD32E3"/>
    <w:rsid w:val="00DD5859"/>
    <w:rsid w:val="00E02127"/>
    <w:rsid w:val="00E04F02"/>
    <w:rsid w:val="00E33489"/>
    <w:rsid w:val="00E443DC"/>
    <w:rsid w:val="00E66E8D"/>
    <w:rsid w:val="00E74346"/>
    <w:rsid w:val="00E80E15"/>
    <w:rsid w:val="00E8155D"/>
    <w:rsid w:val="00E82DDF"/>
    <w:rsid w:val="00E84A9D"/>
    <w:rsid w:val="00E95A77"/>
    <w:rsid w:val="00EB50A9"/>
    <w:rsid w:val="00EE5015"/>
    <w:rsid w:val="00EE5817"/>
    <w:rsid w:val="00EF148B"/>
    <w:rsid w:val="00EF1636"/>
    <w:rsid w:val="00EF1DC9"/>
    <w:rsid w:val="00F0471E"/>
    <w:rsid w:val="00F24CC6"/>
    <w:rsid w:val="00F3013A"/>
    <w:rsid w:val="00F55815"/>
    <w:rsid w:val="00F663DC"/>
    <w:rsid w:val="00F95ECD"/>
    <w:rsid w:val="00FC6595"/>
    <w:rsid w:val="00FD3E3E"/>
    <w:rsid w:val="00FE25A4"/>
    <w:rsid w:val="00FE6700"/>
    <w:rsid w:val="00FE6947"/>
    <w:rsid w:val="00FF7B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0B969-270A-4C1C-858B-3E146A52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alNumPar1">
    <w:name w:val="Manual NumPar 1"/>
    <w:basedOn w:val="Normal"/>
    <w:next w:val="Normal"/>
    <w:rsid w:val="004811F3"/>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styleId="FootnoteText">
    <w:name w:val="footnote text"/>
    <w:basedOn w:val="Normal"/>
    <w:link w:val="FootnoteTextChar"/>
    <w:uiPriority w:val="99"/>
    <w:unhideWhenUsed/>
    <w:rsid w:val="004811F3"/>
    <w:pPr>
      <w:spacing w:after="0" w:line="240" w:lineRule="auto"/>
    </w:pPr>
    <w:rPr>
      <w:sz w:val="20"/>
      <w:szCs w:val="20"/>
    </w:rPr>
  </w:style>
  <w:style w:type="character" w:customStyle="1" w:styleId="FootnoteTextChar">
    <w:name w:val="Footnote Text Char"/>
    <w:basedOn w:val="DefaultParagraphFont"/>
    <w:link w:val="FootnoteText"/>
    <w:uiPriority w:val="99"/>
    <w:rsid w:val="004811F3"/>
    <w:rPr>
      <w:sz w:val="20"/>
      <w:szCs w:val="20"/>
    </w:rPr>
  </w:style>
  <w:style w:type="character" w:styleId="FootnoteReference">
    <w:name w:val="footnote reference"/>
    <w:basedOn w:val="DefaultParagraphFont"/>
    <w:uiPriority w:val="99"/>
    <w:semiHidden/>
    <w:unhideWhenUsed/>
    <w:rsid w:val="004811F3"/>
    <w:rPr>
      <w:vertAlign w:val="superscript"/>
    </w:rPr>
  </w:style>
  <w:style w:type="character" w:styleId="CommentReference">
    <w:name w:val="annotation reference"/>
    <w:uiPriority w:val="99"/>
    <w:semiHidden/>
    <w:unhideWhenUsed/>
    <w:rsid w:val="004811F3"/>
    <w:rPr>
      <w:sz w:val="16"/>
      <w:szCs w:val="16"/>
    </w:rPr>
  </w:style>
  <w:style w:type="paragraph" w:styleId="CommentText">
    <w:name w:val="annotation text"/>
    <w:basedOn w:val="Normal"/>
    <w:link w:val="CommentTextChar"/>
    <w:uiPriority w:val="99"/>
    <w:semiHidden/>
    <w:unhideWhenUsed/>
    <w:rsid w:val="004811F3"/>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4811F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81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1F3"/>
    <w:rPr>
      <w:rFonts w:ascii="Tahoma" w:hAnsi="Tahoma" w:cs="Tahoma"/>
      <w:sz w:val="16"/>
      <w:szCs w:val="16"/>
    </w:rPr>
  </w:style>
  <w:style w:type="paragraph" w:customStyle="1" w:styleId="Default">
    <w:name w:val="Default"/>
    <w:rsid w:val="004811F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64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E84A9D"/>
    <w:pPr>
      <w:spacing w:before="120" w:after="120" w:line="240" w:lineRule="auto"/>
      <w:ind w:left="850"/>
      <w:jc w:val="both"/>
    </w:pPr>
    <w:rPr>
      <w:rFonts w:ascii="Times New Roman" w:eastAsia="Times New Roman" w:hAnsi="Times New Roman" w:cs="Times New Roman"/>
      <w:sz w:val="24"/>
      <w:szCs w:val="24"/>
      <w:lang w:eastAsia="de-DE"/>
    </w:rPr>
  </w:style>
  <w:style w:type="paragraph" w:styleId="ListParagraph">
    <w:name w:val="List Paragraph"/>
    <w:basedOn w:val="Normal"/>
    <w:uiPriority w:val="34"/>
    <w:qFormat/>
    <w:rsid w:val="00E84A9D"/>
    <w:pPr>
      <w:ind w:left="720"/>
      <w:contextualSpacing/>
    </w:pPr>
  </w:style>
  <w:style w:type="paragraph" w:styleId="CommentSubject">
    <w:name w:val="annotation subject"/>
    <w:basedOn w:val="CommentText"/>
    <w:next w:val="CommentText"/>
    <w:link w:val="CommentSubjectChar"/>
    <w:uiPriority w:val="99"/>
    <w:semiHidden/>
    <w:unhideWhenUsed/>
    <w:rsid w:val="00D51E0E"/>
    <w:pPr>
      <w:spacing w:after="200"/>
    </w:pPr>
    <w:rPr>
      <w:rFonts w:asciiTheme="minorHAnsi" w:eastAsiaTheme="minorHAnsi" w:hAnsiTheme="minorHAnsi" w:cstheme="minorBidi"/>
      <w:b/>
      <w:bCs/>
      <w:lang w:val="lv-LV"/>
    </w:rPr>
  </w:style>
  <w:style w:type="character" w:customStyle="1" w:styleId="CommentSubjectChar">
    <w:name w:val="Comment Subject Char"/>
    <w:basedOn w:val="CommentTextChar"/>
    <w:link w:val="CommentSubject"/>
    <w:uiPriority w:val="99"/>
    <w:semiHidden/>
    <w:rsid w:val="00D51E0E"/>
    <w:rPr>
      <w:rFonts w:ascii="Times New Roman" w:eastAsia="Times New Roman" w:hAnsi="Times New Roman" w:cs="Times New Roman"/>
      <w:b/>
      <w:bCs/>
      <w:sz w:val="20"/>
      <w:szCs w:val="20"/>
      <w:lang w:val="en-US"/>
    </w:rPr>
  </w:style>
  <w:style w:type="character" w:customStyle="1" w:styleId="apple-converted-space">
    <w:name w:val="apple-converted-space"/>
    <w:basedOn w:val="DefaultParagraphFont"/>
    <w:rsid w:val="00D50CEB"/>
  </w:style>
  <w:style w:type="character" w:styleId="Hyperlink">
    <w:name w:val="Hyperlink"/>
    <w:basedOn w:val="DefaultParagraphFont"/>
    <w:uiPriority w:val="99"/>
    <w:unhideWhenUsed/>
    <w:rsid w:val="00D50CEB"/>
    <w:rPr>
      <w:color w:val="0000FF"/>
      <w:u w:val="single"/>
    </w:rPr>
  </w:style>
  <w:style w:type="paragraph" w:customStyle="1" w:styleId="tv213">
    <w:name w:val="tv213"/>
    <w:basedOn w:val="Normal"/>
    <w:rsid w:val="00AC03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talic1">
    <w:name w:val="italic1"/>
    <w:rsid w:val="00373D07"/>
    <w:rPr>
      <w:i/>
      <w:iCs/>
    </w:rPr>
  </w:style>
  <w:style w:type="paragraph" w:styleId="Header">
    <w:name w:val="header"/>
    <w:basedOn w:val="Normal"/>
    <w:link w:val="HeaderChar"/>
    <w:uiPriority w:val="99"/>
    <w:unhideWhenUsed/>
    <w:rsid w:val="000E18B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E18B4"/>
  </w:style>
  <w:style w:type="paragraph" w:styleId="Footer">
    <w:name w:val="footer"/>
    <w:basedOn w:val="Normal"/>
    <w:link w:val="FooterChar"/>
    <w:uiPriority w:val="99"/>
    <w:unhideWhenUsed/>
    <w:rsid w:val="000E18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1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856837">
      <w:bodyDiv w:val="1"/>
      <w:marLeft w:val="0"/>
      <w:marRight w:val="0"/>
      <w:marTop w:val="0"/>
      <w:marBottom w:val="0"/>
      <w:divBdr>
        <w:top w:val="none" w:sz="0" w:space="0" w:color="auto"/>
        <w:left w:val="none" w:sz="0" w:space="0" w:color="auto"/>
        <w:bottom w:val="none" w:sz="0" w:space="0" w:color="auto"/>
        <w:right w:val="none" w:sz="0" w:space="0" w:color="auto"/>
      </w:divBdr>
    </w:div>
    <w:div w:id="814878461">
      <w:bodyDiv w:val="1"/>
      <w:marLeft w:val="0"/>
      <w:marRight w:val="0"/>
      <w:marTop w:val="0"/>
      <w:marBottom w:val="0"/>
      <w:divBdr>
        <w:top w:val="none" w:sz="0" w:space="0" w:color="auto"/>
        <w:left w:val="none" w:sz="0" w:space="0" w:color="auto"/>
        <w:bottom w:val="none" w:sz="0" w:space="0" w:color="auto"/>
        <w:right w:val="none" w:sz="0" w:space="0" w:color="auto"/>
      </w:divBdr>
      <w:divsChild>
        <w:div w:id="2015180705">
          <w:marLeft w:val="0"/>
          <w:marRight w:val="0"/>
          <w:marTop w:val="86"/>
          <w:marBottom w:val="0"/>
          <w:divBdr>
            <w:top w:val="none" w:sz="0" w:space="0" w:color="auto"/>
            <w:left w:val="none" w:sz="0" w:space="0" w:color="auto"/>
            <w:bottom w:val="none" w:sz="0" w:space="0" w:color="auto"/>
            <w:right w:val="none" w:sz="0" w:space="0" w:color="auto"/>
          </w:divBdr>
        </w:div>
      </w:divsChild>
    </w:div>
    <w:div w:id="925578606">
      <w:bodyDiv w:val="1"/>
      <w:marLeft w:val="0"/>
      <w:marRight w:val="0"/>
      <w:marTop w:val="0"/>
      <w:marBottom w:val="0"/>
      <w:divBdr>
        <w:top w:val="none" w:sz="0" w:space="0" w:color="auto"/>
        <w:left w:val="none" w:sz="0" w:space="0" w:color="auto"/>
        <w:bottom w:val="none" w:sz="0" w:space="0" w:color="auto"/>
        <w:right w:val="none" w:sz="0" w:space="0" w:color="auto"/>
      </w:divBdr>
    </w:div>
    <w:div w:id="1076901015">
      <w:bodyDiv w:val="1"/>
      <w:marLeft w:val="0"/>
      <w:marRight w:val="0"/>
      <w:marTop w:val="0"/>
      <w:marBottom w:val="0"/>
      <w:divBdr>
        <w:top w:val="none" w:sz="0" w:space="0" w:color="auto"/>
        <w:left w:val="none" w:sz="0" w:space="0" w:color="auto"/>
        <w:bottom w:val="none" w:sz="0" w:space="0" w:color="auto"/>
        <w:right w:val="none" w:sz="0" w:space="0" w:color="auto"/>
      </w:divBdr>
    </w:div>
    <w:div w:id="1380394795">
      <w:bodyDiv w:val="1"/>
      <w:marLeft w:val="0"/>
      <w:marRight w:val="0"/>
      <w:marTop w:val="0"/>
      <w:marBottom w:val="0"/>
      <w:divBdr>
        <w:top w:val="none" w:sz="0" w:space="0" w:color="auto"/>
        <w:left w:val="none" w:sz="0" w:space="0" w:color="auto"/>
        <w:bottom w:val="none" w:sz="0" w:space="0" w:color="auto"/>
        <w:right w:val="none" w:sz="0" w:space="0" w:color="auto"/>
      </w:divBdr>
      <w:divsChild>
        <w:div w:id="702365324">
          <w:marLeft w:val="1195"/>
          <w:marRight w:val="0"/>
          <w:marTop w:val="86"/>
          <w:marBottom w:val="0"/>
          <w:divBdr>
            <w:top w:val="none" w:sz="0" w:space="0" w:color="auto"/>
            <w:left w:val="none" w:sz="0" w:space="0" w:color="auto"/>
            <w:bottom w:val="none" w:sz="0" w:space="0" w:color="auto"/>
            <w:right w:val="none" w:sz="0" w:space="0" w:color="auto"/>
          </w:divBdr>
        </w:div>
        <w:div w:id="1819570883">
          <w:marLeft w:val="1195"/>
          <w:marRight w:val="0"/>
          <w:marTop w:val="86"/>
          <w:marBottom w:val="0"/>
          <w:divBdr>
            <w:top w:val="none" w:sz="0" w:space="0" w:color="auto"/>
            <w:left w:val="none" w:sz="0" w:space="0" w:color="auto"/>
            <w:bottom w:val="none" w:sz="0" w:space="0" w:color="auto"/>
            <w:right w:val="none" w:sz="0" w:space="0" w:color="auto"/>
          </w:divBdr>
        </w:div>
        <w:div w:id="1660183738">
          <w:marLeft w:val="1195"/>
          <w:marRight w:val="0"/>
          <w:marTop w:val="86"/>
          <w:marBottom w:val="0"/>
          <w:divBdr>
            <w:top w:val="none" w:sz="0" w:space="0" w:color="auto"/>
            <w:left w:val="none" w:sz="0" w:space="0" w:color="auto"/>
            <w:bottom w:val="none" w:sz="0" w:space="0" w:color="auto"/>
            <w:right w:val="none" w:sz="0" w:space="0" w:color="auto"/>
          </w:divBdr>
        </w:div>
      </w:divsChild>
    </w:div>
    <w:div w:id="1797286667">
      <w:bodyDiv w:val="1"/>
      <w:marLeft w:val="0"/>
      <w:marRight w:val="0"/>
      <w:marTop w:val="0"/>
      <w:marBottom w:val="0"/>
      <w:divBdr>
        <w:top w:val="none" w:sz="0" w:space="0" w:color="auto"/>
        <w:left w:val="none" w:sz="0" w:space="0" w:color="auto"/>
        <w:bottom w:val="none" w:sz="0" w:space="0" w:color="auto"/>
        <w:right w:val="none" w:sz="0" w:space="0" w:color="auto"/>
      </w:divBdr>
    </w:div>
    <w:div w:id="1815833103">
      <w:bodyDiv w:val="1"/>
      <w:marLeft w:val="0"/>
      <w:marRight w:val="0"/>
      <w:marTop w:val="0"/>
      <w:marBottom w:val="0"/>
      <w:divBdr>
        <w:top w:val="none" w:sz="0" w:space="0" w:color="auto"/>
        <w:left w:val="none" w:sz="0" w:space="0" w:color="auto"/>
        <w:bottom w:val="none" w:sz="0" w:space="0" w:color="auto"/>
        <w:right w:val="none" w:sz="0" w:space="0" w:color="auto"/>
      </w:divBdr>
      <w:divsChild>
        <w:div w:id="31662837">
          <w:marLeft w:val="0"/>
          <w:marRight w:val="0"/>
          <w:marTop w:val="96"/>
          <w:marBottom w:val="0"/>
          <w:divBdr>
            <w:top w:val="none" w:sz="0" w:space="0" w:color="auto"/>
            <w:left w:val="none" w:sz="0" w:space="0" w:color="auto"/>
            <w:bottom w:val="none" w:sz="0" w:space="0" w:color="auto"/>
            <w:right w:val="none" w:sz="0" w:space="0" w:color="auto"/>
          </w:divBdr>
        </w:div>
        <w:div w:id="1390612309">
          <w:marLeft w:val="0"/>
          <w:marRight w:val="0"/>
          <w:marTop w:val="96"/>
          <w:marBottom w:val="0"/>
          <w:divBdr>
            <w:top w:val="none" w:sz="0" w:space="0" w:color="auto"/>
            <w:left w:val="none" w:sz="0" w:space="0" w:color="auto"/>
            <w:bottom w:val="none" w:sz="0" w:space="0" w:color="auto"/>
            <w:right w:val="none" w:sz="0" w:space="0" w:color="auto"/>
          </w:divBdr>
        </w:div>
        <w:div w:id="508132954">
          <w:marLeft w:val="0"/>
          <w:marRight w:val="0"/>
          <w:marTop w:val="96"/>
          <w:marBottom w:val="0"/>
          <w:divBdr>
            <w:top w:val="none" w:sz="0" w:space="0" w:color="auto"/>
            <w:left w:val="none" w:sz="0" w:space="0" w:color="auto"/>
            <w:bottom w:val="none" w:sz="0" w:space="0" w:color="auto"/>
            <w:right w:val="none" w:sz="0" w:space="0" w:color="auto"/>
          </w:divBdr>
        </w:div>
        <w:div w:id="1442191458">
          <w:marLeft w:val="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is.Rozkalns@cs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FCCF4-3D8A-4EA8-A75A-F169AF9C9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2396</Words>
  <Characters>16345</Characters>
  <Application>Microsoft Office Word</Application>
  <DocSecurity>0</DocSecurity>
  <Lines>320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Sarmite Prole</dc:creator>
  <cp:lastModifiedBy>Agnese Rožkalne</cp:lastModifiedBy>
  <cp:revision>7</cp:revision>
  <dcterms:created xsi:type="dcterms:W3CDTF">2015-08-17T13:32:00Z</dcterms:created>
  <dcterms:modified xsi:type="dcterms:W3CDTF">2015-08-19T09:02:00Z</dcterms:modified>
</cp:coreProperties>
</file>