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C8580F"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C8580F">
        <w:rPr>
          <w:b/>
          <w:sz w:val="28"/>
          <w:szCs w:val="28"/>
          <w:lang w:val="lv-LV"/>
        </w:rPr>
        <w:t>M</w:t>
      </w:r>
      <w:r w:rsidR="00953126" w:rsidRPr="00C8580F">
        <w:rPr>
          <w:b/>
          <w:sz w:val="28"/>
          <w:szCs w:val="28"/>
          <w:lang w:val="lv-LV"/>
        </w:rPr>
        <w:t>inistru kabineta noteikum</w:t>
      </w:r>
      <w:r w:rsidR="00877C4B" w:rsidRPr="00C8580F">
        <w:rPr>
          <w:b/>
          <w:sz w:val="28"/>
          <w:szCs w:val="28"/>
          <w:lang w:val="lv-LV"/>
        </w:rPr>
        <w:t>u</w:t>
      </w:r>
      <w:r w:rsidR="00953126" w:rsidRPr="00C8580F">
        <w:rPr>
          <w:b/>
          <w:sz w:val="28"/>
          <w:szCs w:val="28"/>
          <w:lang w:val="lv-LV"/>
        </w:rPr>
        <w:t xml:space="preserve"> </w:t>
      </w:r>
      <w:r w:rsidR="005358E8" w:rsidRPr="00C8580F">
        <w:rPr>
          <w:b/>
          <w:sz w:val="28"/>
          <w:szCs w:val="28"/>
          <w:lang w:val="lv-LV"/>
        </w:rPr>
        <w:t>projekta</w:t>
      </w:r>
    </w:p>
    <w:p w14:paraId="6DEDAD28" w14:textId="244470DB" w:rsidR="00CB1045" w:rsidRPr="00C8580F" w:rsidRDefault="00877C4B" w:rsidP="009E4ABC">
      <w:pPr>
        <w:ind w:left="720"/>
        <w:jc w:val="center"/>
        <w:rPr>
          <w:b/>
          <w:bCs/>
          <w:color w:val="000000" w:themeColor="text1"/>
          <w:sz w:val="28"/>
          <w:szCs w:val="28"/>
          <w:lang w:val="lv-LV"/>
        </w:rPr>
      </w:pPr>
      <w:r w:rsidRPr="00C8580F">
        <w:rPr>
          <w:b/>
          <w:color w:val="000000" w:themeColor="text1"/>
          <w:sz w:val="28"/>
          <w:szCs w:val="28"/>
          <w:lang w:val="lv-LV"/>
        </w:rPr>
        <w:t>„</w:t>
      </w:r>
      <w:r w:rsidR="00B005C1" w:rsidRPr="00C8580F">
        <w:rPr>
          <w:b/>
          <w:bCs/>
          <w:color w:val="000000" w:themeColor="text1"/>
          <w:sz w:val="28"/>
          <w:szCs w:val="28"/>
          <w:lang w:val="lv-LV"/>
        </w:rPr>
        <w:t xml:space="preserve"> Noteikumi par Latvijas būvnormatīvu LBN 229-1</w:t>
      </w:r>
      <w:r w:rsidR="006542E7" w:rsidRPr="00C8580F">
        <w:rPr>
          <w:b/>
          <w:bCs/>
          <w:color w:val="000000" w:themeColor="text1"/>
          <w:sz w:val="28"/>
          <w:szCs w:val="28"/>
          <w:lang w:val="lv-LV"/>
        </w:rPr>
        <w:t>5</w:t>
      </w:r>
      <w:r w:rsidR="00B005C1" w:rsidRPr="00C8580F">
        <w:rPr>
          <w:b/>
          <w:bCs/>
          <w:color w:val="000000" w:themeColor="text1"/>
          <w:sz w:val="28"/>
          <w:szCs w:val="28"/>
          <w:lang w:val="lv-LV"/>
        </w:rPr>
        <w:t xml:space="preserve"> „</w:t>
      </w:r>
      <w:r w:rsidR="00416A6F" w:rsidRPr="00C8580F">
        <w:rPr>
          <w:b/>
          <w:bCs/>
          <w:color w:val="000000" w:themeColor="text1"/>
          <w:sz w:val="28"/>
          <w:szCs w:val="28"/>
          <w:lang w:val="lv-LV"/>
        </w:rPr>
        <w:t>A klases h</w:t>
      </w:r>
      <w:r w:rsidR="00B005C1" w:rsidRPr="00C8580F">
        <w:rPr>
          <w:b/>
          <w:bCs/>
          <w:color w:val="000000" w:themeColor="text1"/>
          <w:sz w:val="28"/>
          <w:szCs w:val="28"/>
          <w:lang w:val="lv-LV"/>
        </w:rPr>
        <w:t>idroelektrostaciju hidrotehniskās būves””</w:t>
      </w:r>
      <w:r w:rsidR="008638E6" w:rsidRPr="00C8580F">
        <w:rPr>
          <w:b/>
          <w:bCs/>
          <w:color w:val="000000" w:themeColor="text1"/>
          <w:sz w:val="28"/>
          <w:szCs w:val="28"/>
          <w:lang w:val="lv-LV"/>
        </w:rPr>
        <w:t xml:space="preserve"> </w:t>
      </w:r>
      <w:r w:rsidR="00CB1045" w:rsidRPr="00C8580F">
        <w:rPr>
          <w:b/>
          <w:color w:val="000000" w:themeColor="text1"/>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00CB1045" w:rsidRPr="00C8580F">
          <w:rPr>
            <w:b/>
            <w:color w:val="000000" w:themeColor="text1"/>
            <w:sz w:val="28"/>
            <w:szCs w:val="28"/>
            <w:lang w:val="lv-LV"/>
          </w:rPr>
          <w:t>ziņojums</w:t>
        </w:r>
      </w:smartTag>
      <w:r w:rsidR="00CB1045" w:rsidRPr="00C8580F">
        <w:rPr>
          <w:b/>
          <w:color w:val="000000" w:themeColor="text1"/>
          <w:sz w:val="28"/>
          <w:szCs w:val="28"/>
          <w:lang w:val="lv-LV"/>
        </w:rPr>
        <w:t xml:space="preserve"> (</w:t>
      </w:r>
      <w:r w:rsidR="00CB1045" w:rsidRPr="00C8580F">
        <w:rPr>
          <w:b/>
          <w:bCs/>
          <w:color w:val="000000" w:themeColor="text1"/>
          <w:sz w:val="28"/>
          <w:szCs w:val="28"/>
          <w:lang w:val="lv-LV"/>
        </w:rPr>
        <w:t>anotācija)</w:t>
      </w:r>
      <w:bookmarkEnd w:id="0"/>
      <w:bookmarkEnd w:id="1"/>
      <w:bookmarkEnd w:id="2"/>
      <w:bookmarkEnd w:id="3"/>
      <w:bookmarkEnd w:id="4"/>
    </w:p>
    <w:p w14:paraId="5218C2D4" w14:textId="77777777" w:rsidR="00CB1045" w:rsidRPr="00C8580F"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CB1045" w:rsidRPr="00C8580F" w14:paraId="152253FE" w14:textId="77777777" w:rsidTr="00B96DF3">
        <w:tc>
          <w:tcPr>
            <w:tcW w:w="9062" w:type="dxa"/>
            <w:gridSpan w:val="3"/>
            <w:vAlign w:val="center"/>
          </w:tcPr>
          <w:p w14:paraId="1AF71D0E" w14:textId="77777777" w:rsidR="00CB1045" w:rsidRPr="00C8580F" w:rsidRDefault="00CB1045" w:rsidP="00724C04">
            <w:pPr>
              <w:contextualSpacing/>
              <w:jc w:val="center"/>
              <w:rPr>
                <w:sz w:val="26"/>
                <w:szCs w:val="26"/>
                <w:lang w:val="lv-LV"/>
              </w:rPr>
            </w:pPr>
            <w:r w:rsidRPr="00C8580F">
              <w:rPr>
                <w:b/>
                <w:sz w:val="26"/>
                <w:szCs w:val="26"/>
                <w:lang w:val="lv-LV"/>
              </w:rPr>
              <w:t>I. Tiesību akta projekta izstrādes nepieciešamība</w:t>
            </w:r>
          </w:p>
        </w:tc>
      </w:tr>
      <w:tr w:rsidR="00CB1045" w:rsidRPr="00C8580F" w14:paraId="20976E83" w14:textId="77777777" w:rsidTr="00B96DF3">
        <w:trPr>
          <w:trHeight w:val="439"/>
        </w:trPr>
        <w:tc>
          <w:tcPr>
            <w:tcW w:w="524" w:type="dxa"/>
          </w:tcPr>
          <w:p w14:paraId="60FCE9B3" w14:textId="77777777" w:rsidR="00CB1045" w:rsidRPr="00C8580F" w:rsidRDefault="00CB1045" w:rsidP="00724C04">
            <w:pPr>
              <w:ind w:left="57" w:right="57"/>
              <w:contextualSpacing/>
              <w:rPr>
                <w:sz w:val="26"/>
                <w:szCs w:val="26"/>
                <w:lang w:val="lv-LV"/>
              </w:rPr>
            </w:pPr>
            <w:r w:rsidRPr="00C8580F">
              <w:rPr>
                <w:sz w:val="26"/>
                <w:szCs w:val="26"/>
                <w:lang w:val="lv-LV"/>
              </w:rPr>
              <w:t> 1.</w:t>
            </w:r>
          </w:p>
        </w:tc>
        <w:tc>
          <w:tcPr>
            <w:tcW w:w="3177" w:type="dxa"/>
          </w:tcPr>
          <w:p w14:paraId="619E5B3B" w14:textId="77777777" w:rsidR="00CB1045" w:rsidRPr="00C8580F" w:rsidRDefault="00CB1045" w:rsidP="00724C04">
            <w:pPr>
              <w:ind w:left="57" w:right="57"/>
              <w:contextualSpacing/>
              <w:rPr>
                <w:sz w:val="26"/>
                <w:szCs w:val="26"/>
                <w:lang w:val="lv-LV"/>
              </w:rPr>
            </w:pPr>
            <w:r w:rsidRPr="00C8580F">
              <w:rPr>
                <w:sz w:val="26"/>
                <w:szCs w:val="26"/>
                <w:lang w:val="lv-LV"/>
              </w:rPr>
              <w:t>Pamatojums</w:t>
            </w:r>
          </w:p>
        </w:tc>
        <w:tc>
          <w:tcPr>
            <w:tcW w:w="5361" w:type="dxa"/>
          </w:tcPr>
          <w:p w14:paraId="131ED328" w14:textId="13685F54" w:rsidR="00C8580F" w:rsidRPr="00C8580F" w:rsidRDefault="00877C4B" w:rsidP="00997637">
            <w:pPr>
              <w:ind w:left="57" w:right="57"/>
              <w:contextualSpacing/>
              <w:jc w:val="both"/>
              <w:rPr>
                <w:sz w:val="26"/>
                <w:szCs w:val="26"/>
                <w:lang w:val="lv-LV"/>
              </w:rPr>
            </w:pPr>
            <w:r w:rsidRPr="00C8580F">
              <w:rPr>
                <w:rFonts w:eastAsia="SimSun"/>
                <w:sz w:val="26"/>
                <w:szCs w:val="26"/>
                <w:lang w:val="lv-LV" w:eastAsia="zh-CN"/>
              </w:rPr>
              <w:t xml:space="preserve">Ministru kabineta </w:t>
            </w:r>
            <w:r w:rsidR="00665D97" w:rsidRPr="00C8580F">
              <w:rPr>
                <w:rFonts w:eastAsia="SimSun"/>
                <w:sz w:val="26"/>
                <w:szCs w:val="26"/>
                <w:lang w:val="lv-LV" w:eastAsia="zh-CN"/>
              </w:rPr>
              <w:t>noteikumu projekts „</w:t>
            </w:r>
            <w:r w:rsidR="00493C4B" w:rsidRPr="00C8580F">
              <w:rPr>
                <w:rFonts w:eastAsia="SimSun"/>
                <w:sz w:val="26"/>
                <w:szCs w:val="26"/>
                <w:lang w:val="lv-LV" w:eastAsia="zh-CN"/>
              </w:rPr>
              <w:t>Noteikumi par Latvijas būvnormatīvu LBN 22</w:t>
            </w:r>
            <w:r w:rsidR="008638E6" w:rsidRPr="00C8580F">
              <w:rPr>
                <w:rFonts w:eastAsia="SimSun"/>
                <w:sz w:val="26"/>
                <w:szCs w:val="26"/>
                <w:lang w:val="lv-LV" w:eastAsia="zh-CN"/>
              </w:rPr>
              <w:t>9</w:t>
            </w:r>
            <w:r w:rsidR="00493C4B" w:rsidRPr="00C8580F">
              <w:rPr>
                <w:rFonts w:eastAsia="SimSun"/>
                <w:sz w:val="26"/>
                <w:szCs w:val="26"/>
                <w:lang w:val="lv-LV" w:eastAsia="zh-CN"/>
              </w:rPr>
              <w:t>-15 „</w:t>
            </w:r>
            <w:r w:rsidR="00D435EE" w:rsidRPr="00C8580F">
              <w:rPr>
                <w:rFonts w:eastAsia="SimSun"/>
                <w:sz w:val="26"/>
                <w:szCs w:val="26"/>
                <w:lang w:val="lv-LV" w:eastAsia="zh-CN"/>
              </w:rPr>
              <w:t>A klases h</w:t>
            </w:r>
            <w:r w:rsidR="008638E6" w:rsidRPr="00C8580F">
              <w:rPr>
                <w:bCs/>
                <w:color w:val="000000" w:themeColor="text1"/>
                <w:sz w:val="26"/>
                <w:szCs w:val="26"/>
                <w:lang w:val="lv-LV"/>
              </w:rPr>
              <w:t>idroelektrostaciju hidrotehniskās būves</w:t>
            </w:r>
            <w:r w:rsidR="00493C4B" w:rsidRPr="00C8580F">
              <w:rPr>
                <w:rFonts w:eastAsia="SimSun"/>
                <w:sz w:val="26"/>
                <w:szCs w:val="26"/>
                <w:lang w:val="lv-LV" w:eastAsia="zh-CN"/>
              </w:rPr>
              <w:t>”</w:t>
            </w:r>
            <w:r w:rsidRPr="00C8580F">
              <w:rPr>
                <w:rFonts w:eastAsia="SimSun"/>
                <w:sz w:val="26"/>
                <w:szCs w:val="26"/>
                <w:lang w:val="lv-LV" w:eastAsia="zh-CN"/>
              </w:rPr>
              <w:t xml:space="preserve"> (turpmāk </w:t>
            </w:r>
            <w:r w:rsidR="00CD5814" w:rsidRPr="00C8580F">
              <w:rPr>
                <w:rFonts w:eastAsia="SimSun"/>
                <w:sz w:val="26"/>
                <w:szCs w:val="26"/>
                <w:lang w:val="lv-LV" w:eastAsia="zh-CN"/>
              </w:rPr>
              <w:t xml:space="preserve">– </w:t>
            </w:r>
            <w:r w:rsidRPr="00C8580F">
              <w:rPr>
                <w:rFonts w:eastAsia="SimSun"/>
                <w:sz w:val="26"/>
                <w:szCs w:val="26"/>
                <w:lang w:val="lv-LV" w:eastAsia="zh-CN"/>
              </w:rPr>
              <w:t>noteikumu pro</w:t>
            </w:r>
            <w:r w:rsidR="003B3103" w:rsidRPr="00C8580F">
              <w:rPr>
                <w:rFonts w:eastAsia="SimSun"/>
                <w:sz w:val="26"/>
                <w:szCs w:val="26"/>
                <w:lang w:val="lv-LV" w:eastAsia="zh-CN"/>
              </w:rPr>
              <w:t>j</w:t>
            </w:r>
            <w:r w:rsidRPr="00C8580F">
              <w:rPr>
                <w:rFonts w:eastAsia="SimSun"/>
                <w:sz w:val="26"/>
                <w:szCs w:val="26"/>
                <w:lang w:val="lv-LV" w:eastAsia="zh-CN"/>
              </w:rPr>
              <w:t xml:space="preserve">ekts) tiek izdots saskaņā ar </w:t>
            </w:r>
            <w:r w:rsidR="00BD4137" w:rsidRPr="00C8580F">
              <w:rPr>
                <w:rFonts w:eastAsia="SimSun"/>
                <w:sz w:val="26"/>
                <w:szCs w:val="26"/>
                <w:lang w:val="lv-LV" w:eastAsia="zh-CN"/>
              </w:rPr>
              <w:t>09.</w:t>
            </w:r>
            <w:r w:rsidR="00A93F52" w:rsidRPr="00C8580F">
              <w:rPr>
                <w:rFonts w:eastAsia="SimSun"/>
                <w:sz w:val="26"/>
                <w:szCs w:val="26"/>
                <w:lang w:val="lv-LV" w:eastAsia="zh-CN"/>
              </w:rPr>
              <w:t>07.</w:t>
            </w:r>
            <w:r w:rsidR="009D6DB6" w:rsidRPr="00C8580F">
              <w:rPr>
                <w:rFonts w:eastAsia="SimSun"/>
                <w:sz w:val="26"/>
                <w:szCs w:val="26"/>
                <w:lang w:val="lv-LV" w:eastAsia="zh-CN"/>
              </w:rPr>
              <w:t>2013. pieņemtā Būvniecības likuma</w:t>
            </w:r>
            <w:r w:rsidRPr="00C8580F">
              <w:rPr>
                <w:rFonts w:eastAsia="SimSun"/>
                <w:sz w:val="26"/>
                <w:szCs w:val="26"/>
                <w:lang w:val="lv-LV" w:eastAsia="zh-CN"/>
              </w:rPr>
              <w:t xml:space="preserve"> (turpmāk – likums)</w:t>
            </w:r>
            <w:r w:rsidR="009D6DB6" w:rsidRPr="00C8580F">
              <w:rPr>
                <w:rFonts w:eastAsia="SimSun"/>
                <w:sz w:val="26"/>
                <w:szCs w:val="26"/>
                <w:lang w:val="lv-LV" w:eastAsia="zh-CN"/>
              </w:rPr>
              <w:t xml:space="preserve"> 5.panta pirmās daļas 3.</w:t>
            </w:r>
            <w:r w:rsidRPr="00C8580F">
              <w:rPr>
                <w:rFonts w:eastAsia="SimSun"/>
                <w:sz w:val="26"/>
                <w:szCs w:val="26"/>
                <w:lang w:val="lv-LV" w:eastAsia="zh-CN"/>
              </w:rPr>
              <w:t>p</w:t>
            </w:r>
            <w:r w:rsidR="009D6DB6" w:rsidRPr="00C8580F">
              <w:rPr>
                <w:rFonts w:eastAsia="SimSun"/>
                <w:sz w:val="26"/>
                <w:szCs w:val="26"/>
                <w:lang w:val="lv-LV" w:eastAsia="zh-CN"/>
              </w:rPr>
              <w:t>unkt</w:t>
            </w:r>
            <w:r w:rsidRPr="00C8580F">
              <w:rPr>
                <w:rFonts w:eastAsia="SimSun"/>
                <w:sz w:val="26"/>
                <w:szCs w:val="26"/>
                <w:lang w:val="lv-LV" w:eastAsia="zh-CN"/>
              </w:rPr>
              <w:t xml:space="preserve">u, kā arī, lai </w:t>
            </w:r>
            <w:r w:rsidRPr="00C8580F">
              <w:rPr>
                <w:sz w:val="26"/>
                <w:szCs w:val="26"/>
                <w:lang w:val="lv-LV"/>
              </w:rPr>
              <w:t>nodrošinātu likuma pārejas noteikumu 2.punkta izpildi</w:t>
            </w:r>
            <w:r w:rsidR="00A93F52" w:rsidRPr="00C8580F">
              <w:rPr>
                <w:sz w:val="26"/>
                <w:szCs w:val="26"/>
                <w:lang w:val="lv-LV"/>
              </w:rPr>
              <w:t>.</w:t>
            </w:r>
          </w:p>
        </w:tc>
      </w:tr>
      <w:tr w:rsidR="00997637" w:rsidRPr="00997637" w14:paraId="202B0EA9" w14:textId="77777777" w:rsidTr="00B96DF3">
        <w:trPr>
          <w:trHeight w:val="1544"/>
        </w:trPr>
        <w:tc>
          <w:tcPr>
            <w:tcW w:w="524" w:type="dxa"/>
          </w:tcPr>
          <w:p w14:paraId="6C776E48" w14:textId="77777777" w:rsidR="00CB1045" w:rsidRPr="00C8580F" w:rsidRDefault="00CB1045" w:rsidP="00724C04">
            <w:pPr>
              <w:ind w:left="57" w:right="57"/>
              <w:contextualSpacing/>
              <w:rPr>
                <w:sz w:val="26"/>
                <w:szCs w:val="26"/>
                <w:lang w:val="lv-LV"/>
              </w:rPr>
            </w:pPr>
            <w:r w:rsidRPr="00C8580F">
              <w:rPr>
                <w:sz w:val="26"/>
                <w:szCs w:val="26"/>
                <w:lang w:val="lv-LV"/>
              </w:rPr>
              <w:t> 2.</w:t>
            </w:r>
          </w:p>
        </w:tc>
        <w:tc>
          <w:tcPr>
            <w:tcW w:w="3177" w:type="dxa"/>
          </w:tcPr>
          <w:p w14:paraId="2D198A32" w14:textId="77777777" w:rsidR="00CB1045" w:rsidRPr="00C8580F" w:rsidRDefault="00CB1045" w:rsidP="00724C04">
            <w:pPr>
              <w:ind w:left="57" w:right="57"/>
              <w:contextualSpacing/>
              <w:rPr>
                <w:sz w:val="26"/>
                <w:szCs w:val="26"/>
                <w:lang w:val="lv-LV"/>
              </w:rPr>
            </w:pPr>
            <w:r w:rsidRPr="00C8580F">
              <w:rPr>
                <w:sz w:val="26"/>
                <w:szCs w:val="26"/>
                <w:lang w:val="lv-LV"/>
              </w:rPr>
              <w:t>Pašreizējā situācija un problēmas</w:t>
            </w:r>
            <w:r w:rsidR="003444A9" w:rsidRPr="00C8580F">
              <w:rPr>
                <w:sz w:val="26"/>
                <w:szCs w:val="26"/>
                <w:lang w:val="lv-LV"/>
              </w:rPr>
              <w:t xml:space="preserve"> kuru risināšanai tiesību akta projekts izstrādāts, tiesiskā regulējuma mērķis un būtība</w:t>
            </w:r>
          </w:p>
          <w:p w14:paraId="47D769E5" w14:textId="77777777" w:rsidR="005155AB" w:rsidRPr="00C8580F" w:rsidRDefault="005155AB" w:rsidP="00724C04">
            <w:pPr>
              <w:ind w:left="57" w:right="57"/>
              <w:contextualSpacing/>
              <w:rPr>
                <w:sz w:val="26"/>
                <w:szCs w:val="26"/>
                <w:lang w:val="lv-LV"/>
              </w:rPr>
            </w:pPr>
          </w:p>
          <w:p w14:paraId="3CCEA011" w14:textId="2BADEB2B" w:rsidR="005155AB" w:rsidRPr="00C8580F" w:rsidRDefault="005155AB" w:rsidP="005155AB">
            <w:pPr>
              <w:ind w:left="57" w:right="57"/>
              <w:contextualSpacing/>
              <w:rPr>
                <w:sz w:val="26"/>
                <w:szCs w:val="26"/>
                <w:lang w:val="lv-LV"/>
              </w:rPr>
            </w:pPr>
          </w:p>
        </w:tc>
        <w:tc>
          <w:tcPr>
            <w:tcW w:w="5361" w:type="dxa"/>
          </w:tcPr>
          <w:p w14:paraId="58FA91B4" w14:textId="261DCA72" w:rsidR="00710735" w:rsidRPr="00C8580F" w:rsidRDefault="00CD5814" w:rsidP="00C8580F">
            <w:pPr>
              <w:pStyle w:val="naiskr"/>
              <w:spacing w:before="0" w:after="0"/>
              <w:ind w:left="57" w:right="57"/>
              <w:contextualSpacing/>
              <w:jc w:val="both"/>
              <w:rPr>
                <w:sz w:val="26"/>
                <w:szCs w:val="26"/>
              </w:rPr>
            </w:pPr>
            <w:r w:rsidRPr="00C8580F">
              <w:rPr>
                <w:sz w:val="26"/>
                <w:szCs w:val="26"/>
              </w:rPr>
              <w:t>Noteikumu projekts</w:t>
            </w:r>
            <w:r w:rsidR="001B00AD" w:rsidRPr="00C8580F">
              <w:rPr>
                <w:sz w:val="26"/>
                <w:szCs w:val="26"/>
              </w:rPr>
              <w:t xml:space="preserve"> </w:t>
            </w:r>
            <w:r w:rsidR="009D73EF" w:rsidRPr="00C8580F">
              <w:rPr>
                <w:sz w:val="26"/>
                <w:szCs w:val="26"/>
              </w:rPr>
              <w:t xml:space="preserve">apstiprina būvnormatīvu, ar ko nosaka prasības </w:t>
            </w:r>
            <w:r w:rsidR="00BD4137" w:rsidRPr="00C8580F">
              <w:rPr>
                <w:sz w:val="26"/>
                <w:szCs w:val="26"/>
              </w:rPr>
              <w:t xml:space="preserve">A klases hidroelektrostaciju hidrotehnisko būvju </w:t>
            </w:r>
            <w:r w:rsidR="00BD4137" w:rsidRPr="00C8580F">
              <w:rPr>
                <w:rFonts w:eastAsia="Arial"/>
                <w:sz w:val="26"/>
                <w:szCs w:val="26"/>
              </w:rPr>
              <w:t>p</w:t>
            </w:r>
            <w:r w:rsidR="00BD4137" w:rsidRPr="00C8580F">
              <w:rPr>
                <w:rFonts w:eastAsia="Arial"/>
                <w:spacing w:val="4"/>
                <w:sz w:val="26"/>
                <w:szCs w:val="26"/>
              </w:rPr>
              <w:t>r</w:t>
            </w:r>
            <w:r w:rsidR="00BD4137" w:rsidRPr="00C8580F">
              <w:rPr>
                <w:rFonts w:eastAsia="Arial"/>
                <w:sz w:val="26"/>
                <w:szCs w:val="26"/>
              </w:rPr>
              <w:t>o</w:t>
            </w:r>
            <w:r w:rsidR="00BD4137" w:rsidRPr="00C8580F">
              <w:rPr>
                <w:rFonts w:eastAsia="Arial"/>
                <w:spacing w:val="-4"/>
                <w:sz w:val="26"/>
                <w:szCs w:val="26"/>
              </w:rPr>
              <w:t>j</w:t>
            </w:r>
            <w:r w:rsidR="00BD4137" w:rsidRPr="00C8580F">
              <w:rPr>
                <w:rFonts w:eastAsia="Arial"/>
                <w:sz w:val="26"/>
                <w:szCs w:val="26"/>
              </w:rPr>
              <w:t>e</w:t>
            </w:r>
            <w:r w:rsidR="00BD4137" w:rsidRPr="00C8580F">
              <w:rPr>
                <w:rFonts w:eastAsia="Arial"/>
                <w:spacing w:val="1"/>
                <w:sz w:val="26"/>
                <w:szCs w:val="26"/>
              </w:rPr>
              <w:t>k</w:t>
            </w:r>
            <w:r w:rsidR="00BD4137" w:rsidRPr="00C8580F">
              <w:rPr>
                <w:rFonts w:eastAsia="Arial"/>
                <w:spacing w:val="4"/>
                <w:sz w:val="26"/>
                <w:szCs w:val="26"/>
              </w:rPr>
              <w:t>t</w:t>
            </w:r>
            <w:r w:rsidR="00BD4137" w:rsidRPr="00C8580F">
              <w:rPr>
                <w:rFonts w:eastAsia="Arial"/>
                <w:sz w:val="26"/>
                <w:szCs w:val="26"/>
              </w:rPr>
              <w:t>ē</w:t>
            </w:r>
            <w:r w:rsidR="00BD4137" w:rsidRPr="00C8580F">
              <w:rPr>
                <w:rFonts w:eastAsia="Arial"/>
                <w:spacing w:val="1"/>
                <w:sz w:val="26"/>
                <w:szCs w:val="26"/>
              </w:rPr>
              <w:t>š</w:t>
            </w:r>
            <w:r w:rsidR="00BD4137" w:rsidRPr="00C8580F">
              <w:rPr>
                <w:rFonts w:eastAsia="Arial"/>
                <w:sz w:val="26"/>
                <w:szCs w:val="26"/>
              </w:rPr>
              <w:t>a</w:t>
            </w:r>
            <w:r w:rsidR="00BD4137" w:rsidRPr="00C8580F">
              <w:rPr>
                <w:rFonts w:eastAsia="Arial"/>
                <w:spacing w:val="-10"/>
                <w:sz w:val="26"/>
                <w:szCs w:val="26"/>
              </w:rPr>
              <w:t>nai</w:t>
            </w:r>
            <w:r w:rsidR="00BD4137" w:rsidRPr="00C8580F">
              <w:rPr>
                <w:rFonts w:eastAsia="Arial"/>
                <w:sz w:val="26"/>
                <w:szCs w:val="26"/>
              </w:rPr>
              <w:t xml:space="preserve"> un </w:t>
            </w:r>
            <w:r w:rsidR="00F725A3" w:rsidRPr="00C8580F">
              <w:rPr>
                <w:sz w:val="26"/>
                <w:szCs w:val="26"/>
              </w:rPr>
              <w:t>aprēķiniem</w:t>
            </w:r>
            <w:r w:rsidR="009D73EF" w:rsidRPr="00C8580F">
              <w:rPr>
                <w:sz w:val="26"/>
                <w:szCs w:val="26"/>
              </w:rPr>
              <w:t xml:space="preserve">. </w:t>
            </w:r>
            <w:r w:rsidR="008947C9" w:rsidRPr="00C8580F">
              <w:rPr>
                <w:sz w:val="26"/>
                <w:szCs w:val="26"/>
              </w:rPr>
              <w:t>Papildus</w:t>
            </w:r>
            <w:r w:rsidR="00B15E28" w:rsidRPr="00C8580F">
              <w:rPr>
                <w:sz w:val="26"/>
                <w:szCs w:val="26"/>
              </w:rPr>
              <w:t>, lai nodrošinātu būvnormatīva izpildi un nodrošinātu būvju būtisko prasību ievērošanu,</w:t>
            </w:r>
            <w:r w:rsidR="008947C9" w:rsidRPr="00C8580F">
              <w:rPr>
                <w:sz w:val="26"/>
                <w:szCs w:val="26"/>
              </w:rPr>
              <w:t xml:space="preserve"> noteikts, ka Ekonomikas ministrija sadarbībā ar attiecīgo stan</w:t>
            </w:r>
            <w:r w:rsidR="003625D7" w:rsidRPr="00C8580F">
              <w:rPr>
                <w:sz w:val="26"/>
                <w:szCs w:val="26"/>
              </w:rPr>
              <w:t>dartu tehnisko komiteju iesaka n</w:t>
            </w:r>
            <w:r w:rsidR="008947C9" w:rsidRPr="00C8580F">
              <w:rPr>
                <w:sz w:val="26"/>
                <w:szCs w:val="26"/>
              </w:rPr>
              <w:t>acionālajai standartizācijas institūcijai (sabie</w:t>
            </w:r>
            <w:r w:rsidR="00B15E28" w:rsidRPr="00C8580F">
              <w:rPr>
                <w:sz w:val="26"/>
                <w:szCs w:val="26"/>
              </w:rPr>
              <w:t>drībai ar ierobežotu atbildību „</w:t>
            </w:r>
            <w:r w:rsidR="008947C9" w:rsidRPr="00C8580F">
              <w:rPr>
                <w:sz w:val="26"/>
                <w:szCs w:val="26"/>
              </w:rPr>
              <w:t>Standartizācijas, akred</w:t>
            </w:r>
            <w:r w:rsidR="00B15E28" w:rsidRPr="00C8580F">
              <w:rPr>
                <w:sz w:val="26"/>
                <w:szCs w:val="26"/>
              </w:rPr>
              <w:t>itācijas un metroloģijas centrs”</w:t>
            </w:r>
            <w:r w:rsidR="008947C9" w:rsidRPr="00C8580F">
              <w:rPr>
                <w:sz w:val="26"/>
                <w:szCs w:val="26"/>
              </w:rPr>
              <w:t xml:space="preserve">) saistībā ar šiem noteikumiem izstrādājamo, adaptējamo un piemērojamo standartu sarakstu. Savukārt </w:t>
            </w:r>
            <w:r w:rsidR="003625D7" w:rsidRPr="00C8580F">
              <w:rPr>
                <w:sz w:val="26"/>
                <w:szCs w:val="26"/>
              </w:rPr>
              <w:t>n</w:t>
            </w:r>
            <w:r w:rsidR="008947C9" w:rsidRPr="00C8580F">
              <w:rPr>
                <w:sz w:val="26"/>
                <w:szCs w:val="26"/>
              </w:rPr>
              <w:t xml:space="preserve">acionālā standartizācijas institūcija publicē tās interneta </w:t>
            </w:r>
            <w:r w:rsidR="008947C9" w:rsidRPr="00997637">
              <w:rPr>
                <w:color w:val="000000" w:themeColor="text1"/>
                <w:sz w:val="26"/>
                <w:szCs w:val="26"/>
              </w:rPr>
              <w:t>vietnē www.lvs.lv to standartu sarakstu, kurus piemēro Latvijas būvnormatīva LBN 22</w:t>
            </w:r>
            <w:r w:rsidR="008638E6" w:rsidRPr="00997637">
              <w:rPr>
                <w:color w:val="000000" w:themeColor="text1"/>
                <w:sz w:val="26"/>
                <w:szCs w:val="26"/>
              </w:rPr>
              <w:t>9</w:t>
            </w:r>
            <w:r w:rsidR="008947C9" w:rsidRPr="00997637">
              <w:rPr>
                <w:color w:val="000000" w:themeColor="text1"/>
                <w:sz w:val="26"/>
                <w:szCs w:val="26"/>
              </w:rPr>
              <w:t xml:space="preserve">-15 </w:t>
            </w:r>
            <w:r w:rsidR="008638E6" w:rsidRPr="00997637">
              <w:rPr>
                <w:rFonts w:eastAsia="SimSun"/>
                <w:color w:val="000000" w:themeColor="text1"/>
                <w:sz w:val="26"/>
                <w:szCs w:val="26"/>
                <w:lang w:eastAsia="zh-CN"/>
              </w:rPr>
              <w:t>„</w:t>
            </w:r>
            <w:r w:rsidR="00D435EE" w:rsidRPr="00997637">
              <w:rPr>
                <w:rFonts w:eastAsia="SimSun"/>
                <w:color w:val="000000" w:themeColor="text1"/>
                <w:sz w:val="26"/>
                <w:szCs w:val="26"/>
                <w:lang w:eastAsia="zh-CN"/>
              </w:rPr>
              <w:t>A klases h</w:t>
            </w:r>
            <w:r w:rsidR="008638E6" w:rsidRPr="00997637">
              <w:rPr>
                <w:bCs/>
                <w:color w:val="000000" w:themeColor="text1"/>
                <w:sz w:val="26"/>
                <w:szCs w:val="26"/>
              </w:rPr>
              <w:t>idroelektrostaciju hidrotehniskās</w:t>
            </w:r>
            <w:r w:rsidR="008638E6" w:rsidRPr="00C8580F">
              <w:rPr>
                <w:bCs/>
                <w:color w:val="000000" w:themeColor="text1"/>
                <w:sz w:val="26"/>
                <w:szCs w:val="26"/>
              </w:rPr>
              <w:t xml:space="preserve"> būves</w:t>
            </w:r>
            <w:r w:rsidR="008638E6" w:rsidRPr="00C8580F">
              <w:rPr>
                <w:rFonts w:eastAsia="SimSun"/>
                <w:sz w:val="26"/>
                <w:szCs w:val="26"/>
                <w:lang w:eastAsia="zh-CN"/>
              </w:rPr>
              <w:t xml:space="preserve">” </w:t>
            </w:r>
            <w:r w:rsidR="008947C9" w:rsidRPr="00C8580F">
              <w:rPr>
                <w:sz w:val="26"/>
                <w:szCs w:val="26"/>
              </w:rPr>
              <w:t>izpildei.</w:t>
            </w:r>
            <w:r w:rsidR="00710735" w:rsidRPr="00C8580F">
              <w:rPr>
                <w:sz w:val="26"/>
                <w:szCs w:val="26"/>
              </w:rPr>
              <w:t xml:space="preserve"> </w:t>
            </w:r>
          </w:p>
          <w:p w14:paraId="7DF05269" w14:textId="1FB4366B" w:rsidR="0070771E" w:rsidRPr="00C8580F" w:rsidRDefault="00710735" w:rsidP="00C8580F">
            <w:pPr>
              <w:ind w:left="57" w:right="57"/>
              <w:jc w:val="both"/>
              <w:rPr>
                <w:sz w:val="26"/>
                <w:szCs w:val="26"/>
                <w:lang w:val="lv-LV"/>
              </w:rPr>
            </w:pPr>
            <w:r w:rsidRPr="00C8580F">
              <w:rPr>
                <w:sz w:val="26"/>
                <w:szCs w:val="26"/>
                <w:lang w:val="lv-LV"/>
              </w:rPr>
              <w:t>Ekonomikas ministrijai vai citai institūcijai netiek deleģēts noteikt par obligāto standartu kādu standartu, bet dots uzdevums sadarbībā ar citu institūciju nodrošināt informācijas pieejamību projektētājiem par piemēroja</w:t>
            </w:r>
            <w:r w:rsidR="00C8580F">
              <w:rPr>
                <w:sz w:val="26"/>
                <w:szCs w:val="26"/>
                <w:lang w:val="lv-LV"/>
              </w:rPr>
              <w:t>m</w:t>
            </w:r>
            <w:r w:rsidRPr="00C8580F">
              <w:rPr>
                <w:sz w:val="26"/>
                <w:szCs w:val="26"/>
                <w:lang w:val="lv-LV"/>
              </w:rPr>
              <w:t xml:space="preserve">iem standartiem. Tas nepieciešams sakarā ar lielo standartu skaitu un to dažādību, lai nodrošinātu vienveidību nozarē un novērstu potenciālus drošības riskus. Šiem standartiem kā līdz šim tiek saglabāts ieteikumu raksturs, proti, tie netiek noteikti kā obligāti piemērojami (Standartizācijas likums 13.panta otrā daļa), bet kā piemērojamie. Tomēr gadījumā, ja projektētājs nebūs piemērojis publicētos standartus (strīdus gadījumā) var būt  nepieciešams papildus pierādīt, ka, projektējot būvi, izvēlēti </w:t>
            </w:r>
            <w:r w:rsidRPr="00C8580F">
              <w:rPr>
                <w:sz w:val="26"/>
                <w:szCs w:val="26"/>
                <w:lang w:val="lv-LV"/>
              </w:rPr>
              <w:lastRenderedPageBreak/>
              <w:t>droši un mērķim atbilstoši raksturlielumi. Nozares biedru organizāciju izstrādāti standarti ir uzskatāmi par vienu no kvalitātes un drošības garantiem standartizējamajā nozarē.</w:t>
            </w:r>
          </w:p>
          <w:p w14:paraId="7BA07304" w14:textId="27F335E1" w:rsidR="0070771E" w:rsidRPr="004A120F" w:rsidRDefault="0070771E" w:rsidP="00C8580F">
            <w:pPr>
              <w:ind w:left="57" w:right="57"/>
              <w:jc w:val="both"/>
              <w:rPr>
                <w:sz w:val="26"/>
                <w:szCs w:val="26"/>
                <w:lang w:val="lv-LV"/>
              </w:rPr>
            </w:pPr>
            <w:r w:rsidRPr="004A120F">
              <w:rPr>
                <w:sz w:val="26"/>
                <w:szCs w:val="26"/>
                <w:lang w:val="lv-LV"/>
              </w:rPr>
              <w:t xml:space="preserve">Hidrotehnisko būvju būvniecības ieceres dokumentāciju un būvprojektu izstrādā attiecīgos speciālajos būvnoteikumos noteiktajā kārtībā un apjomā. </w:t>
            </w:r>
          </w:p>
          <w:p w14:paraId="38D96BF3" w14:textId="38F9E630" w:rsidR="00C8580F" w:rsidRPr="004A120F" w:rsidRDefault="00C8580F" w:rsidP="00C8580F">
            <w:pPr>
              <w:pStyle w:val="naiskr"/>
              <w:spacing w:before="0" w:after="0"/>
              <w:ind w:left="57" w:right="57"/>
              <w:contextualSpacing/>
              <w:jc w:val="both"/>
              <w:rPr>
                <w:sz w:val="26"/>
                <w:szCs w:val="26"/>
              </w:rPr>
            </w:pPr>
            <w:bookmarkStart w:id="5" w:name="p-221425"/>
            <w:bookmarkStart w:id="6" w:name="p14"/>
            <w:bookmarkEnd w:id="5"/>
            <w:bookmarkEnd w:id="6"/>
            <w:r w:rsidRPr="004A120F">
              <w:rPr>
                <w:sz w:val="26"/>
                <w:szCs w:val="26"/>
              </w:rPr>
              <w:t xml:space="preserve">A klases </w:t>
            </w:r>
            <w:r w:rsidRPr="004A120F">
              <w:rPr>
                <w:bCs/>
                <w:color w:val="000000" w:themeColor="text1"/>
                <w:sz w:val="26"/>
                <w:szCs w:val="26"/>
              </w:rPr>
              <w:t xml:space="preserve">hidroelektrostaciju </w:t>
            </w:r>
            <w:r w:rsidRPr="004A120F">
              <w:rPr>
                <w:sz w:val="26"/>
                <w:szCs w:val="26"/>
              </w:rPr>
              <w:t>h</w:t>
            </w:r>
            <w:r w:rsidR="0070771E" w:rsidRPr="004A120F">
              <w:rPr>
                <w:sz w:val="26"/>
                <w:szCs w:val="26"/>
              </w:rPr>
              <w:t xml:space="preserve">idrotehniskās būves projektē un būvprojekta saturu nosaka atbilstoši </w:t>
            </w:r>
            <w:r w:rsidRPr="004A120F">
              <w:rPr>
                <w:sz w:val="26"/>
                <w:szCs w:val="26"/>
              </w:rPr>
              <w:t>Ministru kabineta 30.09.2014. noteikumiem Nr.573 “Elektroenerģijas ražošanas, pārvades un sadales būvju būvnoteikumi”.</w:t>
            </w:r>
          </w:p>
          <w:p w14:paraId="70C7F5B6" w14:textId="579099AD" w:rsidR="00F33224" w:rsidRPr="004A120F" w:rsidRDefault="00F33224" w:rsidP="00C8580F">
            <w:pPr>
              <w:pStyle w:val="naiskr"/>
              <w:spacing w:before="0" w:after="0"/>
              <w:ind w:left="57" w:right="57"/>
              <w:contextualSpacing/>
              <w:jc w:val="both"/>
              <w:rPr>
                <w:sz w:val="26"/>
                <w:szCs w:val="26"/>
              </w:rPr>
            </w:pPr>
            <w:r w:rsidRPr="004A120F">
              <w:rPr>
                <w:sz w:val="26"/>
                <w:szCs w:val="26"/>
              </w:rPr>
              <w:t xml:space="preserve">Hidrotehnisko būvju konstrukciju projektēšanas pamatprincipus un iedarbes uz konstrukcijām nosaka Eiropas standarta </w:t>
            </w:r>
            <w:proofErr w:type="spellStart"/>
            <w:r w:rsidRPr="004A120F">
              <w:rPr>
                <w:sz w:val="26"/>
                <w:szCs w:val="26"/>
              </w:rPr>
              <w:t>Eirokodeksu</w:t>
            </w:r>
            <w:proofErr w:type="spellEnd"/>
            <w:r w:rsidRPr="004A120F">
              <w:rPr>
                <w:sz w:val="26"/>
                <w:szCs w:val="26"/>
              </w:rPr>
              <w:t xml:space="preserve"> saimes EN 1990 “Konstrukciju projektēšanas pamati” un EN 1991 “Iedarbes uz konstrukcijām”</w:t>
            </w:r>
            <w:r w:rsidR="00B15E28" w:rsidRPr="004A120F">
              <w:rPr>
                <w:sz w:val="26"/>
                <w:szCs w:val="26"/>
              </w:rPr>
              <w:t xml:space="preserve"> </w:t>
            </w:r>
            <w:r w:rsidRPr="004A120F">
              <w:rPr>
                <w:sz w:val="26"/>
                <w:szCs w:val="26"/>
              </w:rPr>
              <w:t>standarti un nacionālie pielikumi.</w:t>
            </w:r>
          </w:p>
          <w:p w14:paraId="669D0C74" w14:textId="77777777" w:rsidR="0070771E" w:rsidRPr="004A120F" w:rsidRDefault="00F33224" w:rsidP="00C8580F">
            <w:pPr>
              <w:pStyle w:val="naiskr"/>
              <w:spacing w:before="0" w:after="0"/>
              <w:ind w:left="57" w:right="57"/>
              <w:contextualSpacing/>
              <w:jc w:val="both"/>
              <w:rPr>
                <w:sz w:val="26"/>
                <w:szCs w:val="26"/>
              </w:rPr>
            </w:pPr>
            <w:r w:rsidRPr="004A120F">
              <w:rPr>
                <w:sz w:val="26"/>
                <w:szCs w:val="26"/>
              </w:rPr>
              <w:t xml:space="preserve">Eiropas standarta </w:t>
            </w:r>
            <w:proofErr w:type="spellStart"/>
            <w:r w:rsidRPr="004A120F">
              <w:rPr>
                <w:sz w:val="26"/>
                <w:szCs w:val="26"/>
              </w:rPr>
              <w:t>Eirokodeksu</w:t>
            </w:r>
            <w:proofErr w:type="spellEnd"/>
            <w:r w:rsidRPr="004A120F">
              <w:rPr>
                <w:sz w:val="26"/>
                <w:szCs w:val="26"/>
              </w:rPr>
              <w:t xml:space="preserve"> saimes EN 1992 “Betona konstrukciju projektēšana”, EN 1993 </w:t>
            </w:r>
            <w:r w:rsidR="00663227" w:rsidRPr="004A120F">
              <w:rPr>
                <w:sz w:val="26"/>
                <w:szCs w:val="26"/>
              </w:rPr>
              <w:t xml:space="preserve">“Tērauda konstrukciju projektēšana”, EN 1994 “Tērauda un betona </w:t>
            </w:r>
            <w:proofErr w:type="spellStart"/>
            <w:r w:rsidR="00663227" w:rsidRPr="004A120F">
              <w:rPr>
                <w:sz w:val="26"/>
                <w:szCs w:val="26"/>
              </w:rPr>
              <w:t>kompozīto</w:t>
            </w:r>
            <w:proofErr w:type="spellEnd"/>
            <w:r w:rsidR="00663227" w:rsidRPr="004A120F">
              <w:rPr>
                <w:sz w:val="26"/>
                <w:szCs w:val="26"/>
              </w:rPr>
              <w:t xml:space="preserve"> konstrukciju projektēšana”, EN 1995 “Koka konstrukciju projektēšana”, EN 1996 “Mūra konstrukciju projektēšana” standartus un to nacionālo pielikumus lieto hidrotehnisko būvju attiecīgo konstrukciju projektēšanā.</w:t>
            </w:r>
          </w:p>
          <w:p w14:paraId="6C02C85C" w14:textId="77777777" w:rsidR="0070771E" w:rsidRPr="004A120F" w:rsidRDefault="00663227" w:rsidP="00C8580F">
            <w:pPr>
              <w:pStyle w:val="naiskr"/>
              <w:spacing w:before="0" w:after="0"/>
              <w:ind w:left="57" w:right="57"/>
              <w:contextualSpacing/>
              <w:jc w:val="both"/>
              <w:rPr>
                <w:sz w:val="26"/>
                <w:szCs w:val="26"/>
              </w:rPr>
            </w:pPr>
            <w:r w:rsidRPr="004A120F">
              <w:rPr>
                <w:sz w:val="26"/>
                <w:szCs w:val="26"/>
              </w:rPr>
              <w:t xml:space="preserve"> Ievērojot Eiropas standarta </w:t>
            </w:r>
            <w:proofErr w:type="spellStart"/>
            <w:r w:rsidRPr="004A120F">
              <w:rPr>
                <w:sz w:val="26"/>
                <w:szCs w:val="26"/>
              </w:rPr>
              <w:t>Eirokodeksu</w:t>
            </w:r>
            <w:proofErr w:type="spellEnd"/>
            <w:r w:rsidRPr="004A120F">
              <w:rPr>
                <w:sz w:val="26"/>
                <w:szCs w:val="26"/>
              </w:rPr>
              <w:t xml:space="preserve"> saimes EN 1997 “</w:t>
            </w:r>
            <w:proofErr w:type="spellStart"/>
            <w:r w:rsidRPr="004A120F">
              <w:rPr>
                <w:sz w:val="26"/>
                <w:szCs w:val="26"/>
              </w:rPr>
              <w:t>Ģeotehniskā</w:t>
            </w:r>
            <w:proofErr w:type="spellEnd"/>
            <w:r w:rsidRPr="004A120F">
              <w:rPr>
                <w:sz w:val="26"/>
                <w:szCs w:val="26"/>
              </w:rPr>
              <w:t xml:space="preserve"> projektēšana” standarta un tā pielikuma nosacījumus, ar hidrotehnisko aprēķinu pārbauda hidrauliski aprēķināto būvju parametru pietiekamību, nosaka būves pretošanās spēju filtrācijas plūsmas spiedienam, pamatnes deformācijas, būves sēšanos un noturību pret nobīdi un apgāšanos.</w:t>
            </w:r>
          </w:p>
          <w:p w14:paraId="2CD18944" w14:textId="25C21C67" w:rsidR="00925A4F" w:rsidRPr="00C8580F" w:rsidRDefault="00663227" w:rsidP="00C8580F">
            <w:pPr>
              <w:pStyle w:val="naiskr"/>
              <w:spacing w:before="0" w:after="0"/>
              <w:ind w:left="57" w:right="57"/>
              <w:contextualSpacing/>
              <w:jc w:val="both"/>
              <w:rPr>
                <w:sz w:val="26"/>
                <w:szCs w:val="26"/>
              </w:rPr>
            </w:pPr>
            <w:r w:rsidRPr="00C8580F">
              <w:rPr>
                <w:sz w:val="26"/>
                <w:szCs w:val="26"/>
              </w:rPr>
              <w:t xml:space="preserve"> </w:t>
            </w:r>
            <w:r w:rsidR="006E7EC2" w:rsidRPr="00C8580F">
              <w:rPr>
                <w:sz w:val="26"/>
                <w:szCs w:val="26"/>
              </w:rPr>
              <w:t>Būvnormatīvā, salīdzinājumā ar līdzšinējo normatīvo regulējumu, ir precizēta terminoloģija</w:t>
            </w:r>
            <w:r w:rsidR="00070818" w:rsidRPr="00C8580F">
              <w:rPr>
                <w:sz w:val="26"/>
                <w:szCs w:val="26"/>
              </w:rPr>
              <w:t>, nemainot to pēc būtības.</w:t>
            </w:r>
            <w:r w:rsidR="008947C9" w:rsidRPr="00C8580F">
              <w:rPr>
                <w:sz w:val="26"/>
                <w:szCs w:val="26"/>
              </w:rPr>
              <w:t xml:space="preserve"> Būvnormatīvs neattiecas uz</w:t>
            </w:r>
            <w:r w:rsidR="00D127B1" w:rsidRPr="00C8580F">
              <w:rPr>
                <w:sz w:val="26"/>
                <w:szCs w:val="26"/>
              </w:rPr>
              <w:t xml:space="preserve"> B un C klases </w:t>
            </w:r>
            <w:r w:rsidR="008947C9" w:rsidRPr="00C8580F">
              <w:rPr>
                <w:sz w:val="26"/>
                <w:szCs w:val="26"/>
              </w:rPr>
              <w:t>hidroelektrostaciju hidrotehniskajām būvēm</w:t>
            </w:r>
            <w:r w:rsidR="00D127B1" w:rsidRPr="00C8580F">
              <w:rPr>
                <w:sz w:val="26"/>
                <w:szCs w:val="26"/>
              </w:rPr>
              <w:t xml:space="preserve">, šīs </w:t>
            </w:r>
            <w:r w:rsidR="008947C9" w:rsidRPr="00C8580F">
              <w:rPr>
                <w:sz w:val="26"/>
                <w:szCs w:val="26"/>
              </w:rPr>
              <w:t xml:space="preserve">hidrotehniskās būves projektē saskaņā ar </w:t>
            </w:r>
            <w:r w:rsidR="00DA18FC" w:rsidRPr="00C8580F">
              <w:rPr>
                <w:sz w:val="26"/>
                <w:szCs w:val="26"/>
              </w:rPr>
              <w:t>LBN 224-15 "Meliorācijas sistēmas un hidrotehniskās būves"</w:t>
            </w:r>
            <w:r w:rsidR="00D127B1" w:rsidRPr="00C8580F">
              <w:rPr>
                <w:sz w:val="26"/>
                <w:szCs w:val="26"/>
              </w:rPr>
              <w:t>.</w:t>
            </w:r>
            <w:r w:rsidR="004B5FE7" w:rsidRPr="00C8580F">
              <w:rPr>
                <w:sz w:val="26"/>
                <w:szCs w:val="26"/>
              </w:rPr>
              <w:t xml:space="preserve"> Hidrotehniskās būves klasificē pēc apdraudējuma riska (bīstamības pakāpes), kādu tās var radīt avārijas gadījumā. Būvju drošuma klasi nosaka saskaņā ar </w:t>
            </w:r>
            <w:r w:rsidR="004B5FE7" w:rsidRPr="00C8580F">
              <w:rPr>
                <w:sz w:val="26"/>
                <w:szCs w:val="26"/>
              </w:rPr>
              <w:lastRenderedPageBreak/>
              <w:t>likumu „Par hidroelektrostaciju hidrotehnisko būvju drošumu</w:t>
            </w:r>
            <w:r w:rsidR="00C03E9D">
              <w:rPr>
                <w:sz w:val="26"/>
                <w:szCs w:val="26"/>
              </w:rPr>
              <w:t>”</w:t>
            </w:r>
            <w:r w:rsidR="00925A4F" w:rsidRPr="00C8580F">
              <w:rPr>
                <w:sz w:val="26"/>
                <w:szCs w:val="26"/>
              </w:rPr>
              <w:t>.</w:t>
            </w:r>
          </w:p>
          <w:p w14:paraId="3464F580" w14:textId="03BEE8B1" w:rsidR="00C44486" w:rsidRPr="00C8580F" w:rsidRDefault="00C03E9D" w:rsidP="00624589">
            <w:pPr>
              <w:pStyle w:val="naiskr"/>
              <w:spacing w:before="0" w:after="0"/>
              <w:ind w:left="57" w:right="57"/>
              <w:contextualSpacing/>
              <w:jc w:val="both"/>
              <w:rPr>
                <w:bCs/>
                <w:sz w:val="26"/>
                <w:szCs w:val="26"/>
                <w:shd w:val="clear" w:color="auto" w:fill="FFFFFF"/>
              </w:rPr>
            </w:pPr>
            <w:r>
              <w:rPr>
                <w:sz w:val="26"/>
                <w:szCs w:val="26"/>
              </w:rPr>
              <w:t>Atbilstoši Latvijas Būvniecības padomes 18.05.2015. sēdē lemtajam</w:t>
            </w:r>
            <w:r w:rsidR="005D2A03" w:rsidRPr="00C8580F">
              <w:rPr>
                <w:sz w:val="26"/>
                <w:szCs w:val="26"/>
              </w:rPr>
              <w:t xml:space="preserve"> tiek plānota šī būvnormatīva  pārstrāde pēc būtības</w:t>
            </w:r>
            <w:r w:rsidR="00624589">
              <w:rPr>
                <w:sz w:val="26"/>
                <w:szCs w:val="26"/>
              </w:rPr>
              <w:t xml:space="preserve">, </w:t>
            </w:r>
            <w:r w:rsidR="00624589" w:rsidRPr="004A120F">
              <w:rPr>
                <w:color w:val="000000" w:themeColor="text1"/>
                <w:sz w:val="26"/>
                <w:szCs w:val="26"/>
              </w:rPr>
              <w:t>saskaņojot šo būvnormatīvu ar LBN 224-15 "Meliorācijas sistēmas un hidrotehniskās būves".</w:t>
            </w:r>
            <w:r w:rsidR="005D2A03" w:rsidRPr="004A120F">
              <w:rPr>
                <w:color w:val="000000" w:themeColor="text1"/>
                <w:sz w:val="26"/>
                <w:szCs w:val="26"/>
              </w:rPr>
              <w:t xml:space="preserve"> </w:t>
            </w:r>
          </w:p>
        </w:tc>
      </w:tr>
      <w:tr w:rsidR="00CB1045" w:rsidRPr="00C8580F" w14:paraId="0934AAED" w14:textId="77777777" w:rsidTr="00907CCE">
        <w:trPr>
          <w:trHeight w:val="706"/>
        </w:trPr>
        <w:tc>
          <w:tcPr>
            <w:tcW w:w="524" w:type="dxa"/>
          </w:tcPr>
          <w:p w14:paraId="2EDE3719" w14:textId="080F1AF4" w:rsidR="00CB1045" w:rsidRPr="00C8580F" w:rsidRDefault="00CB1045" w:rsidP="00724C04">
            <w:pPr>
              <w:ind w:left="57" w:right="57"/>
              <w:contextualSpacing/>
              <w:rPr>
                <w:sz w:val="26"/>
                <w:szCs w:val="26"/>
                <w:lang w:val="lv-LV"/>
              </w:rPr>
            </w:pPr>
            <w:r w:rsidRPr="00C8580F">
              <w:rPr>
                <w:sz w:val="26"/>
                <w:szCs w:val="26"/>
                <w:lang w:val="lv-LV"/>
              </w:rPr>
              <w:lastRenderedPageBreak/>
              <w:t> 3.</w:t>
            </w:r>
          </w:p>
        </w:tc>
        <w:tc>
          <w:tcPr>
            <w:tcW w:w="3177" w:type="dxa"/>
          </w:tcPr>
          <w:p w14:paraId="1DF47B6C" w14:textId="77777777" w:rsidR="00CB1045" w:rsidRPr="00C8580F" w:rsidRDefault="005761CE" w:rsidP="00724C04">
            <w:pPr>
              <w:ind w:left="57" w:right="57"/>
              <w:contextualSpacing/>
              <w:rPr>
                <w:sz w:val="26"/>
                <w:szCs w:val="26"/>
                <w:lang w:val="lv-LV"/>
              </w:rPr>
            </w:pPr>
            <w:r w:rsidRPr="00C8580F">
              <w:rPr>
                <w:sz w:val="26"/>
                <w:szCs w:val="26"/>
                <w:lang w:val="lv-LV"/>
              </w:rPr>
              <w:t>Projekta izstrādē iesaistītās institūcijas</w:t>
            </w:r>
          </w:p>
        </w:tc>
        <w:tc>
          <w:tcPr>
            <w:tcW w:w="5361" w:type="dxa"/>
          </w:tcPr>
          <w:p w14:paraId="472FA0B2" w14:textId="18742D78" w:rsidR="00C03E9D" w:rsidRPr="00C8580F" w:rsidRDefault="00B15E28" w:rsidP="004A120F">
            <w:pPr>
              <w:ind w:left="57" w:right="57"/>
              <w:contextualSpacing/>
              <w:jc w:val="both"/>
              <w:rPr>
                <w:sz w:val="26"/>
                <w:szCs w:val="26"/>
                <w:lang w:val="lv-LV"/>
              </w:rPr>
            </w:pPr>
            <w:r w:rsidRPr="00C8580F">
              <w:rPr>
                <w:sz w:val="26"/>
                <w:szCs w:val="26"/>
                <w:lang w:val="lv-LV"/>
              </w:rPr>
              <w:t>Noteikumu projekta</w:t>
            </w:r>
            <w:r w:rsidR="00724C04" w:rsidRPr="00C8580F">
              <w:rPr>
                <w:sz w:val="26"/>
                <w:szCs w:val="26"/>
                <w:lang w:val="lv-LV"/>
              </w:rPr>
              <w:t xml:space="preserve"> (būvnormatīva)</w:t>
            </w:r>
            <w:r w:rsidRPr="00C8580F">
              <w:rPr>
                <w:sz w:val="26"/>
                <w:szCs w:val="26"/>
                <w:lang w:val="lv-LV"/>
              </w:rPr>
              <w:t xml:space="preserve"> izstrād</w:t>
            </w:r>
            <w:r w:rsidR="00C03E9D">
              <w:rPr>
                <w:sz w:val="26"/>
                <w:szCs w:val="26"/>
                <w:lang w:val="lv-LV"/>
              </w:rPr>
              <w:t>e</w:t>
            </w:r>
            <w:r w:rsidRPr="00C8580F">
              <w:rPr>
                <w:sz w:val="26"/>
                <w:szCs w:val="26"/>
                <w:lang w:val="lv-LV"/>
              </w:rPr>
              <w:t xml:space="preserve"> </w:t>
            </w:r>
            <w:r w:rsidR="00724C04" w:rsidRPr="00C8580F">
              <w:rPr>
                <w:sz w:val="26"/>
                <w:szCs w:val="26"/>
                <w:lang w:val="lv-LV"/>
              </w:rPr>
              <w:t>notikusi sadarbībā ar</w:t>
            </w:r>
            <w:r w:rsidRPr="00C8580F">
              <w:rPr>
                <w:sz w:val="26"/>
                <w:szCs w:val="26"/>
                <w:lang w:val="lv-LV"/>
              </w:rPr>
              <w:t xml:space="preserve"> </w:t>
            </w:r>
            <w:r w:rsidR="00D127B1" w:rsidRPr="00C8580F">
              <w:rPr>
                <w:sz w:val="26"/>
                <w:szCs w:val="26"/>
                <w:lang w:val="lv-LV"/>
              </w:rPr>
              <w:t>akciju</w:t>
            </w:r>
            <w:r w:rsidR="00724C04" w:rsidRPr="00C8580F">
              <w:rPr>
                <w:sz w:val="26"/>
                <w:szCs w:val="26"/>
                <w:lang w:val="lv-LV"/>
              </w:rPr>
              <w:t xml:space="preserve"> </w:t>
            </w:r>
            <w:r w:rsidR="00D127B1" w:rsidRPr="00C8580F">
              <w:rPr>
                <w:sz w:val="26"/>
                <w:szCs w:val="26"/>
                <w:lang w:val="lv-LV"/>
              </w:rPr>
              <w:t>sabiedrību “Latvenergo”.</w:t>
            </w:r>
          </w:p>
        </w:tc>
      </w:tr>
      <w:tr w:rsidR="00CB1045" w:rsidRPr="00C8580F" w14:paraId="02FFC7CA" w14:textId="77777777" w:rsidTr="00B96DF3">
        <w:trPr>
          <w:trHeight w:val="384"/>
        </w:trPr>
        <w:tc>
          <w:tcPr>
            <w:tcW w:w="524" w:type="dxa"/>
          </w:tcPr>
          <w:p w14:paraId="448E0CE8" w14:textId="77777777" w:rsidR="00CB1045" w:rsidRPr="00C8580F" w:rsidRDefault="00CB1045" w:rsidP="00724C04">
            <w:pPr>
              <w:ind w:left="57" w:right="57"/>
              <w:contextualSpacing/>
              <w:rPr>
                <w:sz w:val="26"/>
                <w:szCs w:val="26"/>
                <w:lang w:val="lv-LV"/>
              </w:rPr>
            </w:pPr>
            <w:r w:rsidRPr="00C8580F">
              <w:rPr>
                <w:sz w:val="26"/>
                <w:szCs w:val="26"/>
                <w:lang w:val="lv-LV"/>
              </w:rPr>
              <w:t> 4.</w:t>
            </w:r>
          </w:p>
        </w:tc>
        <w:tc>
          <w:tcPr>
            <w:tcW w:w="3177" w:type="dxa"/>
          </w:tcPr>
          <w:p w14:paraId="1891ECB6" w14:textId="77777777" w:rsidR="00CB1045" w:rsidRPr="00C8580F" w:rsidRDefault="005761CE" w:rsidP="00724C04">
            <w:pPr>
              <w:ind w:left="57" w:right="57"/>
              <w:contextualSpacing/>
              <w:rPr>
                <w:sz w:val="26"/>
                <w:szCs w:val="26"/>
                <w:lang w:val="lv-LV"/>
              </w:rPr>
            </w:pPr>
            <w:r w:rsidRPr="00C8580F">
              <w:rPr>
                <w:sz w:val="26"/>
                <w:szCs w:val="26"/>
                <w:lang w:val="lv-LV"/>
              </w:rPr>
              <w:t>Cita informācija</w:t>
            </w:r>
          </w:p>
        </w:tc>
        <w:tc>
          <w:tcPr>
            <w:tcW w:w="5361" w:type="dxa"/>
          </w:tcPr>
          <w:p w14:paraId="3132C016" w14:textId="3C0101A0" w:rsidR="00A8345D" w:rsidRPr="00C8580F" w:rsidRDefault="005761CE" w:rsidP="004A120F">
            <w:pPr>
              <w:pStyle w:val="naiskr"/>
              <w:spacing w:before="0" w:after="0"/>
              <w:ind w:right="57"/>
              <w:contextualSpacing/>
              <w:jc w:val="both"/>
              <w:rPr>
                <w:sz w:val="26"/>
                <w:szCs w:val="26"/>
              </w:rPr>
            </w:pPr>
            <w:r w:rsidRPr="00C8580F">
              <w:rPr>
                <w:sz w:val="26"/>
                <w:szCs w:val="26"/>
              </w:rPr>
              <w:t>Nav</w:t>
            </w:r>
          </w:p>
        </w:tc>
      </w:tr>
    </w:tbl>
    <w:p w14:paraId="29A041EA" w14:textId="77777777" w:rsidR="00CB1045" w:rsidRDefault="00CB1045" w:rsidP="00724C04">
      <w:pPr>
        <w:ind w:left="57" w:right="57"/>
        <w:contextualSpacing/>
        <w:rPr>
          <w:sz w:val="26"/>
          <w:szCs w:val="26"/>
          <w:lang w:val="lv-LV"/>
        </w:rPr>
      </w:pPr>
    </w:p>
    <w:p w14:paraId="2243B897" w14:textId="77777777" w:rsidR="00A8345D" w:rsidRPr="00C8580F" w:rsidRDefault="00A8345D" w:rsidP="00724C04">
      <w:pPr>
        <w:ind w:left="57" w:right="57"/>
        <w:contextualSpacing/>
        <w:rPr>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C8580F" w14:paraId="10C09675"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C8580F" w:rsidRDefault="00CB1045" w:rsidP="00724C04">
            <w:pPr>
              <w:ind w:left="57" w:right="57"/>
              <w:contextualSpacing/>
              <w:jc w:val="center"/>
              <w:rPr>
                <w:b/>
                <w:sz w:val="26"/>
                <w:szCs w:val="26"/>
                <w:lang w:val="lv-LV"/>
              </w:rPr>
            </w:pPr>
            <w:r w:rsidRPr="00C8580F">
              <w:rPr>
                <w:b/>
                <w:sz w:val="26"/>
                <w:szCs w:val="26"/>
                <w:lang w:val="lv-LV"/>
              </w:rPr>
              <w:t>II. Tiesību akta projekta ietekme uz sabiedrību</w:t>
            </w:r>
            <w:r w:rsidR="005761CE" w:rsidRPr="00C8580F">
              <w:rPr>
                <w:b/>
                <w:sz w:val="26"/>
                <w:szCs w:val="26"/>
                <w:lang w:val="lv-LV"/>
              </w:rPr>
              <w:t xml:space="preserve"> tautsaimniecības attīstību un administratīvo slogu</w:t>
            </w:r>
          </w:p>
        </w:tc>
      </w:tr>
      <w:tr w:rsidR="00CB1045" w:rsidRPr="00C8580F" w14:paraId="77AF2AFE"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4758C1EC" w14:textId="77777777" w:rsidR="00CB1045" w:rsidRPr="00C8580F" w:rsidRDefault="00CB1045" w:rsidP="00724C04">
            <w:pPr>
              <w:ind w:left="57" w:right="57"/>
              <w:contextualSpacing/>
              <w:rPr>
                <w:sz w:val="26"/>
                <w:szCs w:val="26"/>
                <w:lang w:val="lv-LV"/>
              </w:rPr>
            </w:pPr>
            <w:r w:rsidRPr="00C8580F">
              <w:rPr>
                <w:sz w:val="26"/>
                <w:szCs w:val="26"/>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33145626" w14:textId="77777777" w:rsidR="00CB1045" w:rsidRPr="00C8580F" w:rsidRDefault="00CB1045" w:rsidP="00724C04">
            <w:pPr>
              <w:ind w:left="57" w:right="57"/>
              <w:contextualSpacing/>
              <w:rPr>
                <w:sz w:val="26"/>
                <w:szCs w:val="26"/>
                <w:lang w:val="lv-LV"/>
              </w:rPr>
            </w:pPr>
            <w:r w:rsidRPr="00C8580F">
              <w:rPr>
                <w:sz w:val="26"/>
                <w:szCs w:val="26"/>
                <w:lang w:val="lv-LV"/>
              </w:rPr>
              <w:t xml:space="preserve"> Sabiedrības </w:t>
            </w:r>
            <w:proofErr w:type="spellStart"/>
            <w:r w:rsidRPr="00C8580F">
              <w:rPr>
                <w:sz w:val="26"/>
                <w:szCs w:val="26"/>
                <w:lang w:val="lv-LV"/>
              </w:rPr>
              <w:t>mērķgrupa</w:t>
            </w:r>
            <w:r w:rsidR="005761CE" w:rsidRPr="00C8580F">
              <w:rPr>
                <w:sz w:val="26"/>
                <w:szCs w:val="26"/>
                <w:lang w:val="lv-LV"/>
              </w:rPr>
              <w:t>s</w:t>
            </w:r>
            <w:proofErr w:type="spellEnd"/>
            <w:r w:rsidR="005761CE" w:rsidRPr="00C8580F">
              <w:rPr>
                <w:sz w:val="26"/>
                <w:szCs w:val="26"/>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E39BA5C" w14:textId="0DA83756" w:rsidR="00C03E9D" w:rsidRPr="00C8580F" w:rsidRDefault="00665D97" w:rsidP="004A120F">
            <w:pPr>
              <w:ind w:left="57" w:right="57"/>
              <w:contextualSpacing/>
              <w:jc w:val="both"/>
              <w:rPr>
                <w:sz w:val="26"/>
                <w:szCs w:val="26"/>
                <w:lang w:val="lv-LV"/>
              </w:rPr>
            </w:pPr>
            <w:r w:rsidRPr="00C8580F">
              <w:rPr>
                <w:iCs/>
                <w:sz w:val="26"/>
                <w:szCs w:val="26"/>
                <w:lang w:val="lv-LV"/>
              </w:rPr>
              <w:t>Noteikumu projekta r</w:t>
            </w:r>
            <w:r w:rsidR="009C7702" w:rsidRPr="00C8580F">
              <w:rPr>
                <w:iCs/>
                <w:sz w:val="26"/>
                <w:szCs w:val="26"/>
                <w:lang w:val="lv-LV"/>
              </w:rPr>
              <w:t xml:space="preserve">egulējums </w:t>
            </w:r>
            <w:r w:rsidRPr="00C8580F">
              <w:rPr>
                <w:iCs/>
                <w:sz w:val="26"/>
                <w:szCs w:val="26"/>
                <w:lang w:val="lv-LV"/>
              </w:rPr>
              <w:t xml:space="preserve">var ietekmēt jebkuru personu, kura ierosinās un veiks </w:t>
            </w:r>
            <w:r w:rsidR="004B5FE7" w:rsidRPr="00C8580F">
              <w:rPr>
                <w:bCs/>
                <w:color w:val="000000" w:themeColor="text1"/>
                <w:sz w:val="26"/>
                <w:szCs w:val="26"/>
                <w:lang w:val="lv-LV"/>
              </w:rPr>
              <w:t>hidroelektrostaciju hidrotehniskās būves</w:t>
            </w:r>
            <w:r w:rsidR="004B5FE7" w:rsidRPr="00C8580F">
              <w:rPr>
                <w:iCs/>
                <w:sz w:val="26"/>
                <w:szCs w:val="26"/>
                <w:lang w:val="lv-LV"/>
              </w:rPr>
              <w:t xml:space="preserve"> </w:t>
            </w:r>
            <w:r w:rsidRPr="00C8580F">
              <w:rPr>
                <w:iCs/>
                <w:sz w:val="26"/>
                <w:szCs w:val="26"/>
                <w:lang w:val="lv-LV"/>
              </w:rPr>
              <w:t xml:space="preserve">būvniecību, kā arī institūcijas, kuras iesaistītas būvniecības procesā. </w:t>
            </w:r>
          </w:p>
        </w:tc>
      </w:tr>
      <w:tr w:rsidR="00CB1045" w:rsidRPr="00C8580F" w14:paraId="48DFE7B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16114EBB" w14:textId="77777777" w:rsidR="00CB1045" w:rsidRPr="00C8580F" w:rsidRDefault="00CB1045" w:rsidP="00724C04">
            <w:pPr>
              <w:ind w:left="57" w:right="57"/>
              <w:contextualSpacing/>
              <w:rPr>
                <w:sz w:val="26"/>
                <w:szCs w:val="26"/>
                <w:lang w:val="lv-LV"/>
              </w:rPr>
            </w:pPr>
            <w:r w:rsidRPr="00C8580F">
              <w:rPr>
                <w:sz w:val="26"/>
                <w:szCs w:val="26"/>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31062A89" w14:textId="77777777" w:rsidR="00CB1045" w:rsidRPr="00C8580F" w:rsidRDefault="005761CE" w:rsidP="00724C04">
            <w:pPr>
              <w:ind w:left="57" w:right="57"/>
              <w:contextualSpacing/>
              <w:rPr>
                <w:sz w:val="26"/>
                <w:szCs w:val="26"/>
                <w:lang w:val="lv-LV"/>
              </w:rPr>
            </w:pPr>
            <w:r w:rsidRPr="00C8580F">
              <w:rPr>
                <w:sz w:val="26"/>
                <w:szCs w:val="26"/>
                <w:lang w:val="lv-LV"/>
              </w:rPr>
              <w:t>Tiesiskā regulējuma</w:t>
            </w:r>
            <w:r w:rsidR="00CB1045" w:rsidRPr="00C8580F">
              <w:rPr>
                <w:sz w:val="26"/>
                <w:szCs w:val="26"/>
                <w:lang w:val="lv-LV"/>
              </w:rPr>
              <w:t xml:space="preserve"> </w:t>
            </w:r>
            <w:r w:rsidRPr="00C8580F">
              <w:rPr>
                <w:sz w:val="26"/>
                <w:szCs w:val="26"/>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549A9200" w14:textId="095F9A6A" w:rsidR="00C03E9D" w:rsidRPr="00C8580F" w:rsidRDefault="00823F99" w:rsidP="004A120F">
            <w:pPr>
              <w:ind w:right="57"/>
              <w:contextualSpacing/>
              <w:jc w:val="both"/>
              <w:rPr>
                <w:sz w:val="26"/>
                <w:szCs w:val="26"/>
                <w:lang w:val="lv-LV"/>
              </w:rPr>
            </w:pPr>
            <w:r w:rsidRPr="00C8580F">
              <w:rPr>
                <w:sz w:val="26"/>
                <w:szCs w:val="26"/>
                <w:lang w:val="lv-LV"/>
              </w:rPr>
              <w:t>Šīs sadaļas 1.</w:t>
            </w:r>
            <w:r w:rsidR="00A93F52" w:rsidRPr="00C8580F">
              <w:rPr>
                <w:sz w:val="26"/>
                <w:szCs w:val="26"/>
                <w:lang w:val="lv-LV"/>
              </w:rPr>
              <w:t> </w:t>
            </w:r>
            <w:r w:rsidRPr="00C8580F">
              <w:rPr>
                <w:sz w:val="26"/>
                <w:szCs w:val="26"/>
                <w:lang w:val="lv-LV"/>
              </w:rPr>
              <w:t xml:space="preserve">punktā minētajām sabiedrības </w:t>
            </w:r>
            <w:proofErr w:type="spellStart"/>
            <w:r w:rsidRPr="00C8580F">
              <w:rPr>
                <w:sz w:val="26"/>
                <w:szCs w:val="26"/>
                <w:lang w:val="lv-LV"/>
              </w:rPr>
              <w:t>mērķgrupām</w:t>
            </w:r>
            <w:proofErr w:type="spellEnd"/>
            <w:r w:rsidRPr="00C8580F">
              <w:rPr>
                <w:sz w:val="26"/>
                <w:szCs w:val="26"/>
                <w:lang w:val="lv-LV"/>
              </w:rPr>
              <w:t xml:space="preserve"> un institūcijām</w:t>
            </w:r>
            <w:r w:rsidR="001B5B02" w:rsidRPr="00C8580F">
              <w:rPr>
                <w:sz w:val="26"/>
                <w:szCs w:val="26"/>
                <w:lang w:val="lv-LV"/>
              </w:rPr>
              <w:t xml:space="preserve"> projekta tiesiskais regulējums nemaina tiesības </w:t>
            </w:r>
            <w:r w:rsidR="00993D12" w:rsidRPr="00C8580F">
              <w:rPr>
                <w:sz w:val="26"/>
                <w:szCs w:val="26"/>
                <w:lang w:val="lv-LV"/>
              </w:rPr>
              <w:t>un pienākumus, kā arī veicamās darbības</w:t>
            </w:r>
            <w:r w:rsidR="002862C6" w:rsidRPr="00C8580F">
              <w:rPr>
                <w:sz w:val="26"/>
                <w:szCs w:val="26"/>
                <w:lang w:val="lv-LV"/>
              </w:rPr>
              <w:t xml:space="preserve"> salīdzinājumā ar līdzšinējo normatīvo regulējumu</w:t>
            </w:r>
            <w:r w:rsidR="00993D12" w:rsidRPr="00C8580F">
              <w:rPr>
                <w:sz w:val="26"/>
                <w:szCs w:val="26"/>
                <w:lang w:val="lv-LV"/>
              </w:rPr>
              <w:t>.</w:t>
            </w:r>
          </w:p>
        </w:tc>
      </w:tr>
      <w:tr w:rsidR="00CB1045" w:rsidRPr="00C8580F" w14:paraId="1AD4916A"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0C9FA0D" w14:textId="77777777" w:rsidR="00CB1045" w:rsidRPr="00C8580F" w:rsidRDefault="00CB1045" w:rsidP="00724C04">
            <w:pPr>
              <w:ind w:left="57" w:right="57"/>
              <w:contextualSpacing/>
              <w:rPr>
                <w:sz w:val="26"/>
                <w:szCs w:val="26"/>
                <w:lang w:val="lv-LV"/>
              </w:rPr>
            </w:pPr>
            <w:r w:rsidRPr="00C8580F">
              <w:rPr>
                <w:sz w:val="26"/>
                <w:szCs w:val="26"/>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6F8AADFF" w14:textId="77777777" w:rsidR="00CB1045" w:rsidRPr="00C8580F" w:rsidRDefault="005761CE" w:rsidP="00724C04">
            <w:pPr>
              <w:ind w:left="57" w:right="57"/>
              <w:contextualSpacing/>
              <w:rPr>
                <w:sz w:val="26"/>
                <w:szCs w:val="26"/>
                <w:lang w:val="lv-LV"/>
              </w:rPr>
            </w:pPr>
            <w:r w:rsidRPr="00C8580F">
              <w:rPr>
                <w:sz w:val="26"/>
                <w:szCs w:val="26"/>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3641F158" w14:textId="77777777" w:rsidR="00CB1045" w:rsidRPr="00C8580F" w:rsidRDefault="00823F99" w:rsidP="00724C04">
            <w:pPr>
              <w:ind w:left="57" w:right="57"/>
              <w:contextualSpacing/>
              <w:jc w:val="both"/>
              <w:rPr>
                <w:sz w:val="26"/>
                <w:szCs w:val="26"/>
                <w:lang w:val="lv-LV"/>
              </w:rPr>
            </w:pPr>
            <w:r w:rsidRPr="00C8580F">
              <w:rPr>
                <w:sz w:val="26"/>
                <w:szCs w:val="26"/>
                <w:lang w:val="lv-LV"/>
              </w:rPr>
              <w:t>Noteikumu p</w:t>
            </w:r>
            <w:r w:rsidR="00993D12" w:rsidRPr="00C8580F">
              <w:rPr>
                <w:sz w:val="26"/>
                <w:szCs w:val="26"/>
                <w:lang w:val="lv-LV"/>
              </w:rPr>
              <w:t>rojekts šo jomu neskar</w:t>
            </w:r>
          </w:p>
        </w:tc>
      </w:tr>
      <w:tr w:rsidR="00CB1045" w:rsidRPr="00C8580F" w14:paraId="5CB42420"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67DB5E2E" w14:textId="77777777" w:rsidR="00CB1045" w:rsidRPr="00C8580F" w:rsidRDefault="00CB1045" w:rsidP="00724C04">
            <w:pPr>
              <w:ind w:left="57" w:right="57"/>
              <w:contextualSpacing/>
              <w:rPr>
                <w:sz w:val="26"/>
                <w:szCs w:val="26"/>
                <w:lang w:val="lv-LV"/>
              </w:rPr>
            </w:pPr>
            <w:r w:rsidRPr="00C8580F">
              <w:rPr>
                <w:sz w:val="26"/>
                <w:szCs w:val="26"/>
                <w:lang w:val="lv-LV"/>
              </w:rPr>
              <w:t> </w:t>
            </w:r>
            <w:r w:rsidR="00134A1B" w:rsidRPr="00C8580F">
              <w:rPr>
                <w:sz w:val="26"/>
                <w:szCs w:val="26"/>
                <w:lang w:val="lv-LV"/>
              </w:rPr>
              <w:t>4</w:t>
            </w:r>
            <w:r w:rsidRPr="00C8580F">
              <w:rPr>
                <w:sz w:val="26"/>
                <w:szCs w:val="26"/>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65B90045" w14:textId="77777777" w:rsidR="00CB1045" w:rsidRPr="00C8580F" w:rsidRDefault="00CB1045" w:rsidP="00724C04">
            <w:pPr>
              <w:ind w:left="57" w:right="57"/>
              <w:contextualSpacing/>
              <w:rPr>
                <w:sz w:val="26"/>
                <w:szCs w:val="26"/>
                <w:lang w:val="lv-LV"/>
              </w:rPr>
            </w:pPr>
            <w:r w:rsidRPr="00C8580F">
              <w:rPr>
                <w:sz w:val="26"/>
                <w:szCs w:val="26"/>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54C570C" w14:textId="33B38284" w:rsidR="00A8345D" w:rsidRPr="00C8580F" w:rsidRDefault="00823F99" w:rsidP="004A120F">
            <w:pPr>
              <w:ind w:left="57" w:right="57"/>
              <w:contextualSpacing/>
              <w:jc w:val="both"/>
              <w:rPr>
                <w:sz w:val="26"/>
                <w:szCs w:val="26"/>
                <w:lang w:val="lv-LV"/>
              </w:rPr>
            </w:pPr>
            <w:r w:rsidRPr="00C8580F">
              <w:rPr>
                <w:sz w:val="26"/>
                <w:szCs w:val="26"/>
                <w:lang w:val="lv-LV"/>
              </w:rPr>
              <w:t>N</w:t>
            </w:r>
            <w:r w:rsidR="00915E1B" w:rsidRPr="00C8580F">
              <w:rPr>
                <w:sz w:val="26"/>
                <w:szCs w:val="26"/>
                <w:lang w:val="lv-LV"/>
              </w:rPr>
              <w:t>av</w:t>
            </w:r>
          </w:p>
        </w:tc>
      </w:tr>
    </w:tbl>
    <w:p w14:paraId="05DAC562" w14:textId="77777777" w:rsidR="00CB1045" w:rsidRDefault="00CB1045" w:rsidP="00724C04">
      <w:pPr>
        <w:ind w:left="57" w:right="57"/>
        <w:contextualSpacing/>
        <w:rPr>
          <w:sz w:val="26"/>
          <w:szCs w:val="26"/>
          <w:lang w:val="lv-LV"/>
        </w:rPr>
      </w:pPr>
    </w:p>
    <w:p w14:paraId="3C04E14A" w14:textId="77777777" w:rsidR="00A8345D" w:rsidRPr="00C8580F" w:rsidRDefault="00A8345D" w:rsidP="00724C04">
      <w:pPr>
        <w:ind w:left="57" w:right="57"/>
        <w:contextualSpacing/>
        <w:rPr>
          <w:sz w:val="26"/>
          <w:szCs w:val="26"/>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256"/>
        <w:gridCol w:w="5392"/>
      </w:tblGrid>
      <w:tr w:rsidR="00CB1045" w:rsidRPr="00C8580F" w14:paraId="1A01CAED" w14:textId="77777777" w:rsidTr="00B96DF3">
        <w:trPr>
          <w:jc w:val="center"/>
        </w:trPr>
        <w:tc>
          <w:tcPr>
            <w:tcW w:w="9215" w:type="dxa"/>
            <w:gridSpan w:val="3"/>
          </w:tcPr>
          <w:p w14:paraId="34D2E757" w14:textId="77777777" w:rsidR="00CB1045" w:rsidRPr="00C8580F" w:rsidRDefault="00CB1045" w:rsidP="00724C04">
            <w:pPr>
              <w:pStyle w:val="naisnod"/>
              <w:spacing w:before="0" w:after="0"/>
              <w:ind w:left="57" w:right="57"/>
              <w:contextualSpacing/>
              <w:rPr>
                <w:sz w:val="26"/>
                <w:szCs w:val="26"/>
              </w:rPr>
            </w:pPr>
            <w:r w:rsidRPr="00C8580F">
              <w:rPr>
                <w:sz w:val="26"/>
                <w:szCs w:val="26"/>
              </w:rPr>
              <w:t xml:space="preserve">VI. Sabiedrības līdzdalība un </w:t>
            </w:r>
            <w:r w:rsidR="005761CE" w:rsidRPr="00C8580F">
              <w:rPr>
                <w:sz w:val="26"/>
                <w:szCs w:val="26"/>
              </w:rPr>
              <w:t>komunikācijas aktivitātes</w:t>
            </w:r>
          </w:p>
        </w:tc>
      </w:tr>
      <w:tr w:rsidR="00720BD8" w:rsidRPr="00C8580F" w14:paraId="15962D6E" w14:textId="77777777" w:rsidTr="00FF587C">
        <w:trPr>
          <w:trHeight w:val="553"/>
          <w:jc w:val="center"/>
        </w:trPr>
        <w:tc>
          <w:tcPr>
            <w:tcW w:w="567" w:type="dxa"/>
          </w:tcPr>
          <w:p w14:paraId="51D2A32A" w14:textId="77777777" w:rsidR="00720BD8" w:rsidRPr="00C8580F" w:rsidRDefault="00720BD8" w:rsidP="00724C04">
            <w:pPr>
              <w:pStyle w:val="naiskr"/>
              <w:spacing w:before="0" w:after="0"/>
              <w:ind w:left="57" w:right="57"/>
              <w:contextualSpacing/>
              <w:rPr>
                <w:bCs/>
                <w:sz w:val="26"/>
                <w:szCs w:val="26"/>
              </w:rPr>
            </w:pPr>
            <w:r w:rsidRPr="00C8580F">
              <w:rPr>
                <w:bCs/>
                <w:sz w:val="26"/>
                <w:szCs w:val="26"/>
              </w:rPr>
              <w:t>1.</w:t>
            </w:r>
          </w:p>
        </w:tc>
        <w:tc>
          <w:tcPr>
            <w:tcW w:w="3256" w:type="dxa"/>
          </w:tcPr>
          <w:p w14:paraId="18CA5D86" w14:textId="77777777" w:rsidR="00720BD8" w:rsidRPr="00C8580F" w:rsidRDefault="00720BD8" w:rsidP="00724C04">
            <w:pPr>
              <w:pStyle w:val="naiskr"/>
              <w:tabs>
                <w:tab w:val="left" w:pos="170"/>
              </w:tabs>
              <w:spacing w:before="0" w:after="0"/>
              <w:ind w:left="57" w:right="57"/>
              <w:contextualSpacing/>
              <w:rPr>
                <w:sz w:val="26"/>
                <w:szCs w:val="26"/>
              </w:rPr>
            </w:pPr>
            <w:r w:rsidRPr="00C8580F">
              <w:rPr>
                <w:sz w:val="26"/>
                <w:szCs w:val="26"/>
              </w:rPr>
              <w:t>Sabiedrības informēšana par projekta izstrādes uzsākšanu</w:t>
            </w:r>
          </w:p>
        </w:tc>
        <w:tc>
          <w:tcPr>
            <w:tcW w:w="5392" w:type="dxa"/>
          </w:tcPr>
          <w:p w14:paraId="11B52DFE" w14:textId="584474F9" w:rsidR="00720BD8" w:rsidRPr="00C8580F" w:rsidRDefault="00720BD8" w:rsidP="00724C04">
            <w:pPr>
              <w:pStyle w:val="naiskr"/>
              <w:spacing w:before="0" w:after="0"/>
              <w:ind w:left="57" w:right="57"/>
              <w:contextualSpacing/>
              <w:jc w:val="both"/>
              <w:rPr>
                <w:rFonts w:eastAsiaTheme="minorHAnsi"/>
                <w:sz w:val="26"/>
                <w:szCs w:val="26"/>
                <w:lang w:eastAsia="en-US"/>
              </w:rPr>
            </w:pPr>
            <w:r w:rsidRPr="00C8580F">
              <w:rPr>
                <w:sz w:val="26"/>
                <w:szCs w:val="26"/>
                <w:lang w:eastAsia="en-US"/>
              </w:rPr>
              <w:t>Par noteikumu projekta pārstrādi sabiedrība tika informēta Ekonomikas ministrijas rīkotajos semināros par jauno būvniecības regulējumu. Noteikumu projekts sabiedrībai publiski ir pieejams Ekonomikas ministrijas mājās lapā internetā</w:t>
            </w:r>
            <w:r w:rsidR="00884B62" w:rsidRPr="00C8580F">
              <w:rPr>
                <w:sz w:val="26"/>
                <w:szCs w:val="26"/>
                <w:lang w:eastAsia="en-US"/>
              </w:rPr>
              <w:t xml:space="preserve"> </w:t>
            </w:r>
            <w:r w:rsidR="00C03E9D">
              <w:rPr>
                <w:sz w:val="26"/>
                <w:szCs w:val="26"/>
                <w:lang w:eastAsia="en-US"/>
              </w:rPr>
              <w:t>no</w:t>
            </w:r>
            <w:r w:rsidR="00884B62" w:rsidRPr="00C8580F">
              <w:rPr>
                <w:sz w:val="26"/>
                <w:szCs w:val="26"/>
                <w:lang w:eastAsia="en-US"/>
              </w:rPr>
              <w:t xml:space="preserve"> 2015. gada </w:t>
            </w:r>
            <w:r w:rsidR="004B5FE7" w:rsidRPr="00C8580F">
              <w:rPr>
                <w:sz w:val="26"/>
                <w:szCs w:val="26"/>
                <w:lang w:eastAsia="en-US"/>
              </w:rPr>
              <w:t>16.jūnija</w:t>
            </w:r>
            <w:r w:rsidRPr="00C8580F">
              <w:rPr>
                <w:sz w:val="26"/>
                <w:szCs w:val="26"/>
                <w:lang w:eastAsia="en-US"/>
              </w:rPr>
              <w:t>, kā arī pēc izsludināšanas Valsts sekretāra sanāksmē būs pieejams Minist</w:t>
            </w:r>
            <w:r w:rsidR="003B3103" w:rsidRPr="00C8580F">
              <w:rPr>
                <w:sz w:val="26"/>
                <w:szCs w:val="26"/>
                <w:lang w:eastAsia="en-US"/>
              </w:rPr>
              <w:t>ru kabineta mājās lapā interneta vietnē</w:t>
            </w:r>
            <w:r w:rsidRPr="00C8580F">
              <w:rPr>
                <w:sz w:val="26"/>
                <w:szCs w:val="26"/>
                <w:lang w:eastAsia="en-US"/>
              </w:rPr>
              <w:t>.</w:t>
            </w:r>
            <w:r w:rsidR="00B15E28" w:rsidRPr="00C8580F">
              <w:rPr>
                <w:sz w:val="26"/>
                <w:szCs w:val="26"/>
                <w:lang w:eastAsia="en-US"/>
              </w:rPr>
              <w:t xml:space="preserve"> </w:t>
            </w:r>
          </w:p>
          <w:p w14:paraId="26729A4C" w14:textId="08A2C9AA" w:rsidR="00A8345D" w:rsidRPr="00C8580F" w:rsidRDefault="00720BD8" w:rsidP="004A120F">
            <w:pPr>
              <w:pStyle w:val="naiskr"/>
              <w:spacing w:before="0" w:after="0"/>
              <w:ind w:left="57" w:right="57"/>
              <w:contextualSpacing/>
              <w:jc w:val="both"/>
              <w:rPr>
                <w:sz w:val="26"/>
                <w:szCs w:val="26"/>
              </w:rPr>
            </w:pPr>
            <w:r w:rsidRPr="00C8580F">
              <w:rPr>
                <w:sz w:val="26"/>
                <w:szCs w:val="26"/>
                <w:lang w:eastAsia="en-US"/>
              </w:rPr>
              <w:t>Ministru kabineta 2009. gad</w:t>
            </w:r>
            <w:r w:rsidR="00884B62" w:rsidRPr="00C8580F">
              <w:rPr>
                <w:sz w:val="26"/>
                <w:szCs w:val="26"/>
                <w:lang w:eastAsia="en-US"/>
              </w:rPr>
              <w:t>a 25. augusta noteikumu Nr.970 „</w:t>
            </w:r>
            <w:r w:rsidRPr="00C8580F">
              <w:rPr>
                <w:sz w:val="26"/>
                <w:szCs w:val="26"/>
                <w:lang w:eastAsia="en-US"/>
              </w:rPr>
              <w:t>Sabiedrības līdzdalības kārtība attīstības plānošanas procesā” 13. punktā minētās darbības nav jāveic, jo noteikumu projektā paredzētais tiesiskais regulējums nemaina līdzšinējo spēkā esošo regulējumu.</w:t>
            </w:r>
          </w:p>
        </w:tc>
      </w:tr>
      <w:tr w:rsidR="00720BD8" w:rsidRPr="00C8580F" w14:paraId="69F1999F" w14:textId="77777777" w:rsidTr="00FF587C">
        <w:trPr>
          <w:trHeight w:val="339"/>
          <w:jc w:val="center"/>
        </w:trPr>
        <w:tc>
          <w:tcPr>
            <w:tcW w:w="567" w:type="dxa"/>
          </w:tcPr>
          <w:p w14:paraId="3D5983F1" w14:textId="77777777" w:rsidR="00720BD8" w:rsidRPr="00C8580F" w:rsidRDefault="00720BD8" w:rsidP="00724C04">
            <w:pPr>
              <w:pStyle w:val="naiskr"/>
              <w:spacing w:before="0" w:after="0"/>
              <w:ind w:left="57" w:right="57"/>
              <w:contextualSpacing/>
              <w:rPr>
                <w:bCs/>
                <w:sz w:val="26"/>
                <w:szCs w:val="26"/>
              </w:rPr>
            </w:pPr>
            <w:r w:rsidRPr="00C8580F">
              <w:rPr>
                <w:bCs/>
                <w:sz w:val="26"/>
                <w:szCs w:val="26"/>
              </w:rPr>
              <w:lastRenderedPageBreak/>
              <w:t>2.</w:t>
            </w:r>
          </w:p>
        </w:tc>
        <w:tc>
          <w:tcPr>
            <w:tcW w:w="3256" w:type="dxa"/>
          </w:tcPr>
          <w:p w14:paraId="2E278A1F" w14:textId="77777777" w:rsidR="00720BD8" w:rsidRPr="00C8580F" w:rsidRDefault="00720BD8" w:rsidP="00724C04">
            <w:pPr>
              <w:pStyle w:val="naiskr"/>
              <w:spacing w:before="0" w:after="0"/>
              <w:ind w:left="57" w:right="57"/>
              <w:contextualSpacing/>
              <w:rPr>
                <w:sz w:val="26"/>
                <w:szCs w:val="26"/>
              </w:rPr>
            </w:pPr>
            <w:r w:rsidRPr="00C8580F">
              <w:rPr>
                <w:sz w:val="26"/>
                <w:szCs w:val="26"/>
              </w:rPr>
              <w:t xml:space="preserve">Sabiedrības līdzdalība projekta izstrādē </w:t>
            </w:r>
          </w:p>
        </w:tc>
        <w:tc>
          <w:tcPr>
            <w:tcW w:w="5392" w:type="dxa"/>
          </w:tcPr>
          <w:p w14:paraId="3DEA8B5F" w14:textId="681F2BB6" w:rsidR="00C03E9D" w:rsidRPr="00C8580F" w:rsidRDefault="00720BD8" w:rsidP="004A120F">
            <w:pPr>
              <w:pStyle w:val="naiskr"/>
              <w:spacing w:before="0" w:after="0"/>
              <w:ind w:left="57" w:right="57"/>
              <w:contextualSpacing/>
              <w:jc w:val="both"/>
              <w:rPr>
                <w:sz w:val="26"/>
                <w:szCs w:val="26"/>
              </w:rPr>
            </w:pPr>
            <w:r w:rsidRPr="00C8580F">
              <w:rPr>
                <w:sz w:val="26"/>
                <w:szCs w:val="26"/>
                <w:lang w:eastAsia="en-US"/>
              </w:rPr>
              <w:t>Sabiedrības priekšlikumi vai iebildumi nav saņemti.</w:t>
            </w:r>
          </w:p>
        </w:tc>
      </w:tr>
      <w:tr w:rsidR="00720BD8" w:rsidRPr="00C8580F" w14:paraId="13BC26F4" w14:textId="77777777" w:rsidTr="00FF587C">
        <w:trPr>
          <w:trHeight w:val="375"/>
          <w:jc w:val="center"/>
        </w:trPr>
        <w:tc>
          <w:tcPr>
            <w:tcW w:w="567" w:type="dxa"/>
          </w:tcPr>
          <w:p w14:paraId="749F47FE" w14:textId="77777777" w:rsidR="00720BD8" w:rsidRPr="00C8580F" w:rsidRDefault="00720BD8" w:rsidP="00724C04">
            <w:pPr>
              <w:pStyle w:val="naiskr"/>
              <w:spacing w:before="0" w:after="0"/>
              <w:ind w:left="57" w:right="57"/>
              <w:contextualSpacing/>
              <w:rPr>
                <w:bCs/>
                <w:sz w:val="26"/>
                <w:szCs w:val="26"/>
              </w:rPr>
            </w:pPr>
            <w:r w:rsidRPr="00C8580F">
              <w:rPr>
                <w:bCs/>
                <w:sz w:val="26"/>
                <w:szCs w:val="26"/>
              </w:rPr>
              <w:t>3.</w:t>
            </w:r>
          </w:p>
        </w:tc>
        <w:tc>
          <w:tcPr>
            <w:tcW w:w="3256" w:type="dxa"/>
          </w:tcPr>
          <w:p w14:paraId="1D99D64F" w14:textId="77777777" w:rsidR="00720BD8" w:rsidRPr="00C8580F" w:rsidRDefault="00720BD8" w:rsidP="00724C04">
            <w:pPr>
              <w:pStyle w:val="naiskr"/>
              <w:spacing w:before="0" w:after="0"/>
              <w:ind w:left="57" w:right="57"/>
              <w:contextualSpacing/>
              <w:rPr>
                <w:sz w:val="26"/>
                <w:szCs w:val="26"/>
              </w:rPr>
            </w:pPr>
            <w:r w:rsidRPr="00C8580F">
              <w:rPr>
                <w:sz w:val="26"/>
                <w:szCs w:val="26"/>
              </w:rPr>
              <w:t xml:space="preserve">Sabiedrības līdzdalības rezultāti </w:t>
            </w:r>
          </w:p>
        </w:tc>
        <w:tc>
          <w:tcPr>
            <w:tcW w:w="5392" w:type="dxa"/>
          </w:tcPr>
          <w:p w14:paraId="31BF5211" w14:textId="0EDCE4B9" w:rsidR="00C03E9D" w:rsidRPr="00C8580F" w:rsidRDefault="00C03E9D" w:rsidP="004A120F">
            <w:pPr>
              <w:pStyle w:val="naiskr"/>
              <w:spacing w:before="0" w:after="0"/>
              <w:ind w:left="57" w:right="57"/>
              <w:contextualSpacing/>
              <w:jc w:val="both"/>
              <w:rPr>
                <w:sz w:val="26"/>
                <w:szCs w:val="26"/>
              </w:rPr>
            </w:pPr>
            <w:r>
              <w:rPr>
                <w:sz w:val="26"/>
                <w:szCs w:val="26"/>
                <w:lang w:eastAsia="en-US"/>
              </w:rPr>
              <w:t xml:space="preserve">Noteikumu projekts precizēts atbilstoši saņemtajiem atzinumiem un </w:t>
            </w:r>
            <w:proofErr w:type="spellStart"/>
            <w:r>
              <w:rPr>
                <w:sz w:val="26"/>
                <w:szCs w:val="26"/>
                <w:lang w:eastAsia="en-US"/>
              </w:rPr>
              <w:t>starpministriju</w:t>
            </w:r>
            <w:proofErr w:type="spellEnd"/>
            <w:r>
              <w:rPr>
                <w:sz w:val="26"/>
                <w:szCs w:val="26"/>
                <w:lang w:eastAsia="en-US"/>
              </w:rPr>
              <w:t xml:space="preserve"> sanāksmē lemtajam.</w:t>
            </w:r>
          </w:p>
        </w:tc>
      </w:tr>
      <w:tr w:rsidR="00CB1045" w:rsidRPr="00C8580F" w14:paraId="34C35251" w14:textId="77777777" w:rsidTr="00FF587C">
        <w:trPr>
          <w:trHeight w:val="476"/>
          <w:jc w:val="center"/>
        </w:trPr>
        <w:tc>
          <w:tcPr>
            <w:tcW w:w="567" w:type="dxa"/>
          </w:tcPr>
          <w:p w14:paraId="342F0AC6" w14:textId="77777777" w:rsidR="00CB1045" w:rsidRPr="00C8580F" w:rsidRDefault="00134A1B" w:rsidP="00724C04">
            <w:pPr>
              <w:pStyle w:val="naiskr"/>
              <w:spacing w:before="0" w:after="0"/>
              <w:ind w:left="57" w:right="57"/>
              <w:contextualSpacing/>
              <w:rPr>
                <w:bCs/>
                <w:sz w:val="26"/>
                <w:szCs w:val="26"/>
              </w:rPr>
            </w:pPr>
            <w:r w:rsidRPr="00C8580F">
              <w:rPr>
                <w:bCs/>
                <w:sz w:val="26"/>
                <w:szCs w:val="26"/>
              </w:rPr>
              <w:t>4</w:t>
            </w:r>
            <w:r w:rsidR="00CB1045" w:rsidRPr="00C8580F">
              <w:rPr>
                <w:bCs/>
                <w:sz w:val="26"/>
                <w:szCs w:val="26"/>
              </w:rPr>
              <w:t>.</w:t>
            </w:r>
          </w:p>
        </w:tc>
        <w:tc>
          <w:tcPr>
            <w:tcW w:w="3256" w:type="dxa"/>
          </w:tcPr>
          <w:p w14:paraId="0BBD273F" w14:textId="77777777" w:rsidR="00CB1045" w:rsidRPr="00C8580F" w:rsidRDefault="00CB1045" w:rsidP="00724C04">
            <w:pPr>
              <w:pStyle w:val="naiskr"/>
              <w:spacing w:before="0" w:after="0"/>
              <w:ind w:left="57" w:right="57"/>
              <w:contextualSpacing/>
              <w:rPr>
                <w:sz w:val="26"/>
                <w:szCs w:val="26"/>
              </w:rPr>
            </w:pPr>
            <w:r w:rsidRPr="00C8580F">
              <w:rPr>
                <w:sz w:val="26"/>
                <w:szCs w:val="26"/>
              </w:rPr>
              <w:t>Cita informācija</w:t>
            </w:r>
          </w:p>
        </w:tc>
        <w:tc>
          <w:tcPr>
            <w:tcW w:w="5392" w:type="dxa"/>
          </w:tcPr>
          <w:p w14:paraId="72976324" w14:textId="77777777" w:rsidR="00CB1045" w:rsidRPr="00C8580F" w:rsidRDefault="00CB1045" w:rsidP="00724C04">
            <w:pPr>
              <w:pStyle w:val="naiskr"/>
              <w:spacing w:before="0" w:after="0"/>
              <w:ind w:left="57" w:right="57"/>
              <w:contextualSpacing/>
              <w:jc w:val="both"/>
              <w:rPr>
                <w:sz w:val="26"/>
                <w:szCs w:val="26"/>
              </w:rPr>
            </w:pPr>
            <w:r w:rsidRPr="00C8580F">
              <w:rPr>
                <w:sz w:val="26"/>
                <w:szCs w:val="26"/>
              </w:rPr>
              <w:t>Nav</w:t>
            </w:r>
          </w:p>
        </w:tc>
      </w:tr>
    </w:tbl>
    <w:p w14:paraId="21716BF2" w14:textId="25358E12" w:rsidR="00CB1045" w:rsidRPr="00C8580F" w:rsidRDefault="00823F99" w:rsidP="00D56F0B">
      <w:pPr>
        <w:pStyle w:val="naisf"/>
        <w:tabs>
          <w:tab w:val="left" w:pos="6710"/>
        </w:tabs>
        <w:spacing w:before="120" w:after="240"/>
        <w:rPr>
          <w:sz w:val="28"/>
          <w:szCs w:val="28"/>
        </w:rPr>
      </w:pPr>
      <w:r w:rsidRPr="00C8580F">
        <w:rPr>
          <w:sz w:val="28"/>
          <w:szCs w:val="28"/>
        </w:rPr>
        <w:t>Anotācijas III,</w:t>
      </w:r>
      <w:r w:rsidR="00405F26" w:rsidRPr="00C8580F">
        <w:rPr>
          <w:sz w:val="28"/>
          <w:szCs w:val="28"/>
        </w:rPr>
        <w:t xml:space="preserve"> </w:t>
      </w:r>
      <w:r w:rsidR="00CB1045" w:rsidRPr="00C8580F">
        <w:rPr>
          <w:sz w:val="28"/>
          <w:szCs w:val="28"/>
        </w:rPr>
        <w:t>IV</w:t>
      </w:r>
      <w:r w:rsidR="00F376A5" w:rsidRPr="00C8580F">
        <w:rPr>
          <w:sz w:val="28"/>
          <w:szCs w:val="28"/>
        </w:rPr>
        <w:t>, V</w:t>
      </w:r>
      <w:r w:rsidRPr="00C8580F">
        <w:rPr>
          <w:sz w:val="28"/>
          <w:szCs w:val="28"/>
        </w:rPr>
        <w:t xml:space="preserve"> un V</w:t>
      </w:r>
      <w:r w:rsidR="00F376A5" w:rsidRPr="00C8580F">
        <w:rPr>
          <w:sz w:val="28"/>
          <w:szCs w:val="28"/>
        </w:rPr>
        <w:t>II</w:t>
      </w:r>
      <w:r w:rsidR="00CB1045" w:rsidRPr="00C8580F">
        <w:rPr>
          <w:sz w:val="28"/>
          <w:szCs w:val="28"/>
        </w:rPr>
        <w:t xml:space="preserve"> sadaļa</w:t>
      </w:r>
      <w:r w:rsidR="00724C04" w:rsidRPr="00C8580F">
        <w:rPr>
          <w:sz w:val="28"/>
          <w:szCs w:val="28"/>
        </w:rPr>
        <w:t> – </w:t>
      </w:r>
      <w:r w:rsidR="00CB1045" w:rsidRPr="00C8580F">
        <w:rPr>
          <w:sz w:val="28"/>
          <w:szCs w:val="28"/>
        </w:rPr>
        <w:t>projekts</w:t>
      </w:r>
      <w:r w:rsidR="00724C04" w:rsidRPr="00C8580F">
        <w:rPr>
          <w:sz w:val="28"/>
          <w:szCs w:val="28"/>
        </w:rPr>
        <w:t xml:space="preserve"> </w:t>
      </w:r>
      <w:r w:rsidR="00CB1045" w:rsidRPr="00C8580F">
        <w:rPr>
          <w:sz w:val="28"/>
          <w:szCs w:val="28"/>
        </w:rPr>
        <w:t>šīs jomas neskar.</w:t>
      </w:r>
    </w:p>
    <w:p w14:paraId="1746E202" w14:textId="77777777" w:rsidR="009D73EF" w:rsidRDefault="009D73EF" w:rsidP="00EF722B">
      <w:pPr>
        <w:jc w:val="both"/>
        <w:rPr>
          <w:sz w:val="28"/>
          <w:szCs w:val="28"/>
          <w:lang w:val="lv-LV"/>
        </w:rPr>
      </w:pPr>
    </w:p>
    <w:p w14:paraId="5CE779AB" w14:textId="77777777" w:rsidR="00C03E9D" w:rsidRPr="00C8580F" w:rsidRDefault="00C03E9D" w:rsidP="00EF722B">
      <w:pPr>
        <w:jc w:val="both"/>
        <w:rPr>
          <w:sz w:val="28"/>
          <w:szCs w:val="28"/>
          <w:lang w:val="lv-LV"/>
        </w:rPr>
      </w:pPr>
    </w:p>
    <w:p w14:paraId="155917F5" w14:textId="77777777" w:rsidR="00EF722B" w:rsidRPr="00C8580F" w:rsidRDefault="00EF722B" w:rsidP="00EF722B">
      <w:pPr>
        <w:jc w:val="both"/>
        <w:rPr>
          <w:sz w:val="28"/>
          <w:szCs w:val="28"/>
          <w:lang w:val="lv-LV"/>
        </w:rPr>
      </w:pPr>
      <w:r w:rsidRPr="00C8580F">
        <w:rPr>
          <w:sz w:val="28"/>
          <w:szCs w:val="28"/>
          <w:lang w:val="lv-LV"/>
        </w:rPr>
        <w:t>Ekonomikas ministre</w:t>
      </w:r>
      <w:r w:rsidRPr="00C8580F">
        <w:rPr>
          <w:bCs/>
          <w:sz w:val="28"/>
          <w:szCs w:val="28"/>
          <w:lang w:val="lv-LV"/>
        </w:rPr>
        <w:tab/>
      </w:r>
      <w:r w:rsidRPr="00C8580F">
        <w:rPr>
          <w:bCs/>
          <w:sz w:val="28"/>
          <w:szCs w:val="28"/>
          <w:lang w:val="lv-LV"/>
        </w:rPr>
        <w:tab/>
      </w:r>
      <w:r w:rsidRPr="00C8580F">
        <w:rPr>
          <w:bCs/>
          <w:sz w:val="28"/>
          <w:szCs w:val="28"/>
          <w:lang w:val="lv-LV"/>
        </w:rPr>
        <w:tab/>
      </w:r>
      <w:r w:rsidRPr="00C8580F">
        <w:rPr>
          <w:bCs/>
          <w:sz w:val="28"/>
          <w:szCs w:val="28"/>
          <w:lang w:val="lv-LV"/>
        </w:rPr>
        <w:tab/>
      </w:r>
      <w:r w:rsidRPr="00C8580F">
        <w:rPr>
          <w:bCs/>
          <w:sz w:val="28"/>
          <w:szCs w:val="28"/>
          <w:lang w:val="lv-LV"/>
        </w:rPr>
        <w:tab/>
      </w:r>
      <w:r w:rsidRPr="00C8580F">
        <w:rPr>
          <w:bCs/>
          <w:sz w:val="28"/>
          <w:szCs w:val="28"/>
          <w:lang w:val="lv-LV"/>
        </w:rPr>
        <w:tab/>
      </w:r>
      <w:r w:rsidRPr="00C8580F">
        <w:rPr>
          <w:sz w:val="28"/>
          <w:szCs w:val="28"/>
          <w:lang w:val="lv-LV"/>
        </w:rPr>
        <w:t>D. Reizniece-Ozola</w:t>
      </w:r>
    </w:p>
    <w:p w14:paraId="05AE1AFC" w14:textId="77777777" w:rsidR="009D73EF" w:rsidRDefault="009D73EF" w:rsidP="00EF722B">
      <w:pPr>
        <w:jc w:val="both"/>
        <w:rPr>
          <w:bCs/>
          <w:sz w:val="28"/>
          <w:szCs w:val="28"/>
          <w:lang w:val="lv-LV"/>
        </w:rPr>
      </w:pPr>
    </w:p>
    <w:p w14:paraId="373370C2" w14:textId="77777777" w:rsidR="00C03E9D" w:rsidRPr="00C8580F" w:rsidRDefault="00C03E9D" w:rsidP="00EF722B">
      <w:pPr>
        <w:jc w:val="both"/>
        <w:rPr>
          <w:bCs/>
          <w:sz w:val="28"/>
          <w:szCs w:val="28"/>
          <w:lang w:val="lv-LV"/>
        </w:rPr>
      </w:pPr>
    </w:p>
    <w:p w14:paraId="034DF889" w14:textId="77777777" w:rsidR="00EF722B" w:rsidRPr="00C8580F" w:rsidRDefault="00EF722B" w:rsidP="00EF722B">
      <w:pPr>
        <w:jc w:val="both"/>
        <w:rPr>
          <w:bCs/>
          <w:sz w:val="28"/>
          <w:szCs w:val="28"/>
          <w:lang w:val="lv-LV"/>
        </w:rPr>
      </w:pPr>
      <w:r w:rsidRPr="00C8580F">
        <w:rPr>
          <w:bCs/>
          <w:sz w:val="28"/>
          <w:szCs w:val="28"/>
          <w:lang w:val="lv-LV"/>
        </w:rPr>
        <w:t>Vīza:</w:t>
      </w:r>
    </w:p>
    <w:p w14:paraId="6297B8B7" w14:textId="5CA27A07" w:rsidR="00083FEE" w:rsidRPr="00C8580F" w:rsidRDefault="0079159C" w:rsidP="00083FEE">
      <w:pPr>
        <w:contextualSpacing/>
        <w:rPr>
          <w:sz w:val="28"/>
          <w:szCs w:val="28"/>
          <w:lang w:val="lv-LV"/>
        </w:rPr>
      </w:pPr>
      <w:r w:rsidRPr="00C8580F">
        <w:rPr>
          <w:sz w:val="28"/>
          <w:szCs w:val="28"/>
          <w:lang w:val="lv-LV"/>
        </w:rPr>
        <w:t>Valsts sekretārs</w:t>
      </w:r>
      <w:r w:rsidRPr="00C8580F">
        <w:rPr>
          <w:sz w:val="28"/>
          <w:szCs w:val="28"/>
          <w:lang w:val="lv-LV"/>
        </w:rPr>
        <w:tab/>
      </w:r>
      <w:r w:rsidRPr="00C8580F">
        <w:rPr>
          <w:sz w:val="28"/>
          <w:szCs w:val="28"/>
          <w:lang w:val="lv-LV"/>
        </w:rPr>
        <w:tab/>
      </w:r>
      <w:r w:rsidRPr="00C8580F">
        <w:rPr>
          <w:sz w:val="28"/>
          <w:szCs w:val="28"/>
          <w:lang w:val="lv-LV"/>
        </w:rPr>
        <w:tab/>
      </w:r>
      <w:r w:rsidRPr="00C8580F">
        <w:rPr>
          <w:sz w:val="28"/>
          <w:szCs w:val="28"/>
          <w:lang w:val="lv-LV"/>
        </w:rPr>
        <w:tab/>
      </w:r>
      <w:r w:rsidRPr="00C8580F">
        <w:rPr>
          <w:sz w:val="28"/>
          <w:szCs w:val="28"/>
          <w:lang w:val="lv-LV"/>
        </w:rPr>
        <w:tab/>
      </w:r>
      <w:r w:rsidRPr="00C8580F">
        <w:rPr>
          <w:sz w:val="28"/>
          <w:szCs w:val="28"/>
          <w:lang w:val="lv-LV"/>
        </w:rPr>
        <w:tab/>
      </w:r>
      <w:r w:rsidRPr="00C8580F">
        <w:rPr>
          <w:sz w:val="28"/>
          <w:szCs w:val="28"/>
          <w:lang w:val="lv-LV"/>
        </w:rPr>
        <w:tab/>
        <w:t xml:space="preserve">R. </w:t>
      </w:r>
      <w:proofErr w:type="spellStart"/>
      <w:r w:rsidRPr="00C8580F">
        <w:rPr>
          <w:sz w:val="28"/>
          <w:szCs w:val="28"/>
          <w:lang w:val="lv-LV"/>
        </w:rPr>
        <w:t>Beinarovičs</w:t>
      </w:r>
      <w:proofErr w:type="spellEnd"/>
    </w:p>
    <w:p w14:paraId="4B79A1EF" w14:textId="77777777" w:rsidR="00C03E9D" w:rsidRDefault="00C03E9D" w:rsidP="00083FEE">
      <w:pPr>
        <w:jc w:val="both"/>
        <w:rPr>
          <w:sz w:val="28"/>
          <w:szCs w:val="28"/>
          <w:lang w:val="lv-LV"/>
        </w:rPr>
      </w:pPr>
    </w:p>
    <w:p w14:paraId="14463767" w14:textId="77777777" w:rsidR="00C03E9D" w:rsidRDefault="00C03E9D" w:rsidP="00083FEE">
      <w:pPr>
        <w:jc w:val="both"/>
        <w:rPr>
          <w:sz w:val="28"/>
          <w:szCs w:val="28"/>
          <w:lang w:val="lv-LV"/>
        </w:rPr>
      </w:pPr>
    </w:p>
    <w:p w14:paraId="64C81B45" w14:textId="77777777" w:rsidR="00C03E9D" w:rsidRDefault="00C03E9D" w:rsidP="00083FEE">
      <w:pPr>
        <w:jc w:val="both"/>
        <w:rPr>
          <w:sz w:val="28"/>
          <w:szCs w:val="28"/>
          <w:lang w:val="lv-LV"/>
        </w:rPr>
      </w:pPr>
    </w:p>
    <w:p w14:paraId="6BCB1063" w14:textId="77777777" w:rsidR="00C03E9D" w:rsidRDefault="00C03E9D" w:rsidP="00083FEE">
      <w:pPr>
        <w:jc w:val="both"/>
        <w:rPr>
          <w:sz w:val="28"/>
          <w:szCs w:val="28"/>
          <w:lang w:val="lv-LV"/>
        </w:rPr>
      </w:pPr>
    </w:p>
    <w:p w14:paraId="68409C80" w14:textId="77777777" w:rsidR="00C03E9D" w:rsidRDefault="00C03E9D" w:rsidP="00083FEE">
      <w:pPr>
        <w:jc w:val="both"/>
        <w:rPr>
          <w:sz w:val="28"/>
          <w:szCs w:val="28"/>
          <w:lang w:val="lv-LV"/>
        </w:rPr>
      </w:pPr>
    </w:p>
    <w:p w14:paraId="11C0C221" w14:textId="77777777" w:rsidR="00C03E9D" w:rsidRDefault="00C03E9D" w:rsidP="00083FEE">
      <w:pPr>
        <w:jc w:val="both"/>
        <w:rPr>
          <w:sz w:val="28"/>
          <w:szCs w:val="28"/>
          <w:lang w:val="lv-LV"/>
        </w:rPr>
      </w:pPr>
    </w:p>
    <w:p w14:paraId="2AE4277C" w14:textId="77777777" w:rsidR="00C03E9D" w:rsidRDefault="00C03E9D" w:rsidP="00083FEE">
      <w:pPr>
        <w:jc w:val="both"/>
        <w:rPr>
          <w:sz w:val="28"/>
          <w:szCs w:val="28"/>
          <w:lang w:val="lv-LV"/>
        </w:rPr>
      </w:pPr>
    </w:p>
    <w:p w14:paraId="0DCB7C11" w14:textId="77777777" w:rsidR="00C03E9D" w:rsidRDefault="00C03E9D" w:rsidP="00083FEE">
      <w:pPr>
        <w:jc w:val="both"/>
        <w:rPr>
          <w:sz w:val="28"/>
          <w:szCs w:val="28"/>
          <w:lang w:val="lv-LV"/>
        </w:rPr>
      </w:pPr>
    </w:p>
    <w:p w14:paraId="52635E9C" w14:textId="77777777" w:rsidR="00C03E9D" w:rsidRDefault="00C03E9D" w:rsidP="00083FEE">
      <w:pPr>
        <w:jc w:val="both"/>
        <w:rPr>
          <w:sz w:val="28"/>
          <w:szCs w:val="28"/>
          <w:lang w:val="lv-LV"/>
        </w:rPr>
      </w:pPr>
    </w:p>
    <w:p w14:paraId="4931569F" w14:textId="77777777" w:rsidR="00C03E9D" w:rsidRDefault="00C03E9D" w:rsidP="00083FEE">
      <w:pPr>
        <w:jc w:val="both"/>
        <w:rPr>
          <w:sz w:val="28"/>
          <w:szCs w:val="28"/>
          <w:lang w:val="lv-LV"/>
        </w:rPr>
      </w:pPr>
    </w:p>
    <w:p w14:paraId="04D4E456" w14:textId="77777777" w:rsidR="00C03E9D" w:rsidRDefault="00C03E9D" w:rsidP="00083FEE">
      <w:pPr>
        <w:jc w:val="both"/>
        <w:rPr>
          <w:sz w:val="28"/>
          <w:szCs w:val="28"/>
          <w:lang w:val="lv-LV"/>
        </w:rPr>
      </w:pPr>
    </w:p>
    <w:p w14:paraId="76487129" w14:textId="77777777" w:rsidR="00C03E9D" w:rsidRDefault="00C03E9D" w:rsidP="00083FEE">
      <w:pPr>
        <w:jc w:val="both"/>
        <w:rPr>
          <w:sz w:val="28"/>
          <w:szCs w:val="28"/>
          <w:lang w:val="lv-LV"/>
        </w:rPr>
      </w:pPr>
    </w:p>
    <w:p w14:paraId="61446214" w14:textId="1FEAE14F" w:rsidR="00EF722B" w:rsidRPr="00C8580F" w:rsidRDefault="00EF722B" w:rsidP="00083FEE">
      <w:pPr>
        <w:jc w:val="both"/>
        <w:rPr>
          <w:sz w:val="28"/>
          <w:szCs w:val="28"/>
          <w:lang w:val="lv-LV"/>
        </w:rPr>
      </w:pPr>
      <w:r w:rsidRPr="00C8580F">
        <w:rPr>
          <w:sz w:val="28"/>
          <w:szCs w:val="28"/>
          <w:lang w:val="lv-LV"/>
        </w:rPr>
        <w:tab/>
      </w:r>
      <w:r w:rsidR="002C7656" w:rsidRPr="00C8580F">
        <w:rPr>
          <w:sz w:val="28"/>
          <w:szCs w:val="28"/>
          <w:lang w:val="lv-LV"/>
        </w:rPr>
        <w:tab/>
      </w:r>
      <w:r w:rsidR="002C7656" w:rsidRPr="00C8580F">
        <w:rPr>
          <w:sz w:val="28"/>
          <w:szCs w:val="28"/>
          <w:lang w:val="lv-LV"/>
        </w:rPr>
        <w:tab/>
      </w:r>
      <w:r w:rsidR="002C7656" w:rsidRPr="00C8580F">
        <w:rPr>
          <w:sz w:val="28"/>
          <w:szCs w:val="28"/>
          <w:lang w:val="lv-LV"/>
        </w:rPr>
        <w:tab/>
      </w:r>
    </w:p>
    <w:p w14:paraId="3EF19447" w14:textId="77777777" w:rsidR="00EF722B" w:rsidRPr="00C8580F" w:rsidRDefault="00EF722B" w:rsidP="00EF722B">
      <w:pPr>
        <w:rPr>
          <w:szCs w:val="28"/>
          <w:lang w:val="lv-LV"/>
        </w:rPr>
      </w:pPr>
    </w:p>
    <w:p w14:paraId="54D22DA0" w14:textId="572CF7DA" w:rsidR="00EF722B" w:rsidRPr="00C8580F" w:rsidRDefault="00EF722B" w:rsidP="00EF722B">
      <w:pPr>
        <w:rPr>
          <w:sz w:val="20"/>
          <w:lang w:val="lv-LV"/>
        </w:rPr>
      </w:pPr>
      <w:r w:rsidRPr="00C8580F">
        <w:rPr>
          <w:sz w:val="20"/>
          <w:lang w:val="lv-LV"/>
        </w:rPr>
        <w:fldChar w:fldCharType="begin"/>
      </w:r>
      <w:r w:rsidRPr="00C8580F">
        <w:rPr>
          <w:sz w:val="20"/>
          <w:lang w:val="lv-LV"/>
        </w:rPr>
        <w:instrText xml:space="preserve"> DATE  \@ "dd.MM.yyyy HH:mm"  \* MERGEFORMAT </w:instrText>
      </w:r>
      <w:r w:rsidRPr="00C8580F">
        <w:rPr>
          <w:sz w:val="20"/>
          <w:lang w:val="lv-LV"/>
        </w:rPr>
        <w:fldChar w:fldCharType="separate"/>
      </w:r>
      <w:r w:rsidR="00C90366">
        <w:rPr>
          <w:noProof/>
          <w:sz w:val="20"/>
          <w:lang w:val="lv-LV"/>
        </w:rPr>
        <w:t>31.07.2015 10:54</w:t>
      </w:r>
      <w:r w:rsidRPr="00C8580F">
        <w:rPr>
          <w:sz w:val="20"/>
          <w:lang w:val="lv-LV"/>
        </w:rPr>
        <w:fldChar w:fldCharType="end"/>
      </w:r>
    </w:p>
    <w:p w14:paraId="1E2D380E" w14:textId="77777777" w:rsidR="00EF722B" w:rsidRPr="00C8580F" w:rsidRDefault="00EF722B" w:rsidP="00EF722B">
      <w:pPr>
        <w:rPr>
          <w:noProof/>
          <w:sz w:val="20"/>
          <w:lang w:val="lv-LV"/>
        </w:rPr>
      </w:pPr>
      <w:r w:rsidRPr="00C8580F">
        <w:rPr>
          <w:sz w:val="20"/>
          <w:lang w:val="lv-LV"/>
        </w:rPr>
        <w:fldChar w:fldCharType="begin"/>
      </w:r>
      <w:r w:rsidRPr="00C8580F">
        <w:rPr>
          <w:sz w:val="20"/>
          <w:lang w:val="lv-LV"/>
        </w:rPr>
        <w:instrText xml:space="preserve"> NUMWORDS   \* MERGEFORMAT </w:instrText>
      </w:r>
      <w:r w:rsidRPr="00C8580F">
        <w:rPr>
          <w:sz w:val="20"/>
          <w:lang w:val="lv-LV"/>
        </w:rPr>
        <w:fldChar w:fldCharType="separate"/>
      </w:r>
      <w:r w:rsidR="00F0348C">
        <w:rPr>
          <w:noProof/>
          <w:sz w:val="20"/>
          <w:lang w:val="lv-LV"/>
        </w:rPr>
        <w:t>772</w:t>
      </w:r>
      <w:r w:rsidRPr="00C8580F">
        <w:rPr>
          <w:noProof/>
          <w:sz w:val="20"/>
          <w:lang w:val="lv-LV"/>
        </w:rPr>
        <w:fldChar w:fldCharType="end"/>
      </w:r>
    </w:p>
    <w:p w14:paraId="3E3E2BD4" w14:textId="64DBB211" w:rsidR="00416A6F" w:rsidRPr="00C8580F" w:rsidRDefault="00416A6F" w:rsidP="00EF722B">
      <w:pPr>
        <w:rPr>
          <w:sz w:val="20"/>
          <w:lang w:val="lv-LV"/>
        </w:rPr>
      </w:pPr>
      <w:r w:rsidRPr="00C8580F">
        <w:rPr>
          <w:sz w:val="20"/>
          <w:lang w:val="lv-LV"/>
        </w:rPr>
        <w:t>Vīksna, 67013140</w:t>
      </w:r>
    </w:p>
    <w:p w14:paraId="2F943C57" w14:textId="5B4B158F" w:rsidR="00416A6F" w:rsidRPr="00C8580F" w:rsidRDefault="00416A6F" w:rsidP="00EF722B">
      <w:pPr>
        <w:rPr>
          <w:sz w:val="20"/>
          <w:lang w:val="lv-LV"/>
        </w:rPr>
      </w:pPr>
      <w:r w:rsidRPr="00C8580F">
        <w:rPr>
          <w:sz w:val="20"/>
          <w:lang w:val="lv-LV"/>
        </w:rPr>
        <w:t>Marija.Viksna@em.gov.lv</w:t>
      </w:r>
      <w:bookmarkStart w:id="7" w:name="_GoBack"/>
      <w:bookmarkEnd w:id="7"/>
    </w:p>
    <w:sectPr w:rsidR="00416A6F" w:rsidRPr="00C8580F"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A8E29" w14:textId="77777777" w:rsidR="006A4E4F" w:rsidRDefault="006A4E4F" w:rsidP="00D67C5B">
      <w:r>
        <w:separator/>
      </w:r>
    </w:p>
  </w:endnote>
  <w:endnote w:type="continuationSeparator" w:id="0">
    <w:p w14:paraId="7400CA4D" w14:textId="77777777" w:rsidR="006A4E4F" w:rsidRDefault="006A4E4F"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C111" w14:textId="77777777" w:rsidR="00C03E9D" w:rsidRPr="00C03E9D" w:rsidRDefault="00C03E9D" w:rsidP="00C03E9D">
    <w:pPr>
      <w:jc w:val="both"/>
      <w:rPr>
        <w:sz w:val="20"/>
        <w:lang w:val="lv-LV"/>
      </w:rPr>
    </w:pPr>
    <w:r w:rsidRPr="00C03E9D">
      <w:rPr>
        <w:sz w:val="20"/>
        <w:lang w:val="lv-LV"/>
      </w:rPr>
      <w:fldChar w:fldCharType="begin"/>
    </w:r>
    <w:r w:rsidRPr="00C03E9D">
      <w:rPr>
        <w:sz w:val="20"/>
        <w:lang w:val="lv-LV"/>
      </w:rPr>
      <w:instrText xml:space="preserve"> FILENAME   \* MERGEFORMAT </w:instrText>
    </w:r>
    <w:r w:rsidRPr="00C03E9D">
      <w:rPr>
        <w:sz w:val="20"/>
        <w:lang w:val="lv-LV"/>
      </w:rPr>
      <w:fldChar w:fldCharType="separate"/>
    </w:r>
    <w:r w:rsidR="00F0348C">
      <w:rPr>
        <w:noProof/>
        <w:sz w:val="20"/>
        <w:lang w:val="lv-LV"/>
      </w:rPr>
      <w:t>EManot_310715_LBN229</w:t>
    </w:r>
    <w:r w:rsidRPr="00C03E9D">
      <w:rPr>
        <w:noProof/>
        <w:sz w:val="20"/>
        <w:lang w:val="lv-LV"/>
      </w:rPr>
      <w:fldChar w:fldCharType="end"/>
    </w:r>
    <w:r w:rsidRPr="00C03E9D">
      <w:rPr>
        <w:sz w:val="20"/>
        <w:lang w:val="lv-LV"/>
      </w:rPr>
      <w:t xml:space="preserve">; Ministru kabineta noteikumu projekta „Noteikumi par Latvijas būvnormatīvu LBN 229-15 </w:t>
    </w:r>
    <w:r w:rsidRPr="00C03E9D">
      <w:rPr>
        <w:bCs/>
        <w:color w:val="000000" w:themeColor="text1"/>
        <w:sz w:val="20"/>
        <w:lang w:val="lv-LV"/>
      </w:rPr>
      <w:t>„A klases hidroelektrostaciju hidrotehniskās būves</w:t>
    </w:r>
    <w:r w:rsidRPr="00C03E9D">
      <w:rPr>
        <w:rFonts w:eastAsia="SimSun"/>
        <w:sz w:val="20"/>
        <w:lang w:val="lv-LV" w:eastAsia="zh-CN"/>
      </w:rPr>
      <w:t>”</w:t>
    </w:r>
    <w:r w:rsidRPr="00C03E9D">
      <w:rPr>
        <w:sz w:val="20"/>
        <w:lang w:val="lv-LV"/>
      </w:rPr>
      <w:t xml:space="preserve">” sākotnējās ietekmes novērtējuma </w:t>
    </w:r>
    <w:smartTag w:uri="schemas-tilde-lv/tildestengine" w:element="veidnes">
      <w:smartTagPr>
        <w:attr w:name="id" w:val="-1"/>
        <w:attr w:name="baseform" w:val="ziņojums"/>
        <w:attr w:name="text" w:val="ziņojums"/>
      </w:smartTagPr>
      <w:r w:rsidRPr="00C03E9D">
        <w:rPr>
          <w:sz w:val="20"/>
          <w:lang w:val="lv-LV"/>
        </w:rPr>
        <w:t>ziņojums</w:t>
      </w:r>
    </w:smartTag>
    <w:r w:rsidRPr="00C03E9D">
      <w:rPr>
        <w:sz w:val="20"/>
        <w:lang w:val="lv-LV"/>
      </w:rPr>
      <w:t xml:space="preserve"> (</w:t>
    </w:r>
    <w:r w:rsidRPr="00C03E9D">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196CCB3A" w:rsidR="00727BC6" w:rsidRPr="00C03E9D" w:rsidRDefault="00C506A5" w:rsidP="00EE3404">
    <w:pPr>
      <w:jc w:val="both"/>
      <w:rPr>
        <w:sz w:val="20"/>
        <w:lang w:val="lv-LV"/>
      </w:rPr>
    </w:pPr>
    <w:r w:rsidRPr="00C03E9D">
      <w:rPr>
        <w:sz w:val="20"/>
        <w:lang w:val="lv-LV"/>
      </w:rPr>
      <w:fldChar w:fldCharType="begin"/>
    </w:r>
    <w:r w:rsidRPr="00C03E9D">
      <w:rPr>
        <w:sz w:val="20"/>
        <w:lang w:val="lv-LV"/>
      </w:rPr>
      <w:instrText xml:space="preserve"> FILENAME   \* MERGEFORMAT </w:instrText>
    </w:r>
    <w:r w:rsidRPr="00C03E9D">
      <w:rPr>
        <w:sz w:val="20"/>
        <w:lang w:val="lv-LV"/>
      </w:rPr>
      <w:fldChar w:fldCharType="separate"/>
    </w:r>
    <w:r w:rsidR="00F0348C">
      <w:rPr>
        <w:noProof/>
        <w:sz w:val="20"/>
        <w:lang w:val="lv-LV"/>
      </w:rPr>
      <w:t>EManot_310715_LBN229</w:t>
    </w:r>
    <w:r w:rsidRPr="00C03E9D">
      <w:rPr>
        <w:noProof/>
        <w:sz w:val="20"/>
        <w:lang w:val="lv-LV"/>
      </w:rPr>
      <w:fldChar w:fldCharType="end"/>
    </w:r>
    <w:r w:rsidR="00397953" w:rsidRPr="00C03E9D">
      <w:rPr>
        <w:sz w:val="20"/>
        <w:lang w:val="lv-LV"/>
      </w:rPr>
      <w:t xml:space="preserve">; </w:t>
    </w:r>
    <w:r w:rsidR="00A432F8" w:rsidRPr="00C03E9D">
      <w:rPr>
        <w:sz w:val="20"/>
        <w:lang w:val="lv-LV"/>
      </w:rPr>
      <w:t xml:space="preserve">Ministru kabineta noteikumu projekta „Noteikumi par Latvijas būvnormatīvu LBN 229-15 </w:t>
    </w:r>
    <w:r w:rsidR="00A432F8" w:rsidRPr="00C03E9D">
      <w:rPr>
        <w:bCs/>
        <w:color w:val="000000" w:themeColor="text1"/>
        <w:sz w:val="20"/>
        <w:lang w:val="lv-LV"/>
      </w:rPr>
      <w:t>„</w:t>
    </w:r>
    <w:r w:rsidR="00416A6F" w:rsidRPr="00C03E9D">
      <w:rPr>
        <w:bCs/>
        <w:color w:val="000000" w:themeColor="text1"/>
        <w:sz w:val="20"/>
        <w:lang w:val="lv-LV"/>
      </w:rPr>
      <w:t>A klases h</w:t>
    </w:r>
    <w:r w:rsidR="00A432F8" w:rsidRPr="00C03E9D">
      <w:rPr>
        <w:bCs/>
        <w:color w:val="000000" w:themeColor="text1"/>
        <w:sz w:val="20"/>
        <w:lang w:val="lv-LV"/>
      </w:rPr>
      <w:t>idroelektrostaciju hidrotehniskās būves</w:t>
    </w:r>
    <w:r w:rsidR="00A432F8" w:rsidRPr="00C03E9D">
      <w:rPr>
        <w:rFonts w:eastAsia="SimSun"/>
        <w:sz w:val="20"/>
        <w:lang w:val="lv-LV" w:eastAsia="zh-CN"/>
      </w:rPr>
      <w:t>”</w:t>
    </w:r>
    <w:r w:rsidR="00A432F8" w:rsidRPr="00C03E9D">
      <w:rPr>
        <w:sz w:val="20"/>
        <w:lang w:val="lv-LV"/>
      </w:rPr>
      <w:t xml:space="preserve">” sākotnējās ietekmes novērtējuma </w:t>
    </w:r>
    <w:smartTag w:uri="schemas-tilde-lv/tildestengine" w:element="veidnes">
      <w:smartTagPr>
        <w:attr w:name="id" w:val="-1"/>
        <w:attr w:name="baseform" w:val="ziņojums"/>
        <w:attr w:name="text" w:val="ziņojums"/>
      </w:smartTagPr>
      <w:r w:rsidR="00A432F8" w:rsidRPr="00C03E9D">
        <w:rPr>
          <w:sz w:val="20"/>
          <w:lang w:val="lv-LV"/>
        </w:rPr>
        <w:t>ziņojums</w:t>
      </w:r>
    </w:smartTag>
    <w:r w:rsidR="00A432F8" w:rsidRPr="00C03E9D">
      <w:rPr>
        <w:sz w:val="20"/>
        <w:lang w:val="lv-LV"/>
      </w:rPr>
      <w:t xml:space="preserve"> (</w:t>
    </w:r>
    <w:r w:rsidR="00A432F8" w:rsidRPr="00C03E9D">
      <w:rPr>
        <w:bCs/>
        <w:sz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DDF1" w14:textId="77777777" w:rsidR="006A4E4F" w:rsidRDefault="006A4E4F" w:rsidP="00D67C5B">
      <w:r>
        <w:separator/>
      </w:r>
    </w:p>
  </w:footnote>
  <w:footnote w:type="continuationSeparator" w:id="0">
    <w:p w14:paraId="2DA0AD9D" w14:textId="77777777" w:rsidR="006A4E4F" w:rsidRDefault="006A4E4F"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C90366">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0407E"/>
    <w:rsid w:val="0001693A"/>
    <w:rsid w:val="000421A9"/>
    <w:rsid w:val="00045666"/>
    <w:rsid w:val="00056108"/>
    <w:rsid w:val="00061045"/>
    <w:rsid w:val="00067B4A"/>
    <w:rsid w:val="00070818"/>
    <w:rsid w:val="0008323A"/>
    <w:rsid w:val="00083FEE"/>
    <w:rsid w:val="00090F9E"/>
    <w:rsid w:val="000A2718"/>
    <w:rsid w:val="000B040E"/>
    <w:rsid w:val="000B3F54"/>
    <w:rsid w:val="000E236B"/>
    <w:rsid w:val="000E2F9B"/>
    <w:rsid w:val="000F3486"/>
    <w:rsid w:val="00102A75"/>
    <w:rsid w:val="0011184E"/>
    <w:rsid w:val="00116151"/>
    <w:rsid w:val="001214CA"/>
    <w:rsid w:val="00121BFD"/>
    <w:rsid w:val="00134A1B"/>
    <w:rsid w:val="001502AC"/>
    <w:rsid w:val="00152866"/>
    <w:rsid w:val="00165A29"/>
    <w:rsid w:val="001A71B5"/>
    <w:rsid w:val="001B00AD"/>
    <w:rsid w:val="001B1B2C"/>
    <w:rsid w:val="001B51FA"/>
    <w:rsid w:val="001B5B02"/>
    <w:rsid w:val="001E35CC"/>
    <w:rsid w:val="001F6ABB"/>
    <w:rsid w:val="00202544"/>
    <w:rsid w:val="00210435"/>
    <w:rsid w:val="00222F62"/>
    <w:rsid w:val="00281AA6"/>
    <w:rsid w:val="002862C6"/>
    <w:rsid w:val="002B51C2"/>
    <w:rsid w:val="002C7656"/>
    <w:rsid w:val="002D1F25"/>
    <w:rsid w:val="002E22DD"/>
    <w:rsid w:val="00323013"/>
    <w:rsid w:val="00335AD4"/>
    <w:rsid w:val="00340ECD"/>
    <w:rsid w:val="00344148"/>
    <w:rsid w:val="003444A9"/>
    <w:rsid w:val="003451F8"/>
    <w:rsid w:val="00345397"/>
    <w:rsid w:val="00352FFE"/>
    <w:rsid w:val="0035569D"/>
    <w:rsid w:val="003625D7"/>
    <w:rsid w:val="00366A5B"/>
    <w:rsid w:val="00377A60"/>
    <w:rsid w:val="00377AB1"/>
    <w:rsid w:val="00397953"/>
    <w:rsid w:val="003B18F8"/>
    <w:rsid w:val="003B3103"/>
    <w:rsid w:val="003E0046"/>
    <w:rsid w:val="003E75E0"/>
    <w:rsid w:val="003F68E1"/>
    <w:rsid w:val="00400AFA"/>
    <w:rsid w:val="00405F26"/>
    <w:rsid w:val="00416A6F"/>
    <w:rsid w:val="0043104F"/>
    <w:rsid w:val="00446178"/>
    <w:rsid w:val="004551B5"/>
    <w:rsid w:val="004579C9"/>
    <w:rsid w:val="00462559"/>
    <w:rsid w:val="004658B2"/>
    <w:rsid w:val="00477AED"/>
    <w:rsid w:val="00493C4B"/>
    <w:rsid w:val="00496B5D"/>
    <w:rsid w:val="004A01F9"/>
    <w:rsid w:val="004A120F"/>
    <w:rsid w:val="004A56A5"/>
    <w:rsid w:val="004B3BE3"/>
    <w:rsid w:val="004B5FE7"/>
    <w:rsid w:val="004C1C96"/>
    <w:rsid w:val="004C7DEA"/>
    <w:rsid w:val="004D0634"/>
    <w:rsid w:val="004E05C0"/>
    <w:rsid w:val="004E393B"/>
    <w:rsid w:val="004E45A2"/>
    <w:rsid w:val="005026B9"/>
    <w:rsid w:val="005155AB"/>
    <w:rsid w:val="00520001"/>
    <w:rsid w:val="00524F8D"/>
    <w:rsid w:val="00531B44"/>
    <w:rsid w:val="005358E8"/>
    <w:rsid w:val="00547F33"/>
    <w:rsid w:val="00554C82"/>
    <w:rsid w:val="005636C2"/>
    <w:rsid w:val="005722EF"/>
    <w:rsid w:val="005761CE"/>
    <w:rsid w:val="00591052"/>
    <w:rsid w:val="005B0CBE"/>
    <w:rsid w:val="005B18B9"/>
    <w:rsid w:val="005B28FA"/>
    <w:rsid w:val="005B5768"/>
    <w:rsid w:val="005C11B0"/>
    <w:rsid w:val="005D1CCC"/>
    <w:rsid w:val="005D2A03"/>
    <w:rsid w:val="005D785F"/>
    <w:rsid w:val="005E79AF"/>
    <w:rsid w:val="0060490E"/>
    <w:rsid w:val="00605028"/>
    <w:rsid w:val="006109A9"/>
    <w:rsid w:val="00624589"/>
    <w:rsid w:val="00637163"/>
    <w:rsid w:val="006478FC"/>
    <w:rsid w:val="006542E7"/>
    <w:rsid w:val="00657F7A"/>
    <w:rsid w:val="00663227"/>
    <w:rsid w:val="006641FE"/>
    <w:rsid w:val="006654D7"/>
    <w:rsid w:val="00665D97"/>
    <w:rsid w:val="00674C8C"/>
    <w:rsid w:val="00677E3B"/>
    <w:rsid w:val="0069333F"/>
    <w:rsid w:val="006A4E4F"/>
    <w:rsid w:val="006A7FBC"/>
    <w:rsid w:val="006B5945"/>
    <w:rsid w:val="006B65FD"/>
    <w:rsid w:val="006C364B"/>
    <w:rsid w:val="006C7189"/>
    <w:rsid w:val="006D0373"/>
    <w:rsid w:val="006E1C3A"/>
    <w:rsid w:val="006E7EC2"/>
    <w:rsid w:val="00704199"/>
    <w:rsid w:val="0070771E"/>
    <w:rsid w:val="00710735"/>
    <w:rsid w:val="00710FA7"/>
    <w:rsid w:val="00711831"/>
    <w:rsid w:val="00720BD8"/>
    <w:rsid w:val="00720D7A"/>
    <w:rsid w:val="00724C04"/>
    <w:rsid w:val="007425DC"/>
    <w:rsid w:val="00754A11"/>
    <w:rsid w:val="0075550C"/>
    <w:rsid w:val="007573CA"/>
    <w:rsid w:val="00761BAC"/>
    <w:rsid w:val="00777868"/>
    <w:rsid w:val="007839F7"/>
    <w:rsid w:val="0079159C"/>
    <w:rsid w:val="007E099F"/>
    <w:rsid w:val="007E1684"/>
    <w:rsid w:val="007E25C6"/>
    <w:rsid w:val="007E6CB1"/>
    <w:rsid w:val="007F4C90"/>
    <w:rsid w:val="00800732"/>
    <w:rsid w:val="008226C4"/>
    <w:rsid w:val="00823705"/>
    <w:rsid w:val="00823F99"/>
    <w:rsid w:val="00837863"/>
    <w:rsid w:val="0084292F"/>
    <w:rsid w:val="008468DE"/>
    <w:rsid w:val="00857553"/>
    <w:rsid w:val="008638E6"/>
    <w:rsid w:val="00872023"/>
    <w:rsid w:val="00877C4B"/>
    <w:rsid w:val="00880A00"/>
    <w:rsid w:val="00882A82"/>
    <w:rsid w:val="00884B62"/>
    <w:rsid w:val="008947C9"/>
    <w:rsid w:val="008B05C1"/>
    <w:rsid w:val="008C682C"/>
    <w:rsid w:val="008E15AC"/>
    <w:rsid w:val="008F29B8"/>
    <w:rsid w:val="008F42BF"/>
    <w:rsid w:val="00901EB2"/>
    <w:rsid w:val="00903340"/>
    <w:rsid w:val="00907CCE"/>
    <w:rsid w:val="00915E1B"/>
    <w:rsid w:val="009229F0"/>
    <w:rsid w:val="00925A4F"/>
    <w:rsid w:val="00933E41"/>
    <w:rsid w:val="00944C08"/>
    <w:rsid w:val="00945A39"/>
    <w:rsid w:val="00950C53"/>
    <w:rsid w:val="00951309"/>
    <w:rsid w:val="00953126"/>
    <w:rsid w:val="009539AC"/>
    <w:rsid w:val="0095768A"/>
    <w:rsid w:val="00963803"/>
    <w:rsid w:val="009711E6"/>
    <w:rsid w:val="009801D3"/>
    <w:rsid w:val="009801F3"/>
    <w:rsid w:val="00993D12"/>
    <w:rsid w:val="00997637"/>
    <w:rsid w:val="009A67F6"/>
    <w:rsid w:val="009C7702"/>
    <w:rsid w:val="009D6DB6"/>
    <w:rsid w:val="009D73EF"/>
    <w:rsid w:val="009E3F40"/>
    <w:rsid w:val="009E4ABC"/>
    <w:rsid w:val="009E7977"/>
    <w:rsid w:val="00A073AA"/>
    <w:rsid w:val="00A432F8"/>
    <w:rsid w:val="00A67966"/>
    <w:rsid w:val="00A732DC"/>
    <w:rsid w:val="00A76B90"/>
    <w:rsid w:val="00A8345D"/>
    <w:rsid w:val="00A93F52"/>
    <w:rsid w:val="00AC2B23"/>
    <w:rsid w:val="00AD255A"/>
    <w:rsid w:val="00AD410A"/>
    <w:rsid w:val="00AD5BCA"/>
    <w:rsid w:val="00AF38AB"/>
    <w:rsid w:val="00B005C1"/>
    <w:rsid w:val="00B00D51"/>
    <w:rsid w:val="00B01BBA"/>
    <w:rsid w:val="00B060D5"/>
    <w:rsid w:val="00B1328C"/>
    <w:rsid w:val="00B15E28"/>
    <w:rsid w:val="00B5774C"/>
    <w:rsid w:val="00B6207C"/>
    <w:rsid w:val="00B63E12"/>
    <w:rsid w:val="00B64592"/>
    <w:rsid w:val="00B64A88"/>
    <w:rsid w:val="00B67348"/>
    <w:rsid w:val="00B72B5E"/>
    <w:rsid w:val="00B90E2B"/>
    <w:rsid w:val="00BB0512"/>
    <w:rsid w:val="00BB2C6E"/>
    <w:rsid w:val="00BC5094"/>
    <w:rsid w:val="00BD1DFB"/>
    <w:rsid w:val="00BD4137"/>
    <w:rsid w:val="00BD68E8"/>
    <w:rsid w:val="00BF0F20"/>
    <w:rsid w:val="00BF6C40"/>
    <w:rsid w:val="00C033BA"/>
    <w:rsid w:val="00C03E9D"/>
    <w:rsid w:val="00C2565A"/>
    <w:rsid w:val="00C274A0"/>
    <w:rsid w:val="00C30F02"/>
    <w:rsid w:val="00C44486"/>
    <w:rsid w:val="00C506A5"/>
    <w:rsid w:val="00C653BF"/>
    <w:rsid w:val="00C75EC4"/>
    <w:rsid w:val="00C7634D"/>
    <w:rsid w:val="00C8580F"/>
    <w:rsid w:val="00C87CF6"/>
    <w:rsid w:val="00C90366"/>
    <w:rsid w:val="00CA1EEC"/>
    <w:rsid w:val="00CA1FCD"/>
    <w:rsid w:val="00CA6A8D"/>
    <w:rsid w:val="00CB1045"/>
    <w:rsid w:val="00CB2247"/>
    <w:rsid w:val="00CC5819"/>
    <w:rsid w:val="00CD248D"/>
    <w:rsid w:val="00CD5814"/>
    <w:rsid w:val="00D034DA"/>
    <w:rsid w:val="00D11810"/>
    <w:rsid w:val="00D127B1"/>
    <w:rsid w:val="00D14598"/>
    <w:rsid w:val="00D373FF"/>
    <w:rsid w:val="00D435EE"/>
    <w:rsid w:val="00D56F0B"/>
    <w:rsid w:val="00D67C5B"/>
    <w:rsid w:val="00D74381"/>
    <w:rsid w:val="00D802CE"/>
    <w:rsid w:val="00D813D1"/>
    <w:rsid w:val="00DA18FC"/>
    <w:rsid w:val="00DB5344"/>
    <w:rsid w:val="00DC7450"/>
    <w:rsid w:val="00DE0AF8"/>
    <w:rsid w:val="00DF1280"/>
    <w:rsid w:val="00E0499D"/>
    <w:rsid w:val="00E079CE"/>
    <w:rsid w:val="00E26431"/>
    <w:rsid w:val="00E569BF"/>
    <w:rsid w:val="00E56B33"/>
    <w:rsid w:val="00E67A92"/>
    <w:rsid w:val="00E7701E"/>
    <w:rsid w:val="00E846F7"/>
    <w:rsid w:val="00E85757"/>
    <w:rsid w:val="00EA151E"/>
    <w:rsid w:val="00EB0FC7"/>
    <w:rsid w:val="00EC00BF"/>
    <w:rsid w:val="00EC0767"/>
    <w:rsid w:val="00EF36D4"/>
    <w:rsid w:val="00EF722B"/>
    <w:rsid w:val="00F0348C"/>
    <w:rsid w:val="00F03864"/>
    <w:rsid w:val="00F04374"/>
    <w:rsid w:val="00F04C47"/>
    <w:rsid w:val="00F2402A"/>
    <w:rsid w:val="00F31531"/>
    <w:rsid w:val="00F33224"/>
    <w:rsid w:val="00F376A5"/>
    <w:rsid w:val="00F3792B"/>
    <w:rsid w:val="00F45266"/>
    <w:rsid w:val="00F45B83"/>
    <w:rsid w:val="00F725A3"/>
    <w:rsid w:val="00F75083"/>
    <w:rsid w:val="00F87A29"/>
    <w:rsid w:val="00FA7F58"/>
    <w:rsid w:val="00FC08D1"/>
    <w:rsid w:val="00FF587C"/>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D582430D-0427-426B-89E2-BD75FF93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591">
      <w:bodyDiv w:val="1"/>
      <w:marLeft w:val="0"/>
      <w:marRight w:val="0"/>
      <w:marTop w:val="0"/>
      <w:marBottom w:val="0"/>
      <w:divBdr>
        <w:top w:val="none" w:sz="0" w:space="0" w:color="auto"/>
        <w:left w:val="none" w:sz="0" w:space="0" w:color="auto"/>
        <w:bottom w:val="none" w:sz="0" w:space="0" w:color="auto"/>
        <w:right w:val="none" w:sz="0" w:space="0" w:color="auto"/>
      </w:divBdr>
    </w:div>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0863624">
      <w:bodyDiv w:val="1"/>
      <w:marLeft w:val="0"/>
      <w:marRight w:val="0"/>
      <w:marTop w:val="0"/>
      <w:marBottom w:val="0"/>
      <w:divBdr>
        <w:top w:val="none" w:sz="0" w:space="0" w:color="auto"/>
        <w:left w:val="none" w:sz="0" w:space="0" w:color="auto"/>
        <w:bottom w:val="none" w:sz="0" w:space="0" w:color="auto"/>
        <w:right w:val="none" w:sz="0" w:space="0" w:color="auto"/>
      </w:divBdr>
      <w:divsChild>
        <w:div w:id="1062026933">
          <w:marLeft w:val="0"/>
          <w:marRight w:val="0"/>
          <w:marTop w:val="0"/>
          <w:marBottom w:val="0"/>
          <w:divBdr>
            <w:top w:val="none" w:sz="0" w:space="0" w:color="auto"/>
            <w:left w:val="none" w:sz="0" w:space="0" w:color="auto"/>
            <w:bottom w:val="none" w:sz="0" w:space="0" w:color="auto"/>
            <w:right w:val="none" w:sz="0" w:space="0" w:color="auto"/>
          </w:divBdr>
          <w:divsChild>
            <w:div w:id="26178449">
              <w:marLeft w:val="0"/>
              <w:marRight w:val="0"/>
              <w:marTop w:val="0"/>
              <w:marBottom w:val="0"/>
              <w:divBdr>
                <w:top w:val="none" w:sz="0" w:space="0" w:color="auto"/>
                <w:left w:val="none" w:sz="0" w:space="0" w:color="auto"/>
                <w:bottom w:val="none" w:sz="0" w:space="0" w:color="auto"/>
                <w:right w:val="none" w:sz="0" w:space="0" w:color="auto"/>
              </w:divBdr>
              <w:divsChild>
                <w:div w:id="1187676112">
                  <w:marLeft w:val="0"/>
                  <w:marRight w:val="0"/>
                  <w:marTop w:val="0"/>
                  <w:marBottom w:val="0"/>
                  <w:divBdr>
                    <w:top w:val="none" w:sz="0" w:space="0" w:color="auto"/>
                    <w:left w:val="none" w:sz="0" w:space="0" w:color="auto"/>
                    <w:bottom w:val="none" w:sz="0" w:space="0" w:color="auto"/>
                    <w:right w:val="none" w:sz="0" w:space="0" w:color="auto"/>
                  </w:divBdr>
                  <w:divsChild>
                    <w:div w:id="2085834793">
                      <w:marLeft w:val="0"/>
                      <w:marRight w:val="0"/>
                      <w:marTop w:val="0"/>
                      <w:marBottom w:val="0"/>
                      <w:divBdr>
                        <w:top w:val="none" w:sz="0" w:space="0" w:color="auto"/>
                        <w:left w:val="none" w:sz="0" w:space="0" w:color="auto"/>
                        <w:bottom w:val="none" w:sz="0" w:space="0" w:color="auto"/>
                        <w:right w:val="none" w:sz="0" w:space="0" w:color="auto"/>
                      </w:divBdr>
                      <w:divsChild>
                        <w:div w:id="1961296212">
                          <w:marLeft w:val="0"/>
                          <w:marRight w:val="0"/>
                          <w:marTop w:val="300"/>
                          <w:marBottom w:val="0"/>
                          <w:divBdr>
                            <w:top w:val="none" w:sz="0" w:space="0" w:color="auto"/>
                            <w:left w:val="none" w:sz="0" w:space="0" w:color="auto"/>
                            <w:bottom w:val="none" w:sz="0" w:space="0" w:color="auto"/>
                            <w:right w:val="none" w:sz="0" w:space="0" w:color="auto"/>
                          </w:divBdr>
                          <w:divsChild>
                            <w:div w:id="9799922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3E91C-0493-4628-9C87-F7F32383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4313</Words>
  <Characters>2459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
  <dc:description/>
  <cp:lastModifiedBy>Marija Vīksna</cp:lastModifiedBy>
  <cp:revision>10</cp:revision>
  <cp:lastPrinted>2015-07-10T06:18:00Z</cp:lastPrinted>
  <dcterms:created xsi:type="dcterms:W3CDTF">2015-07-23T07:47:00Z</dcterms:created>
  <dcterms:modified xsi:type="dcterms:W3CDTF">2015-07-31T07:54:00Z</dcterms:modified>
</cp:coreProperties>
</file>