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D79D0" w14:textId="77777777" w:rsidR="00171D36" w:rsidRPr="00B241FD" w:rsidRDefault="00843AFD" w:rsidP="00B241FD">
      <w:pPr>
        <w:tabs>
          <w:tab w:val="left" w:pos="6663"/>
        </w:tabs>
        <w:spacing w:after="0" w:line="240" w:lineRule="auto"/>
        <w:jc w:val="center"/>
        <w:rPr>
          <w:rFonts w:ascii="Times New Roman" w:hAnsi="Times New Roman"/>
          <w:b/>
          <w:sz w:val="28"/>
          <w:szCs w:val="28"/>
        </w:rPr>
      </w:pPr>
      <w:r>
        <w:rPr>
          <w:rFonts w:ascii="Times New Roman" w:hAnsi="Times New Roman"/>
          <w:b/>
          <w:sz w:val="28"/>
          <w:szCs w:val="28"/>
        </w:rPr>
        <w:t>Likum</w:t>
      </w:r>
      <w:r w:rsidR="00B241FD" w:rsidRPr="00B241FD">
        <w:rPr>
          <w:rFonts w:ascii="Times New Roman" w:hAnsi="Times New Roman"/>
          <w:b/>
          <w:sz w:val="28"/>
          <w:szCs w:val="28"/>
        </w:rPr>
        <w:t xml:space="preserve">projekta </w:t>
      </w:r>
      <w:r>
        <w:rPr>
          <w:rFonts w:ascii="Times New Roman" w:hAnsi="Times New Roman"/>
          <w:b/>
          <w:sz w:val="28"/>
          <w:szCs w:val="28"/>
        </w:rPr>
        <w:t>„</w:t>
      </w:r>
      <w:r w:rsidR="00244042" w:rsidRPr="00244042">
        <w:rPr>
          <w:rFonts w:ascii="Times New Roman" w:hAnsi="Times New Roman"/>
          <w:b/>
          <w:sz w:val="28"/>
          <w:szCs w:val="28"/>
        </w:rPr>
        <w:t>Grozījumi Pievienotās vērtības nodokļa likumā</w:t>
      </w:r>
      <w:r>
        <w:rPr>
          <w:rFonts w:ascii="Times New Roman" w:hAnsi="Times New Roman"/>
          <w:b/>
          <w:sz w:val="28"/>
          <w:szCs w:val="28"/>
        </w:rPr>
        <w:t xml:space="preserve">” </w:t>
      </w:r>
      <w:r w:rsidR="00B241FD" w:rsidRPr="00B241FD">
        <w:rPr>
          <w:rFonts w:ascii="Times New Roman" w:hAnsi="Times New Roman"/>
          <w:b/>
          <w:sz w:val="28"/>
          <w:szCs w:val="28"/>
        </w:rPr>
        <w:t>sākotnējās ietekmes novērtējuma ziņojums (anotācija)</w:t>
      </w:r>
    </w:p>
    <w:p w14:paraId="714ADD1E" w14:textId="77777777" w:rsidR="001D421B" w:rsidRPr="001D421B" w:rsidRDefault="001D421B" w:rsidP="00171D36">
      <w:pPr>
        <w:pStyle w:val="naisf"/>
        <w:spacing w:before="0" w:beforeAutospacing="0" w:after="0" w:afterAutospacing="0"/>
        <w:jc w:val="right"/>
        <w:rPr>
          <w:sz w:val="28"/>
          <w:szCs w:val="28"/>
        </w:rPr>
      </w:pPr>
    </w:p>
    <w:tbl>
      <w:tblPr>
        <w:tblStyle w:val="TableGrid"/>
        <w:tblW w:w="5550" w:type="pct"/>
        <w:tblInd w:w="-279" w:type="dxa"/>
        <w:tblLook w:val="04A0" w:firstRow="1" w:lastRow="0" w:firstColumn="1" w:lastColumn="0" w:noHBand="0" w:noVBand="1"/>
      </w:tblPr>
      <w:tblGrid>
        <w:gridCol w:w="427"/>
        <w:gridCol w:w="3199"/>
        <w:gridCol w:w="5961"/>
      </w:tblGrid>
      <w:tr w:rsidR="00100575" w14:paraId="24A3C5B7" w14:textId="77777777" w:rsidTr="00B01360">
        <w:trPr>
          <w:trHeight w:val="367"/>
        </w:trPr>
        <w:tc>
          <w:tcPr>
            <w:tcW w:w="9346" w:type="dxa"/>
            <w:gridSpan w:val="3"/>
          </w:tcPr>
          <w:p w14:paraId="6011C447" w14:textId="77777777" w:rsidR="00100575" w:rsidRPr="00100575" w:rsidRDefault="00100575" w:rsidP="005D2575">
            <w:pPr>
              <w:jc w:val="center"/>
              <w:rPr>
                <w:rFonts w:ascii="Times New Roman" w:hAnsi="Times New Roman" w:cs="Times New Roman"/>
                <w:sz w:val="24"/>
                <w:szCs w:val="24"/>
              </w:rPr>
            </w:pPr>
            <w:r w:rsidRPr="00100575">
              <w:rPr>
                <w:rFonts w:ascii="Times New Roman" w:hAnsi="Times New Roman" w:cs="Times New Roman"/>
                <w:b/>
                <w:sz w:val="24"/>
                <w:szCs w:val="24"/>
              </w:rPr>
              <w:t>I. Tiesību akta projekta izstrādes nepieciešamība</w:t>
            </w:r>
          </w:p>
        </w:tc>
      </w:tr>
      <w:tr w:rsidR="00100575" w14:paraId="28846AE9" w14:textId="77777777" w:rsidTr="00B01360">
        <w:tc>
          <w:tcPr>
            <w:tcW w:w="416" w:type="dxa"/>
          </w:tcPr>
          <w:p w14:paraId="39E4C2DD" w14:textId="77777777" w:rsidR="00100575" w:rsidRPr="00100575" w:rsidRDefault="00100575" w:rsidP="00DB5C9D">
            <w:pPr>
              <w:spacing w:before="120" w:after="120"/>
              <w:rPr>
                <w:rFonts w:ascii="Times New Roman" w:hAnsi="Times New Roman" w:cs="Times New Roman"/>
                <w:sz w:val="24"/>
                <w:szCs w:val="24"/>
              </w:rPr>
            </w:pPr>
            <w:r w:rsidRPr="00100575">
              <w:rPr>
                <w:rFonts w:ascii="Times New Roman" w:eastAsia="Times New Roman" w:hAnsi="Times New Roman" w:cs="Times New Roman"/>
                <w:sz w:val="24"/>
                <w:szCs w:val="24"/>
              </w:rPr>
              <w:t>1.</w:t>
            </w:r>
          </w:p>
        </w:tc>
        <w:tc>
          <w:tcPr>
            <w:tcW w:w="3119" w:type="dxa"/>
          </w:tcPr>
          <w:p w14:paraId="181479C5" w14:textId="77777777" w:rsidR="00100575" w:rsidRPr="00100575" w:rsidRDefault="00100575" w:rsidP="00DB5C9D">
            <w:pPr>
              <w:pStyle w:val="naiskr"/>
              <w:spacing w:before="120" w:beforeAutospacing="0" w:after="120" w:afterAutospacing="0"/>
              <w:ind w:left="57" w:right="57"/>
            </w:pPr>
            <w:r w:rsidRPr="00100575">
              <w:t>Pamatojums</w:t>
            </w:r>
          </w:p>
          <w:p w14:paraId="64903A1B" w14:textId="77777777" w:rsidR="00100575" w:rsidRPr="00100575" w:rsidRDefault="00100575" w:rsidP="00DB5C9D">
            <w:pPr>
              <w:spacing w:before="120" w:after="120"/>
              <w:rPr>
                <w:rFonts w:ascii="Times New Roman" w:hAnsi="Times New Roman" w:cs="Times New Roman"/>
                <w:sz w:val="24"/>
                <w:szCs w:val="24"/>
              </w:rPr>
            </w:pPr>
          </w:p>
        </w:tc>
        <w:tc>
          <w:tcPr>
            <w:tcW w:w="5811" w:type="dxa"/>
          </w:tcPr>
          <w:p w14:paraId="0C11F8DA" w14:textId="176F0E10" w:rsidR="005242D5" w:rsidRPr="00AE1744" w:rsidRDefault="00100575" w:rsidP="00545894">
            <w:pPr>
              <w:spacing w:before="120" w:after="120"/>
              <w:ind w:left="57" w:right="142"/>
              <w:jc w:val="both"/>
              <w:rPr>
                <w:rFonts w:ascii="Times New Roman" w:eastAsia="Times New Roman" w:hAnsi="Times New Roman" w:cs="Times New Roman"/>
                <w:sz w:val="24"/>
                <w:szCs w:val="24"/>
              </w:rPr>
            </w:pPr>
            <w:r w:rsidRPr="00AE1744">
              <w:rPr>
                <w:rFonts w:ascii="Times New Roman" w:hAnsi="Times New Roman" w:cs="Times New Roman"/>
                <w:sz w:val="24"/>
                <w:szCs w:val="24"/>
              </w:rPr>
              <w:t xml:space="preserve">Likumprojekts „Grozījumi Pievienotās vērtības nodokļa likumā” (turpmāk – likumprojekts) izstrādāts, lai izpildītu </w:t>
            </w:r>
            <w:r w:rsidRPr="00AE1744">
              <w:rPr>
                <w:rFonts w:ascii="Times New Roman" w:eastAsia="Times New Roman" w:hAnsi="Times New Roman" w:cs="Times New Roman"/>
                <w:sz w:val="24"/>
                <w:szCs w:val="24"/>
              </w:rPr>
              <w:t>Ministru kabineta sēdes 2015. gada 27. janvār</w:t>
            </w:r>
            <w:r w:rsidR="00127506" w:rsidRPr="00AE1744">
              <w:rPr>
                <w:rFonts w:ascii="Times New Roman" w:eastAsia="Times New Roman" w:hAnsi="Times New Roman" w:cs="Times New Roman"/>
                <w:sz w:val="24"/>
                <w:szCs w:val="24"/>
              </w:rPr>
              <w:t xml:space="preserve">a </w:t>
            </w:r>
            <w:proofErr w:type="spellStart"/>
            <w:r w:rsidR="00127506" w:rsidRPr="00AE1744">
              <w:rPr>
                <w:rFonts w:ascii="Times New Roman" w:eastAsia="Times New Roman" w:hAnsi="Times New Roman" w:cs="Times New Roman"/>
                <w:sz w:val="24"/>
                <w:szCs w:val="24"/>
              </w:rPr>
              <w:t>protokollēmuma</w:t>
            </w:r>
            <w:proofErr w:type="spellEnd"/>
            <w:r w:rsidR="00127506" w:rsidRPr="00AE1744">
              <w:rPr>
                <w:rFonts w:ascii="Times New Roman" w:eastAsia="Times New Roman" w:hAnsi="Times New Roman" w:cs="Times New Roman"/>
                <w:sz w:val="24"/>
                <w:szCs w:val="24"/>
              </w:rPr>
              <w:t xml:space="preserve"> Nr. 5, 81. § </w:t>
            </w:r>
            <w:r w:rsidRPr="00AE1744">
              <w:rPr>
                <w:rFonts w:ascii="Times New Roman" w:eastAsia="Times New Roman" w:hAnsi="Times New Roman" w:cs="Times New Roman"/>
                <w:sz w:val="24"/>
                <w:szCs w:val="24"/>
              </w:rPr>
              <w:t>“Latvijas Republikas nostājas projekts uz Eiropas Komisijas 2014. gada 26. novembra formālo paziņojumu pārkāpuma procedūras lie</w:t>
            </w:r>
            <w:r w:rsidR="00A05001" w:rsidRPr="00AE1744">
              <w:rPr>
                <w:rFonts w:ascii="Times New Roman" w:eastAsia="Times New Roman" w:hAnsi="Times New Roman" w:cs="Times New Roman"/>
                <w:sz w:val="24"/>
                <w:szCs w:val="24"/>
              </w:rPr>
              <w:t xml:space="preserve">tā Nr. 2014/2233” </w:t>
            </w:r>
            <w:r w:rsidR="00545894" w:rsidRPr="00AE1744">
              <w:rPr>
                <w:rFonts w:ascii="Times New Roman" w:eastAsia="Times New Roman" w:hAnsi="Times New Roman" w:cs="Times New Roman"/>
                <w:sz w:val="24"/>
                <w:szCs w:val="24"/>
              </w:rPr>
              <w:t xml:space="preserve">4.punktā </w:t>
            </w:r>
            <w:r w:rsidR="00A05001" w:rsidRPr="00AE1744">
              <w:rPr>
                <w:rFonts w:ascii="Times New Roman" w:eastAsia="Times New Roman" w:hAnsi="Times New Roman" w:cs="Times New Roman"/>
                <w:sz w:val="24"/>
                <w:szCs w:val="24"/>
              </w:rPr>
              <w:t xml:space="preserve">doto uzdevumu un </w:t>
            </w:r>
            <w:r w:rsidR="00035A3D" w:rsidRPr="00AE1744">
              <w:rPr>
                <w:rFonts w:ascii="Times New Roman" w:eastAsia="Times New Roman" w:hAnsi="Times New Roman" w:cs="Times New Roman"/>
                <w:sz w:val="24"/>
                <w:szCs w:val="24"/>
              </w:rPr>
              <w:t xml:space="preserve">Ministru kabineta 2015.gada 25.augusta sēdes </w:t>
            </w:r>
            <w:proofErr w:type="spellStart"/>
            <w:r w:rsidR="00035A3D" w:rsidRPr="00AE1744">
              <w:rPr>
                <w:rFonts w:ascii="Times New Roman" w:eastAsia="Times New Roman" w:hAnsi="Times New Roman" w:cs="Times New Roman"/>
                <w:sz w:val="24"/>
                <w:szCs w:val="24"/>
              </w:rPr>
              <w:t>protokollēmum</w:t>
            </w:r>
            <w:r w:rsidR="00A05001" w:rsidRPr="00AE1744">
              <w:rPr>
                <w:rFonts w:ascii="Times New Roman" w:eastAsia="Times New Roman" w:hAnsi="Times New Roman" w:cs="Times New Roman"/>
                <w:sz w:val="24"/>
                <w:szCs w:val="24"/>
              </w:rPr>
              <w:t>a</w:t>
            </w:r>
            <w:proofErr w:type="spellEnd"/>
            <w:r w:rsidR="00526157" w:rsidRPr="00AE1744">
              <w:rPr>
                <w:rFonts w:ascii="Times New Roman" w:eastAsia="Times New Roman" w:hAnsi="Times New Roman" w:cs="Times New Roman"/>
                <w:sz w:val="24"/>
                <w:szCs w:val="24"/>
              </w:rPr>
              <w:t xml:space="preserve"> </w:t>
            </w:r>
            <w:r w:rsidR="00976634" w:rsidRPr="00AE1744">
              <w:rPr>
                <w:rFonts w:ascii="Times New Roman" w:eastAsia="Times New Roman" w:hAnsi="Times New Roman" w:cs="Times New Roman"/>
                <w:sz w:val="24"/>
                <w:szCs w:val="24"/>
              </w:rPr>
              <w:t xml:space="preserve">Nr.41 43.§ </w:t>
            </w:r>
            <w:r w:rsidR="00526157" w:rsidRPr="00AE1744">
              <w:rPr>
                <w:rFonts w:ascii="Times New Roman" w:eastAsia="Times New Roman" w:hAnsi="Times New Roman" w:cs="Times New Roman"/>
                <w:sz w:val="24"/>
                <w:szCs w:val="24"/>
              </w:rPr>
              <w:t>“Informatīvais ziņojums “Par iespējām palielināt ieņēmumus”” 2.16. un 2.23.apak</w:t>
            </w:r>
            <w:r w:rsidR="00A05001" w:rsidRPr="00AE1744">
              <w:rPr>
                <w:rFonts w:ascii="Times New Roman" w:eastAsia="Times New Roman" w:hAnsi="Times New Roman" w:cs="Times New Roman"/>
                <w:sz w:val="24"/>
                <w:szCs w:val="24"/>
              </w:rPr>
              <w:t>špunktā doto uzdevumu</w:t>
            </w:r>
            <w:r w:rsidR="005242D5" w:rsidRPr="00AE1744">
              <w:rPr>
                <w:rFonts w:ascii="Times New Roman" w:eastAsia="Times New Roman" w:hAnsi="Times New Roman" w:cs="Times New Roman"/>
                <w:sz w:val="24"/>
                <w:szCs w:val="24"/>
              </w:rPr>
              <w:t>.</w:t>
            </w:r>
          </w:p>
        </w:tc>
      </w:tr>
      <w:tr w:rsidR="00100575" w:rsidRPr="00F94EEA" w14:paraId="68C60BB0" w14:textId="77777777" w:rsidTr="00B01360">
        <w:tc>
          <w:tcPr>
            <w:tcW w:w="416" w:type="dxa"/>
          </w:tcPr>
          <w:p w14:paraId="7B062A75" w14:textId="71F3E924" w:rsidR="00100575" w:rsidRPr="00100575" w:rsidRDefault="00100575" w:rsidP="00DB5C9D">
            <w:pPr>
              <w:spacing w:before="120" w:after="120"/>
              <w:rPr>
                <w:rFonts w:ascii="Times New Roman" w:hAnsi="Times New Roman" w:cs="Times New Roman"/>
                <w:sz w:val="24"/>
                <w:szCs w:val="24"/>
              </w:rPr>
            </w:pPr>
            <w:r w:rsidRPr="00100575">
              <w:rPr>
                <w:rFonts w:ascii="Times New Roman" w:eastAsia="Times New Roman" w:hAnsi="Times New Roman" w:cs="Times New Roman"/>
                <w:sz w:val="24"/>
                <w:szCs w:val="24"/>
              </w:rPr>
              <w:t>2.</w:t>
            </w:r>
          </w:p>
        </w:tc>
        <w:tc>
          <w:tcPr>
            <w:tcW w:w="3119" w:type="dxa"/>
          </w:tcPr>
          <w:p w14:paraId="3697C516" w14:textId="77777777" w:rsidR="007F1011" w:rsidRDefault="00100575" w:rsidP="00DB5C9D">
            <w:pPr>
              <w:spacing w:before="120" w:after="120"/>
              <w:rPr>
                <w:rFonts w:ascii="Times New Roman" w:hAnsi="Times New Roman" w:cs="Times New Roman"/>
                <w:sz w:val="24"/>
                <w:szCs w:val="24"/>
              </w:rPr>
            </w:pPr>
            <w:r w:rsidRPr="00100575">
              <w:rPr>
                <w:rFonts w:ascii="Times New Roman" w:hAnsi="Times New Roman" w:cs="Times New Roman"/>
                <w:sz w:val="24"/>
                <w:szCs w:val="24"/>
              </w:rPr>
              <w:t>Pašreizējā situācija un problēmas, kuru risināšanai tiesību akta projekts izstrādāts, tiesiskā regulējuma mērķis un būtība</w:t>
            </w:r>
          </w:p>
          <w:p w14:paraId="7770BD1F" w14:textId="77777777" w:rsidR="007F1011" w:rsidRPr="007F1011" w:rsidRDefault="007F1011" w:rsidP="00DB5C9D">
            <w:pPr>
              <w:spacing w:before="120" w:after="120"/>
              <w:rPr>
                <w:rFonts w:ascii="Times New Roman" w:hAnsi="Times New Roman" w:cs="Times New Roman"/>
                <w:sz w:val="24"/>
                <w:szCs w:val="24"/>
              </w:rPr>
            </w:pPr>
          </w:p>
          <w:p w14:paraId="3B145030" w14:textId="77777777" w:rsidR="007F1011" w:rsidRPr="007F1011" w:rsidRDefault="007F1011" w:rsidP="00DB5C9D">
            <w:pPr>
              <w:spacing w:before="120" w:after="120"/>
              <w:rPr>
                <w:rFonts w:ascii="Times New Roman" w:hAnsi="Times New Roman" w:cs="Times New Roman"/>
                <w:sz w:val="24"/>
                <w:szCs w:val="24"/>
              </w:rPr>
            </w:pPr>
          </w:p>
          <w:p w14:paraId="15551A15" w14:textId="77777777" w:rsidR="007F1011" w:rsidRPr="007F1011" w:rsidRDefault="007F1011" w:rsidP="00DB5C9D">
            <w:pPr>
              <w:spacing w:before="120" w:after="120"/>
              <w:rPr>
                <w:rFonts w:ascii="Times New Roman" w:hAnsi="Times New Roman" w:cs="Times New Roman"/>
                <w:sz w:val="24"/>
                <w:szCs w:val="24"/>
              </w:rPr>
            </w:pPr>
          </w:p>
          <w:p w14:paraId="7CD64688" w14:textId="77777777" w:rsidR="007F1011" w:rsidRPr="007F1011" w:rsidRDefault="007F1011" w:rsidP="00DB5C9D">
            <w:pPr>
              <w:spacing w:before="120" w:after="120"/>
              <w:rPr>
                <w:rFonts w:ascii="Times New Roman" w:hAnsi="Times New Roman" w:cs="Times New Roman"/>
                <w:sz w:val="24"/>
                <w:szCs w:val="24"/>
              </w:rPr>
            </w:pPr>
          </w:p>
          <w:p w14:paraId="435CC45F" w14:textId="77777777" w:rsidR="007F1011" w:rsidRDefault="007F1011" w:rsidP="00DB5C9D">
            <w:pPr>
              <w:spacing w:before="120" w:after="120"/>
              <w:rPr>
                <w:rFonts w:ascii="Times New Roman" w:hAnsi="Times New Roman" w:cs="Times New Roman"/>
                <w:sz w:val="24"/>
                <w:szCs w:val="24"/>
              </w:rPr>
            </w:pPr>
          </w:p>
          <w:p w14:paraId="58E638D1" w14:textId="77777777" w:rsidR="007F1011" w:rsidRPr="007F1011" w:rsidRDefault="007F1011" w:rsidP="00DB5C9D">
            <w:pPr>
              <w:spacing w:before="120" w:after="120"/>
              <w:rPr>
                <w:rFonts w:ascii="Times New Roman" w:hAnsi="Times New Roman" w:cs="Times New Roman"/>
                <w:sz w:val="24"/>
                <w:szCs w:val="24"/>
              </w:rPr>
            </w:pPr>
          </w:p>
          <w:p w14:paraId="131E8EA2" w14:textId="77777777" w:rsidR="007F1011" w:rsidRPr="007F1011" w:rsidRDefault="007F1011" w:rsidP="00DB5C9D">
            <w:pPr>
              <w:spacing w:before="120" w:after="120"/>
              <w:rPr>
                <w:rFonts w:ascii="Times New Roman" w:hAnsi="Times New Roman" w:cs="Times New Roman"/>
                <w:sz w:val="24"/>
                <w:szCs w:val="24"/>
              </w:rPr>
            </w:pPr>
          </w:p>
          <w:p w14:paraId="16529520" w14:textId="77777777" w:rsidR="007F1011" w:rsidRDefault="007F1011" w:rsidP="00DB5C9D">
            <w:pPr>
              <w:spacing w:before="120" w:after="120"/>
              <w:rPr>
                <w:rFonts w:ascii="Times New Roman" w:hAnsi="Times New Roman" w:cs="Times New Roman"/>
                <w:sz w:val="24"/>
                <w:szCs w:val="24"/>
              </w:rPr>
            </w:pPr>
          </w:p>
          <w:p w14:paraId="792FAFE8" w14:textId="77777777" w:rsidR="007F1011" w:rsidRDefault="007F1011" w:rsidP="00DB5C9D">
            <w:pPr>
              <w:spacing w:before="120" w:after="120"/>
              <w:rPr>
                <w:rFonts w:ascii="Times New Roman" w:hAnsi="Times New Roman" w:cs="Times New Roman"/>
                <w:sz w:val="24"/>
                <w:szCs w:val="24"/>
              </w:rPr>
            </w:pPr>
          </w:p>
          <w:p w14:paraId="357C5BD5" w14:textId="77777777" w:rsidR="007F1011" w:rsidRDefault="007F1011" w:rsidP="00DB5C9D">
            <w:pPr>
              <w:spacing w:before="120" w:after="120"/>
              <w:rPr>
                <w:rFonts w:ascii="Times New Roman" w:hAnsi="Times New Roman" w:cs="Times New Roman"/>
                <w:sz w:val="24"/>
                <w:szCs w:val="24"/>
              </w:rPr>
            </w:pPr>
          </w:p>
          <w:p w14:paraId="7EDBBA4A" w14:textId="77777777" w:rsidR="000F3428" w:rsidRDefault="000F3428" w:rsidP="00DB5C9D">
            <w:pPr>
              <w:spacing w:before="120" w:after="120"/>
              <w:ind w:firstLine="720"/>
              <w:rPr>
                <w:rFonts w:ascii="Times New Roman" w:hAnsi="Times New Roman" w:cs="Times New Roman"/>
                <w:sz w:val="24"/>
                <w:szCs w:val="24"/>
              </w:rPr>
            </w:pPr>
          </w:p>
          <w:p w14:paraId="4E86A6C3" w14:textId="77777777" w:rsidR="000F3428" w:rsidRPr="000F3428" w:rsidRDefault="000F3428" w:rsidP="000F3428">
            <w:pPr>
              <w:rPr>
                <w:rFonts w:ascii="Times New Roman" w:hAnsi="Times New Roman" w:cs="Times New Roman"/>
                <w:sz w:val="24"/>
                <w:szCs w:val="24"/>
              </w:rPr>
            </w:pPr>
          </w:p>
          <w:p w14:paraId="1EB866AD" w14:textId="77777777" w:rsidR="000F3428" w:rsidRPr="000F3428" w:rsidRDefault="000F3428" w:rsidP="000F3428">
            <w:pPr>
              <w:rPr>
                <w:rFonts w:ascii="Times New Roman" w:hAnsi="Times New Roman" w:cs="Times New Roman"/>
                <w:sz w:val="24"/>
                <w:szCs w:val="24"/>
              </w:rPr>
            </w:pPr>
          </w:p>
          <w:p w14:paraId="2347BA8A" w14:textId="77777777" w:rsidR="000F3428" w:rsidRPr="000F3428" w:rsidRDefault="000F3428" w:rsidP="000F3428">
            <w:pPr>
              <w:rPr>
                <w:rFonts w:ascii="Times New Roman" w:hAnsi="Times New Roman" w:cs="Times New Roman"/>
                <w:sz w:val="24"/>
                <w:szCs w:val="24"/>
              </w:rPr>
            </w:pPr>
          </w:p>
          <w:p w14:paraId="11CC02BF" w14:textId="77777777" w:rsidR="000F3428" w:rsidRPr="000F3428" w:rsidRDefault="000F3428" w:rsidP="000F3428">
            <w:pPr>
              <w:rPr>
                <w:rFonts w:ascii="Times New Roman" w:hAnsi="Times New Roman" w:cs="Times New Roman"/>
                <w:sz w:val="24"/>
                <w:szCs w:val="24"/>
              </w:rPr>
            </w:pPr>
          </w:p>
          <w:p w14:paraId="5A921F38" w14:textId="77777777" w:rsidR="000F3428" w:rsidRPr="000F3428" w:rsidRDefault="000F3428" w:rsidP="000F3428">
            <w:pPr>
              <w:rPr>
                <w:rFonts w:ascii="Times New Roman" w:hAnsi="Times New Roman" w:cs="Times New Roman"/>
                <w:sz w:val="24"/>
                <w:szCs w:val="24"/>
              </w:rPr>
            </w:pPr>
          </w:p>
          <w:p w14:paraId="32C48C46" w14:textId="77777777" w:rsidR="000F3428" w:rsidRPr="000F3428" w:rsidRDefault="000F3428" w:rsidP="000F3428">
            <w:pPr>
              <w:rPr>
                <w:rFonts w:ascii="Times New Roman" w:hAnsi="Times New Roman" w:cs="Times New Roman"/>
                <w:sz w:val="24"/>
                <w:szCs w:val="24"/>
              </w:rPr>
            </w:pPr>
          </w:p>
          <w:p w14:paraId="3946269B" w14:textId="77777777" w:rsidR="000F3428" w:rsidRPr="000F3428" w:rsidRDefault="000F3428" w:rsidP="000F3428">
            <w:pPr>
              <w:rPr>
                <w:rFonts w:ascii="Times New Roman" w:hAnsi="Times New Roman" w:cs="Times New Roman"/>
                <w:sz w:val="24"/>
                <w:szCs w:val="24"/>
              </w:rPr>
            </w:pPr>
          </w:p>
          <w:p w14:paraId="5343E598" w14:textId="77777777" w:rsidR="000F3428" w:rsidRPr="000F3428" w:rsidRDefault="000F3428" w:rsidP="000F3428">
            <w:pPr>
              <w:rPr>
                <w:rFonts w:ascii="Times New Roman" w:hAnsi="Times New Roman" w:cs="Times New Roman"/>
                <w:sz w:val="24"/>
                <w:szCs w:val="24"/>
              </w:rPr>
            </w:pPr>
          </w:p>
          <w:p w14:paraId="6ECBD786" w14:textId="77777777" w:rsidR="000F3428" w:rsidRDefault="000F3428" w:rsidP="000F3428">
            <w:pPr>
              <w:rPr>
                <w:rFonts w:ascii="Times New Roman" w:hAnsi="Times New Roman" w:cs="Times New Roman"/>
                <w:sz w:val="24"/>
                <w:szCs w:val="24"/>
              </w:rPr>
            </w:pPr>
          </w:p>
          <w:p w14:paraId="1D1831AF" w14:textId="77777777" w:rsidR="000F3428" w:rsidRPr="000F3428" w:rsidRDefault="000F3428" w:rsidP="000F3428">
            <w:pPr>
              <w:rPr>
                <w:rFonts w:ascii="Times New Roman" w:hAnsi="Times New Roman" w:cs="Times New Roman"/>
                <w:sz w:val="24"/>
                <w:szCs w:val="24"/>
              </w:rPr>
            </w:pPr>
          </w:p>
          <w:p w14:paraId="4436BFBF" w14:textId="77777777" w:rsidR="000F3428" w:rsidRPr="000F3428" w:rsidRDefault="000F3428" w:rsidP="000F3428">
            <w:pPr>
              <w:rPr>
                <w:rFonts w:ascii="Times New Roman" w:hAnsi="Times New Roman" w:cs="Times New Roman"/>
                <w:sz w:val="24"/>
                <w:szCs w:val="24"/>
              </w:rPr>
            </w:pPr>
          </w:p>
          <w:p w14:paraId="0366CC92" w14:textId="77777777" w:rsidR="000F3428" w:rsidRPr="000F3428" w:rsidRDefault="000F3428" w:rsidP="000F3428">
            <w:pPr>
              <w:rPr>
                <w:rFonts w:ascii="Times New Roman" w:hAnsi="Times New Roman" w:cs="Times New Roman"/>
                <w:sz w:val="24"/>
                <w:szCs w:val="24"/>
              </w:rPr>
            </w:pPr>
          </w:p>
          <w:p w14:paraId="19C2A9C6" w14:textId="77777777" w:rsidR="000F3428" w:rsidRPr="000F3428" w:rsidRDefault="000F3428" w:rsidP="005B1EAF">
            <w:pPr>
              <w:jc w:val="center"/>
              <w:rPr>
                <w:rFonts w:ascii="Times New Roman" w:hAnsi="Times New Roman" w:cs="Times New Roman"/>
                <w:sz w:val="24"/>
                <w:szCs w:val="24"/>
              </w:rPr>
            </w:pPr>
          </w:p>
          <w:p w14:paraId="5BF7D543" w14:textId="77777777" w:rsidR="000F3428" w:rsidRDefault="000F3428" w:rsidP="000F3428">
            <w:pPr>
              <w:rPr>
                <w:rFonts w:ascii="Times New Roman" w:hAnsi="Times New Roman" w:cs="Times New Roman"/>
                <w:sz w:val="24"/>
                <w:szCs w:val="24"/>
              </w:rPr>
            </w:pPr>
          </w:p>
          <w:p w14:paraId="4DBD5E5B" w14:textId="77777777" w:rsidR="000F3428" w:rsidRPr="000F3428" w:rsidRDefault="000F3428" w:rsidP="000F3428">
            <w:pPr>
              <w:rPr>
                <w:rFonts w:ascii="Times New Roman" w:hAnsi="Times New Roman" w:cs="Times New Roman"/>
                <w:sz w:val="24"/>
                <w:szCs w:val="24"/>
              </w:rPr>
            </w:pPr>
          </w:p>
          <w:p w14:paraId="74D99BED" w14:textId="77777777" w:rsidR="000F3428" w:rsidRDefault="000F3428" w:rsidP="000F3428">
            <w:pPr>
              <w:rPr>
                <w:rFonts w:ascii="Times New Roman" w:hAnsi="Times New Roman" w:cs="Times New Roman"/>
                <w:sz w:val="24"/>
                <w:szCs w:val="24"/>
              </w:rPr>
            </w:pPr>
          </w:p>
          <w:p w14:paraId="5B3FCF41" w14:textId="77777777" w:rsidR="000F3428" w:rsidRDefault="000F3428" w:rsidP="000F3428">
            <w:pPr>
              <w:rPr>
                <w:rFonts w:ascii="Times New Roman" w:hAnsi="Times New Roman" w:cs="Times New Roman"/>
                <w:sz w:val="24"/>
                <w:szCs w:val="24"/>
              </w:rPr>
            </w:pPr>
          </w:p>
          <w:p w14:paraId="39FEC9B4" w14:textId="77777777" w:rsidR="00100575" w:rsidRPr="000F3428" w:rsidRDefault="000F3428" w:rsidP="000F3428">
            <w:pPr>
              <w:tabs>
                <w:tab w:val="left" w:pos="1005"/>
              </w:tabs>
              <w:rPr>
                <w:rFonts w:ascii="Times New Roman" w:hAnsi="Times New Roman" w:cs="Times New Roman"/>
                <w:sz w:val="24"/>
                <w:szCs w:val="24"/>
              </w:rPr>
            </w:pPr>
            <w:r>
              <w:rPr>
                <w:rFonts w:ascii="Times New Roman" w:hAnsi="Times New Roman" w:cs="Times New Roman"/>
                <w:sz w:val="24"/>
                <w:szCs w:val="24"/>
              </w:rPr>
              <w:tab/>
            </w:r>
          </w:p>
        </w:tc>
        <w:tc>
          <w:tcPr>
            <w:tcW w:w="5811" w:type="dxa"/>
          </w:tcPr>
          <w:p w14:paraId="7E8CD71A" w14:textId="2A095FBF" w:rsidR="00100575" w:rsidRPr="00AE1744" w:rsidRDefault="0094721F" w:rsidP="001F7D56">
            <w:pPr>
              <w:pStyle w:val="NoSpacing"/>
              <w:spacing w:before="120"/>
              <w:ind w:left="57" w:right="142"/>
              <w:jc w:val="both"/>
            </w:pPr>
            <w:r w:rsidRPr="00AE1744">
              <w:lastRenderedPageBreak/>
              <w:t xml:space="preserve">1. </w:t>
            </w:r>
            <w:r w:rsidR="000B7473" w:rsidRPr="00AE1744">
              <w:t>Pašreiz</w:t>
            </w:r>
            <w:r w:rsidR="00100575" w:rsidRPr="00AE1744">
              <w:t xml:space="preserve"> saskaņā ar Pievienotās vērtības nodokļa likuma (turpmāk – PVN likums) 52. panta pirmās daļas 25. punkta “b” apakšpunktu, ar PVN neapliek dzīvojamās mājas pārvaldīšanas pakalpojumu, saskaņā ar pārvaldīšanas līgumā iekļautajiem maksājumiem.</w:t>
            </w:r>
            <w:r w:rsidR="007B3616" w:rsidRPr="00AE1744">
              <w:t xml:space="preserve"> Tāpat arī PVN likuma 52.panta pirmās daļas 8.punkta “b” apakšpunkts paredz, ka dzīvokļu īpašnieku kooperatīvo sabiedrību</w:t>
            </w:r>
            <w:r w:rsidR="004822DE" w:rsidRPr="00AE1744">
              <w:t xml:space="preserve"> sniegtajiem </w:t>
            </w:r>
            <w:r w:rsidR="007B3616" w:rsidRPr="00AE1744">
              <w:t>dzīvojamo māju uzturēšana</w:t>
            </w:r>
            <w:r w:rsidR="004822DE" w:rsidRPr="00AE1744">
              <w:t>s</w:t>
            </w:r>
            <w:r w:rsidR="007B3616" w:rsidRPr="00AE1744">
              <w:t xml:space="preserve"> un pārvaldīšana</w:t>
            </w:r>
            <w:r w:rsidR="004822DE" w:rsidRPr="00AE1744">
              <w:t>s pakalpojumiem to biedriem</w:t>
            </w:r>
            <w:r w:rsidR="007B3616" w:rsidRPr="00AE1744">
              <w:t xml:space="preserve"> ir piemērojams PVN atbrīvojums.</w:t>
            </w:r>
            <w:r w:rsidR="00100575" w:rsidRPr="00AE1744">
              <w:t xml:space="preserve"> Savukārt Padomes 2006. gada 28. novembra direktīva 2006/112/EK par kopējo pievienotās vērtības nodokļa sistēmu (turpmāk – PVN direktīva) neparedz  nosacījumu, ka ar PVN neapliek dzīvojamo māju pārv</w:t>
            </w:r>
            <w:r w:rsidR="004822DE" w:rsidRPr="00AE1744">
              <w:t>aldīšanas pakalpojumu. Tādejādi</w:t>
            </w:r>
            <w:r w:rsidR="00100575" w:rsidRPr="00AE1744">
              <w:t xml:space="preserve"> veidojas neatbilstība starp PVN likumu un PVN direktīvu. </w:t>
            </w:r>
          </w:p>
          <w:p w14:paraId="7C25030B" w14:textId="77777777" w:rsidR="00100575" w:rsidRPr="00100575" w:rsidRDefault="00100575" w:rsidP="001F7D56">
            <w:pPr>
              <w:pStyle w:val="NoSpacing"/>
              <w:spacing w:before="120"/>
              <w:ind w:left="57" w:right="142"/>
              <w:jc w:val="both"/>
            </w:pPr>
            <w:r w:rsidRPr="00AE1744">
              <w:t>P</w:t>
            </w:r>
            <w:r w:rsidR="004822DE" w:rsidRPr="00AE1744">
              <w:t>ar iepriekš minēto neatbilstību</w:t>
            </w:r>
            <w:r w:rsidRPr="00AE1744">
              <w:t xml:space="preserve"> 2014. gada</w:t>
            </w:r>
            <w:r w:rsidRPr="00100575">
              <w:t xml:space="preserve"> 11. februārī Eiropas Komisija EU PILOT 6103/14/TAXU procedūras lietas ietvaros nosūtīja pirmo informācijas pieprasījumu, savukārt 2014. gada 26. novembrī Latvija saņēma Eiropas Komisijas formālo paziņojumu pārkāpuma procedūras lietā Nr. 2014/2233.</w:t>
            </w:r>
          </w:p>
          <w:p w14:paraId="32F2ADEA" w14:textId="2272448B" w:rsidR="00100575" w:rsidRPr="00AE1744" w:rsidRDefault="00100575" w:rsidP="001F7D56">
            <w:pPr>
              <w:spacing w:before="120"/>
              <w:ind w:left="57" w:right="142"/>
              <w:jc w:val="both"/>
              <w:rPr>
                <w:rFonts w:ascii="Times New Roman" w:eastAsia="Calibri" w:hAnsi="Times New Roman" w:cs="Times New Roman"/>
                <w:sz w:val="24"/>
                <w:szCs w:val="24"/>
              </w:rPr>
            </w:pPr>
            <w:r w:rsidRPr="00C73A75">
              <w:rPr>
                <w:rFonts w:ascii="Times New Roman" w:eastAsia="Times New Roman" w:hAnsi="Times New Roman" w:cs="Times New Roman"/>
                <w:sz w:val="24"/>
                <w:szCs w:val="24"/>
              </w:rPr>
              <w:t xml:space="preserve">Jāatzīmē, ka pēc būtības tiesiskais regulējums attiecībā uz PVN piemērošanu iedzīvotājiem sniegtajiem </w:t>
            </w:r>
            <w:r w:rsidRPr="00C73A75">
              <w:rPr>
                <w:rFonts w:ascii="Times New Roman" w:hAnsi="Times New Roman" w:cs="Times New Roman"/>
                <w:sz w:val="24"/>
                <w:szCs w:val="24"/>
              </w:rPr>
              <w:t xml:space="preserve">dzīvojamās mājas </w:t>
            </w:r>
            <w:r w:rsidR="00C73A75" w:rsidRPr="00C73A75">
              <w:rPr>
                <w:rFonts w:ascii="Times New Roman" w:hAnsi="Times New Roman" w:cs="Times New Roman"/>
                <w:sz w:val="24"/>
                <w:szCs w:val="24"/>
              </w:rPr>
              <w:t>uzturēšanas un apsaimniekošanas pakalpojumiem</w:t>
            </w:r>
            <w:r w:rsidRPr="00C73A75">
              <w:rPr>
                <w:rFonts w:ascii="Times New Roman" w:hAnsi="Times New Roman" w:cs="Times New Roman"/>
                <w:sz w:val="24"/>
                <w:szCs w:val="24"/>
              </w:rPr>
              <w:t xml:space="preserve"> </w:t>
            </w:r>
            <w:r w:rsidR="00C73A75">
              <w:rPr>
                <w:rFonts w:ascii="Times New Roman" w:eastAsia="Times New Roman" w:hAnsi="Times New Roman" w:cs="Times New Roman"/>
                <w:sz w:val="24"/>
                <w:szCs w:val="24"/>
              </w:rPr>
              <w:t>nav mainījies pēc Latvijas</w:t>
            </w:r>
            <w:r w:rsidR="00C73A75" w:rsidRPr="00C73A75">
              <w:rPr>
                <w:rFonts w:ascii="Times New Roman" w:eastAsia="Times New Roman" w:hAnsi="Times New Roman" w:cs="Times New Roman"/>
                <w:sz w:val="24"/>
                <w:szCs w:val="24"/>
              </w:rPr>
              <w:t xml:space="preserve"> iestāšanās Eiropas Savienībā</w:t>
            </w:r>
            <w:r w:rsidRPr="00C73A75">
              <w:rPr>
                <w:rFonts w:ascii="Times New Roman" w:eastAsia="Times New Roman" w:hAnsi="Times New Roman" w:cs="Times New Roman"/>
                <w:sz w:val="24"/>
                <w:szCs w:val="24"/>
              </w:rPr>
              <w:t>.</w:t>
            </w:r>
            <w:r w:rsidRPr="00C73A75">
              <w:rPr>
                <w:rFonts w:ascii="Times New Roman" w:eastAsia="Times New Roman" w:hAnsi="Times New Roman" w:cs="Times New Roman"/>
                <w:bCs/>
                <w:color w:val="000000"/>
                <w:sz w:val="24"/>
                <w:szCs w:val="24"/>
              </w:rPr>
              <w:t xml:space="preserve"> </w:t>
            </w:r>
            <w:r w:rsidR="00A20E2B" w:rsidRPr="00100575">
              <w:rPr>
                <w:rFonts w:ascii="Times New Roman" w:eastAsia="Calibri" w:hAnsi="Times New Roman" w:cs="Times New Roman"/>
                <w:sz w:val="24"/>
                <w:szCs w:val="24"/>
              </w:rPr>
              <w:t>PVN likuma</w:t>
            </w:r>
            <w:r w:rsidR="00A20E2B">
              <w:rPr>
                <w:rFonts w:ascii="Times New Roman" w:eastAsia="Calibri" w:hAnsi="Times New Roman" w:cs="Times New Roman"/>
                <w:sz w:val="24"/>
                <w:szCs w:val="24"/>
              </w:rPr>
              <w:t xml:space="preserve"> (</w:t>
            </w:r>
            <w:r w:rsidR="00A20E2B" w:rsidRPr="00100575">
              <w:rPr>
                <w:rFonts w:ascii="Times New Roman" w:eastAsia="Calibri" w:hAnsi="Times New Roman" w:cs="Times New Roman"/>
                <w:sz w:val="24"/>
                <w:szCs w:val="24"/>
              </w:rPr>
              <w:t xml:space="preserve">stājās spēkā </w:t>
            </w:r>
            <w:r w:rsidRPr="00C73A75">
              <w:rPr>
                <w:rFonts w:ascii="Times New Roman" w:eastAsia="Calibri" w:hAnsi="Times New Roman" w:cs="Times New Roman"/>
                <w:sz w:val="24"/>
                <w:szCs w:val="24"/>
              </w:rPr>
              <w:t>2013</w:t>
            </w:r>
            <w:r w:rsidR="00A20E2B">
              <w:rPr>
                <w:rFonts w:ascii="Times New Roman" w:eastAsia="Calibri" w:hAnsi="Times New Roman" w:cs="Times New Roman"/>
                <w:sz w:val="24"/>
                <w:szCs w:val="24"/>
              </w:rPr>
              <w:t>.gada 1.janvārī</w:t>
            </w:r>
            <w:r w:rsidRPr="00100575">
              <w:rPr>
                <w:rFonts w:ascii="Times New Roman" w:eastAsia="Calibri" w:hAnsi="Times New Roman" w:cs="Times New Roman"/>
                <w:sz w:val="24"/>
                <w:szCs w:val="24"/>
              </w:rPr>
              <w:t xml:space="preserve"> </w:t>
            </w:r>
            <w:r w:rsidR="00A20E2B">
              <w:rPr>
                <w:rFonts w:ascii="Times New Roman" w:eastAsia="Calibri" w:hAnsi="Times New Roman" w:cs="Times New Roman"/>
                <w:sz w:val="24"/>
                <w:szCs w:val="24"/>
              </w:rPr>
              <w:t>un</w:t>
            </w:r>
            <w:r w:rsidRPr="00100575">
              <w:rPr>
                <w:rFonts w:ascii="Times New Roman" w:eastAsia="Calibri" w:hAnsi="Times New Roman" w:cs="Times New Roman"/>
                <w:sz w:val="24"/>
                <w:szCs w:val="24"/>
              </w:rPr>
              <w:t xml:space="preserve"> aizstāja likumu “Par pievienotās vērtības nodokli”</w:t>
            </w:r>
            <w:r w:rsidR="00A20E2B">
              <w:rPr>
                <w:rFonts w:ascii="Times New Roman" w:eastAsia="Calibri" w:hAnsi="Times New Roman" w:cs="Times New Roman"/>
                <w:sz w:val="24"/>
                <w:szCs w:val="24"/>
              </w:rPr>
              <w:t>)</w:t>
            </w:r>
            <w:r w:rsidRPr="00100575">
              <w:rPr>
                <w:rFonts w:ascii="Times New Roman" w:eastAsia="Calibri" w:hAnsi="Times New Roman" w:cs="Times New Roman"/>
                <w:sz w:val="24"/>
                <w:szCs w:val="24"/>
              </w:rPr>
              <w:t xml:space="preserve"> </w:t>
            </w:r>
            <w:r w:rsidRPr="00100575">
              <w:rPr>
                <w:rFonts w:ascii="Times New Roman" w:eastAsia="Times New Roman" w:hAnsi="Times New Roman" w:cs="Times New Roman"/>
                <w:sz w:val="24"/>
                <w:szCs w:val="24"/>
              </w:rPr>
              <w:t xml:space="preserve">52. panta pirmās </w:t>
            </w:r>
            <w:r>
              <w:rPr>
                <w:rFonts w:ascii="Times New Roman" w:eastAsia="Times New Roman" w:hAnsi="Times New Roman" w:cs="Times New Roman"/>
                <w:sz w:val="24"/>
                <w:szCs w:val="24"/>
              </w:rPr>
              <w:t>daļas 25.punkta “b”</w:t>
            </w:r>
            <w:r w:rsidRPr="00100575">
              <w:rPr>
                <w:rFonts w:ascii="Times New Roman" w:eastAsia="Times New Roman" w:hAnsi="Times New Roman" w:cs="Times New Roman"/>
                <w:sz w:val="24"/>
                <w:szCs w:val="24"/>
              </w:rPr>
              <w:t xml:space="preserve"> apakšpunktā </w:t>
            </w:r>
            <w:r w:rsidRPr="00100575">
              <w:rPr>
                <w:rFonts w:ascii="Times New Roman" w:eastAsia="Calibri" w:hAnsi="Times New Roman" w:cs="Times New Roman"/>
                <w:sz w:val="24"/>
                <w:szCs w:val="24"/>
              </w:rPr>
              <w:t xml:space="preserve">tika iestrādāta likuma “Par pievienotās vērtības nodokli” </w:t>
            </w:r>
            <w:r w:rsidRPr="00100575">
              <w:rPr>
                <w:rFonts w:ascii="Times New Roman" w:eastAsia="Times New Roman" w:hAnsi="Times New Roman" w:cs="Times New Roman"/>
                <w:sz w:val="24"/>
                <w:szCs w:val="24"/>
              </w:rPr>
              <w:t>6.panta pirmā</w:t>
            </w:r>
            <w:r w:rsidR="008F3C96">
              <w:rPr>
                <w:rFonts w:ascii="Times New Roman" w:eastAsia="Times New Roman" w:hAnsi="Times New Roman" w:cs="Times New Roman"/>
                <w:sz w:val="24"/>
                <w:szCs w:val="24"/>
              </w:rPr>
              <w:t>s daļas 14.punkta “b”</w:t>
            </w:r>
            <w:r w:rsidRPr="00100575">
              <w:rPr>
                <w:rFonts w:ascii="Times New Roman" w:eastAsia="Times New Roman" w:hAnsi="Times New Roman" w:cs="Times New Roman"/>
                <w:sz w:val="24"/>
                <w:szCs w:val="24"/>
              </w:rPr>
              <w:t xml:space="preserve"> apakšpunkta</w:t>
            </w:r>
            <w:r w:rsidR="000B7473">
              <w:rPr>
                <w:rFonts w:ascii="Times New Roman" w:eastAsia="Calibri" w:hAnsi="Times New Roman" w:cs="Times New Roman"/>
                <w:sz w:val="24"/>
                <w:szCs w:val="24"/>
              </w:rPr>
              <w:t xml:space="preserve"> norma, balstoties uz kuru</w:t>
            </w:r>
            <w:r w:rsidRPr="00100575">
              <w:rPr>
                <w:rFonts w:ascii="Times New Roman" w:eastAsia="Calibri" w:hAnsi="Times New Roman" w:cs="Times New Roman"/>
                <w:sz w:val="24"/>
                <w:szCs w:val="24"/>
              </w:rPr>
              <w:t xml:space="preserve"> šobrīd </w:t>
            </w:r>
            <w:r w:rsidRPr="00100575">
              <w:rPr>
                <w:rFonts w:ascii="Times New Roman" w:hAnsi="Times New Roman" w:cs="Times New Roman"/>
                <w:sz w:val="24"/>
                <w:szCs w:val="24"/>
              </w:rPr>
              <w:t xml:space="preserve">ar PVN neapliek iedzīvotājiem sniegto dzīvojamās mājas pārvaldīšanas pakalpojumu saskaņā ar </w:t>
            </w:r>
            <w:r w:rsidRPr="00AE1744">
              <w:rPr>
                <w:rFonts w:ascii="Times New Roman" w:hAnsi="Times New Roman" w:cs="Times New Roman"/>
                <w:sz w:val="24"/>
                <w:szCs w:val="24"/>
              </w:rPr>
              <w:t>pārvaldīšanas līgumā iekļautajiem maksājumiem.</w:t>
            </w:r>
            <w:r w:rsidRPr="00AE1744">
              <w:rPr>
                <w:rFonts w:ascii="Times New Roman" w:eastAsia="Calibri" w:hAnsi="Times New Roman" w:cs="Times New Roman"/>
                <w:sz w:val="24"/>
                <w:szCs w:val="24"/>
              </w:rPr>
              <w:t xml:space="preserve"> </w:t>
            </w:r>
            <w:r w:rsidR="006F2076" w:rsidRPr="00AE1744">
              <w:rPr>
                <w:rFonts w:ascii="Times New Roman" w:eastAsia="Calibri" w:hAnsi="Times New Roman" w:cs="Times New Roman"/>
                <w:sz w:val="24"/>
                <w:szCs w:val="24"/>
              </w:rPr>
              <w:t xml:space="preserve">Tāpat </w:t>
            </w:r>
            <w:r w:rsidR="006F2076" w:rsidRPr="00AE1744">
              <w:rPr>
                <w:rFonts w:ascii="Times New Roman" w:eastAsia="Calibri" w:hAnsi="Times New Roman" w:cs="Times New Roman"/>
                <w:sz w:val="24"/>
                <w:szCs w:val="24"/>
              </w:rPr>
              <w:lastRenderedPageBreak/>
              <w:t>a</w:t>
            </w:r>
            <w:r w:rsidR="002A1D39" w:rsidRPr="00AE1744">
              <w:rPr>
                <w:rFonts w:ascii="Times New Roman" w:eastAsia="Calibri" w:hAnsi="Times New Roman" w:cs="Times New Roman"/>
                <w:sz w:val="24"/>
                <w:szCs w:val="24"/>
              </w:rPr>
              <w:t xml:space="preserve">rī </w:t>
            </w:r>
            <w:r w:rsidR="006F2076" w:rsidRPr="00AE1744">
              <w:rPr>
                <w:rFonts w:ascii="Times New Roman" w:eastAsia="Calibri" w:hAnsi="Times New Roman" w:cs="Times New Roman"/>
                <w:sz w:val="24"/>
                <w:szCs w:val="24"/>
              </w:rPr>
              <w:t xml:space="preserve">PVN regulējums attiecībā uz dzīvokļu īpašnieku kooperatīvo sabiedrību sniegtajiem dzīvojamo māju uzturēšanas un pārvaldīšanas pakalpojumiem to biedriem </w:t>
            </w:r>
            <w:r w:rsidR="006F2076" w:rsidRPr="00AE1744">
              <w:rPr>
                <w:rFonts w:ascii="Times New Roman" w:eastAsia="Times New Roman" w:hAnsi="Times New Roman" w:cs="Times New Roman"/>
                <w:sz w:val="24"/>
                <w:szCs w:val="24"/>
              </w:rPr>
              <w:t>pēc būtības nav mainījies pēc Latvijas iestāšanās Eiropas Savienībā.</w:t>
            </w:r>
          </w:p>
          <w:p w14:paraId="1AC95546" w14:textId="77777777" w:rsidR="005242D5" w:rsidRPr="00AE1744" w:rsidRDefault="00911F8E" w:rsidP="005242D5">
            <w:pPr>
              <w:spacing w:before="120"/>
              <w:ind w:left="57" w:right="142"/>
              <w:jc w:val="both"/>
              <w:rPr>
                <w:rFonts w:ascii="Times New Roman" w:hAnsi="Times New Roman" w:cs="Times New Roman"/>
                <w:sz w:val="24"/>
                <w:szCs w:val="24"/>
              </w:rPr>
            </w:pPr>
            <w:r w:rsidRPr="00AE1744">
              <w:rPr>
                <w:rFonts w:ascii="Times New Roman" w:eastAsia="Times New Roman" w:hAnsi="Times New Roman" w:cs="Times New Roman"/>
                <w:bCs/>
                <w:color w:val="000000"/>
                <w:sz w:val="24"/>
                <w:szCs w:val="24"/>
              </w:rPr>
              <w:t>Regulējuma</w:t>
            </w:r>
            <w:r w:rsidR="00100575" w:rsidRPr="00AE1744">
              <w:rPr>
                <w:rFonts w:ascii="Times New Roman" w:eastAsia="Times New Roman" w:hAnsi="Times New Roman" w:cs="Times New Roman"/>
                <w:bCs/>
                <w:color w:val="000000"/>
                <w:sz w:val="24"/>
                <w:szCs w:val="24"/>
              </w:rPr>
              <w:t xml:space="preserve"> mērķis ir veikt grozījumus</w:t>
            </w:r>
            <w:r w:rsidR="00100575" w:rsidRPr="00100575">
              <w:rPr>
                <w:rFonts w:ascii="Times New Roman" w:eastAsia="Times New Roman" w:hAnsi="Times New Roman" w:cs="Times New Roman"/>
                <w:bCs/>
                <w:color w:val="000000"/>
                <w:sz w:val="24"/>
                <w:szCs w:val="24"/>
              </w:rPr>
              <w:t xml:space="preserve"> PVN likumā, saskaņojot to ar norma</w:t>
            </w:r>
            <w:r w:rsidR="00100575">
              <w:rPr>
                <w:rFonts w:ascii="Times New Roman" w:eastAsia="Times New Roman" w:hAnsi="Times New Roman" w:cs="Times New Roman"/>
                <w:bCs/>
                <w:color w:val="000000"/>
                <w:sz w:val="24"/>
                <w:szCs w:val="24"/>
              </w:rPr>
              <w:t xml:space="preserve">tīvo </w:t>
            </w:r>
            <w:r w:rsidR="006D2D1A">
              <w:rPr>
                <w:rFonts w:ascii="Times New Roman" w:eastAsia="Times New Roman" w:hAnsi="Times New Roman" w:cs="Times New Roman"/>
                <w:bCs/>
                <w:color w:val="000000"/>
                <w:sz w:val="24"/>
                <w:szCs w:val="24"/>
              </w:rPr>
              <w:t>regulējumu PVN direktīvā, un vienlaikus izpild</w:t>
            </w:r>
            <w:r w:rsidR="00B2667D">
              <w:rPr>
                <w:rFonts w:ascii="Times New Roman" w:eastAsia="Times New Roman" w:hAnsi="Times New Roman" w:cs="Times New Roman"/>
                <w:bCs/>
                <w:color w:val="000000"/>
                <w:sz w:val="24"/>
                <w:szCs w:val="24"/>
              </w:rPr>
              <w:t>ot</w:t>
            </w:r>
            <w:r w:rsidR="00100575" w:rsidRPr="00100575">
              <w:rPr>
                <w:rFonts w:ascii="Times New Roman" w:eastAsia="Times New Roman" w:hAnsi="Times New Roman" w:cs="Times New Roman"/>
                <w:bCs/>
                <w:color w:val="000000"/>
                <w:sz w:val="24"/>
                <w:szCs w:val="24"/>
              </w:rPr>
              <w:t xml:space="preserve"> Latvijai ar PVN direktīv</w:t>
            </w:r>
            <w:r w:rsidR="00FD0426">
              <w:rPr>
                <w:rFonts w:ascii="Times New Roman" w:eastAsia="Times New Roman" w:hAnsi="Times New Roman" w:cs="Times New Roman"/>
                <w:bCs/>
                <w:color w:val="000000"/>
                <w:sz w:val="24"/>
                <w:szCs w:val="24"/>
              </w:rPr>
              <w:t xml:space="preserve">u uzliktos </w:t>
            </w:r>
            <w:r w:rsidR="00FD0426" w:rsidRPr="00AE1744">
              <w:rPr>
                <w:rFonts w:ascii="Times New Roman" w:eastAsia="Times New Roman" w:hAnsi="Times New Roman" w:cs="Times New Roman"/>
                <w:bCs/>
                <w:color w:val="000000"/>
                <w:sz w:val="24"/>
                <w:szCs w:val="24"/>
              </w:rPr>
              <w:t>pienākumus. Tādejādi</w:t>
            </w:r>
            <w:r w:rsidR="00100575" w:rsidRPr="00AE1744">
              <w:rPr>
                <w:rFonts w:ascii="Times New Roman" w:eastAsia="Times New Roman" w:hAnsi="Times New Roman" w:cs="Times New Roman"/>
                <w:bCs/>
                <w:color w:val="000000"/>
                <w:sz w:val="24"/>
                <w:szCs w:val="24"/>
              </w:rPr>
              <w:t xml:space="preserve"> ar šo likumprojektu no PVN likuma tiks izslēgts </w:t>
            </w:r>
            <w:r w:rsidR="00100575" w:rsidRPr="00AE1744">
              <w:rPr>
                <w:rFonts w:ascii="Times New Roman" w:hAnsi="Times New Roman" w:cs="Times New Roman"/>
                <w:sz w:val="24"/>
                <w:szCs w:val="24"/>
              </w:rPr>
              <w:t xml:space="preserve">52. panta pirmās daļas </w:t>
            </w:r>
            <w:r w:rsidR="00FD0426" w:rsidRPr="00AE1744">
              <w:rPr>
                <w:rFonts w:ascii="Times New Roman" w:hAnsi="Times New Roman" w:cs="Times New Roman"/>
                <w:sz w:val="24"/>
                <w:szCs w:val="24"/>
              </w:rPr>
              <w:t xml:space="preserve">8.punkta “b” apakšpunkts un </w:t>
            </w:r>
            <w:r w:rsidR="007B0897" w:rsidRPr="00AE1744">
              <w:rPr>
                <w:rFonts w:ascii="Times New Roman" w:hAnsi="Times New Roman" w:cs="Times New Roman"/>
                <w:sz w:val="24"/>
                <w:szCs w:val="24"/>
              </w:rPr>
              <w:t xml:space="preserve">25. punkta “b” apakšpunkts un precizēts 52.panta ceturtās daļas 8.punkts, kas nosaka </w:t>
            </w:r>
            <w:r w:rsidR="006B06F4" w:rsidRPr="00AE1744">
              <w:rPr>
                <w:rFonts w:ascii="Times New Roman" w:hAnsi="Times New Roman" w:cs="Times New Roman"/>
                <w:sz w:val="24"/>
                <w:szCs w:val="24"/>
              </w:rPr>
              <w:t>Ministru kabineta kompetenci</w:t>
            </w:r>
            <w:r w:rsidR="00675934" w:rsidRPr="00AE1744">
              <w:rPr>
                <w:rFonts w:ascii="Times New Roman" w:hAnsi="Times New Roman" w:cs="Times New Roman"/>
                <w:sz w:val="24"/>
                <w:szCs w:val="24"/>
              </w:rPr>
              <w:t xml:space="preserve"> attiecībā uz dzīvojamo māju pārvaldīšanas pakalpojumiem</w:t>
            </w:r>
            <w:r w:rsidR="00100575" w:rsidRPr="00AE1744">
              <w:rPr>
                <w:rFonts w:ascii="Times New Roman" w:hAnsi="Times New Roman" w:cs="Times New Roman"/>
                <w:sz w:val="24"/>
                <w:szCs w:val="24"/>
              </w:rPr>
              <w:t>.</w:t>
            </w:r>
          </w:p>
          <w:p w14:paraId="27284C6B" w14:textId="77777777" w:rsidR="005242D5" w:rsidRPr="00AE1744" w:rsidRDefault="009500ED" w:rsidP="005242D5">
            <w:pPr>
              <w:spacing w:before="120"/>
              <w:ind w:left="57" w:right="142"/>
              <w:jc w:val="both"/>
              <w:rPr>
                <w:rFonts w:ascii="Times New Roman" w:hAnsi="Times New Roman"/>
                <w:sz w:val="24"/>
                <w:szCs w:val="24"/>
              </w:rPr>
            </w:pPr>
            <w:r w:rsidRPr="00AE1744">
              <w:rPr>
                <w:rFonts w:ascii="Times New Roman" w:hAnsi="Times New Roman" w:cs="Times New Roman"/>
                <w:sz w:val="24"/>
                <w:szCs w:val="24"/>
              </w:rPr>
              <w:t xml:space="preserve">Lai nodokļu maksātāji un iedzīvotāji sagatavotos izmaiņām attiecībā uz PVN režīma piemērošanu dzīvojamās mājas pārvaldīšanas pakalpojumam, </w:t>
            </w:r>
            <w:r w:rsidR="005E15F7" w:rsidRPr="00AE1744">
              <w:rPr>
                <w:rFonts w:ascii="Times New Roman" w:hAnsi="Times New Roman"/>
                <w:sz w:val="24"/>
                <w:szCs w:val="24"/>
              </w:rPr>
              <w:t>grozījumi</w:t>
            </w:r>
            <w:r w:rsidRPr="00AE1744">
              <w:rPr>
                <w:rFonts w:ascii="Times New Roman" w:hAnsi="Times New Roman"/>
                <w:sz w:val="24"/>
                <w:szCs w:val="24"/>
              </w:rPr>
              <w:t xml:space="preserve"> stāsies spēkā 2016.gada 1.jūlijā.</w:t>
            </w:r>
          </w:p>
          <w:p w14:paraId="6CCD2D82" w14:textId="77777777" w:rsidR="005242D5" w:rsidRPr="00AE1744" w:rsidRDefault="005242D5" w:rsidP="005242D5">
            <w:pPr>
              <w:spacing w:before="120"/>
              <w:ind w:left="57" w:right="142"/>
              <w:jc w:val="both"/>
              <w:rPr>
                <w:rFonts w:ascii="Times New Roman" w:hAnsi="Times New Roman"/>
                <w:sz w:val="24"/>
                <w:szCs w:val="24"/>
              </w:rPr>
            </w:pPr>
          </w:p>
          <w:p w14:paraId="40584A56" w14:textId="77777777" w:rsidR="005242D5" w:rsidRPr="00AE1744" w:rsidRDefault="0094721F" w:rsidP="005242D5">
            <w:pPr>
              <w:spacing w:before="120"/>
              <w:ind w:left="57" w:right="142"/>
              <w:jc w:val="both"/>
              <w:rPr>
                <w:rFonts w:ascii="Times New Roman" w:hAnsi="Times New Roman"/>
                <w:sz w:val="24"/>
                <w:szCs w:val="24"/>
              </w:rPr>
            </w:pPr>
            <w:r w:rsidRPr="00AE1744">
              <w:rPr>
                <w:rFonts w:ascii="Times New Roman" w:hAnsi="Times New Roman"/>
                <w:sz w:val="24"/>
                <w:szCs w:val="24"/>
              </w:rPr>
              <w:t xml:space="preserve">2. PVN direktīvas 132.panta pirmās daļas “n” apakšpunkts nosaka, ka konkrētus kultūras pakalpojumus un ar tiem cieši saistītas preces, ko, attiecīgi, sniedz vai piegādā publisko tiesību subjekti vai citas kultūras organizācijas, ko atzinusi attiecīgā dalībvalsts, atbrīvo no </w:t>
            </w:r>
            <w:r w:rsidR="007469AE" w:rsidRPr="00AE1744">
              <w:rPr>
                <w:rFonts w:ascii="Times New Roman" w:hAnsi="Times New Roman"/>
                <w:sz w:val="24"/>
                <w:szCs w:val="24"/>
              </w:rPr>
              <w:t>PVN</w:t>
            </w:r>
            <w:r w:rsidRPr="00AE1744">
              <w:rPr>
                <w:rFonts w:ascii="Times New Roman" w:hAnsi="Times New Roman"/>
                <w:sz w:val="24"/>
                <w:szCs w:val="24"/>
              </w:rPr>
              <w:t>. Minētais PVN direktīvas regulējums ir obligāta norma, kas jāpārņem katras Eiropas Savienības dalībvalsts nacionālaj</w:t>
            </w:r>
            <w:r w:rsidR="00B41B88" w:rsidRPr="00AE1744">
              <w:rPr>
                <w:rFonts w:ascii="Times New Roman" w:hAnsi="Times New Roman"/>
                <w:sz w:val="24"/>
                <w:szCs w:val="24"/>
              </w:rPr>
              <w:t>o</w:t>
            </w:r>
            <w:r w:rsidR="007469AE" w:rsidRPr="00AE1744">
              <w:rPr>
                <w:rFonts w:ascii="Times New Roman" w:hAnsi="Times New Roman"/>
                <w:sz w:val="24"/>
                <w:szCs w:val="24"/>
              </w:rPr>
              <w:t>s tiesību aktos, t</w:t>
            </w:r>
            <w:r w:rsidRPr="00AE1744">
              <w:rPr>
                <w:rFonts w:ascii="Times New Roman" w:hAnsi="Times New Roman"/>
                <w:sz w:val="24"/>
                <w:szCs w:val="24"/>
              </w:rPr>
              <w:t xml:space="preserve">omēr dalībvalstij ir zināma rīcības brīvība, nosakot kultūras organizācijas, kuru sniegtajiem kultūras pakalpojumiem būtu piemērojams atbrīvojums no PVN. </w:t>
            </w:r>
            <w:r w:rsidR="007469AE" w:rsidRPr="00AE1744">
              <w:rPr>
                <w:rFonts w:ascii="Times New Roman" w:hAnsi="Times New Roman"/>
                <w:sz w:val="24"/>
                <w:szCs w:val="24"/>
              </w:rPr>
              <w:t>Turklāt ir jāņem vērā, ka atbilstoši Eiropas Savienības regulējumam visi PVN atbrīvojumi ir jāpiemēro šauri, jo tie ir izņēmumi no vispārējā PVN maksāšanas principa.</w:t>
            </w:r>
          </w:p>
          <w:p w14:paraId="57404F06" w14:textId="77777777" w:rsidR="005242D5" w:rsidRPr="00AE1744" w:rsidRDefault="00C32825" w:rsidP="005242D5">
            <w:pPr>
              <w:spacing w:before="120"/>
              <w:ind w:left="57" w:right="142"/>
              <w:jc w:val="both"/>
              <w:rPr>
                <w:rFonts w:ascii="Times New Roman" w:hAnsi="Times New Roman" w:cs="Times New Roman"/>
                <w:sz w:val="24"/>
                <w:szCs w:val="24"/>
              </w:rPr>
            </w:pPr>
            <w:r w:rsidRPr="00AE1744">
              <w:rPr>
                <w:rFonts w:ascii="Times New Roman" w:hAnsi="Times New Roman" w:cs="Times New Roman"/>
                <w:sz w:val="24"/>
                <w:szCs w:val="24"/>
              </w:rPr>
              <w:t xml:space="preserve">Savukārt PVN direktīvas 133.panta 1.punkta “a” apakšpunkts nosaka, ka dalībvalstij ir tiesības noteikts, ka valsts atzītās kultūras organizācijas nedrīkst pastāvīgi censties gūt peļņu, bet peļņa, kas radusies, ir jānovirza pakalpojumu turpināšanai un uzlabošanai. </w:t>
            </w:r>
          </w:p>
          <w:p w14:paraId="1E00881E" w14:textId="77777777" w:rsidR="005242D5" w:rsidRPr="00AE1744" w:rsidRDefault="007469AE" w:rsidP="005242D5">
            <w:pPr>
              <w:spacing w:before="120"/>
              <w:ind w:left="57" w:right="142"/>
              <w:jc w:val="both"/>
              <w:rPr>
                <w:rFonts w:ascii="Times New Roman" w:hAnsi="Times New Roman"/>
                <w:sz w:val="24"/>
                <w:szCs w:val="24"/>
              </w:rPr>
            </w:pPr>
            <w:r w:rsidRPr="00AE1744">
              <w:rPr>
                <w:rFonts w:ascii="Times New Roman" w:hAnsi="Times New Roman"/>
                <w:sz w:val="24"/>
                <w:szCs w:val="24"/>
              </w:rPr>
              <w:t xml:space="preserve">Atbilstoši PVN likumam </w:t>
            </w:r>
            <w:r w:rsidR="00C32825" w:rsidRPr="00AE1744">
              <w:rPr>
                <w:rFonts w:ascii="Times New Roman" w:hAnsi="Times New Roman"/>
                <w:sz w:val="24"/>
                <w:szCs w:val="24"/>
              </w:rPr>
              <w:t xml:space="preserve">šobrīd </w:t>
            </w:r>
            <w:r w:rsidRPr="00AE1744">
              <w:rPr>
                <w:rFonts w:ascii="Times New Roman" w:hAnsi="Times New Roman"/>
                <w:sz w:val="24"/>
                <w:szCs w:val="24"/>
              </w:rPr>
              <w:t xml:space="preserve">PVN atbrīvojumu kultūras pakalpojumiem, kas minēti PVN likuma 52.panta pirmās daļas 17.punktā, var piemērot jebkura persona, arī  privātpersona (t.i., PVN direktīvā minētā kultūras organizācija), ja vien tā, sniedzot šos pakalpojumus, sistemātiski negūst peļņu, bet ja gūst peļņu, tad tikai tad, ja tā gūto peļņu novirza vai iegulda šo pakalpojumu sniegšanas pilnveidošanai. </w:t>
            </w:r>
            <w:r w:rsidR="00A80C80" w:rsidRPr="00AE1744">
              <w:rPr>
                <w:rFonts w:ascii="Times New Roman" w:hAnsi="Times New Roman"/>
                <w:sz w:val="24"/>
                <w:szCs w:val="24"/>
              </w:rPr>
              <w:t xml:space="preserve">PVN piemērošanas nolūkā vēsturiski Latvijā jēdziena “kultūras organizācija” izpratne balstās uz </w:t>
            </w:r>
            <w:r w:rsidR="0093751F" w:rsidRPr="00AE1744">
              <w:rPr>
                <w:rFonts w:ascii="Times New Roman" w:hAnsi="Times New Roman"/>
                <w:sz w:val="24"/>
                <w:szCs w:val="24"/>
              </w:rPr>
              <w:t xml:space="preserve"> Kultūras institūciju likumā</w:t>
            </w:r>
            <w:r w:rsidRPr="00AE1744">
              <w:rPr>
                <w:rFonts w:ascii="Times New Roman" w:hAnsi="Times New Roman"/>
                <w:sz w:val="24"/>
                <w:szCs w:val="24"/>
              </w:rPr>
              <w:t xml:space="preserve"> minēt</w:t>
            </w:r>
            <w:r w:rsidR="00A80C80" w:rsidRPr="00AE1744">
              <w:rPr>
                <w:rFonts w:ascii="Times New Roman" w:hAnsi="Times New Roman"/>
                <w:sz w:val="24"/>
                <w:szCs w:val="24"/>
              </w:rPr>
              <w:t>o</w:t>
            </w:r>
            <w:r w:rsidRPr="00AE1744">
              <w:rPr>
                <w:rFonts w:ascii="Times New Roman" w:hAnsi="Times New Roman"/>
                <w:sz w:val="24"/>
                <w:szCs w:val="24"/>
              </w:rPr>
              <w:t xml:space="preserve"> kultūras institūcijas izpratni.</w:t>
            </w:r>
            <w:r w:rsidR="00A80C80" w:rsidRPr="00AE1744">
              <w:rPr>
                <w:rFonts w:ascii="Times New Roman" w:hAnsi="Times New Roman"/>
                <w:sz w:val="24"/>
                <w:szCs w:val="24"/>
              </w:rPr>
              <w:t xml:space="preserve"> Saskaņā ar minēto likumu </w:t>
            </w:r>
            <w:r w:rsidR="0094721F" w:rsidRPr="00AE1744">
              <w:rPr>
                <w:rFonts w:ascii="Times New Roman" w:hAnsi="Times New Roman"/>
                <w:sz w:val="24"/>
                <w:szCs w:val="24"/>
              </w:rPr>
              <w:lastRenderedPageBreak/>
              <w:t>Kultūras institūciju darbības pamatmērķis ir kultūras vērtību radīšana, izplatīšana vai saglabāšana.</w:t>
            </w:r>
          </w:p>
          <w:p w14:paraId="029D15A1" w14:textId="1572BA39" w:rsidR="0094721F" w:rsidRPr="00AE1744" w:rsidRDefault="00B655B1" w:rsidP="005242D5">
            <w:pPr>
              <w:spacing w:before="120"/>
              <w:ind w:left="57" w:right="142"/>
              <w:jc w:val="both"/>
              <w:rPr>
                <w:rFonts w:ascii="Times New Roman" w:hAnsi="Times New Roman"/>
                <w:sz w:val="24"/>
                <w:szCs w:val="24"/>
              </w:rPr>
            </w:pPr>
            <w:r w:rsidRPr="00AE1744">
              <w:rPr>
                <w:rFonts w:ascii="Times New Roman" w:hAnsi="Times New Roman"/>
                <w:sz w:val="24"/>
                <w:szCs w:val="24"/>
              </w:rPr>
              <w:t xml:space="preserve">Kultūras institūciju likuma 2.panta </w:t>
            </w:r>
            <w:r w:rsidR="0094721F" w:rsidRPr="00AE1744">
              <w:rPr>
                <w:rFonts w:ascii="Times New Roman" w:hAnsi="Times New Roman"/>
                <w:sz w:val="24"/>
                <w:szCs w:val="24"/>
              </w:rPr>
              <w:t>otrā daļa paredz, ka kultūras institūcija atbilstoši savas darbības pamatmērķim veic vienu vai vairākas no šādām funkcijām:</w:t>
            </w:r>
          </w:p>
          <w:p w14:paraId="5F53636E" w14:textId="77777777" w:rsidR="0094721F" w:rsidRPr="00AE1744" w:rsidRDefault="0094721F" w:rsidP="005242D5">
            <w:pPr>
              <w:ind w:left="84" w:right="133" w:firstLine="485"/>
              <w:jc w:val="both"/>
              <w:rPr>
                <w:rFonts w:ascii="Times New Roman" w:hAnsi="Times New Roman"/>
                <w:sz w:val="24"/>
                <w:szCs w:val="24"/>
              </w:rPr>
            </w:pPr>
            <w:r w:rsidRPr="00AE1744">
              <w:rPr>
                <w:rFonts w:ascii="Times New Roman" w:hAnsi="Times New Roman"/>
                <w:sz w:val="24"/>
                <w:szCs w:val="24"/>
              </w:rPr>
              <w:t>1) rada, uzkrāj, saglabā, pēta, dara pieejamas vai popularizē kultūras vērtības;</w:t>
            </w:r>
          </w:p>
          <w:p w14:paraId="1D1A57AB" w14:textId="77777777" w:rsidR="0094721F" w:rsidRPr="00AE1744" w:rsidRDefault="0094721F" w:rsidP="005242D5">
            <w:pPr>
              <w:ind w:left="84" w:right="133" w:firstLine="485"/>
              <w:jc w:val="both"/>
              <w:rPr>
                <w:rFonts w:ascii="Times New Roman" w:hAnsi="Times New Roman"/>
                <w:sz w:val="24"/>
                <w:szCs w:val="24"/>
              </w:rPr>
            </w:pPr>
            <w:r w:rsidRPr="00AE1744">
              <w:rPr>
                <w:rFonts w:ascii="Times New Roman" w:hAnsi="Times New Roman"/>
                <w:sz w:val="24"/>
                <w:szCs w:val="24"/>
              </w:rPr>
              <w:t xml:space="preserve">2) veic </w:t>
            </w:r>
            <w:proofErr w:type="spellStart"/>
            <w:r w:rsidRPr="00AE1744">
              <w:rPr>
                <w:rFonts w:ascii="Times New Roman" w:hAnsi="Times New Roman"/>
                <w:sz w:val="24"/>
                <w:szCs w:val="24"/>
              </w:rPr>
              <w:t>kultūrizglītojošo</w:t>
            </w:r>
            <w:proofErr w:type="spellEnd"/>
            <w:r w:rsidRPr="00AE1744">
              <w:rPr>
                <w:rFonts w:ascii="Times New Roman" w:hAnsi="Times New Roman"/>
                <w:sz w:val="24"/>
                <w:szCs w:val="24"/>
              </w:rPr>
              <w:t xml:space="preserve"> darbu;</w:t>
            </w:r>
          </w:p>
          <w:p w14:paraId="16A20A66" w14:textId="77777777" w:rsidR="0094721F" w:rsidRPr="00AE1744" w:rsidRDefault="0094721F" w:rsidP="005242D5">
            <w:pPr>
              <w:ind w:left="84" w:right="133" w:firstLine="485"/>
              <w:jc w:val="both"/>
              <w:rPr>
                <w:rFonts w:ascii="Times New Roman" w:hAnsi="Times New Roman"/>
                <w:sz w:val="24"/>
                <w:szCs w:val="24"/>
              </w:rPr>
            </w:pPr>
            <w:r w:rsidRPr="00AE1744">
              <w:rPr>
                <w:rFonts w:ascii="Times New Roman" w:hAnsi="Times New Roman"/>
                <w:sz w:val="24"/>
                <w:szCs w:val="24"/>
              </w:rPr>
              <w:t>3) organizē kultūras pasākumus;</w:t>
            </w:r>
          </w:p>
          <w:p w14:paraId="6175A546" w14:textId="77777777" w:rsidR="0094721F" w:rsidRPr="00AE1744" w:rsidRDefault="0094721F" w:rsidP="005242D5">
            <w:pPr>
              <w:ind w:left="84" w:right="133" w:firstLine="485"/>
              <w:jc w:val="both"/>
              <w:rPr>
                <w:rFonts w:ascii="Times New Roman" w:hAnsi="Times New Roman"/>
                <w:sz w:val="24"/>
                <w:szCs w:val="24"/>
              </w:rPr>
            </w:pPr>
            <w:r w:rsidRPr="00AE1744">
              <w:rPr>
                <w:rFonts w:ascii="Times New Roman" w:hAnsi="Times New Roman"/>
                <w:sz w:val="24"/>
                <w:szCs w:val="24"/>
              </w:rPr>
              <w:t>4) vāc, uzkrāj, vērtē un analizē kultūras informāciju un nodrošina tās pieejamību sabiedrībai;</w:t>
            </w:r>
          </w:p>
          <w:p w14:paraId="79524D70" w14:textId="77777777" w:rsidR="0094721F" w:rsidRPr="00AE1744" w:rsidRDefault="0094721F" w:rsidP="005242D5">
            <w:pPr>
              <w:ind w:left="84" w:right="133" w:firstLine="485"/>
              <w:jc w:val="both"/>
              <w:rPr>
                <w:rFonts w:ascii="Times New Roman" w:hAnsi="Times New Roman"/>
                <w:sz w:val="24"/>
                <w:szCs w:val="24"/>
              </w:rPr>
            </w:pPr>
            <w:r w:rsidRPr="00AE1744">
              <w:rPr>
                <w:rFonts w:ascii="Times New Roman" w:hAnsi="Times New Roman"/>
                <w:sz w:val="24"/>
                <w:szCs w:val="24"/>
              </w:rPr>
              <w:t>5) organizē profesionālo apmācību kultūras jomā nodarbinātajiem;</w:t>
            </w:r>
          </w:p>
          <w:p w14:paraId="6571A7D0" w14:textId="77777777" w:rsidR="0094721F" w:rsidRPr="00AE1744" w:rsidRDefault="0094721F" w:rsidP="005242D5">
            <w:pPr>
              <w:ind w:left="84" w:right="133" w:firstLine="485"/>
              <w:jc w:val="both"/>
              <w:rPr>
                <w:rFonts w:ascii="Times New Roman" w:hAnsi="Times New Roman"/>
                <w:sz w:val="24"/>
                <w:szCs w:val="24"/>
              </w:rPr>
            </w:pPr>
            <w:r w:rsidRPr="00AE1744">
              <w:rPr>
                <w:rFonts w:ascii="Times New Roman" w:hAnsi="Times New Roman"/>
                <w:sz w:val="24"/>
                <w:szCs w:val="24"/>
              </w:rPr>
              <w:t>6) finansiāli atbalsta kultūras aktivitātes;</w:t>
            </w:r>
          </w:p>
          <w:p w14:paraId="543FC694" w14:textId="77777777" w:rsidR="0094721F" w:rsidRPr="00AE1744" w:rsidRDefault="0094721F" w:rsidP="005242D5">
            <w:pPr>
              <w:ind w:left="84" w:right="133" w:firstLine="485"/>
              <w:jc w:val="both"/>
              <w:rPr>
                <w:rFonts w:ascii="Times New Roman" w:hAnsi="Times New Roman"/>
                <w:sz w:val="24"/>
                <w:szCs w:val="24"/>
              </w:rPr>
            </w:pPr>
            <w:r w:rsidRPr="00AE1744">
              <w:rPr>
                <w:rFonts w:ascii="Times New Roman" w:hAnsi="Times New Roman"/>
                <w:sz w:val="24"/>
                <w:szCs w:val="24"/>
              </w:rPr>
              <w:t>7) rosina sabiedrībā interesi par kultūru un apmierina sabiedrības kultūras vajadzības;</w:t>
            </w:r>
          </w:p>
          <w:p w14:paraId="2DB20AD0" w14:textId="77777777" w:rsidR="0094721F" w:rsidRPr="00AE1744" w:rsidRDefault="0094721F" w:rsidP="005242D5">
            <w:pPr>
              <w:ind w:left="84" w:right="133" w:firstLine="485"/>
              <w:jc w:val="both"/>
              <w:rPr>
                <w:rFonts w:ascii="Times New Roman" w:hAnsi="Times New Roman"/>
                <w:sz w:val="24"/>
                <w:szCs w:val="24"/>
              </w:rPr>
            </w:pPr>
            <w:r w:rsidRPr="00AE1744">
              <w:rPr>
                <w:rFonts w:ascii="Times New Roman" w:hAnsi="Times New Roman"/>
                <w:sz w:val="24"/>
                <w:szCs w:val="24"/>
              </w:rPr>
              <w:t xml:space="preserve">8) veicina jebkura sabiedrības locekļa iespēju sevi radoši izpaust un pilnveidot </w:t>
            </w:r>
            <w:proofErr w:type="spellStart"/>
            <w:r w:rsidRPr="00AE1744">
              <w:rPr>
                <w:rFonts w:ascii="Times New Roman" w:hAnsi="Times New Roman"/>
                <w:sz w:val="24"/>
                <w:szCs w:val="24"/>
              </w:rPr>
              <w:t>amatiermākslā</w:t>
            </w:r>
            <w:proofErr w:type="spellEnd"/>
            <w:r w:rsidRPr="00AE1744">
              <w:rPr>
                <w:rFonts w:ascii="Times New Roman" w:hAnsi="Times New Roman"/>
                <w:sz w:val="24"/>
                <w:szCs w:val="24"/>
              </w:rPr>
              <w:t xml:space="preserve"> un tautas mākslā.</w:t>
            </w:r>
          </w:p>
          <w:p w14:paraId="63C5C318" w14:textId="058D751E" w:rsidR="00A80C80" w:rsidRPr="00AE1744" w:rsidRDefault="00A80C80" w:rsidP="005242D5">
            <w:pPr>
              <w:spacing w:before="120"/>
              <w:ind w:left="84" w:right="133"/>
              <w:jc w:val="both"/>
              <w:rPr>
                <w:rFonts w:ascii="Times New Roman" w:hAnsi="Times New Roman"/>
                <w:sz w:val="24"/>
                <w:szCs w:val="24"/>
              </w:rPr>
            </w:pPr>
            <w:r w:rsidRPr="00AE1744">
              <w:rPr>
                <w:rFonts w:ascii="Times New Roman" w:hAnsi="Times New Roman"/>
                <w:sz w:val="24"/>
                <w:szCs w:val="24"/>
              </w:rPr>
              <w:t>Tomēr institūcijas, kuras finansiāli atbalsta kultūras aktivitātes, bet kuru darbības pamatmērķis nav kultūras vērtību radīšana, izplatīšana vai saglabāšana, netiek uzskatītas par kultūras institūcijām</w:t>
            </w:r>
            <w:r w:rsidR="00962387" w:rsidRPr="00AE1744">
              <w:rPr>
                <w:rFonts w:ascii="Times New Roman" w:hAnsi="Times New Roman"/>
                <w:sz w:val="24"/>
                <w:szCs w:val="24"/>
              </w:rPr>
              <w:t xml:space="preserve"> (Kultūras institūciju likuma 2.panta trešā daļa)</w:t>
            </w:r>
            <w:r w:rsidRPr="00AE1744">
              <w:rPr>
                <w:rFonts w:ascii="Times New Roman" w:hAnsi="Times New Roman"/>
                <w:sz w:val="24"/>
                <w:szCs w:val="24"/>
              </w:rPr>
              <w:t>.</w:t>
            </w:r>
          </w:p>
          <w:p w14:paraId="22558862" w14:textId="00141BAE" w:rsidR="0094721F" w:rsidRPr="00AE1744" w:rsidRDefault="00B655B1" w:rsidP="005242D5">
            <w:pPr>
              <w:autoSpaceDE w:val="0"/>
              <w:autoSpaceDN w:val="0"/>
              <w:spacing w:before="120"/>
              <w:ind w:left="84" w:right="133" w:firstLine="2"/>
              <w:jc w:val="both"/>
              <w:rPr>
                <w:rFonts w:ascii="Times New Roman" w:hAnsi="Times New Roman"/>
                <w:sz w:val="24"/>
                <w:szCs w:val="24"/>
              </w:rPr>
            </w:pPr>
            <w:r w:rsidRPr="00AE1744">
              <w:rPr>
                <w:rFonts w:ascii="Times New Roman" w:hAnsi="Times New Roman"/>
                <w:sz w:val="24"/>
                <w:szCs w:val="24"/>
              </w:rPr>
              <w:t>S</w:t>
            </w:r>
            <w:r w:rsidR="0094721F" w:rsidRPr="00AE1744">
              <w:rPr>
                <w:rFonts w:ascii="Times New Roman" w:hAnsi="Times New Roman"/>
                <w:sz w:val="24"/>
                <w:szCs w:val="24"/>
              </w:rPr>
              <w:t>ecināms, ka jebkura persona, veicot kādu no Kultūras institūciju likumā minētajām funkcijām, un ja šīs personas darbības pamatmērķis atbilst š</w:t>
            </w:r>
            <w:r w:rsidR="00AC0106" w:rsidRPr="00AE1744">
              <w:rPr>
                <w:rFonts w:ascii="Times New Roman" w:hAnsi="Times New Roman"/>
                <w:sz w:val="24"/>
                <w:szCs w:val="24"/>
              </w:rPr>
              <w:t>ajā</w:t>
            </w:r>
            <w:r w:rsidR="0094721F" w:rsidRPr="00AE1744">
              <w:rPr>
                <w:rFonts w:ascii="Times New Roman" w:hAnsi="Times New Roman"/>
                <w:sz w:val="24"/>
                <w:szCs w:val="24"/>
              </w:rPr>
              <w:t xml:space="preserve"> likumā noteiktajam pamatmērķim, ir uzs</w:t>
            </w:r>
            <w:r w:rsidR="00C47355" w:rsidRPr="00AE1744">
              <w:rPr>
                <w:rFonts w:ascii="Times New Roman" w:hAnsi="Times New Roman"/>
                <w:sz w:val="24"/>
                <w:szCs w:val="24"/>
              </w:rPr>
              <w:t>katāma par kultūras institūciju, l</w:t>
            </w:r>
            <w:r w:rsidR="0094721F" w:rsidRPr="00AE1744">
              <w:rPr>
                <w:rFonts w:ascii="Times New Roman" w:hAnsi="Times New Roman"/>
                <w:sz w:val="24"/>
                <w:szCs w:val="24"/>
              </w:rPr>
              <w:t>īdz ar to tā</w:t>
            </w:r>
            <w:r w:rsidR="00AC0106" w:rsidRPr="00AE1744">
              <w:rPr>
                <w:rFonts w:ascii="Times New Roman" w:hAnsi="Times New Roman"/>
                <w:sz w:val="24"/>
                <w:szCs w:val="24"/>
              </w:rPr>
              <w:t>s</w:t>
            </w:r>
            <w:r w:rsidR="0094721F" w:rsidRPr="00AE1744">
              <w:rPr>
                <w:rFonts w:ascii="Times New Roman" w:hAnsi="Times New Roman"/>
                <w:sz w:val="24"/>
                <w:szCs w:val="24"/>
              </w:rPr>
              <w:t xml:space="preserve"> </w:t>
            </w:r>
            <w:r w:rsidR="00B41B88" w:rsidRPr="00AE1744">
              <w:rPr>
                <w:rFonts w:ascii="Times New Roman" w:hAnsi="Times New Roman"/>
                <w:sz w:val="24"/>
                <w:szCs w:val="24"/>
              </w:rPr>
              <w:t xml:space="preserve">šobrīd </w:t>
            </w:r>
            <w:r w:rsidR="0094721F" w:rsidRPr="00AE1744">
              <w:rPr>
                <w:rFonts w:ascii="Times New Roman" w:hAnsi="Times New Roman"/>
                <w:sz w:val="24"/>
                <w:szCs w:val="24"/>
              </w:rPr>
              <w:t>var neaplikt ar PVN kultūras pakalpojumus, kas minēti PVN likuma 52.panta pirmās daļas 17.punktā. </w:t>
            </w:r>
          </w:p>
          <w:p w14:paraId="465DE1A1" w14:textId="26B50CE4" w:rsidR="0094721F" w:rsidRPr="00AE1744" w:rsidRDefault="0094721F" w:rsidP="005242D5">
            <w:pPr>
              <w:spacing w:before="120"/>
              <w:ind w:left="84" w:right="133" w:firstLine="2"/>
              <w:jc w:val="both"/>
              <w:rPr>
                <w:rFonts w:ascii="Times New Roman" w:hAnsi="Times New Roman"/>
                <w:sz w:val="24"/>
                <w:szCs w:val="24"/>
              </w:rPr>
            </w:pPr>
            <w:r w:rsidRPr="00AE1744">
              <w:rPr>
                <w:rFonts w:ascii="Times New Roman" w:hAnsi="Times New Roman"/>
                <w:sz w:val="24"/>
                <w:szCs w:val="24"/>
              </w:rPr>
              <w:t>Tomēr var pieņemt, ka</w:t>
            </w:r>
            <w:r w:rsidR="00C47355" w:rsidRPr="00AE1744">
              <w:rPr>
                <w:rFonts w:ascii="Times New Roman" w:hAnsi="Times New Roman"/>
                <w:sz w:val="24"/>
                <w:szCs w:val="24"/>
              </w:rPr>
              <w:t xml:space="preserve"> ne vienmēr </w:t>
            </w:r>
            <w:r w:rsidR="00AC0106" w:rsidRPr="00AE1744">
              <w:rPr>
                <w:rFonts w:ascii="Times New Roman" w:hAnsi="Times New Roman"/>
                <w:sz w:val="24"/>
                <w:szCs w:val="24"/>
              </w:rPr>
              <w:t>PVN atbrīvojuma piemēro</w:t>
            </w:r>
            <w:r w:rsidR="00E72962" w:rsidRPr="00AE1744">
              <w:rPr>
                <w:rFonts w:ascii="Times New Roman" w:hAnsi="Times New Roman"/>
                <w:sz w:val="24"/>
                <w:szCs w:val="24"/>
              </w:rPr>
              <w:t xml:space="preserve">šanā </w:t>
            </w:r>
            <w:r w:rsidR="00C47355" w:rsidRPr="00AE1744">
              <w:rPr>
                <w:rFonts w:ascii="Times New Roman" w:hAnsi="Times New Roman"/>
                <w:sz w:val="24"/>
                <w:szCs w:val="24"/>
              </w:rPr>
              <w:t>tiek ņemt</w:t>
            </w:r>
            <w:r w:rsidR="00545894" w:rsidRPr="00AE1744">
              <w:rPr>
                <w:rFonts w:ascii="Times New Roman" w:hAnsi="Times New Roman"/>
                <w:sz w:val="24"/>
                <w:szCs w:val="24"/>
              </w:rPr>
              <w:t>s</w:t>
            </w:r>
            <w:r w:rsidR="00C47355" w:rsidRPr="00AE1744">
              <w:rPr>
                <w:rFonts w:ascii="Times New Roman" w:hAnsi="Times New Roman"/>
                <w:sz w:val="24"/>
                <w:szCs w:val="24"/>
              </w:rPr>
              <w:t xml:space="preserve"> vērā Kultūras institūciju likuma 2.panta trešajā daļā minētais</w:t>
            </w:r>
            <w:r w:rsidR="00293F14" w:rsidRPr="00AE1744">
              <w:rPr>
                <w:rFonts w:ascii="Times New Roman" w:hAnsi="Times New Roman"/>
                <w:sz w:val="24"/>
                <w:szCs w:val="24"/>
              </w:rPr>
              <w:t>,</w:t>
            </w:r>
            <w:r w:rsidR="00C47355" w:rsidRPr="00AE1744">
              <w:rPr>
                <w:rFonts w:ascii="Times New Roman" w:hAnsi="Times New Roman"/>
                <w:sz w:val="24"/>
                <w:szCs w:val="24"/>
              </w:rPr>
              <w:t xml:space="preserve"> </w:t>
            </w:r>
            <w:r w:rsidR="00293F14" w:rsidRPr="00AE1744">
              <w:rPr>
                <w:rFonts w:ascii="Times New Roman" w:hAnsi="Times New Roman"/>
                <w:sz w:val="24"/>
                <w:szCs w:val="24"/>
              </w:rPr>
              <w:t>un</w:t>
            </w:r>
            <w:r w:rsidRPr="00AE1744">
              <w:rPr>
                <w:rFonts w:ascii="Times New Roman" w:hAnsi="Times New Roman"/>
                <w:sz w:val="24"/>
                <w:szCs w:val="24"/>
              </w:rPr>
              <w:t xml:space="preserve"> PVN atbrīvojumu </w:t>
            </w:r>
            <w:r w:rsidR="00B41B88" w:rsidRPr="00AE1744">
              <w:rPr>
                <w:rFonts w:ascii="Times New Roman" w:hAnsi="Times New Roman"/>
                <w:sz w:val="24"/>
                <w:szCs w:val="24"/>
              </w:rPr>
              <w:t>piemēro</w:t>
            </w:r>
            <w:r w:rsidRPr="00AE1744">
              <w:rPr>
                <w:rFonts w:ascii="Times New Roman" w:hAnsi="Times New Roman"/>
                <w:sz w:val="24"/>
                <w:szCs w:val="24"/>
              </w:rPr>
              <w:t xml:space="preserve"> arī dažādu</w:t>
            </w:r>
            <w:r w:rsidR="00C47355" w:rsidRPr="00AE1744">
              <w:rPr>
                <w:rFonts w:ascii="Times New Roman" w:hAnsi="Times New Roman"/>
                <w:sz w:val="24"/>
                <w:szCs w:val="24"/>
              </w:rPr>
              <w:t xml:space="preserve"> tā saukto</w:t>
            </w:r>
            <w:r w:rsidRPr="00AE1744">
              <w:rPr>
                <w:rFonts w:ascii="Times New Roman" w:hAnsi="Times New Roman"/>
                <w:sz w:val="24"/>
                <w:szCs w:val="24"/>
              </w:rPr>
              <w:t xml:space="preserve"> po</w:t>
            </w:r>
            <w:r w:rsidR="00293F14" w:rsidRPr="00AE1744">
              <w:rPr>
                <w:rFonts w:ascii="Times New Roman" w:hAnsi="Times New Roman"/>
                <w:sz w:val="24"/>
                <w:szCs w:val="24"/>
              </w:rPr>
              <w:t>pkultūras pasākumu organizētāji</w:t>
            </w:r>
            <w:r w:rsidR="00FE1E37" w:rsidRPr="00AE1744">
              <w:rPr>
                <w:rFonts w:ascii="Times New Roman" w:hAnsi="Times New Roman"/>
                <w:sz w:val="24"/>
                <w:szCs w:val="24"/>
              </w:rPr>
              <w:t>, kuru darbība galvenokārt ir ar komerciālu raksturu</w:t>
            </w:r>
            <w:r w:rsidR="00E72962" w:rsidRPr="00AE1744">
              <w:rPr>
                <w:rFonts w:ascii="Times New Roman" w:hAnsi="Times New Roman"/>
                <w:sz w:val="24"/>
                <w:szCs w:val="24"/>
              </w:rPr>
              <w:t>, jo PVN likuma 52.panta otrajā daļā minēts, ka kultūras</w:t>
            </w:r>
            <w:r w:rsidR="00E72962" w:rsidRPr="00AE1744">
              <w:rPr>
                <w:rFonts w:ascii="Times New Roman" w:eastAsia="Times New Roman" w:hAnsi="Times New Roman" w:cs="Times New Roman"/>
                <w:sz w:val="24"/>
                <w:szCs w:val="24"/>
              </w:rPr>
              <w:t xml:space="preserve"> pakalpojumiem PVN atbrīvojumu piemēro arī personas, kas nav publiskas personas, ja, sniedzot šos pakalpojumus, sistemātiski netiek gūta peļņa vai, ja peļņa tiek gūta,- gūto peļņu novirza vai iegulda šo pakalpojumu sniegšanas pilnveidošanai</w:t>
            </w:r>
            <w:r w:rsidRPr="00AE1744">
              <w:rPr>
                <w:rFonts w:ascii="Times New Roman" w:hAnsi="Times New Roman"/>
                <w:sz w:val="24"/>
                <w:szCs w:val="24"/>
              </w:rPr>
              <w:t xml:space="preserve">. </w:t>
            </w:r>
            <w:r w:rsidR="00B655B1" w:rsidRPr="00AE1744">
              <w:rPr>
                <w:rFonts w:ascii="Times New Roman" w:hAnsi="Times New Roman"/>
                <w:sz w:val="24"/>
                <w:szCs w:val="24"/>
              </w:rPr>
              <w:t>T</w:t>
            </w:r>
            <w:r w:rsidR="00293F14" w:rsidRPr="00AE1744">
              <w:rPr>
                <w:rFonts w:ascii="Times New Roman" w:hAnsi="Times New Roman"/>
                <w:sz w:val="24"/>
                <w:szCs w:val="24"/>
              </w:rPr>
              <w:t>ādējādi</w:t>
            </w:r>
            <w:r w:rsidR="00B655B1" w:rsidRPr="00AE1744">
              <w:rPr>
                <w:rFonts w:ascii="Times New Roman" w:hAnsi="Times New Roman"/>
                <w:sz w:val="24"/>
                <w:szCs w:val="24"/>
              </w:rPr>
              <w:t xml:space="preserve"> šāda</w:t>
            </w:r>
            <w:r w:rsidRPr="00AE1744">
              <w:rPr>
                <w:rFonts w:ascii="Times New Roman" w:hAnsi="Times New Roman"/>
                <w:sz w:val="24"/>
                <w:szCs w:val="24"/>
              </w:rPr>
              <w:t xml:space="preserve"> PVN atbrīvojuma piemērošana </w:t>
            </w:r>
            <w:r w:rsidR="00B655B1" w:rsidRPr="00AE1744">
              <w:rPr>
                <w:rFonts w:ascii="Times New Roman" w:hAnsi="Times New Roman"/>
                <w:sz w:val="24"/>
                <w:szCs w:val="24"/>
              </w:rPr>
              <w:t>minētajiem</w:t>
            </w:r>
            <w:r w:rsidRPr="00AE1744">
              <w:rPr>
                <w:rFonts w:ascii="Times New Roman" w:hAnsi="Times New Roman"/>
                <w:sz w:val="24"/>
                <w:szCs w:val="24"/>
              </w:rPr>
              <w:t xml:space="preserve"> </w:t>
            </w:r>
            <w:r w:rsidR="00B655B1" w:rsidRPr="00AE1744">
              <w:rPr>
                <w:rFonts w:ascii="Times New Roman" w:hAnsi="Times New Roman"/>
                <w:sz w:val="24"/>
                <w:szCs w:val="24"/>
              </w:rPr>
              <w:t>kultūras pakalpojumiem</w:t>
            </w:r>
            <w:r w:rsidRPr="00AE1744">
              <w:rPr>
                <w:rFonts w:ascii="Times New Roman" w:hAnsi="Times New Roman"/>
                <w:sz w:val="24"/>
                <w:szCs w:val="24"/>
              </w:rPr>
              <w:t xml:space="preserve">, </w:t>
            </w:r>
            <w:r w:rsidR="00B655B1" w:rsidRPr="00AE1744">
              <w:rPr>
                <w:rFonts w:ascii="Times New Roman" w:hAnsi="Times New Roman"/>
                <w:sz w:val="24"/>
                <w:szCs w:val="24"/>
              </w:rPr>
              <w:t>neatbilst PVN likuma 52.panta pirmās daļas 17.punktā iek</w:t>
            </w:r>
            <w:r w:rsidR="00D14946" w:rsidRPr="00AE1744">
              <w:rPr>
                <w:rFonts w:ascii="Times New Roman" w:hAnsi="Times New Roman"/>
                <w:sz w:val="24"/>
                <w:szCs w:val="24"/>
              </w:rPr>
              <w:t xml:space="preserve">ļautās normas sākotnējam mērķim, un </w:t>
            </w:r>
            <w:r w:rsidR="00B655B1" w:rsidRPr="00AE1744">
              <w:rPr>
                <w:rFonts w:ascii="Times New Roman" w:hAnsi="Times New Roman"/>
                <w:sz w:val="24"/>
                <w:szCs w:val="24"/>
              </w:rPr>
              <w:t xml:space="preserve">ir nepieciešamas </w:t>
            </w:r>
            <w:r w:rsidR="00D14946" w:rsidRPr="00AE1744">
              <w:rPr>
                <w:rFonts w:ascii="Times New Roman" w:hAnsi="Times New Roman"/>
                <w:sz w:val="24"/>
                <w:szCs w:val="24"/>
              </w:rPr>
              <w:t>precizēt šī</w:t>
            </w:r>
            <w:r w:rsidRPr="00AE1744">
              <w:rPr>
                <w:rFonts w:ascii="Times New Roman" w:hAnsi="Times New Roman"/>
                <w:sz w:val="24"/>
                <w:szCs w:val="24"/>
              </w:rPr>
              <w:t xml:space="preserve"> PVN atbrīvojuma piemērošan</w:t>
            </w:r>
            <w:r w:rsidR="00911F8E" w:rsidRPr="00AE1744">
              <w:rPr>
                <w:rFonts w:ascii="Times New Roman" w:hAnsi="Times New Roman"/>
                <w:sz w:val="24"/>
                <w:szCs w:val="24"/>
              </w:rPr>
              <w:t>as jomu</w:t>
            </w:r>
            <w:r w:rsidR="00293F14" w:rsidRPr="00AE1744">
              <w:rPr>
                <w:rFonts w:ascii="Times New Roman" w:hAnsi="Times New Roman"/>
                <w:sz w:val="24"/>
                <w:szCs w:val="24"/>
              </w:rPr>
              <w:t>, skaidri minot PVN likumā personu loku, kurām ir tiesības piemērot šo PVN atbrīvojumu</w:t>
            </w:r>
            <w:r w:rsidRPr="00AE1744">
              <w:rPr>
                <w:rFonts w:ascii="Times New Roman" w:hAnsi="Times New Roman"/>
                <w:sz w:val="24"/>
                <w:szCs w:val="24"/>
              </w:rPr>
              <w:t xml:space="preserve">. </w:t>
            </w:r>
          </w:p>
          <w:p w14:paraId="3AA250E8" w14:textId="6A53D6EB" w:rsidR="005D2575" w:rsidRPr="00AE1744" w:rsidRDefault="005D2575" w:rsidP="005242D5">
            <w:pPr>
              <w:spacing w:before="120"/>
              <w:ind w:left="84" w:right="133" w:firstLine="2"/>
              <w:jc w:val="both"/>
              <w:rPr>
                <w:rFonts w:ascii="Times New Roman" w:hAnsi="Times New Roman"/>
                <w:sz w:val="24"/>
                <w:szCs w:val="24"/>
              </w:rPr>
            </w:pPr>
            <w:r w:rsidRPr="00AE1744">
              <w:rPr>
                <w:rFonts w:ascii="Times New Roman" w:hAnsi="Times New Roman"/>
                <w:sz w:val="24"/>
                <w:szCs w:val="24"/>
              </w:rPr>
              <w:t>Kultūras ministrijas ieskatā PVN atbrīvojumu attiecībā uz tādiem kultūras pakalpojumiem kā teātra un cirka izrādēm un koncertiem būtu tiesības piemērot šādām personām:</w:t>
            </w:r>
          </w:p>
          <w:p w14:paraId="5B4F9CE0" w14:textId="0E9AE74F" w:rsidR="005D2575" w:rsidRPr="00AE1744" w:rsidRDefault="005D2575" w:rsidP="005242D5">
            <w:pPr>
              <w:spacing w:before="120"/>
              <w:ind w:left="84" w:right="133" w:firstLine="709"/>
              <w:jc w:val="both"/>
              <w:rPr>
                <w:rFonts w:ascii="Times New Roman" w:hAnsi="Times New Roman"/>
                <w:bCs/>
                <w:sz w:val="24"/>
                <w:szCs w:val="24"/>
              </w:rPr>
            </w:pPr>
            <w:r w:rsidRPr="00AE1744">
              <w:rPr>
                <w:rFonts w:ascii="Times New Roman" w:hAnsi="Times New Roman"/>
                <w:bCs/>
                <w:sz w:val="24"/>
                <w:szCs w:val="24"/>
              </w:rPr>
              <w:t xml:space="preserve">1) publisko tiesību subjektiem - valsts un pašvaldību iestādes, kuras organizē attiecīgi koncertus, teātra un cirka izrādes (piemēram, Latvijas Nacionālais kultūras centrs attiecībā uz Dziesmu un deju svētkiem; Valsts izglītības satura centrs attiecībā uz </w:t>
            </w:r>
            <w:r w:rsidRPr="00AE1744">
              <w:rPr>
                <w:rFonts w:ascii="Times New Roman" w:hAnsi="Times New Roman"/>
                <w:sz w:val="24"/>
                <w:szCs w:val="24"/>
              </w:rPr>
              <w:t>Latvijas Skolu jaunatnes dziesmu un deju svētku rīkošanu).</w:t>
            </w:r>
            <w:r w:rsidRPr="00AE1744">
              <w:rPr>
                <w:rFonts w:ascii="Times New Roman" w:hAnsi="Times New Roman"/>
                <w:bCs/>
                <w:sz w:val="24"/>
                <w:szCs w:val="24"/>
              </w:rPr>
              <w:t xml:space="preserve"> Tas ietver arī pašvaldību iestādes - kultūras centrus un pašvaldību kultūras iestādes. </w:t>
            </w:r>
          </w:p>
          <w:p w14:paraId="18422095" w14:textId="67A878B2" w:rsidR="005D2575" w:rsidRPr="00AE1744" w:rsidRDefault="005D2575" w:rsidP="005242D5">
            <w:pPr>
              <w:spacing w:before="120"/>
              <w:ind w:left="84" w:right="133" w:firstLine="709"/>
              <w:jc w:val="both"/>
              <w:rPr>
                <w:rFonts w:ascii="Times New Roman" w:hAnsi="Times New Roman"/>
                <w:bCs/>
                <w:sz w:val="24"/>
                <w:szCs w:val="24"/>
              </w:rPr>
            </w:pPr>
            <w:r w:rsidRPr="00AE1744">
              <w:rPr>
                <w:rFonts w:ascii="Times New Roman" w:hAnsi="Times New Roman"/>
                <w:bCs/>
                <w:sz w:val="24"/>
                <w:szCs w:val="24"/>
              </w:rPr>
              <w:t xml:space="preserve">2) kultūras institūcijas, kuras veic deleģētas kultūras funkcijas saskaņā ar Valsts pārvaldes iekārtas likumu vai Kultūras institūciju likumu deleģētu vai ar pilnvarojumu nodotu valsts vai pašvaldības deleģētu kultūras funkciju vai uzdevumu izpildei. </w:t>
            </w:r>
          </w:p>
          <w:p w14:paraId="3BE8BA7D" w14:textId="77777777" w:rsidR="005D2575" w:rsidRPr="00AE1744" w:rsidRDefault="005D2575" w:rsidP="005242D5">
            <w:pPr>
              <w:ind w:left="84" w:right="133" w:firstLine="720"/>
              <w:jc w:val="both"/>
              <w:rPr>
                <w:rFonts w:ascii="Times New Roman" w:hAnsi="Times New Roman"/>
                <w:bCs/>
                <w:sz w:val="24"/>
                <w:szCs w:val="24"/>
              </w:rPr>
            </w:pPr>
            <w:r w:rsidRPr="00AE1744">
              <w:rPr>
                <w:rFonts w:ascii="Times New Roman" w:hAnsi="Times New Roman"/>
                <w:bCs/>
                <w:sz w:val="24"/>
                <w:szCs w:val="24"/>
              </w:rPr>
              <w:t xml:space="preserve">Kultūras funkcijas vai uzdevumi šobrīd ir deleģēti šādām institūcijām: </w:t>
            </w:r>
          </w:p>
          <w:p w14:paraId="6A471663" w14:textId="241B3712" w:rsidR="005D2575" w:rsidRPr="00AE1744" w:rsidRDefault="005D2575" w:rsidP="005242D5">
            <w:pPr>
              <w:ind w:left="84" w:right="133" w:firstLine="720"/>
              <w:jc w:val="both"/>
              <w:rPr>
                <w:rFonts w:ascii="Times New Roman" w:hAnsi="Times New Roman"/>
                <w:bCs/>
                <w:sz w:val="24"/>
                <w:szCs w:val="24"/>
              </w:rPr>
            </w:pPr>
            <w:r w:rsidRPr="00AE1744">
              <w:rPr>
                <w:rFonts w:ascii="Times New Roman" w:hAnsi="Times New Roman"/>
                <w:bCs/>
                <w:sz w:val="24"/>
                <w:szCs w:val="24"/>
              </w:rPr>
              <w:t>- valsts kapitālsabiedrības, kuras pilda deleģētas kultūras funkcijas un uzdevumus atbilstoši Kultūras institūciju likuma 23.panta otrajai daļai</w:t>
            </w:r>
            <w:r w:rsidR="009420D7" w:rsidRPr="00AE1744">
              <w:rPr>
                <w:rFonts w:ascii="Times New Roman" w:hAnsi="Times New Roman"/>
                <w:bCs/>
                <w:sz w:val="24"/>
                <w:szCs w:val="24"/>
              </w:rPr>
              <w:t>;</w:t>
            </w:r>
            <w:r w:rsidRPr="00AE1744">
              <w:rPr>
                <w:rFonts w:ascii="Times New Roman" w:hAnsi="Times New Roman"/>
                <w:bCs/>
                <w:sz w:val="24"/>
                <w:szCs w:val="24"/>
              </w:rPr>
              <w:t xml:space="preserve"> </w:t>
            </w:r>
          </w:p>
          <w:p w14:paraId="4432D105" w14:textId="4F8C1D38" w:rsidR="005D2575" w:rsidRPr="00AE1744" w:rsidRDefault="005D2575" w:rsidP="005242D5">
            <w:pPr>
              <w:ind w:left="84" w:right="133" w:firstLine="720"/>
              <w:jc w:val="both"/>
              <w:rPr>
                <w:rFonts w:ascii="Times New Roman" w:hAnsi="Times New Roman"/>
                <w:bCs/>
                <w:sz w:val="24"/>
                <w:szCs w:val="24"/>
              </w:rPr>
            </w:pPr>
            <w:r w:rsidRPr="00AE1744">
              <w:rPr>
                <w:rFonts w:ascii="Times New Roman" w:hAnsi="Times New Roman"/>
                <w:bCs/>
                <w:sz w:val="24"/>
                <w:szCs w:val="24"/>
              </w:rPr>
              <w:t>- pašvaldību kapitālsabiedrības, kuras pilda valsts vai pašvaldības deleģētas kultūras funkcijas (tās ir reģionālās koncertzāles apsaimniekojošās kapitālsabiedrības). Kultūras ministrija šādu funkciju ir deleģējusi 4 kapitālsabiedrībām – reģionāl</w:t>
            </w:r>
            <w:r w:rsidR="009420D7" w:rsidRPr="00AE1744">
              <w:rPr>
                <w:rFonts w:ascii="Times New Roman" w:hAnsi="Times New Roman"/>
                <w:bCs/>
                <w:sz w:val="24"/>
                <w:szCs w:val="24"/>
              </w:rPr>
              <w:t xml:space="preserve">o koncertzāļu </w:t>
            </w:r>
            <w:proofErr w:type="spellStart"/>
            <w:r w:rsidR="009420D7" w:rsidRPr="00AE1744">
              <w:rPr>
                <w:rFonts w:ascii="Times New Roman" w:hAnsi="Times New Roman"/>
                <w:bCs/>
                <w:sz w:val="24"/>
                <w:szCs w:val="24"/>
              </w:rPr>
              <w:t>apsaimniekotājiem</w:t>
            </w:r>
            <w:proofErr w:type="spellEnd"/>
            <w:r w:rsidR="009420D7" w:rsidRPr="00AE1744">
              <w:rPr>
                <w:rFonts w:ascii="Times New Roman" w:hAnsi="Times New Roman"/>
                <w:bCs/>
                <w:sz w:val="24"/>
                <w:szCs w:val="24"/>
              </w:rPr>
              <w:t>, arī</w:t>
            </w:r>
            <w:r w:rsidRPr="00AE1744">
              <w:rPr>
                <w:rFonts w:ascii="Times New Roman" w:hAnsi="Times New Roman"/>
                <w:bCs/>
                <w:sz w:val="24"/>
                <w:szCs w:val="24"/>
              </w:rPr>
              <w:t xml:space="preserve"> pašvaldībās pastāv prakse slēgt šādus līgumus</w:t>
            </w:r>
            <w:r w:rsidR="009420D7" w:rsidRPr="00AE1744">
              <w:rPr>
                <w:rFonts w:ascii="Times New Roman" w:hAnsi="Times New Roman"/>
                <w:bCs/>
                <w:sz w:val="24"/>
                <w:szCs w:val="24"/>
              </w:rPr>
              <w:t xml:space="preserve"> (</w:t>
            </w:r>
            <w:r w:rsidRPr="00AE1744">
              <w:rPr>
                <w:rFonts w:ascii="Times New Roman" w:hAnsi="Times New Roman"/>
                <w:bCs/>
                <w:sz w:val="24"/>
                <w:szCs w:val="24"/>
              </w:rPr>
              <w:t>piemēram, Jūrmalas dome ir noslēgusi kultūras funkcijas deleģēšanas līgumu ar pašvald</w:t>
            </w:r>
            <w:r w:rsidR="009420D7" w:rsidRPr="00AE1744">
              <w:rPr>
                <w:rFonts w:ascii="Times New Roman" w:hAnsi="Times New Roman"/>
                <w:bCs/>
                <w:sz w:val="24"/>
                <w:szCs w:val="24"/>
              </w:rPr>
              <w:t>ības SIA „Dzintaru koncertzāle”</w:t>
            </w:r>
            <w:r w:rsidRPr="00AE1744">
              <w:rPr>
                <w:rFonts w:ascii="Times New Roman" w:hAnsi="Times New Roman"/>
                <w:bCs/>
                <w:i/>
                <w:sz w:val="24"/>
                <w:szCs w:val="24"/>
              </w:rPr>
              <w:t>)</w:t>
            </w:r>
            <w:r w:rsidRPr="00AE1744">
              <w:rPr>
                <w:rFonts w:ascii="Times New Roman" w:hAnsi="Times New Roman"/>
                <w:bCs/>
                <w:sz w:val="24"/>
                <w:szCs w:val="24"/>
              </w:rPr>
              <w:t xml:space="preserve">; </w:t>
            </w:r>
          </w:p>
          <w:p w14:paraId="6C898CB9" w14:textId="569FA6ED" w:rsidR="005D2575" w:rsidRPr="00AE1744" w:rsidRDefault="005D2575" w:rsidP="005242D5">
            <w:pPr>
              <w:ind w:left="84" w:right="133" w:firstLine="720"/>
              <w:jc w:val="both"/>
              <w:rPr>
                <w:rFonts w:ascii="Times New Roman" w:hAnsi="Times New Roman"/>
                <w:bCs/>
                <w:sz w:val="24"/>
                <w:szCs w:val="24"/>
              </w:rPr>
            </w:pPr>
            <w:r w:rsidRPr="00AE1744">
              <w:rPr>
                <w:rFonts w:ascii="Times New Roman" w:hAnsi="Times New Roman"/>
                <w:bCs/>
                <w:sz w:val="24"/>
                <w:szCs w:val="24"/>
              </w:rPr>
              <w:t>- biedrības un nodibinājumi, kuras pilda valsts deleģētas kultū</w:t>
            </w:r>
            <w:r w:rsidR="009420D7" w:rsidRPr="00AE1744">
              <w:rPr>
                <w:rFonts w:ascii="Times New Roman" w:hAnsi="Times New Roman"/>
                <w:bCs/>
                <w:sz w:val="24"/>
                <w:szCs w:val="24"/>
              </w:rPr>
              <w:t>ras funkcijas un/vai uzdevumus</w:t>
            </w:r>
            <w:r w:rsidRPr="00AE1744">
              <w:rPr>
                <w:rFonts w:ascii="Times New Roman" w:hAnsi="Times New Roman"/>
                <w:bCs/>
                <w:sz w:val="24"/>
                <w:szCs w:val="24"/>
              </w:rPr>
              <w:t>;</w:t>
            </w:r>
          </w:p>
          <w:p w14:paraId="39D8D000" w14:textId="3291BD74" w:rsidR="005D2575" w:rsidRPr="00AE1744" w:rsidRDefault="005D2575" w:rsidP="005242D5">
            <w:pPr>
              <w:spacing w:before="120"/>
              <w:ind w:left="84" w:right="133" w:firstLine="720"/>
              <w:jc w:val="both"/>
              <w:rPr>
                <w:rFonts w:ascii="Times New Roman" w:hAnsi="Times New Roman"/>
                <w:bCs/>
                <w:sz w:val="24"/>
                <w:szCs w:val="24"/>
              </w:rPr>
            </w:pPr>
            <w:r w:rsidRPr="00AE1744">
              <w:rPr>
                <w:rFonts w:ascii="Times New Roman" w:hAnsi="Times New Roman"/>
                <w:bCs/>
                <w:sz w:val="24"/>
                <w:szCs w:val="24"/>
              </w:rPr>
              <w:t>3) sabiedriskā labuma organizācijas, ievērojot, ka atbilstoši Sabiedriskā labuma organizāciju likuma 3.pantam attiecīgās biedrības, nodibinājumu un reliģiskās organizācijas</w:t>
            </w:r>
            <w:r w:rsidR="002652F4" w:rsidRPr="00AE1744">
              <w:rPr>
                <w:rFonts w:ascii="Times New Roman" w:hAnsi="Times New Roman"/>
                <w:bCs/>
                <w:sz w:val="24"/>
                <w:szCs w:val="24"/>
              </w:rPr>
              <w:t xml:space="preserve"> un to iestādes</w:t>
            </w:r>
            <w:r w:rsidRPr="00AE1744">
              <w:rPr>
                <w:rFonts w:ascii="Times New Roman" w:hAnsi="Times New Roman"/>
                <w:bCs/>
                <w:sz w:val="24"/>
                <w:szCs w:val="24"/>
              </w:rPr>
              <w:t>, kurām piešķirts sabiedriskā labuma organizācijas statuss</w:t>
            </w:r>
            <w:r w:rsidR="009420D7" w:rsidRPr="00AE1744">
              <w:rPr>
                <w:rFonts w:ascii="Times New Roman" w:hAnsi="Times New Roman"/>
                <w:bCs/>
                <w:sz w:val="24"/>
                <w:szCs w:val="24"/>
              </w:rPr>
              <w:t>,</w:t>
            </w:r>
            <w:r w:rsidRPr="00AE1744">
              <w:rPr>
                <w:rFonts w:ascii="Times New Roman" w:hAnsi="Times New Roman"/>
                <w:bCs/>
                <w:sz w:val="24"/>
                <w:szCs w:val="24"/>
              </w:rPr>
              <w:t xml:space="preserve"> ienākumus izlieto darbībām, kuras nav komerciāla rakstura un kuras vērstas uz sabiedrisk</w:t>
            </w:r>
            <w:r w:rsidR="009420D7" w:rsidRPr="00AE1744">
              <w:rPr>
                <w:rFonts w:ascii="Times New Roman" w:hAnsi="Times New Roman"/>
                <w:bCs/>
                <w:sz w:val="24"/>
                <w:szCs w:val="24"/>
              </w:rPr>
              <w:t>ā labuma darbības nodrošināšanu</w:t>
            </w:r>
            <w:r w:rsidRPr="00AE1744">
              <w:rPr>
                <w:rFonts w:ascii="Times New Roman" w:hAnsi="Times New Roman"/>
                <w:bCs/>
                <w:sz w:val="24"/>
                <w:szCs w:val="24"/>
              </w:rPr>
              <w:t xml:space="preserve">. </w:t>
            </w:r>
          </w:p>
          <w:p w14:paraId="08577142" w14:textId="55D6329C" w:rsidR="00EE7B79" w:rsidRPr="00AE1744" w:rsidRDefault="00437628" w:rsidP="005242D5">
            <w:pPr>
              <w:shd w:val="clear" w:color="auto" w:fill="FFFFFF" w:themeFill="background1"/>
              <w:spacing w:before="120"/>
              <w:ind w:left="84" w:right="133" w:firstLine="2"/>
              <w:jc w:val="both"/>
              <w:rPr>
                <w:rFonts w:ascii="Times New Roman" w:hAnsi="Times New Roman"/>
                <w:sz w:val="24"/>
                <w:szCs w:val="24"/>
              </w:rPr>
            </w:pPr>
            <w:r w:rsidRPr="00AE1744">
              <w:rPr>
                <w:rFonts w:ascii="Times New Roman" w:hAnsi="Times New Roman"/>
                <w:sz w:val="24"/>
                <w:szCs w:val="24"/>
              </w:rPr>
              <w:t>Ar veicamajiem grozījumiem tiek noteikts</w:t>
            </w:r>
            <w:r w:rsidR="00911F8E" w:rsidRPr="00AE1744">
              <w:rPr>
                <w:rFonts w:ascii="Times New Roman" w:hAnsi="Times New Roman"/>
                <w:sz w:val="24"/>
                <w:szCs w:val="24"/>
              </w:rPr>
              <w:t>, ka PVN atbrīvojums ir piemērojams tādiem kultūras pakalpojumiem (teātra un cirka izrādes, koncerti),</w:t>
            </w:r>
            <w:r w:rsidR="00DA32DA" w:rsidRPr="00AE1744">
              <w:rPr>
                <w:rFonts w:ascii="Times New Roman" w:hAnsi="Times New Roman"/>
                <w:sz w:val="24"/>
                <w:szCs w:val="24"/>
              </w:rPr>
              <w:t xml:space="preserve"> kurus sniedz</w:t>
            </w:r>
            <w:r w:rsidR="00D14946" w:rsidRPr="00AE1744">
              <w:rPr>
                <w:rFonts w:ascii="Times New Roman" w:hAnsi="Times New Roman"/>
                <w:sz w:val="24"/>
                <w:szCs w:val="24"/>
              </w:rPr>
              <w:t xml:space="preserve"> publiskas personas, kā arī privātpersonas, kuras veic tai deleģētu</w:t>
            </w:r>
            <w:r w:rsidR="00545894" w:rsidRPr="00AE1744">
              <w:rPr>
                <w:rFonts w:ascii="Times New Roman" w:hAnsi="Times New Roman"/>
                <w:sz w:val="24"/>
                <w:szCs w:val="24"/>
              </w:rPr>
              <w:t xml:space="preserve"> </w:t>
            </w:r>
            <w:r w:rsidR="00D14946" w:rsidRPr="00AE1744">
              <w:rPr>
                <w:rFonts w:ascii="Times New Roman" w:hAnsi="Times New Roman"/>
                <w:sz w:val="24"/>
                <w:szCs w:val="24"/>
              </w:rPr>
              <w:t xml:space="preserve">pārvaldes uzdevumus kultūras jomā, un sabiedriskā labuma organizācijas, kuru veic sabiedriskā labuma darbību kultūras jomā. </w:t>
            </w:r>
            <w:r w:rsidR="00EE7B79" w:rsidRPr="00AE1744">
              <w:rPr>
                <w:rFonts w:ascii="Times New Roman" w:hAnsi="Times New Roman"/>
                <w:sz w:val="24"/>
                <w:szCs w:val="24"/>
              </w:rPr>
              <w:t>Līdz ar to tiks nošķirtas kultūras institūcijas, kuras pasākumus rīko komerciālu mērķu sasniegšanai, no kultūras institūcijām, kuras pasākumus rīko sabiedriskā labuma darbības ietvaros un tādu kultūrpolitikas mērķu sasniegšanai, kuri sniegti saskaņā ar valsts vai pašvaldības deleģētu kultūras funkciju.</w:t>
            </w:r>
          </w:p>
          <w:p w14:paraId="76F2758C" w14:textId="2C08FFBD" w:rsidR="00485048" w:rsidRPr="00AE1744" w:rsidRDefault="008A0C02" w:rsidP="005242D5">
            <w:pPr>
              <w:shd w:val="clear" w:color="auto" w:fill="FFFFFF" w:themeFill="background1"/>
              <w:spacing w:before="120"/>
              <w:ind w:left="84" w:right="133" w:firstLine="2"/>
              <w:jc w:val="both"/>
              <w:rPr>
                <w:rFonts w:ascii="Times New Roman" w:hAnsi="Times New Roman"/>
                <w:sz w:val="24"/>
                <w:szCs w:val="24"/>
              </w:rPr>
            </w:pPr>
            <w:r w:rsidRPr="00AE1744">
              <w:rPr>
                <w:rFonts w:ascii="Times New Roman" w:hAnsi="Times New Roman"/>
                <w:sz w:val="24"/>
                <w:szCs w:val="24"/>
              </w:rPr>
              <w:t>Vienlaikus ir nepieciešams noteikt pārejas periodu, ja a</w:t>
            </w:r>
            <w:r w:rsidR="0060288A" w:rsidRPr="00AE1744">
              <w:rPr>
                <w:rFonts w:ascii="Times New Roman" w:hAnsi="Times New Roman"/>
                <w:sz w:val="24"/>
                <w:szCs w:val="24"/>
              </w:rPr>
              <w:t xml:space="preserve">ttiecībā uz tādiem kultūras pakalpojumiem kā teātra un cirka izrādēm un koncertiem, biļešu tirdzniecība ir sākta līdz </w:t>
            </w:r>
            <w:r w:rsidRPr="00AE1744">
              <w:rPr>
                <w:rFonts w:ascii="Times New Roman" w:hAnsi="Times New Roman"/>
                <w:sz w:val="24"/>
                <w:szCs w:val="24"/>
              </w:rPr>
              <w:t xml:space="preserve">grozījumu spēkā stāšanās. </w:t>
            </w:r>
          </w:p>
          <w:p w14:paraId="651D44AA" w14:textId="2B631F73" w:rsidR="00437628" w:rsidRPr="00AE1744" w:rsidRDefault="00AC0106" w:rsidP="005242D5">
            <w:pPr>
              <w:spacing w:before="120"/>
              <w:ind w:left="84" w:right="133" w:firstLine="2"/>
              <w:jc w:val="both"/>
              <w:rPr>
                <w:rFonts w:ascii="Times New Roman" w:hAnsi="Times New Roman"/>
                <w:sz w:val="24"/>
                <w:szCs w:val="24"/>
              </w:rPr>
            </w:pPr>
            <w:r w:rsidRPr="00AE1744">
              <w:rPr>
                <w:rFonts w:ascii="Times New Roman" w:hAnsi="Times New Roman"/>
                <w:sz w:val="24"/>
                <w:szCs w:val="24"/>
              </w:rPr>
              <w:t>Šī</w:t>
            </w:r>
            <w:r w:rsidR="00FE1E37" w:rsidRPr="00AE1744">
              <w:rPr>
                <w:rFonts w:ascii="Times New Roman" w:hAnsi="Times New Roman"/>
                <w:sz w:val="24"/>
                <w:szCs w:val="24"/>
              </w:rPr>
              <w:t xml:space="preserve"> r</w:t>
            </w:r>
            <w:r w:rsidR="00437628" w:rsidRPr="00AE1744">
              <w:rPr>
                <w:rFonts w:ascii="Times New Roman" w:hAnsi="Times New Roman"/>
                <w:sz w:val="24"/>
                <w:szCs w:val="24"/>
              </w:rPr>
              <w:t xml:space="preserve">egulējuma mērķis ir atbilstoši PVN direktīvas regulējumam </w:t>
            </w:r>
            <w:r w:rsidR="00FE1E37" w:rsidRPr="00AE1744">
              <w:rPr>
                <w:rFonts w:ascii="Times New Roman" w:hAnsi="Times New Roman"/>
                <w:sz w:val="24"/>
                <w:szCs w:val="24"/>
              </w:rPr>
              <w:t>precizēt</w:t>
            </w:r>
            <w:r w:rsidR="00437628" w:rsidRPr="00AE1744">
              <w:rPr>
                <w:rFonts w:ascii="Times New Roman" w:hAnsi="Times New Roman"/>
                <w:sz w:val="24"/>
                <w:szCs w:val="24"/>
              </w:rPr>
              <w:t xml:space="preserve"> PVN atbrīvojuma piemērošanu attiecībā uz </w:t>
            </w:r>
            <w:r w:rsidR="00FE1E37" w:rsidRPr="00AE1744">
              <w:rPr>
                <w:rFonts w:ascii="Times New Roman" w:hAnsi="Times New Roman"/>
                <w:sz w:val="24"/>
                <w:szCs w:val="24"/>
              </w:rPr>
              <w:t>tādiem ku</w:t>
            </w:r>
            <w:r w:rsidR="00882C62" w:rsidRPr="00AE1744">
              <w:rPr>
                <w:rFonts w:ascii="Times New Roman" w:hAnsi="Times New Roman"/>
                <w:sz w:val="24"/>
                <w:szCs w:val="24"/>
              </w:rPr>
              <w:t>ltūras pakalpojumiem</w:t>
            </w:r>
            <w:r w:rsidR="00FE1E37" w:rsidRPr="00AE1744">
              <w:rPr>
                <w:rFonts w:ascii="Times New Roman" w:hAnsi="Times New Roman"/>
                <w:sz w:val="24"/>
                <w:szCs w:val="24"/>
              </w:rPr>
              <w:t xml:space="preserve"> kā teātra un cirka izrādēm un koncertiem</w:t>
            </w:r>
            <w:r w:rsidR="00437628" w:rsidRPr="00AE1744">
              <w:rPr>
                <w:rFonts w:ascii="Times New Roman" w:hAnsi="Times New Roman"/>
                <w:sz w:val="24"/>
                <w:szCs w:val="24"/>
              </w:rPr>
              <w:t xml:space="preserve">. </w:t>
            </w:r>
          </w:p>
          <w:p w14:paraId="1F28515C" w14:textId="3FD70890" w:rsidR="00437628" w:rsidRPr="00911F8E" w:rsidRDefault="005E15F7" w:rsidP="00AE1744">
            <w:pPr>
              <w:spacing w:before="120"/>
              <w:ind w:left="84" w:right="133" w:firstLine="2"/>
              <w:jc w:val="both"/>
              <w:rPr>
                <w:rFonts w:ascii="Times New Roman" w:hAnsi="Times New Roman"/>
                <w:b/>
                <w:sz w:val="24"/>
                <w:szCs w:val="24"/>
              </w:rPr>
            </w:pPr>
            <w:r w:rsidRPr="00AE1744">
              <w:rPr>
                <w:rFonts w:ascii="Times New Roman" w:hAnsi="Times New Roman"/>
                <w:sz w:val="24"/>
                <w:szCs w:val="24"/>
              </w:rPr>
              <w:t>Likumprojekts stāsies spēkā 2016.gada 1.janvārī.</w:t>
            </w:r>
          </w:p>
        </w:tc>
      </w:tr>
      <w:tr w:rsidR="00100575" w:rsidRPr="008E441B" w14:paraId="381F38F7" w14:textId="77777777" w:rsidTr="00B01360">
        <w:tc>
          <w:tcPr>
            <w:tcW w:w="416" w:type="dxa"/>
          </w:tcPr>
          <w:p w14:paraId="10BB53E7" w14:textId="053B999F" w:rsidR="00100575" w:rsidRPr="00100575" w:rsidRDefault="00100575" w:rsidP="00DB5C9D">
            <w:pPr>
              <w:spacing w:before="120" w:after="120"/>
              <w:rPr>
                <w:rFonts w:ascii="Times New Roman" w:hAnsi="Times New Roman" w:cs="Times New Roman"/>
                <w:sz w:val="24"/>
                <w:szCs w:val="24"/>
              </w:rPr>
            </w:pPr>
            <w:r w:rsidRPr="00100575">
              <w:rPr>
                <w:rFonts w:ascii="Times New Roman" w:eastAsia="Times New Roman" w:hAnsi="Times New Roman" w:cs="Times New Roman"/>
                <w:sz w:val="24"/>
                <w:szCs w:val="24"/>
              </w:rPr>
              <w:lastRenderedPageBreak/>
              <w:t>3.</w:t>
            </w:r>
          </w:p>
        </w:tc>
        <w:tc>
          <w:tcPr>
            <w:tcW w:w="3119" w:type="dxa"/>
          </w:tcPr>
          <w:p w14:paraId="7D8E8D25" w14:textId="77777777" w:rsidR="00100575" w:rsidRPr="00100575" w:rsidRDefault="00100575" w:rsidP="00DB5C9D">
            <w:pPr>
              <w:spacing w:before="120" w:after="120"/>
              <w:rPr>
                <w:rFonts w:ascii="Times New Roman" w:hAnsi="Times New Roman" w:cs="Times New Roman"/>
                <w:sz w:val="24"/>
                <w:szCs w:val="24"/>
              </w:rPr>
            </w:pPr>
            <w:r w:rsidRPr="00100575">
              <w:rPr>
                <w:rFonts w:ascii="Times New Roman" w:hAnsi="Times New Roman" w:cs="Times New Roman"/>
                <w:sz w:val="24"/>
                <w:szCs w:val="24"/>
              </w:rPr>
              <w:t>Projekta izstrādē iesaistītās institūcijas</w:t>
            </w:r>
          </w:p>
        </w:tc>
        <w:tc>
          <w:tcPr>
            <w:tcW w:w="5811" w:type="dxa"/>
          </w:tcPr>
          <w:p w14:paraId="60C9C88A" w14:textId="77777777" w:rsidR="00100575" w:rsidRPr="00100575" w:rsidRDefault="00100575" w:rsidP="00DB5C9D">
            <w:pPr>
              <w:spacing w:before="120" w:after="120"/>
              <w:ind w:left="57" w:right="142"/>
              <w:jc w:val="both"/>
              <w:rPr>
                <w:rFonts w:ascii="Times New Roman" w:hAnsi="Times New Roman" w:cs="Times New Roman"/>
                <w:sz w:val="24"/>
                <w:szCs w:val="24"/>
              </w:rPr>
            </w:pPr>
            <w:r w:rsidRPr="00100575">
              <w:rPr>
                <w:rFonts w:ascii="Times New Roman" w:hAnsi="Times New Roman" w:cs="Times New Roman"/>
                <w:sz w:val="24"/>
                <w:szCs w:val="24"/>
              </w:rPr>
              <w:t>Valsts ieņēmumu dienests</w:t>
            </w:r>
            <w:r>
              <w:rPr>
                <w:rFonts w:ascii="Times New Roman" w:hAnsi="Times New Roman" w:cs="Times New Roman"/>
                <w:sz w:val="24"/>
                <w:szCs w:val="24"/>
              </w:rPr>
              <w:t xml:space="preserve"> (turpmāk – VID)</w:t>
            </w:r>
            <w:r w:rsidR="00437628">
              <w:rPr>
                <w:rFonts w:ascii="Times New Roman" w:hAnsi="Times New Roman" w:cs="Times New Roman"/>
                <w:sz w:val="24"/>
                <w:szCs w:val="24"/>
              </w:rPr>
              <w:t>, Kultūras ministrija</w:t>
            </w:r>
          </w:p>
        </w:tc>
      </w:tr>
      <w:tr w:rsidR="00100575" w14:paraId="6D1C9C43" w14:textId="77777777" w:rsidTr="00B01360">
        <w:tc>
          <w:tcPr>
            <w:tcW w:w="416" w:type="dxa"/>
          </w:tcPr>
          <w:p w14:paraId="20D9259D" w14:textId="77777777" w:rsidR="00100575" w:rsidRPr="00100575" w:rsidRDefault="00100575" w:rsidP="00DB5C9D">
            <w:pPr>
              <w:spacing w:before="120" w:after="120"/>
              <w:rPr>
                <w:rFonts w:ascii="Times New Roman" w:hAnsi="Times New Roman" w:cs="Times New Roman"/>
                <w:sz w:val="24"/>
                <w:szCs w:val="24"/>
              </w:rPr>
            </w:pPr>
            <w:r w:rsidRPr="00100575">
              <w:rPr>
                <w:rFonts w:ascii="Times New Roman" w:eastAsia="Times New Roman" w:hAnsi="Times New Roman" w:cs="Times New Roman"/>
                <w:sz w:val="24"/>
                <w:szCs w:val="24"/>
              </w:rPr>
              <w:t>4.</w:t>
            </w:r>
          </w:p>
        </w:tc>
        <w:tc>
          <w:tcPr>
            <w:tcW w:w="3119" w:type="dxa"/>
          </w:tcPr>
          <w:p w14:paraId="4584AF42" w14:textId="77777777" w:rsidR="00100575" w:rsidRPr="00100575" w:rsidRDefault="00100575" w:rsidP="00DB5C9D">
            <w:pPr>
              <w:spacing w:before="120" w:after="120"/>
              <w:rPr>
                <w:rFonts w:ascii="Times New Roman" w:hAnsi="Times New Roman" w:cs="Times New Roman"/>
                <w:sz w:val="24"/>
                <w:szCs w:val="24"/>
              </w:rPr>
            </w:pPr>
            <w:r w:rsidRPr="00100575">
              <w:rPr>
                <w:rFonts w:ascii="Times New Roman" w:eastAsia="Times New Roman" w:hAnsi="Times New Roman" w:cs="Times New Roman"/>
                <w:sz w:val="24"/>
                <w:szCs w:val="24"/>
              </w:rPr>
              <w:t>Cita informācija</w:t>
            </w:r>
          </w:p>
        </w:tc>
        <w:tc>
          <w:tcPr>
            <w:tcW w:w="5811" w:type="dxa"/>
          </w:tcPr>
          <w:p w14:paraId="0E444BCC" w14:textId="77777777" w:rsidR="00100575" w:rsidRPr="00100575" w:rsidRDefault="00100575" w:rsidP="00DB5C9D">
            <w:pPr>
              <w:spacing w:before="120" w:after="120"/>
              <w:ind w:left="57"/>
              <w:jc w:val="both"/>
              <w:rPr>
                <w:rFonts w:ascii="Times New Roman" w:hAnsi="Times New Roman" w:cs="Times New Roman"/>
                <w:sz w:val="24"/>
                <w:szCs w:val="24"/>
              </w:rPr>
            </w:pPr>
            <w:r w:rsidRPr="00100575">
              <w:rPr>
                <w:rFonts w:ascii="Times New Roman" w:hAnsi="Times New Roman" w:cs="Times New Roman"/>
                <w:sz w:val="24"/>
                <w:szCs w:val="24"/>
              </w:rPr>
              <w:t>Nav</w:t>
            </w:r>
          </w:p>
        </w:tc>
      </w:tr>
    </w:tbl>
    <w:p w14:paraId="7DA3974B" w14:textId="77777777" w:rsidR="00100575" w:rsidRPr="001D421B" w:rsidRDefault="00100575">
      <w:pPr>
        <w:rPr>
          <w:sz w:val="28"/>
          <w:szCs w:val="28"/>
        </w:rPr>
      </w:pPr>
    </w:p>
    <w:tbl>
      <w:tblPr>
        <w:tblStyle w:val="TableGrid"/>
        <w:tblW w:w="5550" w:type="pct"/>
        <w:tblInd w:w="-279" w:type="dxa"/>
        <w:tblLook w:val="04A0" w:firstRow="1" w:lastRow="0" w:firstColumn="1" w:lastColumn="0" w:noHBand="0" w:noVBand="1"/>
      </w:tblPr>
      <w:tblGrid>
        <w:gridCol w:w="427"/>
        <w:gridCol w:w="3199"/>
        <w:gridCol w:w="5961"/>
      </w:tblGrid>
      <w:tr w:rsidR="00900304" w14:paraId="26CE736A" w14:textId="77777777" w:rsidTr="00B01360">
        <w:trPr>
          <w:trHeight w:val="632"/>
        </w:trPr>
        <w:tc>
          <w:tcPr>
            <w:tcW w:w="9346" w:type="dxa"/>
            <w:gridSpan w:val="3"/>
          </w:tcPr>
          <w:p w14:paraId="07F01A40" w14:textId="77777777" w:rsidR="00900304" w:rsidRPr="00F56EA8" w:rsidRDefault="00900304" w:rsidP="00C171CB">
            <w:pPr>
              <w:ind w:right="57"/>
              <w:jc w:val="center"/>
              <w:rPr>
                <w:rFonts w:ascii="Times New Roman" w:eastAsia="Times New Roman" w:hAnsi="Times New Roman" w:cs="Times New Roman"/>
                <w:b/>
                <w:sz w:val="24"/>
                <w:szCs w:val="24"/>
              </w:rPr>
            </w:pPr>
            <w:r w:rsidRPr="00F56EA8">
              <w:rPr>
                <w:rFonts w:ascii="Times New Roman" w:eastAsia="Times New Roman" w:hAnsi="Times New Roman" w:cs="Times New Roman"/>
                <w:b/>
                <w:sz w:val="24"/>
                <w:szCs w:val="24"/>
              </w:rPr>
              <w:t>II. Tiesību akta projekta ietekme uz sabiedrību, tautsaimniecības attīstību</w:t>
            </w:r>
          </w:p>
          <w:p w14:paraId="212BC26C" w14:textId="77777777" w:rsidR="00900304" w:rsidRDefault="00900304" w:rsidP="00C171CB">
            <w:pPr>
              <w:jc w:val="center"/>
              <w:rPr>
                <w:rFonts w:ascii="Times New Roman" w:hAnsi="Times New Roman" w:cs="Times New Roman"/>
                <w:sz w:val="24"/>
                <w:szCs w:val="24"/>
              </w:rPr>
            </w:pPr>
            <w:r w:rsidRPr="00F56EA8">
              <w:rPr>
                <w:rFonts w:ascii="Times New Roman" w:eastAsia="Times New Roman" w:hAnsi="Times New Roman" w:cs="Times New Roman"/>
                <w:b/>
                <w:sz w:val="24"/>
                <w:szCs w:val="24"/>
              </w:rPr>
              <w:t>un administratīvo slogu</w:t>
            </w:r>
          </w:p>
        </w:tc>
      </w:tr>
      <w:tr w:rsidR="00F56EA8" w14:paraId="36D7A87F" w14:textId="77777777" w:rsidTr="00B01360">
        <w:tc>
          <w:tcPr>
            <w:tcW w:w="416" w:type="dxa"/>
          </w:tcPr>
          <w:p w14:paraId="592E7C9A" w14:textId="77777777" w:rsidR="00F56EA8" w:rsidRDefault="00F56EA8" w:rsidP="00DB5C9D">
            <w:pPr>
              <w:spacing w:before="120" w:after="120"/>
              <w:rPr>
                <w:rFonts w:ascii="Times New Roman" w:hAnsi="Times New Roman" w:cs="Times New Roman"/>
                <w:sz w:val="24"/>
                <w:szCs w:val="24"/>
              </w:rPr>
            </w:pPr>
            <w:r w:rsidRPr="00F56EA8">
              <w:rPr>
                <w:rFonts w:ascii="Times New Roman" w:eastAsia="Times New Roman" w:hAnsi="Times New Roman" w:cs="Times New Roman"/>
                <w:sz w:val="24"/>
                <w:szCs w:val="24"/>
              </w:rPr>
              <w:t>1.</w:t>
            </w:r>
          </w:p>
        </w:tc>
        <w:tc>
          <w:tcPr>
            <w:tcW w:w="3119" w:type="dxa"/>
          </w:tcPr>
          <w:p w14:paraId="676F0AA4" w14:textId="77777777" w:rsidR="00F56EA8" w:rsidRDefault="00F56EA8" w:rsidP="00DB5C9D">
            <w:pPr>
              <w:spacing w:before="120" w:after="120"/>
              <w:rPr>
                <w:rFonts w:ascii="Times New Roman" w:hAnsi="Times New Roman" w:cs="Times New Roman"/>
                <w:sz w:val="24"/>
                <w:szCs w:val="24"/>
              </w:rPr>
            </w:pPr>
            <w:r w:rsidRPr="00F56EA8">
              <w:rPr>
                <w:rFonts w:ascii="Times New Roman" w:eastAsia="Times New Roman" w:hAnsi="Times New Roman" w:cs="Times New Roman"/>
                <w:sz w:val="24"/>
                <w:szCs w:val="24"/>
              </w:rPr>
              <w:t xml:space="preserve">Sabiedrības </w:t>
            </w:r>
            <w:proofErr w:type="spellStart"/>
            <w:r w:rsidRPr="00F56EA8">
              <w:rPr>
                <w:rFonts w:ascii="Times New Roman" w:eastAsia="Times New Roman" w:hAnsi="Times New Roman" w:cs="Times New Roman"/>
                <w:sz w:val="24"/>
                <w:szCs w:val="24"/>
              </w:rPr>
              <w:t>mērķgrupas</w:t>
            </w:r>
            <w:proofErr w:type="spellEnd"/>
            <w:r w:rsidRPr="00F56EA8">
              <w:rPr>
                <w:rFonts w:ascii="Times New Roman" w:eastAsia="Times New Roman" w:hAnsi="Times New Roman" w:cs="Times New Roman"/>
                <w:sz w:val="24"/>
                <w:szCs w:val="24"/>
              </w:rPr>
              <w:t>, kuras tiesiskais regulējums ietekmē vai varētu ietekmēt</w:t>
            </w:r>
          </w:p>
        </w:tc>
        <w:tc>
          <w:tcPr>
            <w:tcW w:w="5811" w:type="dxa"/>
          </w:tcPr>
          <w:p w14:paraId="29F82898" w14:textId="77777777" w:rsidR="00D61802" w:rsidRPr="00AE1744" w:rsidRDefault="00D61802" w:rsidP="000D0638">
            <w:pPr>
              <w:spacing w:before="120" w:after="120"/>
              <w:ind w:left="57" w:right="142"/>
              <w:jc w:val="both"/>
              <w:rPr>
                <w:rFonts w:ascii="Times New Roman" w:hAnsi="Times New Roman" w:cs="Times New Roman"/>
                <w:sz w:val="24"/>
                <w:szCs w:val="24"/>
              </w:rPr>
            </w:pPr>
            <w:r w:rsidRPr="00AE1744">
              <w:rPr>
                <w:rFonts w:ascii="Times New Roman" w:hAnsi="Times New Roman" w:cs="Times New Roman"/>
                <w:sz w:val="24"/>
                <w:szCs w:val="24"/>
              </w:rPr>
              <w:t xml:space="preserve">Grozījumi </w:t>
            </w:r>
            <w:r w:rsidR="00DB56E0" w:rsidRPr="00AE1744">
              <w:rPr>
                <w:rFonts w:ascii="Times New Roman" w:hAnsi="Times New Roman" w:cs="Times New Roman"/>
                <w:sz w:val="24"/>
                <w:szCs w:val="24"/>
              </w:rPr>
              <w:t xml:space="preserve">PVN </w:t>
            </w:r>
            <w:r w:rsidRPr="00AE1744">
              <w:rPr>
                <w:rFonts w:ascii="Times New Roman" w:hAnsi="Times New Roman" w:cs="Times New Roman"/>
                <w:sz w:val="24"/>
                <w:szCs w:val="24"/>
              </w:rPr>
              <w:t xml:space="preserve">likumā </w:t>
            </w:r>
            <w:r w:rsidR="003A1800" w:rsidRPr="00AE1744">
              <w:rPr>
                <w:rFonts w:ascii="Times New Roman" w:hAnsi="Times New Roman" w:cs="Times New Roman"/>
                <w:sz w:val="24"/>
                <w:szCs w:val="24"/>
              </w:rPr>
              <w:t xml:space="preserve">jo </w:t>
            </w:r>
            <w:r w:rsidRPr="00AE1744">
              <w:rPr>
                <w:rFonts w:ascii="Times New Roman" w:hAnsi="Times New Roman" w:cs="Times New Roman"/>
                <w:sz w:val="24"/>
                <w:szCs w:val="24"/>
              </w:rPr>
              <w:t>īpaši attiecas uz:</w:t>
            </w:r>
          </w:p>
          <w:p w14:paraId="303A2217" w14:textId="77777777" w:rsidR="009D36E5" w:rsidRPr="00AE1744" w:rsidRDefault="009D36E5" w:rsidP="000061FB">
            <w:pPr>
              <w:pStyle w:val="ListParagraph"/>
              <w:numPr>
                <w:ilvl w:val="0"/>
                <w:numId w:val="18"/>
              </w:numPr>
              <w:spacing w:before="120" w:after="120"/>
              <w:ind w:right="142"/>
              <w:jc w:val="both"/>
              <w:rPr>
                <w:rFonts w:ascii="Times New Roman" w:hAnsi="Times New Roman" w:cs="Times New Roman"/>
                <w:sz w:val="24"/>
                <w:szCs w:val="24"/>
              </w:rPr>
            </w:pPr>
            <w:r w:rsidRPr="00AE1744">
              <w:rPr>
                <w:rFonts w:ascii="Times New Roman" w:hAnsi="Times New Roman" w:cs="Times New Roman"/>
                <w:sz w:val="24"/>
                <w:szCs w:val="24"/>
              </w:rPr>
              <w:t>dzīvojamo</w:t>
            </w:r>
            <w:r w:rsidR="00D61802" w:rsidRPr="00AE1744">
              <w:rPr>
                <w:rFonts w:ascii="Times New Roman" w:hAnsi="Times New Roman" w:cs="Times New Roman"/>
                <w:sz w:val="24"/>
                <w:szCs w:val="24"/>
              </w:rPr>
              <w:t xml:space="preserve"> m</w:t>
            </w:r>
            <w:r w:rsidRPr="00AE1744">
              <w:rPr>
                <w:rFonts w:ascii="Times New Roman" w:hAnsi="Times New Roman" w:cs="Times New Roman"/>
                <w:sz w:val="24"/>
                <w:szCs w:val="24"/>
              </w:rPr>
              <w:t>āju</w:t>
            </w:r>
            <w:r w:rsidR="00107AB9" w:rsidRPr="00AE1744">
              <w:rPr>
                <w:rFonts w:ascii="Times New Roman" w:hAnsi="Times New Roman" w:cs="Times New Roman"/>
                <w:sz w:val="24"/>
                <w:szCs w:val="24"/>
              </w:rPr>
              <w:t xml:space="preserve"> (</w:t>
            </w:r>
            <w:r w:rsidR="00B842D6" w:rsidRPr="00AE1744">
              <w:rPr>
                <w:rFonts w:ascii="Times New Roman" w:hAnsi="Times New Roman" w:cs="Times New Roman"/>
                <w:sz w:val="24"/>
                <w:szCs w:val="24"/>
              </w:rPr>
              <w:t>tajā skaitā arī dzīvokļu</w:t>
            </w:r>
            <w:r w:rsidR="00107AB9" w:rsidRPr="00AE1744">
              <w:rPr>
                <w:rFonts w:ascii="Times New Roman" w:hAnsi="Times New Roman" w:cs="Times New Roman"/>
                <w:sz w:val="24"/>
                <w:szCs w:val="24"/>
              </w:rPr>
              <w:t xml:space="preserve">) </w:t>
            </w:r>
            <w:r w:rsidR="00D61802" w:rsidRPr="00AE1744">
              <w:rPr>
                <w:rFonts w:ascii="Times New Roman" w:hAnsi="Times New Roman" w:cs="Times New Roman"/>
                <w:sz w:val="24"/>
                <w:szCs w:val="24"/>
              </w:rPr>
              <w:t xml:space="preserve"> īpašniekiem</w:t>
            </w:r>
            <w:r w:rsidRPr="00AE1744">
              <w:rPr>
                <w:rFonts w:ascii="Times New Roman" w:hAnsi="Times New Roman" w:cs="Times New Roman"/>
                <w:sz w:val="24"/>
                <w:szCs w:val="24"/>
              </w:rPr>
              <w:t xml:space="preserve"> un nomniekiem;</w:t>
            </w:r>
          </w:p>
          <w:p w14:paraId="413AA226" w14:textId="77777777" w:rsidR="00D61802" w:rsidRPr="00AE1744" w:rsidRDefault="00C7518D" w:rsidP="000061FB">
            <w:pPr>
              <w:pStyle w:val="ListParagraph"/>
              <w:numPr>
                <w:ilvl w:val="0"/>
                <w:numId w:val="18"/>
              </w:numPr>
              <w:spacing w:before="120" w:after="120"/>
              <w:ind w:right="142"/>
              <w:jc w:val="both"/>
              <w:rPr>
                <w:rFonts w:ascii="Times New Roman" w:hAnsi="Times New Roman" w:cs="Times New Roman"/>
                <w:sz w:val="24"/>
                <w:szCs w:val="24"/>
              </w:rPr>
            </w:pPr>
            <w:r w:rsidRPr="00AE1744">
              <w:rPr>
                <w:rFonts w:ascii="Times New Roman" w:hAnsi="Times New Roman" w:cs="Times New Roman"/>
                <w:sz w:val="24"/>
                <w:szCs w:val="24"/>
              </w:rPr>
              <w:t>dzīvojamo māju</w:t>
            </w:r>
            <w:r w:rsidR="00142FDC" w:rsidRPr="00AE1744">
              <w:rPr>
                <w:rFonts w:ascii="Times New Roman" w:hAnsi="Times New Roman" w:cs="Times New Roman"/>
                <w:sz w:val="24"/>
                <w:szCs w:val="24"/>
              </w:rPr>
              <w:t xml:space="preserve"> </w:t>
            </w:r>
            <w:r w:rsidR="009D36E5" w:rsidRPr="00AE1744">
              <w:rPr>
                <w:rFonts w:ascii="Times New Roman" w:hAnsi="Times New Roman" w:cs="Times New Roman"/>
                <w:sz w:val="24"/>
                <w:szCs w:val="24"/>
              </w:rPr>
              <w:t>(</w:t>
            </w:r>
            <w:r w:rsidR="00B842D6" w:rsidRPr="00AE1744">
              <w:rPr>
                <w:rFonts w:ascii="Times New Roman" w:hAnsi="Times New Roman" w:cs="Times New Roman"/>
                <w:sz w:val="24"/>
                <w:szCs w:val="24"/>
              </w:rPr>
              <w:t>tajā skaitā arī dzīvokļu</w:t>
            </w:r>
            <w:r w:rsidR="009D36E5" w:rsidRPr="00AE1744">
              <w:rPr>
                <w:rFonts w:ascii="Times New Roman" w:hAnsi="Times New Roman" w:cs="Times New Roman"/>
                <w:sz w:val="24"/>
                <w:szCs w:val="24"/>
              </w:rPr>
              <w:t>)</w:t>
            </w:r>
            <w:r w:rsidRPr="00AE1744">
              <w:rPr>
                <w:rFonts w:ascii="Times New Roman" w:hAnsi="Times New Roman" w:cs="Times New Roman"/>
                <w:sz w:val="24"/>
                <w:szCs w:val="24"/>
              </w:rPr>
              <w:t xml:space="preserve"> pārvaldniekiem</w:t>
            </w:r>
            <w:r w:rsidR="000061FB" w:rsidRPr="00AE1744">
              <w:rPr>
                <w:rFonts w:ascii="Times New Roman" w:hAnsi="Times New Roman" w:cs="Times New Roman"/>
                <w:sz w:val="24"/>
                <w:szCs w:val="24"/>
              </w:rPr>
              <w:t xml:space="preserve"> (tajā skaitā arī pašvaldību kapitāl-sabiedrībām)</w:t>
            </w:r>
            <w:r w:rsidR="009D36E5" w:rsidRPr="00AE1744">
              <w:rPr>
                <w:rFonts w:ascii="Times New Roman" w:hAnsi="Times New Roman" w:cs="Times New Roman"/>
                <w:color w:val="000000"/>
                <w:sz w:val="24"/>
                <w:szCs w:val="24"/>
              </w:rPr>
              <w:t>;</w:t>
            </w:r>
          </w:p>
          <w:p w14:paraId="016B64D3" w14:textId="44E1C45F" w:rsidR="004822DE" w:rsidRPr="00AE1744" w:rsidRDefault="004822DE" w:rsidP="000061FB">
            <w:pPr>
              <w:pStyle w:val="ListParagraph"/>
              <w:numPr>
                <w:ilvl w:val="0"/>
                <w:numId w:val="18"/>
              </w:numPr>
              <w:spacing w:before="120" w:after="120"/>
              <w:ind w:right="142"/>
              <w:jc w:val="both"/>
              <w:rPr>
                <w:rFonts w:ascii="Times New Roman" w:hAnsi="Times New Roman" w:cs="Times New Roman"/>
                <w:sz w:val="24"/>
                <w:szCs w:val="24"/>
              </w:rPr>
            </w:pPr>
            <w:r w:rsidRPr="00AE1744">
              <w:rPr>
                <w:rFonts w:ascii="Times New Roman" w:hAnsi="Times New Roman" w:cs="Times New Roman"/>
                <w:sz w:val="24"/>
                <w:szCs w:val="24"/>
              </w:rPr>
              <w:t>dzīvokļu īpašnieku kooperatīv</w:t>
            </w:r>
            <w:r w:rsidR="007D02BB" w:rsidRPr="00AE1744">
              <w:rPr>
                <w:rFonts w:ascii="Times New Roman" w:hAnsi="Times New Roman" w:cs="Times New Roman"/>
                <w:sz w:val="24"/>
                <w:szCs w:val="24"/>
              </w:rPr>
              <w:t>ajām</w:t>
            </w:r>
            <w:r w:rsidRPr="00AE1744">
              <w:rPr>
                <w:rFonts w:ascii="Times New Roman" w:hAnsi="Times New Roman" w:cs="Times New Roman"/>
                <w:sz w:val="24"/>
                <w:szCs w:val="24"/>
              </w:rPr>
              <w:t xml:space="preserve"> sabiedrīb</w:t>
            </w:r>
            <w:r w:rsidR="007D02BB" w:rsidRPr="00AE1744">
              <w:rPr>
                <w:rFonts w:ascii="Times New Roman" w:hAnsi="Times New Roman" w:cs="Times New Roman"/>
                <w:sz w:val="24"/>
                <w:szCs w:val="24"/>
              </w:rPr>
              <w:t>ām un to</w:t>
            </w:r>
            <w:r w:rsidRPr="00AE1744">
              <w:rPr>
                <w:rFonts w:ascii="Times New Roman" w:hAnsi="Times New Roman" w:cs="Times New Roman"/>
                <w:sz w:val="24"/>
                <w:szCs w:val="24"/>
              </w:rPr>
              <w:t xml:space="preserve"> biedriem;</w:t>
            </w:r>
          </w:p>
          <w:p w14:paraId="10079E0A" w14:textId="77777777" w:rsidR="00911F8E" w:rsidRPr="00AE1744" w:rsidRDefault="009D36E5" w:rsidP="000061FB">
            <w:pPr>
              <w:pStyle w:val="ListParagraph"/>
              <w:numPr>
                <w:ilvl w:val="0"/>
                <w:numId w:val="18"/>
              </w:numPr>
              <w:spacing w:before="120" w:after="120"/>
              <w:ind w:right="142"/>
              <w:jc w:val="both"/>
              <w:rPr>
                <w:rFonts w:ascii="Times New Roman" w:hAnsi="Times New Roman" w:cs="Times New Roman"/>
                <w:sz w:val="24"/>
                <w:szCs w:val="24"/>
              </w:rPr>
            </w:pPr>
            <w:r w:rsidRPr="00AE1744">
              <w:rPr>
                <w:rFonts w:ascii="Times New Roman" w:hAnsi="Times New Roman" w:cs="Times New Roman"/>
                <w:sz w:val="24"/>
                <w:szCs w:val="24"/>
              </w:rPr>
              <w:t>pašvald</w:t>
            </w:r>
            <w:r w:rsidR="00A9477A" w:rsidRPr="00AE1744">
              <w:rPr>
                <w:rFonts w:ascii="Times New Roman" w:hAnsi="Times New Roman" w:cs="Times New Roman"/>
                <w:sz w:val="24"/>
                <w:szCs w:val="24"/>
              </w:rPr>
              <w:t>ībām</w:t>
            </w:r>
            <w:r w:rsidR="00911F8E" w:rsidRPr="00AE1744">
              <w:rPr>
                <w:rFonts w:ascii="Times New Roman" w:hAnsi="Times New Roman" w:cs="Times New Roman"/>
                <w:sz w:val="24"/>
                <w:szCs w:val="24"/>
              </w:rPr>
              <w:t>;</w:t>
            </w:r>
          </w:p>
          <w:p w14:paraId="0F469FA2" w14:textId="45204EB9" w:rsidR="00994FB8" w:rsidRPr="00AE1744" w:rsidRDefault="00911F8E" w:rsidP="000061FB">
            <w:pPr>
              <w:pStyle w:val="ListParagraph"/>
              <w:numPr>
                <w:ilvl w:val="0"/>
                <w:numId w:val="18"/>
              </w:numPr>
              <w:spacing w:before="120" w:after="120"/>
              <w:ind w:right="142"/>
              <w:jc w:val="both"/>
              <w:rPr>
                <w:rFonts w:ascii="Times New Roman" w:hAnsi="Times New Roman" w:cs="Times New Roman"/>
                <w:sz w:val="24"/>
                <w:szCs w:val="24"/>
              </w:rPr>
            </w:pPr>
            <w:r w:rsidRPr="00AE1744">
              <w:rPr>
                <w:rFonts w:ascii="Times New Roman" w:hAnsi="Times New Roman" w:cs="Times New Roman"/>
                <w:sz w:val="24"/>
                <w:szCs w:val="24"/>
              </w:rPr>
              <w:t>PVN maksātājiem, kas organizē un sniedz kultūras pakalpojumus (</w:t>
            </w:r>
            <w:r w:rsidR="00F34CB9" w:rsidRPr="00AE1744">
              <w:rPr>
                <w:rFonts w:ascii="Times New Roman" w:hAnsi="Times New Roman" w:cs="Times New Roman"/>
                <w:sz w:val="24"/>
                <w:szCs w:val="24"/>
              </w:rPr>
              <w:t>teātra un</w:t>
            </w:r>
            <w:r w:rsidRPr="00AE1744">
              <w:rPr>
                <w:rFonts w:ascii="Times New Roman" w:hAnsi="Times New Roman" w:cs="Times New Roman"/>
                <w:sz w:val="24"/>
                <w:szCs w:val="24"/>
              </w:rPr>
              <w:t xml:space="preserve"> cirka izrādes, koncertus) un neatbilst</w:t>
            </w:r>
            <w:r w:rsidR="004D40FD" w:rsidRPr="00AE1744">
              <w:rPr>
                <w:rFonts w:ascii="Times New Roman" w:hAnsi="Times New Roman" w:cs="Times New Roman"/>
                <w:sz w:val="24"/>
                <w:szCs w:val="24"/>
              </w:rPr>
              <w:t xml:space="preserve"> </w:t>
            </w:r>
            <w:r w:rsidR="003F4507" w:rsidRPr="00AE1744">
              <w:rPr>
                <w:rFonts w:ascii="Times New Roman" w:hAnsi="Times New Roman" w:cs="Times New Roman"/>
                <w:sz w:val="24"/>
                <w:szCs w:val="24"/>
              </w:rPr>
              <w:t xml:space="preserve">PVN atbrīvojumā </w:t>
            </w:r>
            <w:r w:rsidR="004D40FD" w:rsidRPr="00AE1744">
              <w:rPr>
                <w:rFonts w:ascii="Times New Roman" w:hAnsi="Times New Roman" w:cs="Times New Roman"/>
                <w:sz w:val="24"/>
                <w:szCs w:val="24"/>
              </w:rPr>
              <w:t>noteiktajam šo pakalpojumu sniedzēju lokam</w:t>
            </w:r>
            <w:r w:rsidR="00F34CB9" w:rsidRPr="00AE1744">
              <w:rPr>
                <w:rFonts w:ascii="Times New Roman" w:hAnsi="Times New Roman" w:cs="Times New Roman"/>
                <w:sz w:val="24"/>
                <w:szCs w:val="24"/>
              </w:rPr>
              <w:t>;</w:t>
            </w:r>
          </w:p>
          <w:p w14:paraId="0AF6A388" w14:textId="1A77884E" w:rsidR="00F34CB9" w:rsidRPr="00AE1744" w:rsidRDefault="00F34CB9" w:rsidP="000061FB">
            <w:pPr>
              <w:pStyle w:val="ListParagraph"/>
              <w:numPr>
                <w:ilvl w:val="0"/>
                <w:numId w:val="18"/>
              </w:numPr>
              <w:spacing w:before="120" w:after="120"/>
              <w:ind w:right="142"/>
              <w:jc w:val="both"/>
              <w:rPr>
                <w:rFonts w:ascii="Times New Roman" w:hAnsi="Times New Roman" w:cs="Times New Roman"/>
                <w:sz w:val="24"/>
                <w:szCs w:val="24"/>
              </w:rPr>
            </w:pPr>
            <w:r w:rsidRPr="00AE1744">
              <w:rPr>
                <w:rFonts w:ascii="Times New Roman" w:hAnsi="Times New Roman" w:cs="Times New Roman"/>
                <w:sz w:val="24"/>
                <w:szCs w:val="24"/>
              </w:rPr>
              <w:t>Personas, kas iegādājas teātra un</w:t>
            </w:r>
            <w:r w:rsidR="00545894" w:rsidRPr="00AE1744">
              <w:rPr>
                <w:rFonts w:ascii="Times New Roman" w:hAnsi="Times New Roman" w:cs="Times New Roman"/>
                <w:sz w:val="24"/>
                <w:szCs w:val="24"/>
              </w:rPr>
              <w:t xml:space="preserve"> cirka izrā</w:t>
            </w:r>
            <w:r w:rsidR="003F4507" w:rsidRPr="00AE1744">
              <w:rPr>
                <w:rFonts w:ascii="Times New Roman" w:hAnsi="Times New Roman" w:cs="Times New Roman"/>
                <w:sz w:val="24"/>
                <w:szCs w:val="24"/>
              </w:rPr>
              <w:t>žu</w:t>
            </w:r>
            <w:r w:rsidRPr="00AE1744">
              <w:rPr>
                <w:rFonts w:ascii="Times New Roman" w:hAnsi="Times New Roman" w:cs="Times New Roman"/>
                <w:sz w:val="24"/>
                <w:szCs w:val="24"/>
              </w:rPr>
              <w:t>, koncertu ieejas biļetes</w:t>
            </w:r>
          </w:p>
          <w:p w14:paraId="2366B919" w14:textId="6C6277D6" w:rsidR="009D785B" w:rsidRDefault="00823E55" w:rsidP="00AE1744">
            <w:pPr>
              <w:spacing w:before="120" w:after="120"/>
              <w:ind w:left="57" w:right="142"/>
              <w:jc w:val="both"/>
              <w:rPr>
                <w:rFonts w:ascii="Times New Roman" w:hAnsi="Times New Roman" w:cs="Times New Roman"/>
                <w:sz w:val="24"/>
                <w:szCs w:val="24"/>
              </w:rPr>
            </w:pPr>
            <w:r w:rsidRPr="00D61802">
              <w:rPr>
                <w:rFonts w:ascii="Times New Roman" w:hAnsi="Times New Roman" w:cs="Times New Roman"/>
                <w:sz w:val="24"/>
                <w:szCs w:val="24"/>
              </w:rPr>
              <w:t>Likumprojekta tiesiskais regulējums ietekmē</w:t>
            </w:r>
            <w:r w:rsidR="00100575">
              <w:rPr>
                <w:rFonts w:ascii="Times New Roman" w:hAnsi="Times New Roman" w:cs="Times New Roman"/>
                <w:sz w:val="24"/>
                <w:szCs w:val="24"/>
              </w:rPr>
              <w:t xml:space="preserve"> arī VID</w:t>
            </w:r>
            <w:r w:rsidRPr="00D61802">
              <w:rPr>
                <w:rFonts w:ascii="Times New Roman" w:hAnsi="Times New Roman" w:cs="Times New Roman"/>
                <w:sz w:val="24"/>
                <w:szCs w:val="24"/>
              </w:rPr>
              <w:t>.</w:t>
            </w:r>
          </w:p>
        </w:tc>
      </w:tr>
      <w:tr w:rsidR="00F56EA8" w14:paraId="789D33AF" w14:textId="77777777" w:rsidTr="00B01360">
        <w:tc>
          <w:tcPr>
            <w:tcW w:w="416" w:type="dxa"/>
          </w:tcPr>
          <w:p w14:paraId="0A67D902" w14:textId="32EC4A9C" w:rsidR="00F56EA8" w:rsidRDefault="00F56EA8" w:rsidP="00DB5C9D">
            <w:pPr>
              <w:spacing w:before="120" w:after="120"/>
              <w:rPr>
                <w:rFonts w:ascii="Times New Roman" w:hAnsi="Times New Roman" w:cs="Times New Roman"/>
                <w:sz w:val="24"/>
                <w:szCs w:val="24"/>
              </w:rPr>
            </w:pPr>
            <w:r w:rsidRPr="00F56EA8">
              <w:rPr>
                <w:rFonts w:ascii="Times New Roman" w:eastAsia="Times New Roman" w:hAnsi="Times New Roman" w:cs="Times New Roman"/>
                <w:sz w:val="24"/>
                <w:szCs w:val="24"/>
              </w:rPr>
              <w:t>2.</w:t>
            </w:r>
          </w:p>
        </w:tc>
        <w:tc>
          <w:tcPr>
            <w:tcW w:w="3119" w:type="dxa"/>
          </w:tcPr>
          <w:p w14:paraId="4CFCDAD2" w14:textId="77777777" w:rsidR="00F56EA8" w:rsidRDefault="00F56EA8" w:rsidP="00DB5C9D">
            <w:pPr>
              <w:spacing w:before="120" w:after="120"/>
              <w:rPr>
                <w:rFonts w:ascii="Times New Roman" w:hAnsi="Times New Roman" w:cs="Times New Roman"/>
                <w:sz w:val="24"/>
                <w:szCs w:val="24"/>
              </w:rPr>
            </w:pPr>
            <w:r w:rsidRPr="00F56EA8">
              <w:rPr>
                <w:rFonts w:ascii="Times New Roman" w:eastAsia="Times New Roman" w:hAnsi="Times New Roman" w:cs="Times New Roman"/>
                <w:sz w:val="24"/>
                <w:szCs w:val="24"/>
              </w:rPr>
              <w:t>Tiesiskā regulējuma ietekme uz tautsaimniecību un administratīvo slogu</w:t>
            </w:r>
          </w:p>
        </w:tc>
        <w:tc>
          <w:tcPr>
            <w:tcW w:w="5811" w:type="dxa"/>
          </w:tcPr>
          <w:p w14:paraId="1B6393DE" w14:textId="77777777" w:rsidR="00F94EEA" w:rsidRPr="00D92CEE" w:rsidRDefault="00F94EEA" w:rsidP="000D0638">
            <w:pPr>
              <w:tabs>
                <w:tab w:val="left" w:pos="993"/>
              </w:tabs>
              <w:spacing w:before="120" w:after="120"/>
              <w:ind w:left="57" w:right="142"/>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Nosacījuma, ka ar </w:t>
            </w:r>
            <w:r w:rsidRPr="00D92CEE">
              <w:rPr>
                <w:rFonts w:ascii="Times New Roman" w:hAnsi="Times New Roman" w:cs="Times New Roman"/>
                <w:spacing w:val="-3"/>
                <w:sz w:val="24"/>
                <w:szCs w:val="24"/>
              </w:rPr>
              <w:t xml:space="preserve">PVN </w:t>
            </w:r>
            <w:r>
              <w:rPr>
                <w:rFonts w:ascii="Times New Roman" w:hAnsi="Times New Roman" w:cs="Times New Roman"/>
                <w:spacing w:val="-3"/>
                <w:sz w:val="24"/>
                <w:szCs w:val="24"/>
              </w:rPr>
              <w:t xml:space="preserve">neapliek </w:t>
            </w:r>
            <w:r w:rsidRPr="00D92CEE">
              <w:rPr>
                <w:rFonts w:ascii="Times New Roman" w:hAnsi="Times New Roman" w:cs="Times New Roman"/>
                <w:spacing w:val="-3"/>
                <w:sz w:val="24"/>
                <w:szCs w:val="24"/>
              </w:rPr>
              <w:t>dzīvojamo</w:t>
            </w:r>
            <w:r>
              <w:rPr>
                <w:rFonts w:ascii="Times New Roman" w:hAnsi="Times New Roman" w:cs="Times New Roman"/>
                <w:spacing w:val="-3"/>
                <w:sz w:val="24"/>
                <w:szCs w:val="24"/>
              </w:rPr>
              <w:t xml:space="preserve"> māju pārvaldīšanas pakalpojumu, atcelšana</w:t>
            </w:r>
            <w:r w:rsidRPr="00D92CEE">
              <w:rPr>
                <w:rFonts w:ascii="Times New Roman" w:hAnsi="Times New Roman" w:cs="Times New Roman"/>
                <w:spacing w:val="-3"/>
                <w:sz w:val="24"/>
                <w:szCs w:val="24"/>
              </w:rPr>
              <w:t xml:space="preserve"> palielinās dzīvojam</w:t>
            </w:r>
            <w:r>
              <w:rPr>
                <w:rFonts w:ascii="Times New Roman" w:hAnsi="Times New Roman" w:cs="Times New Roman"/>
                <w:spacing w:val="-3"/>
                <w:sz w:val="24"/>
                <w:szCs w:val="24"/>
              </w:rPr>
              <w:t>o māju pārvaldīšanas pakalpojuma</w:t>
            </w:r>
            <w:r w:rsidRPr="00D92CEE">
              <w:rPr>
                <w:rFonts w:ascii="Times New Roman" w:hAnsi="Times New Roman" w:cs="Times New Roman"/>
                <w:spacing w:val="-3"/>
                <w:sz w:val="24"/>
                <w:szCs w:val="24"/>
              </w:rPr>
              <w:t xml:space="preserve"> izmaksas un ietekmēs </w:t>
            </w:r>
            <w:r>
              <w:rPr>
                <w:rFonts w:ascii="Times New Roman" w:hAnsi="Times New Roman" w:cs="Times New Roman"/>
                <w:spacing w:val="-3"/>
                <w:sz w:val="24"/>
                <w:szCs w:val="24"/>
              </w:rPr>
              <w:t>tās personas, kas saņem minētos pakalpojumus.</w:t>
            </w:r>
          </w:p>
          <w:p w14:paraId="562C5C80" w14:textId="77777777" w:rsidR="00F94EEA" w:rsidRPr="00E87833" w:rsidRDefault="00F94EEA" w:rsidP="00E87833">
            <w:pPr>
              <w:tabs>
                <w:tab w:val="left" w:pos="993"/>
              </w:tabs>
              <w:spacing w:before="120" w:after="120"/>
              <w:ind w:left="57" w:right="142"/>
              <w:jc w:val="both"/>
              <w:rPr>
                <w:rFonts w:ascii="Times New Roman" w:hAnsi="Times New Roman" w:cs="Times New Roman"/>
                <w:sz w:val="24"/>
                <w:szCs w:val="24"/>
              </w:rPr>
            </w:pPr>
            <w:r>
              <w:rPr>
                <w:rFonts w:ascii="Times New Roman" w:hAnsi="Times New Roman" w:cs="Times New Roman"/>
                <w:sz w:val="24"/>
                <w:szCs w:val="24"/>
              </w:rPr>
              <w:t>Latvijas Pašvaldību savienība ir informējusi ka,</w:t>
            </w:r>
            <w:r w:rsidR="005F3B07">
              <w:rPr>
                <w:rFonts w:ascii="Times New Roman" w:hAnsi="Times New Roman" w:cs="Times New Roman"/>
                <w:sz w:val="24"/>
                <w:szCs w:val="24"/>
              </w:rPr>
              <w:t xml:space="preserve"> </w:t>
            </w:r>
            <w:r w:rsidR="005F3B07">
              <w:rPr>
                <w:rFonts w:ascii="Times New Roman" w:hAnsi="Times New Roman" w:cs="Times New Roman"/>
                <w:spacing w:val="-3"/>
                <w:sz w:val="24"/>
                <w:szCs w:val="24"/>
              </w:rPr>
              <w:t>palielinoties</w:t>
            </w:r>
            <w:r w:rsidR="005F3B07" w:rsidRPr="00D92CEE">
              <w:rPr>
                <w:rFonts w:ascii="Times New Roman" w:hAnsi="Times New Roman" w:cs="Times New Roman"/>
                <w:spacing w:val="-3"/>
                <w:sz w:val="24"/>
                <w:szCs w:val="24"/>
              </w:rPr>
              <w:t xml:space="preserve"> dzīvojam</w:t>
            </w:r>
            <w:r w:rsidR="005F3B07">
              <w:rPr>
                <w:rFonts w:ascii="Times New Roman" w:hAnsi="Times New Roman" w:cs="Times New Roman"/>
                <w:spacing w:val="-3"/>
                <w:sz w:val="24"/>
                <w:szCs w:val="24"/>
              </w:rPr>
              <w:t>o māju pārvaldīšanas pakalpojuma izmaksām,</w:t>
            </w:r>
            <w:r>
              <w:rPr>
                <w:rFonts w:ascii="Times New Roman" w:hAnsi="Times New Roman" w:cs="Times New Roman"/>
                <w:sz w:val="24"/>
                <w:szCs w:val="24"/>
              </w:rPr>
              <w:t xml:space="preserve"> </w:t>
            </w:r>
            <w:r w:rsidR="00E87833">
              <w:rPr>
                <w:rFonts w:ascii="Times New Roman" w:hAnsi="Times New Roman" w:cs="Times New Roman"/>
                <w:sz w:val="24"/>
                <w:szCs w:val="24"/>
              </w:rPr>
              <w:t>varētu pieaugt pašvaldību izdevumi dzīvokļa pabalsta izmaksām p</w:t>
            </w:r>
            <w:r w:rsidR="004A158D">
              <w:rPr>
                <w:rFonts w:ascii="Times New Roman" w:hAnsi="Times New Roman" w:cs="Times New Roman"/>
                <w:sz w:val="24"/>
                <w:szCs w:val="24"/>
              </w:rPr>
              <w:t>ašvaldības trūcīgajiem un mazno</w:t>
            </w:r>
            <w:r w:rsidR="00E87833">
              <w:rPr>
                <w:rFonts w:ascii="Times New Roman" w:hAnsi="Times New Roman" w:cs="Times New Roman"/>
                <w:sz w:val="24"/>
                <w:szCs w:val="24"/>
              </w:rPr>
              <w:t>drošinā</w:t>
            </w:r>
            <w:r w:rsidR="005F3B07">
              <w:rPr>
                <w:rFonts w:ascii="Times New Roman" w:hAnsi="Times New Roman" w:cs="Times New Roman"/>
                <w:sz w:val="24"/>
                <w:szCs w:val="24"/>
              </w:rPr>
              <w:t xml:space="preserve">tajiem iedzīvotājiem, tādejādi </w:t>
            </w:r>
            <w:r w:rsidRPr="00D92CEE">
              <w:rPr>
                <w:rFonts w:ascii="Times New Roman" w:hAnsi="Times New Roman" w:cs="Times New Roman"/>
                <w:sz w:val="24"/>
                <w:szCs w:val="24"/>
              </w:rPr>
              <w:t>ietekmē</w:t>
            </w:r>
            <w:r w:rsidR="00E87833">
              <w:rPr>
                <w:rFonts w:ascii="Times New Roman" w:hAnsi="Times New Roman" w:cs="Times New Roman"/>
                <w:sz w:val="24"/>
                <w:szCs w:val="24"/>
              </w:rPr>
              <w:t>jot</w:t>
            </w:r>
            <w:r w:rsidR="004A158D">
              <w:rPr>
                <w:rFonts w:ascii="Times New Roman" w:hAnsi="Times New Roman" w:cs="Times New Roman"/>
                <w:sz w:val="24"/>
                <w:szCs w:val="24"/>
              </w:rPr>
              <w:t xml:space="preserve"> pašvaldību sociālo budžetu.</w:t>
            </w:r>
          </w:p>
          <w:p w14:paraId="7EE584D2" w14:textId="7187D503" w:rsidR="00F94EEA" w:rsidRPr="00AE1744" w:rsidRDefault="00F94EEA" w:rsidP="000D0638">
            <w:pPr>
              <w:spacing w:before="120" w:after="120"/>
              <w:ind w:left="57" w:right="142"/>
              <w:jc w:val="both"/>
              <w:rPr>
                <w:rFonts w:ascii="Times New Roman" w:hAnsi="Times New Roman" w:cs="Times New Roman"/>
                <w:sz w:val="24"/>
                <w:szCs w:val="24"/>
              </w:rPr>
            </w:pPr>
            <w:r>
              <w:rPr>
                <w:rFonts w:ascii="Times New Roman" w:hAnsi="Times New Roman" w:cs="Times New Roman"/>
                <w:spacing w:val="-3"/>
                <w:sz w:val="24"/>
                <w:szCs w:val="24"/>
              </w:rPr>
              <w:t xml:space="preserve">Administratīvais slogs </w:t>
            </w:r>
            <w:r>
              <w:rPr>
                <w:rFonts w:ascii="Times New Roman" w:eastAsia="Times New Roman" w:hAnsi="Times New Roman" w:cs="Times New Roman"/>
                <w:sz w:val="24"/>
                <w:szCs w:val="24"/>
              </w:rPr>
              <w:t>varētu ietekmēt tās personas</w:t>
            </w:r>
            <w:r w:rsidRPr="00D92CEE">
              <w:rPr>
                <w:rFonts w:ascii="Times New Roman" w:eastAsia="Times New Roman" w:hAnsi="Times New Roman" w:cs="Times New Roman"/>
                <w:sz w:val="24"/>
                <w:szCs w:val="24"/>
              </w:rPr>
              <w:t xml:space="preserve">, kas nodarbojas ar </w:t>
            </w:r>
            <w:r w:rsidRPr="00D92CEE">
              <w:rPr>
                <w:rFonts w:ascii="Times New Roman" w:hAnsi="Times New Roman" w:cs="Times New Roman"/>
                <w:sz w:val="24"/>
                <w:szCs w:val="24"/>
              </w:rPr>
              <w:t>dzīvojamo māju (tajā skaitā arī d</w:t>
            </w:r>
            <w:r w:rsidR="00813FA3">
              <w:rPr>
                <w:rFonts w:ascii="Times New Roman" w:hAnsi="Times New Roman" w:cs="Times New Roman"/>
                <w:sz w:val="24"/>
                <w:szCs w:val="24"/>
              </w:rPr>
              <w:t>zīvokļu īpašumu) pārvaldīšanu, bet</w:t>
            </w:r>
            <w:r w:rsidRPr="00D92CEE">
              <w:rPr>
                <w:rFonts w:ascii="Times New Roman" w:hAnsi="Times New Roman" w:cs="Times New Roman"/>
                <w:sz w:val="24"/>
                <w:szCs w:val="24"/>
              </w:rPr>
              <w:t xml:space="preserve"> nav</w:t>
            </w:r>
            <w:r w:rsidR="00100575">
              <w:rPr>
                <w:rFonts w:ascii="Times New Roman" w:hAnsi="Times New Roman" w:cs="Times New Roman"/>
                <w:sz w:val="24"/>
                <w:szCs w:val="24"/>
              </w:rPr>
              <w:t xml:space="preserve"> reģistrēt</w:t>
            </w:r>
            <w:r w:rsidR="004C7C35">
              <w:rPr>
                <w:rFonts w:ascii="Times New Roman" w:hAnsi="Times New Roman" w:cs="Times New Roman"/>
                <w:sz w:val="24"/>
                <w:szCs w:val="24"/>
              </w:rPr>
              <w:t>i</w:t>
            </w:r>
            <w:r w:rsidR="008E0A3F">
              <w:rPr>
                <w:rFonts w:ascii="Times New Roman" w:hAnsi="Times New Roman" w:cs="Times New Roman"/>
                <w:sz w:val="24"/>
                <w:szCs w:val="24"/>
              </w:rPr>
              <w:t xml:space="preserve"> </w:t>
            </w:r>
            <w:r w:rsidR="004C7C35">
              <w:rPr>
                <w:rFonts w:ascii="Times New Roman" w:hAnsi="Times New Roman" w:cs="Times New Roman"/>
                <w:sz w:val="24"/>
                <w:szCs w:val="24"/>
              </w:rPr>
              <w:t>PVN maksātāji</w:t>
            </w:r>
            <w:r w:rsidRPr="00D92CEE">
              <w:rPr>
                <w:rFonts w:ascii="Times New Roman" w:hAnsi="Times New Roman" w:cs="Times New Roman"/>
                <w:sz w:val="24"/>
                <w:szCs w:val="24"/>
              </w:rPr>
              <w:t>. Minētajām personām, sasniedzot noteikto ar PVN apliekamo darījumu apjomu</w:t>
            </w:r>
            <w:r w:rsidR="004C7C35">
              <w:rPr>
                <w:rFonts w:ascii="Times New Roman" w:hAnsi="Times New Roman" w:cs="Times New Roman"/>
                <w:sz w:val="24"/>
                <w:szCs w:val="24"/>
              </w:rPr>
              <w:t>, proti, 50</w:t>
            </w:r>
            <w:r w:rsidR="00195A56">
              <w:rPr>
                <w:rFonts w:ascii="Times New Roman" w:hAnsi="Times New Roman" w:cs="Times New Roman"/>
                <w:sz w:val="24"/>
                <w:szCs w:val="24"/>
              </w:rPr>
              <w:t> </w:t>
            </w:r>
            <w:r w:rsidR="004C7C35">
              <w:rPr>
                <w:rFonts w:ascii="Times New Roman" w:hAnsi="Times New Roman" w:cs="Times New Roman"/>
                <w:sz w:val="24"/>
                <w:szCs w:val="24"/>
              </w:rPr>
              <w:t>000</w:t>
            </w:r>
            <w:r w:rsidR="00195A56">
              <w:rPr>
                <w:rFonts w:ascii="Times New Roman" w:hAnsi="Times New Roman" w:cs="Times New Roman"/>
                <w:sz w:val="24"/>
                <w:szCs w:val="24"/>
              </w:rPr>
              <w:t> </w:t>
            </w:r>
            <w:proofErr w:type="spellStart"/>
            <w:r w:rsidR="004C7C35" w:rsidRPr="004C7C35">
              <w:rPr>
                <w:rFonts w:ascii="Times New Roman" w:hAnsi="Times New Roman" w:cs="Times New Roman"/>
                <w:i/>
                <w:sz w:val="24"/>
                <w:szCs w:val="24"/>
              </w:rPr>
              <w:t>eur</w:t>
            </w:r>
            <w:r w:rsidR="004C7C35">
              <w:rPr>
                <w:rFonts w:ascii="Times New Roman" w:hAnsi="Times New Roman" w:cs="Times New Roman"/>
                <w:i/>
                <w:sz w:val="24"/>
                <w:szCs w:val="24"/>
              </w:rPr>
              <w:t>o</w:t>
            </w:r>
            <w:proofErr w:type="spellEnd"/>
            <w:r w:rsidRPr="00D92CEE">
              <w:rPr>
                <w:rFonts w:ascii="Times New Roman" w:hAnsi="Times New Roman" w:cs="Times New Roman"/>
                <w:sz w:val="24"/>
                <w:szCs w:val="24"/>
              </w:rPr>
              <w:t>, būs</w:t>
            </w:r>
            <w:r w:rsidR="00100575">
              <w:rPr>
                <w:rFonts w:ascii="Times New Roman" w:hAnsi="Times New Roman" w:cs="Times New Roman"/>
                <w:sz w:val="24"/>
                <w:szCs w:val="24"/>
              </w:rPr>
              <w:t xml:space="preserve"> jāreģistrējas VID PVN maksātāju reģistrā </w:t>
            </w:r>
            <w:r w:rsidRPr="00D92CEE">
              <w:rPr>
                <w:rFonts w:ascii="Times New Roman" w:hAnsi="Times New Roman" w:cs="Times New Roman"/>
                <w:sz w:val="24"/>
                <w:szCs w:val="24"/>
              </w:rPr>
              <w:t>un attiecīgi jāi</w:t>
            </w:r>
            <w:r w:rsidR="00100575">
              <w:rPr>
                <w:rFonts w:ascii="Times New Roman" w:hAnsi="Times New Roman" w:cs="Times New Roman"/>
                <w:sz w:val="24"/>
                <w:szCs w:val="24"/>
              </w:rPr>
              <w:t xml:space="preserve">esniedz </w:t>
            </w:r>
            <w:r w:rsidR="00100575" w:rsidRPr="00AE1744">
              <w:rPr>
                <w:rFonts w:ascii="Times New Roman" w:hAnsi="Times New Roman" w:cs="Times New Roman"/>
                <w:sz w:val="24"/>
                <w:szCs w:val="24"/>
              </w:rPr>
              <w:t>VID</w:t>
            </w:r>
            <w:r w:rsidR="00E87833" w:rsidRPr="00AE1744">
              <w:rPr>
                <w:rFonts w:ascii="Times New Roman" w:hAnsi="Times New Roman" w:cs="Times New Roman"/>
                <w:sz w:val="24"/>
                <w:szCs w:val="24"/>
              </w:rPr>
              <w:t xml:space="preserve"> taksācijas perioda</w:t>
            </w:r>
            <w:r w:rsidRPr="00AE1744">
              <w:rPr>
                <w:rFonts w:ascii="Times New Roman" w:hAnsi="Times New Roman" w:cs="Times New Roman"/>
                <w:sz w:val="24"/>
                <w:szCs w:val="24"/>
              </w:rPr>
              <w:t xml:space="preserve"> PVN deklarācijas un jāpilda citi normatīvajos aktos noteiktie pienākumi. Jāatzīmē, ka</w:t>
            </w:r>
            <w:r w:rsidR="00100575" w:rsidRPr="00AE1744">
              <w:rPr>
                <w:rFonts w:ascii="Times New Roman" w:hAnsi="Times New Roman" w:cs="Times New Roman"/>
                <w:sz w:val="24"/>
                <w:szCs w:val="24"/>
              </w:rPr>
              <w:t>,</w:t>
            </w:r>
            <w:r w:rsidRPr="00AE1744">
              <w:rPr>
                <w:rFonts w:ascii="Times New Roman" w:hAnsi="Times New Roman" w:cs="Times New Roman"/>
                <w:sz w:val="24"/>
                <w:szCs w:val="24"/>
              </w:rPr>
              <w:t xml:space="preserve"> ja </w:t>
            </w:r>
            <w:r w:rsidR="00AF7E0F" w:rsidRPr="00AE1744">
              <w:rPr>
                <w:rFonts w:ascii="Times New Roman" w:hAnsi="Times New Roman" w:cs="Times New Roman"/>
                <w:sz w:val="24"/>
                <w:szCs w:val="24"/>
              </w:rPr>
              <w:t>persona</w:t>
            </w:r>
            <w:r w:rsidRPr="00AE1744">
              <w:rPr>
                <w:rFonts w:ascii="Times New Roman" w:hAnsi="Times New Roman" w:cs="Times New Roman"/>
                <w:sz w:val="24"/>
                <w:szCs w:val="24"/>
              </w:rPr>
              <w:t>, kas sniedz dzīvojamo māju pārvaldīšanas pakalpojumus</w:t>
            </w:r>
            <w:r w:rsidR="00D971BD" w:rsidRPr="00AE1744">
              <w:rPr>
                <w:rFonts w:ascii="Times New Roman" w:hAnsi="Times New Roman" w:cs="Times New Roman"/>
                <w:sz w:val="24"/>
                <w:szCs w:val="24"/>
              </w:rPr>
              <w:t>,</w:t>
            </w:r>
            <w:r w:rsidR="008E0A3F" w:rsidRPr="00AE1744">
              <w:rPr>
                <w:rFonts w:ascii="Times New Roman" w:hAnsi="Times New Roman" w:cs="Times New Roman"/>
                <w:sz w:val="24"/>
                <w:szCs w:val="24"/>
              </w:rPr>
              <w:t xml:space="preserve"> jau</w:t>
            </w:r>
            <w:r w:rsidR="00100575" w:rsidRPr="00AE1744">
              <w:rPr>
                <w:rFonts w:ascii="Times New Roman" w:hAnsi="Times New Roman" w:cs="Times New Roman"/>
                <w:sz w:val="24"/>
                <w:szCs w:val="24"/>
              </w:rPr>
              <w:t xml:space="preserve"> </w:t>
            </w:r>
            <w:r w:rsidRPr="00AE1744">
              <w:rPr>
                <w:rFonts w:ascii="Times New Roman" w:hAnsi="Times New Roman" w:cs="Times New Roman"/>
                <w:sz w:val="24"/>
                <w:szCs w:val="24"/>
              </w:rPr>
              <w:t>ir reģis</w:t>
            </w:r>
            <w:r w:rsidR="00100575" w:rsidRPr="00AE1744">
              <w:rPr>
                <w:rFonts w:ascii="Times New Roman" w:hAnsi="Times New Roman" w:cs="Times New Roman"/>
                <w:sz w:val="24"/>
                <w:szCs w:val="24"/>
              </w:rPr>
              <w:t>trēts PVN maksātājs</w:t>
            </w:r>
            <w:r w:rsidRPr="00AE1744">
              <w:rPr>
                <w:rFonts w:ascii="Times New Roman" w:hAnsi="Times New Roman" w:cs="Times New Roman"/>
                <w:sz w:val="24"/>
                <w:szCs w:val="24"/>
              </w:rPr>
              <w:t xml:space="preserve">, </w:t>
            </w:r>
            <w:r w:rsidR="00D971BD" w:rsidRPr="00AE1744">
              <w:rPr>
                <w:rFonts w:ascii="Times New Roman" w:hAnsi="Times New Roman" w:cs="Times New Roman"/>
                <w:sz w:val="24"/>
                <w:szCs w:val="24"/>
              </w:rPr>
              <w:t xml:space="preserve">tad tam </w:t>
            </w:r>
            <w:r w:rsidR="00D971BD" w:rsidRPr="00AE1744">
              <w:rPr>
                <w:rFonts w:ascii="Times New Roman" w:eastAsia="Times New Roman" w:hAnsi="Times New Roman" w:cs="Times New Roman"/>
                <w:sz w:val="24"/>
                <w:szCs w:val="24"/>
              </w:rPr>
              <w:t>administratīvais slogs</w:t>
            </w:r>
            <w:r w:rsidR="00E87833" w:rsidRPr="00AE1744">
              <w:rPr>
                <w:rFonts w:ascii="Times New Roman" w:eastAsia="Times New Roman" w:hAnsi="Times New Roman" w:cs="Times New Roman"/>
                <w:sz w:val="24"/>
                <w:szCs w:val="24"/>
              </w:rPr>
              <w:t xml:space="preserve"> samazināsies, jo </w:t>
            </w:r>
            <w:r w:rsidR="00D971BD" w:rsidRPr="00AE1744">
              <w:rPr>
                <w:rFonts w:ascii="Times New Roman" w:eastAsia="Times New Roman" w:hAnsi="Times New Roman" w:cs="Times New Roman"/>
                <w:sz w:val="24"/>
                <w:szCs w:val="24"/>
              </w:rPr>
              <w:t>būs</w:t>
            </w:r>
            <w:r w:rsidR="00E87833" w:rsidRPr="00AE1744">
              <w:rPr>
                <w:rFonts w:ascii="Times New Roman" w:eastAsia="Times New Roman" w:hAnsi="Times New Roman" w:cs="Times New Roman"/>
                <w:sz w:val="24"/>
                <w:szCs w:val="24"/>
              </w:rPr>
              <w:t xml:space="preserve"> vienkāršāka PVN rēķinu izrakstīšana, kā arī veikto darījumu uzskaite.</w:t>
            </w:r>
            <w:r w:rsidRPr="00AE1744">
              <w:rPr>
                <w:rFonts w:ascii="Times New Roman" w:hAnsi="Times New Roman" w:cs="Times New Roman"/>
                <w:sz w:val="24"/>
                <w:szCs w:val="24"/>
              </w:rPr>
              <w:t xml:space="preserve"> </w:t>
            </w:r>
          </w:p>
          <w:p w14:paraId="462562D3" w14:textId="77777777" w:rsidR="004414D1" w:rsidRPr="00AE1744" w:rsidRDefault="00630010" w:rsidP="004414D1">
            <w:pPr>
              <w:spacing w:before="120" w:after="120"/>
              <w:ind w:left="57" w:right="142"/>
              <w:jc w:val="both"/>
              <w:rPr>
                <w:rFonts w:ascii="Times New Roman" w:hAnsi="Times New Roman" w:cs="Times New Roman"/>
                <w:sz w:val="24"/>
                <w:szCs w:val="24"/>
              </w:rPr>
            </w:pPr>
            <w:r w:rsidRPr="00AE1744">
              <w:rPr>
                <w:rFonts w:ascii="Times New Roman" w:hAnsi="Times New Roman" w:cs="Times New Roman"/>
                <w:sz w:val="24"/>
                <w:szCs w:val="24"/>
              </w:rPr>
              <w:t>Pēc likumprojekta stāšanās spēkā</w:t>
            </w:r>
            <w:r w:rsidR="00D971BD" w:rsidRPr="00AE1744">
              <w:rPr>
                <w:rFonts w:ascii="Times New Roman" w:hAnsi="Times New Roman" w:cs="Times New Roman"/>
                <w:sz w:val="24"/>
                <w:szCs w:val="24"/>
              </w:rPr>
              <w:t xml:space="preserve"> reģistrētam PVN maksātājam</w:t>
            </w:r>
            <w:r w:rsidRPr="00AE1744">
              <w:rPr>
                <w:rFonts w:ascii="Times New Roman" w:hAnsi="Times New Roman" w:cs="Times New Roman"/>
                <w:sz w:val="24"/>
                <w:szCs w:val="24"/>
              </w:rPr>
              <w:t xml:space="preserve"> būs </w:t>
            </w:r>
            <w:r w:rsidR="00D971BD" w:rsidRPr="00AE1744">
              <w:rPr>
                <w:rFonts w:ascii="Times New Roman" w:hAnsi="Times New Roman" w:cs="Times New Roman"/>
                <w:sz w:val="24"/>
                <w:szCs w:val="24"/>
              </w:rPr>
              <w:t xml:space="preserve">tiesības </w:t>
            </w:r>
            <w:r w:rsidRPr="00AE1744">
              <w:rPr>
                <w:rFonts w:ascii="Times New Roman" w:hAnsi="Times New Roman" w:cs="Times New Roman"/>
                <w:sz w:val="24"/>
                <w:szCs w:val="24"/>
              </w:rPr>
              <w:t xml:space="preserve">atskaitīt </w:t>
            </w:r>
            <w:r w:rsidR="004414D1" w:rsidRPr="00AE1744">
              <w:rPr>
                <w:rFonts w:ascii="Times New Roman" w:hAnsi="Times New Roman" w:cs="Times New Roman"/>
                <w:sz w:val="24"/>
                <w:szCs w:val="24"/>
              </w:rPr>
              <w:t xml:space="preserve">kā </w:t>
            </w:r>
            <w:r w:rsidRPr="00AE1744">
              <w:rPr>
                <w:rFonts w:ascii="Times New Roman" w:hAnsi="Times New Roman" w:cs="Times New Roman"/>
                <w:sz w:val="24"/>
                <w:szCs w:val="24"/>
              </w:rPr>
              <w:t>priekšnodokli</w:t>
            </w:r>
            <w:r w:rsidR="00D971BD" w:rsidRPr="00AE1744">
              <w:rPr>
                <w:rFonts w:ascii="Times New Roman" w:hAnsi="Times New Roman" w:cs="Times New Roman"/>
                <w:sz w:val="24"/>
                <w:szCs w:val="24"/>
              </w:rPr>
              <w:t xml:space="preserve"> </w:t>
            </w:r>
            <w:r w:rsidR="004414D1" w:rsidRPr="00AE1744">
              <w:rPr>
                <w:rFonts w:ascii="Times New Roman" w:hAnsi="Times New Roman" w:cs="Times New Roman"/>
                <w:sz w:val="24"/>
                <w:szCs w:val="24"/>
              </w:rPr>
              <w:t xml:space="preserve">no citiem reģistrētiem PVN maksātājiem saņemtajos PVN rēķinos norādītas PVN summas par iegādātajām precēm un saņemtajiem pakalpojumiem dzīvojamo māju pārvaldīšanas pakalpojumu nodrošināšanai. </w:t>
            </w:r>
          </w:p>
          <w:p w14:paraId="234D2048" w14:textId="061D5D14" w:rsidR="00972AF2" w:rsidRPr="006F462E" w:rsidRDefault="005C223C" w:rsidP="00EC0035">
            <w:pPr>
              <w:spacing w:before="120" w:after="120"/>
              <w:ind w:left="57" w:right="142"/>
              <w:jc w:val="both"/>
              <w:rPr>
                <w:rFonts w:ascii="Times New Roman" w:hAnsi="Times New Roman" w:cs="Times New Roman"/>
                <w:sz w:val="24"/>
                <w:szCs w:val="24"/>
              </w:rPr>
            </w:pPr>
            <w:r w:rsidRPr="00AE1744">
              <w:rPr>
                <w:rFonts w:ascii="Times New Roman" w:hAnsi="Times New Roman" w:cs="Times New Roman"/>
                <w:sz w:val="24"/>
                <w:szCs w:val="24"/>
              </w:rPr>
              <w:t>PVN maksātāj</w:t>
            </w:r>
            <w:r w:rsidR="00EC0035" w:rsidRPr="00AE1744">
              <w:rPr>
                <w:rFonts w:ascii="Times New Roman" w:hAnsi="Times New Roman" w:cs="Times New Roman"/>
                <w:sz w:val="24"/>
                <w:szCs w:val="24"/>
              </w:rPr>
              <w:t>a</w:t>
            </w:r>
            <w:r w:rsidRPr="00AE1744">
              <w:rPr>
                <w:rFonts w:ascii="Times New Roman" w:hAnsi="Times New Roman" w:cs="Times New Roman"/>
                <w:sz w:val="24"/>
                <w:szCs w:val="24"/>
              </w:rPr>
              <w:t xml:space="preserve">, kas pēc </w:t>
            </w:r>
            <w:r w:rsidR="0006166B" w:rsidRPr="00AE1744">
              <w:rPr>
                <w:rFonts w:ascii="Times New Roman" w:hAnsi="Times New Roman" w:cs="Times New Roman"/>
                <w:sz w:val="24"/>
                <w:szCs w:val="24"/>
              </w:rPr>
              <w:t>grozījumu</w:t>
            </w:r>
            <w:r w:rsidRPr="00AE1744">
              <w:rPr>
                <w:rFonts w:ascii="Times New Roman" w:hAnsi="Times New Roman" w:cs="Times New Roman"/>
                <w:sz w:val="24"/>
                <w:szCs w:val="24"/>
              </w:rPr>
              <w:t xml:space="preserve"> spēkā stāšanās </w:t>
            </w:r>
            <w:r w:rsidR="00972AF2" w:rsidRPr="00AE1744">
              <w:rPr>
                <w:rFonts w:ascii="Times New Roman" w:hAnsi="Times New Roman" w:cs="Times New Roman"/>
                <w:sz w:val="24"/>
                <w:szCs w:val="24"/>
              </w:rPr>
              <w:t>neatbildīs</w:t>
            </w:r>
            <w:r w:rsidRPr="00AE1744">
              <w:rPr>
                <w:rFonts w:ascii="Times New Roman" w:hAnsi="Times New Roman" w:cs="Times New Roman"/>
                <w:sz w:val="24"/>
                <w:szCs w:val="24"/>
              </w:rPr>
              <w:t xml:space="preserve"> </w:t>
            </w:r>
            <w:r w:rsidR="0006166B" w:rsidRPr="00AE1744">
              <w:rPr>
                <w:rFonts w:ascii="Times New Roman" w:hAnsi="Times New Roman" w:cs="Times New Roman"/>
                <w:sz w:val="24"/>
                <w:szCs w:val="24"/>
              </w:rPr>
              <w:t xml:space="preserve">likumā noteiktajam personu lokam, kurām ir tiesības piemērot PVN atbrīvojumu, </w:t>
            </w:r>
            <w:r w:rsidR="00972AF2" w:rsidRPr="00AE1744">
              <w:rPr>
                <w:rFonts w:ascii="Times New Roman" w:hAnsi="Times New Roman" w:cs="Times New Roman"/>
                <w:sz w:val="24"/>
                <w:szCs w:val="24"/>
              </w:rPr>
              <w:t>sniegt</w:t>
            </w:r>
            <w:r w:rsidR="0006166B" w:rsidRPr="00AE1744">
              <w:rPr>
                <w:rFonts w:ascii="Times New Roman" w:hAnsi="Times New Roman" w:cs="Times New Roman"/>
                <w:sz w:val="24"/>
                <w:szCs w:val="24"/>
              </w:rPr>
              <w:t>ie kultūras pakalpojumi (teātra un</w:t>
            </w:r>
            <w:r w:rsidR="00972AF2" w:rsidRPr="00AE1744">
              <w:rPr>
                <w:rFonts w:ascii="Times New Roman" w:hAnsi="Times New Roman" w:cs="Times New Roman"/>
                <w:sz w:val="24"/>
                <w:szCs w:val="24"/>
              </w:rPr>
              <w:t xml:space="preserve"> cirka izrādes, koncerti) būs apliekami ar PVN. Tādējādi, ja minētais PVN maksātājs nebija reģistrēts VID PVN maksātāju reģistrā un t</w:t>
            </w:r>
            <w:r w:rsidR="00EC0035" w:rsidRPr="00AE1744">
              <w:rPr>
                <w:rFonts w:ascii="Times New Roman" w:hAnsi="Times New Roman" w:cs="Times New Roman"/>
                <w:sz w:val="24"/>
                <w:szCs w:val="24"/>
              </w:rPr>
              <w:t xml:space="preserve">ā </w:t>
            </w:r>
            <w:r w:rsidR="00972AF2" w:rsidRPr="00AE1744">
              <w:rPr>
                <w:rFonts w:ascii="Times New Roman" w:hAnsi="Times New Roman" w:cs="Times New Roman"/>
                <w:sz w:val="24"/>
                <w:szCs w:val="24"/>
              </w:rPr>
              <w:t>ar PVN apliekamo darījumu apj</w:t>
            </w:r>
            <w:r w:rsidR="00AE1744">
              <w:rPr>
                <w:rFonts w:ascii="Times New Roman" w:hAnsi="Times New Roman" w:cs="Times New Roman"/>
                <w:sz w:val="24"/>
                <w:szCs w:val="24"/>
              </w:rPr>
              <w:t>oms 12 mēnešos pārsniedz 50 000 </w:t>
            </w:r>
            <w:proofErr w:type="spellStart"/>
            <w:r w:rsidR="00972AF2" w:rsidRPr="00AE1744">
              <w:rPr>
                <w:rFonts w:ascii="Times New Roman" w:hAnsi="Times New Roman" w:cs="Times New Roman"/>
                <w:i/>
                <w:sz w:val="24"/>
                <w:szCs w:val="24"/>
              </w:rPr>
              <w:t>euro</w:t>
            </w:r>
            <w:proofErr w:type="spellEnd"/>
            <w:r w:rsidR="00EC0035" w:rsidRPr="00AE1744">
              <w:rPr>
                <w:rFonts w:ascii="Times New Roman" w:hAnsi="Times New Roman" w:cs="Times New Roman"/>
                <w:sz w:val="24"/>
                <w:szCs w:val="24"/>
              </w:rPr>
              <w:t xml:space="preserve">, tādā gadījumā tam būs jāreģistrējas VID PVN maksātāju reģistrā un saskaņā ar PVN regulējošajos normatīvajos aktos noteikto būs jāpilda pienākumi, kas </w:t>
            </w:r>
            <w:r w:rsidR="00EC0035" w:rsidRPr="006F462E">
              <w:rPr>
                <w:rFonts w:ascii="Times New Roman" w:hAnsi="Times New Roman" w:cs="Times New Roman"/>
                <w:sz w:val="24"/>
                <w:szCs w:val="24"/>
              </w:rPr>
              <w:t>attiecas uz reģistrētajiem PVN maksātājiem.</w:t>
            </w:r>
          </w:p>
          <w:p w14:paraId="317EEAD9" w14:textId="77777777" w:rsidR="009D785B" w:rsidRPr="006F462E" w:rsidRDefault="00F94EEA" w:rsidP="00AE1744">
            <w:pPr>
              <w:spacing w:before="120" w:after="120"/>
              <w:ind w:left="57" w:right="142"/>
              <w:jc w:val="both"/>
              <w:rPr>
                <w:rFonts w:ascii="Times New Roman" w:hAnsi="Times New Roman" w:cs="Times New Roman"/>
                <w:sz w:val="24"/>
                <w:szCs w:val="24"/>
              </w:rPr>
            </w:pPr>
            <w:r w:rsidRPr="006F462E">
              <w:rPr>
                <w:rFonts w:ascii="Times New Roman" w:hAnsi="Times New Roman" w:cs="Times New Roman"/>
                <w:sz w:val="24"/>
                <w:szCs w:val="24"/>
              </w:rPr>
              <w:t xml:space="preserve">Veicot PVN administrēšanu, </w:t>
            </w:r>
            <w:r w:rsidR="00100575" w:rsidRPr="006F462E">
              <w:rPr>
                <w:rFonts w:ascii="Times New Roman" w:hAnsi="Times New Roman" w:cs="Times New Roman"/>
                <w:sz w:val="24"/>
                <w:szCs w:val="24"/>
              </w:rPr>
              <w:t>VID</w:t>
            </w:r>
            <w:r w:rsidRPr="006F462E">
              <w:rPr>
                <w:rFonts w:ascii="Times New Roman" w:hAnsi="Times New Roman" w:cs="Times New Roman"/>
                <w:sz w:val="24"/>
                <w:szCs w:val="24"/>
              </w:rPr>
              <w:t xml:space="preserve"> izmantos līdz šim izmantotās informācijas sistēmas.</w:t>
            </w:r>
          </w:p>
          <w:p w14:paraId="60DC25A6" w14:textId="6B101D29" w:rsidR="00AE1744" w:rsidRPr="00AE1744" w:rsidRDefault="006F462E" w:rsidP="006F462E">
            <w:pPr>
              <w:spacing w:before="120" w:after="120"/>
              <w:ind w:left="57" w:right="142"/>
              <w:jc w:val="both"/>
              <w:rPr>
                <w:b/>
              </w:rPr>
            </w:pPr>
            <w:r w:rsidRPr="006F462E">
              <w:rPr>
                <w:rFonts w:ascii="Times New Roman" w:hAnsi="Times New Roman"/>
                <w:bCs/>
                <w:sz w:val="24"/>
                <w:szCs w:val="24"/>
              </w:rPr>
              <w:t>VID atbilstoši Valsts pārvaldes iekārtas likumā noteiktajam pieprasa no attiecīgās iestādes vai PVN maksātāja informāciju, kas nepieciešama, lai pārliecinātos par deleģējuma līguma esamību un tā saturu.</w:t>
            </w:r>
          </w:p>
        </w:tc>
      </w:tr>
      <w:tr w:rsidR="00F56EA8" w14:paraId="37C052F9" w14:textId="77777777" w:rsidTr="00B01360">
        <w:tc>
          <w:tcPr>
            <w:tcW w:w="416" w:type="dxa"/>
          </w:tcPr>
          <w:p w14:paraId="41D4AD5F" w14:textId="77777777" w:rsidR="00F56EA8" w:rsidRDefault="00F56EA8" w:rsidP="00DB5C9D">
            <w:pPr>
              <w:spacing w:before="120" w:after="120"/>
              <w:rPr>
                <w:rFonts w:ascii="Times New Roman" w:hAnsi="Times New Roman" w:cs="Times New Roman"/>
                <w:sz w:val="24"/>
                <w:szCs w:val="24"/>
              </w:rPr>
            </w:pPr>
            <w:r w:rsidRPr="00F56EA8">
              <w:rPr>
                <w:rFonts w:ascii="Times New Roman" w:eastAsia="Times New Roman" w:hAnsi="Times New Roman" w:cs="Times New Roman"/>
                <w:sz w:val="24"/>
                <w:szCs w:val="24"/>
              </w:rPr>
              <w:t>3.</w:t>
            </w:r>
          </w:p>
        </w:tc>
        <w:tc>
          <w:tcPr>
            <w:tcW w:w="3119" w:type="dxa"/>
          </w:tcPr>
          <w:p w14:paraId="170BE577" w14:textId="77777777" w:rsidR="00F56EA8" w:rsidRDefault="00F56EA8" w:rsidP="00DB5C9D">
            <w:pPr>
              <w:spacing w:before="120" w:after="120"/>
              <w:rPr>
                <w:rFonts w:ascii="Times New Roman" w:hAnsi="Times New Roman" w:cs="Times New Roman"/>
                <w:sz w:val="24"/>
                <w:szCs w:val="24"/>
              </w:rPr>
            </w:pPr>
            <w:r w:rsidRPr="00F56EA8">
              <w:rPr>
                <w:rFonts w:ascii="Times New Roman" w:eastAsia="Times New Roman" w:hAnsi="Times New Roman" w:cs="Times New Roman"/>
                <w:sz w:val="24"/>
                <w:szCs w:val="24"/>
              </w:rPr>
              <w:t>Administratīvo izmaksu monetārs novērtējums</w:t>
            </w:r>
          </w:p>
        </w:tc>
        <w:tc>
          <w:tcPr>
            <w:tcW w:w="5811" w:type="dxa"/>
          </w:tcPr>
          <w:p w14:paraId="3E6EB270" w14:textId="77777777" w:rsidR="00F56EA8" w:rsidRPr="008E441B" w:rsidRDefault="00CA71F0" w:rsidP="000D0638">
            <w:pPr>
              <w:spacing w:before="120" w:after="120"/>
              <w:ind w:left="57" w:right="142"/>
              <w:jc w:val="both"/>
              <w:rPr>
                <w:rFonts w:ascii="Times New Roman" w:hAnsi="Times New Roman" w:cs="Times New Roman"/>
                <w:sz w:val="24"/>
                <w:szCs w:val="24"/>
              </w:rPr>
            </w:pPr>
            <w:r w:rsidRPr="00CA71F0">
              <w:rPr>
                <w:rFonts w:ascii="Times New Roman" w:hAnsi="Times New Roman" w:cs="Times New Roman"/>
                <w:sz w:val="24"/>
                <w:szCs w:val="24"/>
              </w:rPr>
              <w:t>Projekts šo jomu neskar</w:t>
            </w:r>
          </w:p>
        </w:tc>
      </w:tr>
      <w:tr w:rsidR="00F56EA8" w14:paraId="398573A6" w14:textId="77777777" w:rsidTr="00B01360">
        <w:tc>
          <w:tcPr>
            <w:tcW w:w="416" w:type="dxa"/>
          </w:tcPr>
          <w:p w14:paraId="683BDD97" w14:textId="77777777" w:rsidR="00F56EA8" w:rsidRDefault="00F56EA8" w:rsidP="00DB5C9D">
            <w:pPr>
              <w:spacing w:before="120" w:after="120"/>
              <w:rPr>
                <w:rFonts w:ascii="Times New Roman" w:hAnsi="Times New Roman" w:cs="Times New Roman"/>
                <w:sz w:val="24"/>
                <w:szCs w:val="24"/>
              </w:rPr>
            </w:pPr>
            <w:r w:rsidRPr="00F56EA8">
              <w:rPr>
                <w:rFonts w:ascii="Times New Roman" w:eastAsia="Times New Roman" w:hAnsi="Times New Roman" w:cs="Times New Roman"/>
                <w:sz w:val="24"/>
                <w:szCs w:val="24"/>
              </w:rPr>
              <w:t>4.</w:t>
            </w:r>
          </w:p>
        </w:tc>
        <w:tc>
          <w:tcPr>
            <w:tcW w:w="3119" w:type="dxa"/>
          </w:tcPr>
          <w:p w14:paraId="5BB0E077" w14:textId="77777777" w:rsidR="00F56EA8" w:rsidRDefault="00F56EA8" w:rsidP="00DB5C9D">
            <w:pPr>
              <w:spacing w:before="120" w:after="120"/>
              <w:rPr>
                <w:rFonts w:ascii="Times New Roman" w:hAnsi="Times New Roman" w:cs="Times New Roman"/>
                <w:sz w:val="24"/>
                <w:szCs w:val="24"/>
              </w:rPr>
            </w:pPr>
            <w:r w:rsidRPr="00F56EA8">
              <w:rPr>
                <w:rFonts w:ascii="Times New Roman" w:eastAsia="Times New Roman" w:hAnsi="Times New Roman" w:cs="Times New Roman"/>
                <w:sz w:val="24"/>
                <w:szCs w:val="24"/>
              </w:rPr>
              <w:t>Cita informācija</w:t>
            </w:r>
          </w:p>
        </w:tc>
        <w:tc>
          <w:tcPr>
            <w:tcW w:w="5811" w:type="dxa"/>
          </w:tcPr>
          <w:p w14:paraId="2BA023AD" w14:textId="77777777" w:rsidR="00F56EA8" w:rsidRDefault="004C7C35" w:rsidP="000D0638">
            <w:pPr>
              <w:spacing w:before="120" w:after="120"/>
              <w:ind w:left="57" w:right="142"/>
              <w:jc w:val="both"/>
              <w:rPr>
                <w:rFonts w:ascii="Times New Roman" w:hAnsi="Times New Roman" w:cs="Times New Roman"/>
                <w:sz w:val="24"/>
                <w:szCs w:val="24"/>
              </w:rPr>
            </w:pPr>
            <w:r>
              <w:rPr>
                <w:rFonts w:ascii="Times New Roman" w:hAnsi="Times New Roman" w:cs="Times New Roman"/>
                <w:sz w:val="24"/>
                <w:szCs w:val="24"/>
              </w:rPr>
              <w:t>Nav</w:t>
            </w:r>
          </w:p>
        </w:tc>
      </w:tr>
    </w:tbl>
    <w:p w14:paraId="4FB26BF0" w14:textId="4BAD1D50" w:rsidR="005530E3" w:rsidRDefault="005530E3" w:rsidP="00171D36">
      <w:pPr>
        <w:spacing w:after="0" w:line="240" w:lineRule="auto"/>
        <w:rPr>
          <w:rFonts w:ascii="Times New Roman" w:hAnsi="Times New Roman" w:cs="Times New Roman"/>
          <w:sz w:val="16"/>
          <w:szCs w:val="16"/>
        </w:rPr>
      </w:pPr>
    </w:p>
    <w:p w14:paraId="4B4A56C3" w14:textId="77777777" w:rsidR="005530E3" w:rsidRDefault="005530E3">
      <w:pPr>
        <w:rPr>
          <w:rFonts w:ascii="Times New Roman" w:hAnsi="Times New Roman" w:cs="Times New Roman"/>
          <w:sz w:val="16"/>
          <w:szCs w:val="16"/>
        </w:rPr>
      </w:pPr>
      <w:r>
        <w:rPr>
          <w:rFonts w:ascii="Times New Roman" w:hAnsi="Times New Roman" w:cs="Times New Roman"/>
          <w:sz w:val="16"/>
          <w:szCs w:val="16"/>
        </w:rPr>
        <w:br w:type="page"/>
      </w:r>
    </w:p>
    <w:p w14:paraId="7FADDABA" w14:textId="77777777" w:rsidR="00222E7F" w:rsidRDefault="00222E7F" w:rsidP="00171D36">
      <w:pPr>
        <w:spacing w:after="0" w:line="240" w:lineRule="auto"/>
        <w:rPr>
          <w:rFonts w:ascii="Times New Roman" w:hAnsi="Times New Roman" w:cs="Times New Roman"/>
          <w:sz w:val="16"/>
          <w:szCs w:val="16"/>
        </w:rPr>
      </w:pPr>
    </w:p>
    <w:p w14:paraId="0A8678C7" w14:textId="77777777" w:rsidR="007A479D" w:rsidRPr="00CD481C" w:rsidRDefault="007A479D" w:rsidP="00171D36">
      <w:pPr>
        <w:spacing w:after="0" w:line="240" w:lineRule="auto"/>
        <w:rPr>
          <w:rFonts w:ascii="Times New Roman" w:hAnsi="Times New Roman" w:cs="Times New Roman"/>
          <w:sz w:val="16"/>
          <w:szCs w:val="16"/>
        </w:rPr>
      </w:pPr>
    </w:p>
    <w:tbl>
      <w:tblPr>
        <w:tblW w:w="5554" w:type="pct"/>
        <w:tblInd w:w="-27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800"/>
        <w:gridCol w:w="1434"/>
        <w:gridCol w:w="1306"/>
        <w:gridCol w:w="1244"/>
        <w:gridCol w:w="1476"/>
        <w:gridCol w:w="1327"/>
      </w:tblGrid>
      <w:tr w:rsidR="00813FA3" w:rsidRPr="0046177E" w14:paraId="5E1834DE" w14:textId="77777777" w:rsidTr="00B01360">
        <w:tc>
          <w:tcPr>
            <w:tcW w:w="5000" w:type="pct"/>
            <w:gridSpan w:val="6"/>
            <w:tcBorders>
              <w:top w:val="outset" w:sz="6" w:space="0" w:color="000000"/>
              <w:left w:val="outset" w:sz="6" w:space="0" w:color="000000"/>
              <w:bottom w:val="outset" w:sz="6" w:space="0" w:color="000000"/>
              <w:right w:val="outset" w:sz="6" w:space="0" w:color="000000"/>
            </w:tcBorders>
          </w:tcPr>
          <w:p w14:paraId="0AE3BEB7" w14:textId="77777777" w:rsidR="00813FA3" w:rsidRPr="00813FA3" w:rsidRDefault="00813FA3" w:rsidP="00B01360">
            <w:pPr>
              <w:spacing w:before="100" w:beforeAutospacing="1" w:after="100" w:afterAutospacing="1" w:line="240" w:lineRule="auto"/>
              <w:jc w:val="center"/>
              <w:rPr>
                <w:rFonts w:ascii="Times New Roman" w:eastAsia="Times New Roman" w:hAnsi="Times New Roman" w:cs="Times New Roman"/>
                <w:b/>
                <w:bCs/>
              </w:rPr>
            </w:pPr>
            <w:r w:rsidRPr="00813FA3">
              <w:rPr>
                <w:rFonts w:ascii="Times New Roman" w:eastAsia="Times New Roman" w:hAnsi="Times New Roman" w:cs="Times New Roman"/>
                <w:b/>
                <w:bCs/>
              </w:rPr>
              <w:t>III. Tiesību akta projekta ietekme uz valsts budžetu un pašvaldību budžetiem</w:t>
            </w:r>
          </w:p>
        </w:tc>
      </w:tr>
      <w:tr w:rsidR="00813FA3" w:rsidRPr="0046177E" w14:paraId="01784927" w14:textId="77777777" w:rsidTr="00B01360">
        <w:tc>
          <w:tcPr>
            <w:tcW w:w="1460" w:type="pct"/>
            <w:vMerge w:val="restart"/>
            <w:tcBorders>
              <w:top w:val="outset" w:sz="6" w:space="0" w:color="000000"/>
              <w:left w:val="outset" w:sz="6" w:space="0" w:color="000000"/>
              <w:bottom w:val="outset" w:sz="6" w:space="0" w:color="000000"/>
              <w:right w:val="outset" w:sz="6" w:space="0" w:color="000000"/>
            </w:tcBorders>
            <w:vAlign w:val="center"/>
          </w:tcPr>
          <w:p w14:paraId="61B0FFF0" w14:textId="77777777" w:rsidR="00813FA3" w:rsidRPr="00813FA3" w:rsidRDefault="00813FA3" w:rsidP="00B01360">
            <w:pPr>
              <w:spacing w:before="100" w:beforeAutospacing="1" w:after="100" w:afterAutospacing="1" w:line="240" w:lineRule="auto"/>
              <w:jc w:val="center"/>
              <w:rPr>
                <w:rFonts w:ascii="Times New Roman" w:eastAsia="Times New Roman" w:hAnsi="Times New Roman" w:cs="Times New Roman"/>
                <w:b/>
                <w:bCs/>
              </w:rPr>
            </w:pPr>
            <w:r w:rsidRPr="00813FA3">
              <w:rPr>
                <w:rFonts w:ascii="Times New Roman" w:eastAsia="Times New Roman" w:hAnsi="Times New Roman" w:cs="Times New Roman"/>
                <w:b/>
                <w:bCs/>
              </w:rPr>
              <w:t>Rādītāji</w:t>
            </w:r>
          </w:p>
        </w:tc>
        <w:tc>
          <w:tcPr>
            <w:tcW w:w="1429" w:type="pct"/>
            <w:gridSpan w:val="2"/>
            <w:vMerge w:val="restart"/>
            <w:tcBorders>
              <w:top w:val="outset" w:sz="6" w:space="0" w:color="000000"/>
              <w:left w:val="outset" w:sz="6" w:space="0" w:color="000000"/>
              <w:bottom w:val="outset" w:sz="6" w:space="0" w:color="000000"/>
              <w:right w:val="outset" w:sz="6" w:space="0" w:color="000000"/>
            </w:tcBorders>
            <w:vAlign w:val="center"/>
          </w:tcPr>
          <w:p w14:paraId="5E578B7A" w14:textId="77777777" w:rsidR="00813FA3" w:rsidRPr="00813FA3" w:rsidRDefault="00813FA3" w:rsidP="00B01360">
            <w:pPr>
              <w:spacing w:before="100" w:beforeAutospacing="1" w:after="100" w:afterAutospacing="1" w:line="240" w:lineRule="auto"/>
              <w:jc w:val="center"/>
              <w:rPr>
                <w:rFonts w:ascii="Times New Roman" w:eastAsia="Times New Roman" w:hAnsi="Times New Roman" w:cs="Times New Roman"/>
                <w:b/>
                <w:bCs/>
              </w:rPr>
            </w:pPr>
            <w:r w:rsidRPr="00813FA3">
              <w:rPr>
                <w:rFonts w:ascii="Times New Roman" w:eastAsia="Times New Roman" w:hAnsi="Times New Roman" w:cs="Times New Roman"/>
                <w:b/>
                <w:bCs/>
              </w:rPr>
              <w:t>2015.</w:t>
            </w:r>
          </w:p>
        </w:tc>
        <w:tc>
          <w:tcPr>
            <w:tcW w:w="2111" w:type="pct"/>
            <w:gridSpan w:val="3"/>
            <w:tcBorders>
              <w:top w:val="outset" w:sz="6" w:space="0" w:color="000000"/>
              <w:left w:val="outset" w:sz="6" w:space="0" w:color="000000"/>
              <w:bottom w:val="outset" w:sz="6" w:space="0" w:color="000000"/>
              <w:right w:val="outset" w:sz="6" w:space="0" w:color="000000"/>
            </w:tcBorders>
            <w:vAlign w:val="center"/>
          </w:tcPr>
          <w:p w14:paraId="5F8EB9BC" w14:textId="77777777" w:rsidR="00813FA3" w:rsidRPr="00813FA3" w:rsidRDefault="00813FA3" w:rsidP="00B01360">
            <w:pPr>
              <w:spacing w:before="100" w:beforeAutospacing="1" w:after="100" w:afterAutospacing="1" w:line="240" w:lineRule="auto"/>
              <w:jc w:val="center"/>
              <w:rPr>
                <w:rFonts w:ascii="Times New Roman" w:eastAsia="Times New Roman" w:hAnsi="Times New Roman" w:cs="Times New Roman"/>
              </w:rPr>
            </w:pPr>
            <w:r w:rsidRPr="00813FA3">
              <w:rPr>
                <w:rFonts w:ascii="Times New Roman" w:eastAsia="Times New Roman" w:hAnsi="Times New Roman" w:cs="Times New Roman"/>
              </w:rPr>
              <w:t>Turpmākie trīs gadi (</w:t>
            </w:r>
            <w:proofErr w:type="spellStart"/>
            <w:r w:rsidRPr="00813FA3">
              <w:rPr>
                <w:rFonts w:ascii="Times New Roman" w:eastAsia="Times New Roman" w:hAnsi="Times New Roman" w:cs="Times New Roman"/>
                <w:i/>
              </w:rPr>
              <w:t>euro</w:t>
            </w:r>
            <w:proofErr w:type="spellEnd"/>
            <w:r w:rsidRPr="00813FA3">
              <w:rPr>
                <w:rFonts w:ascii="Times New Roman" w:eastAsia="Times New Roman" w:hAnsi="Times New Roman" w:cs="Times New Roman"/>
              </w:rPr>
              <w:t>)</w:t>
            </w:r>
          </w:p>
        </w:tc>
      </w:tr>
      <w:tr w:rsidR="00813FA3" w:rsidRPr="0046177E" w14:paraId="01DCDAC7" w14:textId="77777777" w:rsidTr="00B01360">
        <w:tc>
          <w:tcPr>
            <w:tcW w:w="1460" w:type="pct"/>
            <w:vMerge/>
            <w:tcBorders>
              <w:top w:val="outset" w:sz="6" w:space="0" w:color="000000"/>
              <w:left w:val="outset" w:sz="6" w:space="0" w:color="000000"/>
              <w:bottom w:val="outset" w:sz="6" w:space="0" w:color="000000"/>
              <w:right w:val="outset" w:sz="6" w:space="0" w:color="000000"/>
            </w:tcBorders>
            <w:vAlign w:val="center"/>
          </w:tcPr>
          <w:p w14:paraId="7E9B0733" w14:textId="77777777" w:rsidR="00813FA3" w:rsidRPr="00813FA3" w:rsidRDefault="00813FA3" w:rsidP="00B01360">
            <w:pPr>
              <w:spacing w:after="0" w:line="240" w:lineRule="auto"/>
              <w:rPr>
                <w:rFonts w:ascii="Times New Roman" w:eastAsia="Times New Roman" w:hAnsi="Times New Roman" w:cs="Times New Roman"/>
                <w:b/>
                <w:bCs/>
              </w:rPr>
            </w:pPr>
          </w:p>
        </w:tc>
        <w:tc>
          <w:tcPr>
            <w:tcW w:w="1429" w:type="pct"/>
            <w:gridSpan w:val="2"/>
            <w:vMerge/>
            <w:tcBorders>
              <w:top w:val="outset" w:sz="6" w:space="0" w:color="000000"/>
              <w:left w:val="outset" w:sz="6" w:space="0" w:color="000000"/>
              <w:bottom w:val="outset" w:sz="6" w:space="0" w:color="000000"/>
              <w:right w:val="outset" w:sz="6" w:space="0" w:color="000000"/>
            </w:tcBorders>
            <w:vAlign w:val="center"/>
          </w:tcPr>
          <w:p w14:paraId="1C702BE9" w14:textId="77777777" w:rsidR="00813FA3" w:rsidRPr="00813FA3" w:rsidRDefault="00813FA3" w:rsidP="00B01360">
            <w:pPr>
              <w:spacing w:after="0" w:line="240" w:lineRule="auto"/>
              <w:rPr>
                <w:rFonts w:ascii="Times New Roman" w:eastAsia="Times New Roman" w:hAnsi="Times New Roman" w:cs="Times New Roman"/>
                <w:b/>
                <w:bCs/>
              </w:rPr>
            </w:pPr>
          </w:p>
        </w:tc>
        <w:tc>
          <w:tcPr>
            <w:tcW w:w="649" w:type="pct"/>
            <w:tcBorders>
              <w:top w:val="outset" w:sz="6" w:space="0" w:color="000000"/>
              <w:left w:val="outset" w:sz="6" w:space="0" w:color="000000"/>
              <w:bottom w:val="outset" w:sz="6" w:space="0" w:color="000000"/>
              <w:right w:val="outset" w:sz="6" w:space="0" w:color="000000"/>
            </w:tcBorders>
            <w:vAlign w:val="center"/>
          </w:tcPr>
          <w:p w14:paraId="16515CBE" w14:textId="77777777" w:rsidR="00813FA3" w:rsidRPr="00813FA3" w:rsidRDefault="00813FA3" w:rsidP="00B01360">
            <w:pPr>
              <w:spacing w:before="100" w:beforeAutospacing="1" w:after="100" w:afterAutospacing="1" w:line="240" w:lineRule="auto"/>
              <w:jc w:val="center"/>
              <w:rPr>
                <w:rFonts w:ascii="Times New Roman" w:eastAsia="Times New Roman" w:hAnsi="Times New Roman" w:cs="Times New Roman"/>
                <w:b/>
                <w:bCs/>
              </w:rPr>
            </w:pPr>
            <w:r w:rsidRPr="00813FA3">
              <w:rPr>
                <w:rFonts w:ascii="Times New Roman" w:eastAsia="Times New Roman" w:hAnsi="Times New Roman" w:cs="Times New Roman"/>
                <w:b/>
                <w:bCs/>
              </w:rPr>
              <w:t>2016.</w:t>
            </w:r>
          </w:p>
        </w:tc>
        <w:tc>
          <w:tcPr>
            <w:tcW w:w="770" w:type="pct"/>
            <w:tcBorders>
              <w:top w:val="outset" w:sz="6" w:space="0" w:color="000000"/>
              <w:left w:val="outset" w:sz="6" w:space="0" w:color="000000"/>
              <w:bottom w:val="outset" w:sz="6" w:space="0" w:color="000000"/>
              <w:right w:val="outset" w:sz="6" w:space="0" w:color="000000"/>
            </w:tcBorders>
            <w:vAlign w:val="center"/>
          </w:tcPr>
          <w:p w14:paraId="4A5FA95C" w14:textId="77777777" w:rsidR="00813FA3" w:rsidRPr="00813FA3" w:rsidRDefault="00813FA3" w:rsidP="00B01360">
            <w:pPr>
              <w:spacing w:before="100" w:beforeAutospacing="1" w:after="100" w:afterAutospacing="1" w:line="240" w:lineRule="auto"/>
              <w:jc w:val="center"/>
              <w:rPr>
                <w:rFonts w:ascii="Times New Roman" w:eastAsia="Times New Roman" w:hAnsi="Times New Roman" w:cs="Times New Roman"/>
                <w:b/>
                <w:bCs/>
              </w:rPr>
            </w:pPr>
            <w:r w:rsidRPr="00813FA3">
              <w:rPr>
                <w:rFonts w:ascii="Times New Roman" w:eastAsia="Times New Roman" w:hAnsi="Times New Roman" w:cs="Times New Roman"/>
                <w:b/>
                <w:bCs/>
              </w:rPr>
              <w:t>2017.</w:t>
            </w:r>
          </w:p>
        </w:tc>
        <w:tc>
          <w:tcPr>
            <w:tcW w:w="692" w:type="pct"/>
            <w:tcBorders>
              <w:top w:val="outset" w:sz="6" w:space="0" w:color="000000"/>
              <w:left w:val="outset" w:sz="6" w:space="0" w:color="000000"/>
              <w:bottom w:val="outset" w:sz="6" w:space="0" w:color="000000"/>
              <w:right w:val="outset" w:sz="6" w:space="0" w:color="000000"/>
            </w:tcBorders>
            <w:vAlign w:val="center"/>
          </w:tcPr>
          <w:p w14:paraId="52F0FB13" w14:textId="77777777" w:rsidR="00813FA3" w:rsidRPr="00813FA3" w:rsidRDefault="00813FA3" w:rsidP="00B01360">
            <w:pPr>
              <w:spacing w:before="100" w:beforeAutospacing="1" w:after="100" w:afterAutospacing="1" w:line="240" w:lineRule="auto"/>
              <w:jc w:val="center"/>
              <w:rPr>
                <w:rFonts w:ascii="Times New Roman" w:eastAsia="Times New Roman" w:hAnsi="Times New Roman" w:cs="Times New Roman"/>
                <w:b/>
                <w:bCs/>
              </w:rPr>
            </w:pPr>
            <w:r w:rsidRPr="00813FA3">
              <w:rPr>
                <w:rFonts w:ascii="Times New Roman" w:eastAsia="Times New Roman" w:hAnsi="Times New Roman" w:cs="Times New Roman"/>
                <w:b/>
                <w:bCs/>
              </w:rPr>
              <w:t>2018.</w:t>
            </w:r>
          </w:p>
        </w:tc>
      </w:tr>
      <w:tr w:rsidR="00813FA3" w:rsidRPr="0046177E" w14:paraId="2C8168E8" w14:textId="77777777" w:rsidTr="00B01360">
        <w:tc>
          <w:tcPr>
            <w:tcW w:w="1460" w:type="pct"/>
            <w:vMerge/>
            <w:tcBorders>
              <w:top w:val="outset" w:sz="6" w:space="0" w:color="000000"/>
              <w:left w:val="outset" w:sz="6" w:space="0" w:color="000000"/>
              <w:bottom w:val="outset" w:sz="6" w:space="0" w:color="000000"/>
              <w:right w:val="outset" w:sz="6" w:space="0" w:color="000000"/>
            </w:tcBorders>
            <w:vAlign w:val="center"/>
          </w:tcPr>
          <w:p w14:paraId="10C1B3BA" w14:textId="77777777" w:rsidR="00813FA3" w:rsidRPr="00813FA3" w:rsidRDefault="00813FA3" w:rsidP="00B01360">
            <w:pPr>
              <w:spacing w:after="0" w:line="240" w:lineRule="auto"/>
              <w:rPr>
                <w:rFonts w:ascii="Times New Roman" w:eastAsia="Times New Roman" w:hAnsi="Times New Roman" w:cs="Times New Roman"/>
                <w:b/>
                <w:bCs/>
              </w:rPr>
            </w:pPr>
          </w:p>
        </w:tc>
        <w:tc>
          <w:tcPr>
            <w:tcW w:w="748" w:type="pct"/>
            <w:tcBorders>
              <w:top w:val="outset" w:sz="6" w:space="0" w:color="000000"/>
              <w:left w:val="outset" w:sz="6" w:space="0" w:color="000000"/>
              <w:bottom w:val="outset" w:sz="6" w:space="0" w:color="000000"/>
              <w:right w:val="outset" w:sz="6" w:space="0" w:color="000000"/>
            </w:tcBorders>
            <w:vAlign w:val="center"/>
          </w:tcPr>
          <w:p w14:paraId="72189939" w14:textId="77777777" w:rsidR="00813FA3" w:rsidRPr="00CE43DB" w:rsidRDefault="00813FA3" w:rsidP="00B01360">
            <w:pPr>
              <w:spacing w:before="100" w:beforeAutospacing="1" w:after="100" w:afterAutospacing="1" w:line="240" w:lineRule="auto"/>
              <w:jc w:val="center"/>
              <w:rPr>
                <w:rFonts w:ascii="Times New Roman" w:eastAsia="Times New Roman" w:hAnsi="Times New Roman" w:cs="Times New Roman"/>
                <w:sz w:val="20"/>
                <w:szCs w:val="20"/>
              </w:rPr>
            </w:pPr>
            <w:r w:rsidRPr="00CE43DB">
              <w:rPr>
                <w:rFonts w:ascii="Times New Roman" w:eastAsia="Times New Roman" w:hAnsi="Times New Roman" w:cs="Times New Roman"/>
                <w:sz w:val="20"/>
                <w:szCs w:val="20"/>
              </w:rPr>
              <w:t>saskaņā ar valsts budžetu kārtējam gadam</w:t>
            </w:r>
          </w:p>
        </w:tc>
        <w:tc>
          <w:tcPr>
            <w:tcW w:w="681" w:type="pct"/>
            <w:tcBorders>
              <w:top w:val="outset" w:sz="6" w:space="0" w:color="000000"/>
              <w:left w:val="outset" w:sz="6" w:space="0" w:color="000000"/>
              <w:bottom w:val="outset" w:sz="6" w:space="0" w:color="000000"/>
              <w:right w:val="outset" w:sz="6" w:space="0" w:color="000000"/>
            </w:tcBorders>
            <w:vAlign w:val="center"/>
          </w:tcPr>
          <w:p w14:paraId="34BB0875" w14:textId="77777777" w:rsidR="00813FA3" w:rsidRPr="00CE43DB" w:rsidRDefault="00813FA3" w:rsidP="00B01360">
            <w:pPr>
              <w:spacing w:before="100" w:beforeAutospacing="1" w:after="100" w:afterAutospacing="1" w:line="240" w:lineRule="auto"/>
              <w:jc w:val="center"/>
              <w:rPr>
                <w:rFonts w:ascii="Times New Roman" w:eastAsia="Times New Roman" w:hAnsi="Times New Roman" w:cs="Times New Roman"/>
                <w:sz w:val="20"/>
                <w:szCs w:val="20"/>
              </w:rPr>
            </w:pPr>
            <w:r w:rsidRPr="00CE43DB">
              <w:rPr>
                <w:rFonts w:ascii="Times New Roman" w:eastAsia="Times New Roman" w:hAnsi="Times New Roman" w:cs="Times New Roman"/>
                <w:sz w:val="20"/>
                <w:szCs w:val="20"/>
              </w:rPr>
              <w:t>izmaiņas kārtējā gadā, salīdzinot ar budžetu kārtējam gadam</w:t>
            </w:r>
          </w:p>
        </w:tc>
        <w:tc>
          <w:tcPr>
            <w:tcW w:w="649" w:type="pct"/>
            <w:tcBorders>
              <w:top w:val="outset" w:sz="6" w:space="0" w:color="000000"/>
              <w:left w:val="outset" w:sz="6" w:space="0" w:color="000000"/>
              <w:bottom w:val="outset" w:sz="6" w:space="0" w:color="000000"/>
              <w:right w:val="outset" w:sz="6" w:space="0" w:color="000000"/>
            </w:tcBorders>
            <w:vAlign w:val="center"/>
          </w:tcPr>
          <w:p w14:paraId="064047F3" w14:textId="77777777" w:rsidR="00813FA3" w:rsidRPr="00CE43DB" w:rsidRDefault="00813FA3" w:rsidP="00B01360">
            <w:pPr>
              <w:spacing w:before="100" w:beforeAutospacing="1" w:after="100" w:afterAutospacing="1" w:line="240" w:lineRule="auto"/>
              <w:jc w:val="center"/>
              <w:rPr>
                <w:rFonts w:ascii="Times New Roman" w:eastAsia="Times New Roman" w:hAnsi="Times New Roman" w:cs="Times New Roman"/>
                <w:sz w:val="20"/>
                <w:szCs w:val="20"/>
              </w:rPr>
            </w:pPr>
            <w:r w:rsidRPr="00CE43DB">
              <w:rPr>
                <w:rFonts w:ascii="Times New Roman" w:eastAsia="Times New Roman" w:hAnsi="Times New Roman" w:cs="Times New Roman"/>
                <w:sz w:val="20"/>
                <w:szCs w:val="20"/>
              </w:rPr>
              <w:t>izmaiņas, salīdzinot ar 2015.gadu</w:t>
            </w:r>
          </w:p>
        </w:tc>
        <w:tc>
          <w:tcPr>
            <w:tcW w:w="770" w:type="pct"/>
            <w:tcBorders>
              <w:top w:val="outset" w:sz="6" w:space="0" w:color="000000"/>
              <w:left w:val="outset" w:sz="6" w:space="0" w:color="000000"/>
              <w:bottom w:val="outset" w:sz="6" w:space="0" w:color="000000"/>
              <w:right w:val="outset" w:sz="6" w:space="0" w:color="000000"/>
            </w:tcBorders>
            <w:vAlign w:val="center"/>
          </w:tcPr>
          <w:p w14:paraId="6B14E7C7" w14:textId="77777777" w:rsidR="00813FA3" w:rsidRPr="00CE43DB" w:rsidRDefault="00813FA3" w:rsidP="00B01360">
            <w:pPr>
              <w:spacing w:before="100" w:beforeAutospacing="1" w:after="100" w:afterAutospacing="1" w:line="240" w:lineRule="auto"/>
              <w:jc w:val="center"/>
              <w:rPr>
                <w:rFonts w:ascii="Times New Roman" w:eastAsia="Times New Roman" w:hAnsi="Times New Roman" w:cs="Times New Roman"/>
                <w:sz w:val="20"/>
                <w:szCs w:val="20"/>
              </w:rPr>
            </w:pPr>
            <w:r w:rsidRPr="00CE43DB">
              <w:rPr>
                <w:rFonts w:ascii="Times New Roman" w:eastAsia="Times New Roman" w:hAnsi="Times New Roman" w:cs="Times New Roman"/>
                <w:sz w:val="20"/>
                <w:szCs w:val="20"/>
              </w:rPr>
              <w:t>izmaiņas, salīdzinot ar 2015.gadu</w:t>
            </w:r>
          </w:p>
        </w:tc>
        <w:tc>
          <w:tcPr>
            <w:tcW w:w="692" w:type="pct"/>
            <w:tcBorders>
              <w:top w:val="outset" w:sz="6" w:space="0" w:color="000000"/>
              <w:left w:val="outset" w:sz="6" w:space="0" w:color="000000"/>
              <w:bottom w:val="outset" w:sz="6" w:space="0" w:color="000000"/>
              <w:right w:val="outset" w:sz="6" w:space="0" w:color="000000"/>
            </w:tcBorders>
            <w:vAlign w:val="center"/>
          </w:tcPr>
          <w:p w14:paraId="1C0CA778" w14:textId="77777777" w:rsidR="00813FA3" w:rsidRPr="00CE43DB" w:rsidRDefault="00813FA3" w:rsidP="00B01360">
            <w:pPr>
              <w:spacing w:before="100" w:beforeAutospacing="1" w:after="100" w:afterAutospacing="1" w:line="240" w:lineRule="auto"/>
              <w:jc w:val="center"/>
              <w:rPr>
                <w:rFonts w:ascii="Times New Roman" w:eastAsia="Times New Roman" w:hAnsi="Times New Roman" w:cs="Times New Roman"/>
                <w:sz w:val="20"/>
                <w:szCs w:val="20"/>
              </w:rPr>
            </w:pPr>
            <w:r w:rsidRPr="00CE43DB">
              <w:rPr>
                <w:rFonts w:ascii="Times New Roman" w:eastAsia="Times New Roman" w:hAnsi="Times New Roman" w:cs="Times New Roman"/>
                <w:sz w:val="20"/>
                <w:szCs w:val="20"/>
              </w:rPr>
              <w:t>izmaiņas, salīdzinot ar 2015.gadu</w:t>
            </w:r>
          </w:p>
        </w:tc>
      </w:tr>
      <w:tr w:rsidR="00813FA3" w:rsidRPr="0046177E" w14:paraId="6B18B506" w14:textId="77777777" w:rsidTr="00B01360">
        <w:tc>
          <w:tcPr>
            <w:tcW w:w="1460" w:type="pct"/>
            <w:tcBorders>
              <w:top w:val="outset" w:sz="6" w:space="0" w:color="000000"/>
              <w:left w:val="outset" w:sz="6" w:space="0" w:color="000000"/>
              <w:bottom w:val="outset" w:sz="6" w:space="0" w:color="000000"/>
              <w:right w:val="outset" w:sz="6" w:space="0" w:color="000000"/>
            </w:tcBorders>
            <w:vAlign w:val="center"/>
          </w:tcPr>
          <w:p w14:paraId="7BA25C9A" w14:textId="77777777" w:rsidR="00813FA3" w:rsidRPr="00813FA3" w:rsidRDefault="00813FA3" w:rsidP="00B01360">
            <w:pPr>
              <w:spacing w:before="100" w:beforeAutospacing="1" w:after="100" w:afterAutospacing="1" w:line="240" w:lineRule="auto"/>
              <w:jc w:val="center"/>
              <w:rPr>
                <w:rFonts w:ascii="Times New Roman" w:eastAsia="Times New Roman" w:hAnsi="Times New Roman" w:cs="Times New Roman"/>
              </w:rPr>
            </w:pPr>
            <w:r w:rsidRPr="00813FA3">
              <w:rPr>
                <w:rFonts w:ascii="Times New Roman" w:eastAsia="Times New Roman" w:hAnsi="Times New Roman" w:cs="Times New Roman"/>
              </w:rPr>
              <w:t>1</w:t>
            </w:r>
          </w:p>
        </w:tc>
        <w:tc>
          <w:tcPr>
            <w:tcW w:w="748" w:type="pct"/>
            <w:tcBorders>
              <w:top w:val="outset" w:sz="6" w:space="0" w:color="000000"/>
              <w:left w:val="outset" w:sz="6" w:space="0" w:color="000000"/>
              <w:bottom w:val="outset" w:sz="6" w:space="0" w:color="000000"/>
              <w:right w:val="outset" w:sz="6" w:space="0" w:color="000000"/>
            </w:tcBorders>
            <w:vAlign w:val="center"/>
          </w:tcPr>
          <w:p w14:paraId="1EC7755C" w14:textId="77777777" w:rsidR="00813FA3" w:rsidRPr="00813FA3" w:rsidRDefault="00813FA3" w:rsidP="00B01360">
            <w:pPr>
              <w:spacing w:before="100" w:beforeAutospacing="1" w:after="100" w:afterAutospacing="1" w:line="240" w:lineRule="auto"/>
              <w:jc w:val="center"/>
              <w:rPr>
                <w:rFonts w:ascii="Times New Roman" w:eastAsia="Times New Roman" w:hAnsi="Times New Roman" w:cs="Times New Roman"/>
              </w:rPr>
            </w:pPr>
            <w:r w:rsidRPr="00813FA3">
              <w:rPr>
                <w:rFonts w:ascii="Times New Roman" w:eastAsia="Times New Roman" w:hAnsi="Times New Roman" w:cs="Times New Roman"/>
              </w:rPr>
              <w:t>2</w:t>
            </w:r>
          </w:p>
        </w:tc>
        <w:tc>
          <w:tcPr>
            <w:tcW w:w="681" w:type="pct"/>
            <w:tcBorders>
              <w:top w:val="outset" w:sz="6" w:space="0" w:color="000000"/>
              <w:left w:val="outset" w:sz="6" w:space="0" w:color="000000"/>
              <w:bottom w:val="outset" w:sz="6" w:space="0" w:color="000000"/>
              <w:right w:val="outset" w:sz="6" w:space="0" w:color="000000"/>
            </w:tcBorders>
            <w:vAlign w:val="center"/>
          </w:tcPr>
          <w:p w14:paraId="64EE162C" w14:textId="77777777" w:rsidR="00813FA3" w:rsidRPr="00813FA3" w:rsidRDefault="00813FA3" w:rsidP="00B01360">
            <w:pPr>
              <w:spacing w:before="100" w:beforeAutospacing="1" w:after="100" w:afterAutospacing="1" w:line="240" w:lineRule="auto"/>
              <w:jc w:val="center"/>
              <w:rPr>
                <w:rFonts w:ascii="Times New Roman" w:eastAsia="Times New Roman" w:hAnsi="Times New Roman" w:cs="Times New Roman"/>
              </w:rPr>
            </w:pPr>
            <w:r w:rsidRPr="00813FA3">
              <w:rPr>
                <w:rFonts w:ascii="Times New Roman" w:eastAsia="Times New Roman" w:hAnsi="Times New Roman" w:cs="Times New Roman"/>
              </w:rPr>
              <w:t>3</w:t>
            </w:r>
          </w:p>
        </w:tc>
        <w:tc>
          <w:tcPr>
            <w:tcW w:w="649" w:type="pct"/>
            <w:tcBorders>
              <w:top w:val="outset" w:sz="6" w:space="0" w:color="000000"/>
              <w:left w:val="outset" w:sz="6" w:space="0" w:color="000000"/>
              <w:bottom w:val="outset" w:sz="6" w:space="0" w:color="000000"/>
              <w:right w:val="outset" w:sz="6" w:space="0" w:color="000000"/>
            </w:tcBorders>
            <w:vAlign w:val="center"/>
          </w:tcPr>
          <w:p w14:paraId="1CD58854" w14:textId="77777777" w:rsidR="00813FA3" w:rsidRPr="00813FA3" w:rsidRDefault="00813FA3" w:rsidP="00B01360">
            <w:pPr>
              <w:spacing w:before="100" w:beforeAutospacing="1" w:after="100" w:afterAutospacing="1" w:line="240" w:lineRule="auto"/>
              <w:jc w:val="center"/>
              <w:rPr>
                <w:rFonts w:ascii="Times New Roman" w:eastAsia="Times New Roman" w:hAnsi="Times New Roman" w:cs="Times New Roman"/>
              </w:rPr>
            </w:pPr>
            <w:r w:rsidRPr="00813FA3">
              <w:rPr>
                <w:rFonts w:ascii="Times New Roman" w:eastAsia="Times New Roman" w:hAnsi="Times New Roman" w:cs="Times New Roman"/>
              </w:rPr>
              <w:t>4</w:t>
            </w:r>
          </w:p>
        </w:tc>
        <w:tc>
          <w:tcPr>
            <w:tcW w:w="770" w:type="pct"/>
            <w:tcBorders>
              <w:top w:val="outset" w:sz="6" w:space="0" w:color="000000"/>
              <w:left w:val="outset" w:sz="6" w:space="0" w:color="000000"/>
              <w:bottom w:val="outset" w:sz="6" w:space="0" w:color="000000"/>
              <w:right w:val="outset" w:sz="6" w:space="0" w:color="000000"/>
            </w:tcBorders>
            <w:vAlign w:val="center"/>
          </w:tcPr>
          <w:p w14:paraId="46DBB909" w14:textId="77777777" w:rsidR="00813FA3" w:rsidRPr="00813FA3" w:rsidRDefault="00813FA3" w:rsidP="00B01360">
            <w:pPr>
              <w:spacing w:before="100" w:beforeAutospacing="1" w:after="100" w:afterAutospacing="1" w:line="240" w:lineRule="auto"/>
              <w:jc w:val="center"/>
              <w:rPr>
                <w:rFonts w:ascii="Times New Roman" w:eastAsia="Times New Roman" w:hAnsi="Times New Roman" w:cs="Times New Roman"/>
              </w:rPr>
            </w:pPr>
            <w:r w:rsidRPr="00813FA3">
              <w:rPr>
                <w:rFonts w:ascii="Times New Roman" w:eastAsia="Times New Roman" w:hAnsi="Times New Roman" w:cs="Times New Roman"/>
              </w:rPr>
              <w:t>5</w:t>
            </w:r>
          </w:p>
        </w:tc>
        <w:tc>
          <w:tcPr>
            <w:tcW w:w="692" w:type="pct"/>
            <w:tcBorders>
              <w:top w:val="outset" w:sz="6" w:space="0" w:color="000000"/>
              <w:left w:val="outset" w:sz="6" w:space="0" w:color="000000"/>
              <w:bottom w:val="outset" w:sz="6" w:space="0" w:color="000000"/>
              <w:right w:val="outset" w:sz="6" w:space="0" w:color="000000"/>
            </w:tcBorders>
            <w:vAlign w:val="center"/>
          </w:tcPr>
          <w:p w14:paraId="765662C9" w14:textId="77777777" w:rsidR="00813FA3" w:rsidRPr="00813FA3" w:rsidRDefault="00813FA3" w:rsidP="00B01360">
            <w:pPr>
              <w:spacing w:before="100" w:beforeAutospacing="1" w:after="100" w:afterAutospacing="1" w:line="240" w:lineRule="auto"/>
              <w:jc w:val="center"/>
              <w:rPr>
                <w:rFonts w:ascii="Times New Roman" w:eastAsia="Times New Roman" w:hAnsi="Times New Roman" w:cs="Times New Roman"/>
              </w:rPr>
            </w:pPr>
            <w:r w:rsidRPr="00813FA3">
              <w:rPr>
                <w:rFonts w:ascii="Times New Roman" w:eastAsia="Times New Roman" w:hAnsi="Times New Roman" w:cs="Times New Roman"/>
              </w:rPr>
              <w:t>6</w:t>
            </w:r>
          </w:p>
        </w:tc>
      </w:tr>
      <w:tr w:rsidR="008A6931" w:rsidRPr="00065EF0" w14:paraId="59AD2573" w14:textId="77777777" w:rsidTr="00B01360">
        <w:trPr>
          <w:trHeight w:val="514"/>
        </w:trPr>
        <w:tc>
          <w:tcPr>
            <w:tcW w:w="1460" w:type="pct"/>
            <w:tcBorders>
              <w:top w:val="outset" w:sz="6" w:space="0" w:color="000000"/>
              <w:left w:val="outset" w:sz="6" w:space="0" w:color="000000"/>
              <w:bottom w:val="outset" w:sz="6" w:space="0" w:color="000000"/>
              <w:right w:val="outset" w:sz="6" w:space="0" w:color="000000"/>
            </w:tcBorders>
          </w:tcPr>
          <w:p w14:paraId="2DE598B3" w14:textId="77777777" w:rsidR="008A6931" w:rsidRPr="00813FA3" w:rsidRDefault="008A6931" w:rsidP="008A6931">
            <w:pPr>
              <w:spacing w:before="120" w:after="120" w:line="240" w:lineRule="auto"/>
              <w:rPr>
                <w:rFonts w:ascii="Times New Roman" w:eastAsia="Times New Roman" w:hAnsi="Times New Roman" w:cs="Times New Roman"/>
              </w:rPr>
            </w:pPr>
            <w:r w:rsidRPr="00813FA3">
              <w:rPr>
                <w:rFonts w:ascii="Times New Roman" w:eastAsia="Times New Roman" w:hAnsi="Times New Roman" w:cs="Times New Roman"/>
              </w:rPr>
              <w:t>1. Budžeta ieņēmumi:</w:t>
            </w:r>
          </w:p>
        </w:tc>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5C1FC5B2" w14:textId="77777777" w:rsidR="008A6931" w:rsidRPr="00AE1744" w:rsidRDefault="008A6931" w:rsidP="008A6931">
            <w:pPr>
              <w:spacing w:before="120" w:after="120" w:line="240" w:lineRule="auto"/>
              <w:jc w:val="center"/>
              <w:rPr>
                <w:rFonts w:ascii="Times New Roman" w:eastAsia="Times New Roman" w:hAnsi="Times New Roman" w:cs="Times New Roman"/>
              </w:rPr>
            </w:pPr>
            <w:r w:rsidRPr="00AE1744">
              <w:rPr>
                <w:rFonts w:ascii="Times New Roman" w:eastAsia="Times New Roman" w:hAnsi="Times New Roman" w:cs="Times New Roman"/>
              </w:rPr>
              <w:t>0</w:t>
            </w:r>
          </w:p>
        </w:tc>
        <w:tc>
          <w:tcPr>
            <w:tcW w:w="681" w:type="pct"/>
            <w:tcBorders>
              <w:top w:val="single" w:sz="4" w:space="0" w:color="000000"/>
              <w:left w:val="nil"/>
              <w:bottom w:val="single" w:sz="4" w:space="0" w:color="000000"/>
              <w:right w:val="single" w:sz="4" w:space="0" w:color="000000"/>
            </w:tcBorders>
            <w:shd w:val="clear" w:color="auto" w:fill="auto"/>
          </w:tcPr>
          <w:p w14:paraId="49F0201F" w14:textId="77777777" w:rsidR="008A6931" w:rsidRPr="00AE1744" w:rsidRDefault="008A6931" w:rsidP="008A6931">
            <w:pPr>
              <w:spacing w:before="120" w:after="120"/>
              <w:jc w:val="center"/>
              <w:rPr>
                <w:rFonts w:ascii="Times New Roman" w:eastAsia="Times New Roman" w:hAnsi="Times New Roman" w:cs="Times New Roman"/>
              </w:rPr>
            </w:pPr>
            <w:r w:rsidRPr="00AE1744">
              <w:rPr>
                <w:rFonts w:ascii="Times New Roman" w:eastAsia="Times New Roman" w:hAnsi="Times New Roman" w:cs="Times New Roman"/>
              </w:rPr>
              <w:t>0</w:t>
            </w:r>
          </w:p>
        </w:tc>
        <w:tc>
          <w:tcPr>
            <w:tcW w:w="649" w:type="pct"/>
            <w:tcBorders>
              <w:top w:val="single" w:sz="4" w:space="0" w:color="000000"/>
              <w:left w:val="nil"/>
              <w:bottom w:val="single" w:sz="4" w:space="0" w:color="000000"/>
              <w:right w:val="single" w:sz="4" w:space="0" w:color="000000"/>
            </w:tcBorders>
            <w:shd w:val="clear" w:color="auto" w:fill="auto"/>
          </w:tcPr>
          <w:p w14:paraId="1C0D12AA" w14:textId="4E23DA78" w:rsidR="008A6931" w:rsidRPr="00AE1744" w:rsidRDefault="00DD4356" w:rsidP="008A6931">
            <w:pPr>
              <w:spacing w:before="120" w:after="120"/>
              <w:rPr>
                <w:rFonts w:ascii="Times New Roman" w:eastAsia="Times New Roman" w:hAnsi="Times New Roman" w:cs="Times New Roman"/>
              </w:rPr>
            </w:pPr>
            <w:r w:rsidRPr="00AE1744">
              <w:rPr>
                <w:rFonts w:ascii="Times New Roman" w:eastAsia="Times New Roman" w:hAnsi="Times New Roman" w:cs="Times New Roman"/>
              </w:rPr>
              <w:t>+</w:t>
            </w:r>
            <w:r w:rsidR="008A6931" w:rsidRPr="00AE1744">
              <w:rPr>
                <w:rFonts w:ascii="Times New Roman" w:eastAsia="Times New Roman" w:hAnsi="Times New Roman" w:cs="Times New Roman"/>
              </w:rPr>
              <w:t>12 441 000</w:t>
            </w:r>
          </w:p>
        </w:tc>
        <w:tc>
          <w:tcPr>
            <w:tcW w:w="770" w:type="pct"/>
            <w:tcBorders>
              <w:top w:val="single" w:sz="4" w:space="0" w:color="000000"/>
              <w:left w:val="nil"/>
              <w:bottom w:val="single" w:sz="4" w:space="0" w:color="000000"/>
              <w:right w:val="single" w:sz="4" w:space="0" w:color="000000"/>
            </w:tcBorders>
            <w:shd w:val="clear" w:color="auto" w:fill="auto"/>
          </w:tcPr>
          <w:p w14:paraId="3C91CF96" w14:textId="411A8B81" w:rsidR="008A6931" w:rsidRPr="00AE1744" w:rsidRDefault="00DD4356" w:rsidP="008A6931">
            <w:pPr>
              <w:spacing w:before="120" w:after="120"/>
              <w:rPr>
                <w:rFonts w:ascii="Times New Roman" w:eastAsia="Times New Roman" w:hAnsi="Times New Roman" w:cs="Times New Roman"/>
              </w:rPr>
            </w:pPr>
            <w:r w:rsidRPr="00AE1744">
              <w:rPr>
                <w:rFonts w:ascii="Times New Roman" w:eastAsia="Times New Roman" w:hAnsi="Times New Roman" w:cs="Times New Roman"/>
              </w:rPr>
              <w:t>+</w:t>
            </w:r>
            <w:r w:rsidR="008A6931" w:rsidRPr="00AE1744">
              <w:rPr>
                <w:rFonts w:ascii="Times New Roman" w:eastAsia="Times New Roman" w:hAnsi="Times New Roman" w:cs="Times New Roman"/>
              </w:rPr>
              <w:t>25 518 000</w:t>
            </w:r>
          </w:p>
        </w:tc>
        <w:tc>
          <w:tcPr>
            <w:tcW w:w="692" w:type="pct"/>
            <w:tcBorders>
              <w:top w:val="single" w:sz="4" w:space="0" w:color="000000"/>
              <w:left w:val="nil"/>
              <w:bottom w:val="single" w:sz="4" w:space="0" w:color="000000"/>
              <w:right w:val="single" w:sz="4" w:space="0" w:color="000000"/>
            </w:tcBorders>
            <w:shd w:val="clear" w:color="auto" w:fill="auto"/>
          </w:tcPr>
          <w:p w14:paraId="40D58070" w14:textId="2501317F" w:rsidR="008A6931" w:rsidRPr="00AE1744" w:rsidRDefault="00DD4356" w:rsidP="008A6931">
            <w:pPr>
              <w:spacing w:before="120" w:after="120"/>
              <w:rPr>
                <w:rFonts w:ascii="Times New Roman" w:eastAsia="Times New Roman" w:hAnsi="Times New Roman" w:cs="Times New Roman"/>
              </w:rPr>
            </w:pPr>
            <w:r w:rsidRPr="00AE1744">
              <w:rPr>
                <w:rFonts w:ascii="Times New Roman" w:eastAsia="Times New Roman" w:hAnsi="Times New Roman" w:cs="Times New Roman"/>
              </w:rPr>
              <w:t>+</w:t>
            </w:r>
            <w:r w:rsidR="008A6931" w:rsidRPr="00AE1744">
              <w:rPr>
                <w:rFonts w:ascii="Times New Roman" w:eastAsia="Times New Roman" w:hAnsi="Times New Roman" w:cs="Times New Roman"/>
              </w:rPr>
              <w:t>25 518 000</w:t>
            </w:r>
          </w:p>
        </w:tc>
      </w:tr>
      <w:tr w:rsidR="008A6931" w:rsidRPr="00065EF0" w14:paraId="5587B5B1" w14:textId="77777777" w:rsidTr="00B01360">
        <w:trPr>
          <w:trHeight w:val="381"/>
        </w:trPr>
        <w:tc>
          <w:tcPr>
            <w:tcW w:w="1460" w:type="pct"/>
            <w:tcBorders>
              <w:top w:val="outset" w:sz="6" w:space="0" w:color="000000"/>
              <w:left w:val="outset" w:sz="6" w:space="0" w:color="000000"/>
              <w:bottom w:val="outset" w:sz="6" w:space="0" w:color="000000"/>
              <w:right w:val="single" w:sz="4" w:space="0" w:color="auto"/>
            </w:tcBorders>
          </w:tcPr>
          <w:p w14:paraId="628281AB" w14:textId="77777777" w:rsidR="008A6931" w:rsidRPr="00813FA3" w:rsidRDefault="008A6931" w:rsidP="008A6931">
            <w:pPr>
              <w:spacing w:before="120" w:after="120" w:line="240" w:lineRule="auto"/>
              <w:rPr>
                <w:rFonts w:ascii="Times New Roman" w:eastAsia="Times New Roman" w:hAnsi="Times New Roman" w:cs="Times New Roman"/>
              </w:rPr>
            </w:pPr>
            <w:r w:rsidRPr="00813FA3">
              <w:rPr>
                <w:rFonts w:ascii="Times New Roman" w:eastAsia="Times New Roman" w:hAnsi="Times New Roman" w:cs="Times New Roman"/>
              </w:rPr>
              <w:t>1.1. valsts pamatbudžets, tai skaitā ieņēmumi no maksas pakalpojumiem un citi pašu ieņēmumi</w:t>
            </w:r>
          </w:p>
        </w:tc>
        <w:tc>
          <w:tcPr>
            <w:tcW w:w="748" w:type="pct"/>
            <w:tcBorders>
              <w:top w:val="nil"/>
              <w:left w:val="single" w:sz="4" w:space="0" w:color="000000"/>
              <w:bottom w:val="single" w:sz="4" w:space="0" w:color="000000"/>
              <w:right w:val="single" w:sz="4" w:space="0" w:color="000000"/>
            </w:tcBorders>
            <w:shd w:val="clear" w:color="auto" w:fill="auto"/>
          </w:tcPr>
          <w:p w14:paraId="43B5759B" w14:textId="77777777" w:rsidR="008A6931" w:rsidRPr="00AE1744" w:rsidRDefault="008A6931" w:rsidP="008A6931">
            <w:pPr>
              <w:spacing w:before="120" w:after="120"/>
              <w:jc w:val="center"/>
              <w:rPr>
                <w:rFonts w:ascii="Times New Roman" w:eastAsia="Times New Roman" w:hAnsi="Times New Roman" w:cs="Times New Roman"/>
              </w:rPr>
            </w:pPr>
          </w:p>
          <w:p w14:paraId="236D9826" w14:textId="77777777" w:rsidR="008A6931" w:rsidRPr="00AE1744" w:rsidRDefault="008A6931" w:rsidP="008A6931">
            <w:pPr>
              <w:spacing w:before="120" w:after="120"/>
              <w:jc w:val="center"/>
              <w:rPr>
                <w:rFonts w:ascii="Times New Roman" w:eastAsia="Times New Roman" w:hAnsi="Times New Roman" w:cs="Times New Roman"/>
              </w:rPr>
            </w:pPr>
            <w:r w:rsidRPr="00AE1744">
              <w:rPr>
                <w:rFonts w:ascii="Times New Roman" w:eastAsia="Times New Roman" w:hAnsi="Times New Roman" w:cs="Times New Roman"/>
              </w:rPr>
              <w:t>0</w:t>
            </w:r>
          </w:p>
        </w:tc>
        <w:tc>
          <w:tcPr>
            <w:tcW w:w="681" w:type="pct"/>
            <w:tcBorders>
              <w:top w:val="nil"/>
              <w:left w:val="nil"/>
              <w:bottom w:val="single" w:sz="4" w:space="0" w:color="000000"/>
              <w:right w:val="single" w:sz="4" w:space="0" w:color="000000"/>
            </w:tcBorders>
            <w:shd w:val="clear" w:color="auto" w:fill="auto"/>
          </w:tcPr>
          <w:p w14:paraId="3E729F4E" w14:textId="77777777" w:rsidR="008A6931" w:rsidRPr="00AE1744" w:rsidRDefault="008A6931" w:rsidP="008A6931">
            <w:pPr>
              <w:spacing w:before="120" w:after="120"/>
              <w:jc w:val="center"/>
              <w:rPr>
                <w:rFonts w:ascii="Times New Roman" w:eastAsia="Times New Roman" w:hAnsi="Times New Roman" w:cs="Times New Roman"/>
              </w:rPr>
            </w:pPr>
          </w:p>
          <w:p w14:paraId="4E564156" w14:textId="77777777" w:rsidR="008A6931" w:rsidRPr="00AE1744" w:rsidRDefault="008A6931" w:rsidP="008A6931">
            <w:pPr>
              <w:spacing w:before="120" w:after="120"/>
              <w:jc w:val="center"/>
              <w:rPr>
                <w:rFonts w:ascii="Times New Roman" w:eastAsia="Times New Roman" w:hAnsi="Times New Roman" w:cs="Times New Roman"/>
              </w:rPr>
            </w:pPr>
            <w:r w:rsidRPr="00AE1744">
              <w:rPr>
                <w:rFonts w:ascii="Times New Roman" w:eastAsia="Times New Roman" w:hAnsi="Times New Roman" w:cs="Times New Roman"/>
              </w:rPr>
              <w:t>0</w:t>
            </w:r>
          </w:p>
        </w:tc>
        <w:tc>
          <w:tcPr>
            <w:tcW w:w="649" w:type="pct"/>
            <w:tcBorders>
              <w:top w:val="nil"/>
              <w:left w:val="nil"/>
              <w:bottom w:val="single" w:sz="4" w:space="0" w:color="000000"/>
              <w:right w:val="single" w:sz="4" w:space="0" w:color="000000"/>
            </w:tcBorders>
            <w:shd w:val="clear" w:color="auto" w:fill="auto"/>
          </w:tcPr>
          <w:p w14:paraId="5E155D74" w14:textId="77777777" w:rsidR="008A6931" w:rsidRPr="00AE1744" w:rsidRDefault="008A6931" w:rsidP="008A6931">
            <w:pPr>
              <w:spacing w:before="120" w:after="120"/>
              <w:rPr>
                <w:rFonts w:ascii="Times New Roman" w:eastAsia="Times New Roman" w:hAnsi="Times New Roman" w:cs="Times New Roman"/>
              </w:rPr>
            </w:pPr>
          </w:p>
          <w:p w14:paraId="74AF037A" w14:textId="508116DE" w:rsidR="008A6931" w:rsidRPr="00AE1744" w:rsidRDefault="00DD4356" w:rsidP="008A6931">
            <w:pPr>
              <w:spacing w:before="120" w:after="120"/>
              <w:rPr>
                <w:rFonts w:ascii="Times New Roman" w:eastAsia="Times New Roman" w:hAnsi="Times New Roman" w:cs="Times New Roman"/>
              </w:rPr>
            </w:pPr>
            <w:r w:rsidRPr="00AE1744">
              <w:rPr>
                <w:rFonts w:ascii="Times New Roman" w:eastAsia="Times New Roman" w:hAnsi="Times New Roman" w:cs="Times New Roman"/>
              </w:rPr>
              <w:t>+</w:t>
            </w:r>
            <w:r w:rsidR="008A6931" w:rsidRPr="00AE1744">
              <w:rPr>
                <w:rFonts w:ascii="Times New Roman" w:eastAsia="Times New Roman" w:hAnsi="Times New Roman" w:cs="Times New Roman"/>
              </w:rPr>
              <w:t>12 441 000</w:t>
            </w:r>
          </w:p>
        </w:tc>
        <w:tc>
          <w:tcPr>
            <w:tcW w:w="770" w:type="pct"/>
            <w:tcBorders>
              <w:top w:val="nil"/>
              <w:left w:val="nil"/>
              <w:bottom w:val="single" w:sz="4" w:space="0" w:color="000000"/>
              <w:right w:val="single" w:sz="4" w:space="0" w:color="000000"/>
            </w:tcBorders>
            <w:shd w:val="clear" w:color="auto" w:fill="auto"/>
          </w:tcPr>
          <w:p w14:paraId="79256570" w14:textId="77777777" w:rsidR="008A6931" w:rsidRPr="00AE1744" w:rsidRDefault="008A6931" w:rsidP="008A6931">
            <w:pPr>
              <w:spacing w:before="120" w:after="120"/>
              <w:rPr>
                <w:rFonts w:ascii="Times New Roman" w:eastAsia="Times New Roman" w:hAnsi="Times New Roman" w:cs="Times New Roman"/>
              </w:rPr>
            </w:pPr>
          </w:p>
          <w:p w14:paraId="2AB17F49" w14:textId="3266A28A" w:rsidR="008A6931" w:rsidRPr="00AE1744" w:rsidRDefault="00DD4356" w:rsidP="008A6931">
            <w:pPr>
              <w:spacing w:before="120" w:after="120"/>
              <w:rPr>
                <w:rFonts w:ascii="Times New Roman" w:eastAsia="Times New Roman" w:hAnsi="Times New Roman" w:cs="Times New Roman"/>
              </w:rPr>
            </w:pPr>
            <w:r w:rsidRPr="00AE1744">
              <w:rPr>
                <w:rFonts w:ascii="Times New Roman" w:eastAsia="Times New Roman" w:hAnsi="Times New Roman" w:cs="Times New Roman"/>
              </w:rPr>
              <w:t>+</w:t>
            </w:r>
            <w:r w:rsidR="008A6931" w:rsidRPr="00AE1744">
              <w:rPr>
                <w:rFonts w:ascii="Times New Roman" w:eastAsia="Times New Roman" w:hAnsi="Times New Roman" w:cs="Times New Roman"/>
              </w:rPr>
              <w:t>25 518 000</w:t>
            </w:r>
          </w:p>
        </w:tc>
        <w:tc>
          <w:tcPr>
            <w:tcW w:w="692" w:type="pct"/>
            <w:tcBorders>
              <w:top w:val="nil"/>
              <w:left w:val="nil"/>
              <w:bottom w:val="single" w:sz="4" w:space="0" w:color="000000"/>
              <w:right w:val="single" w:sz="4" w:space="0" w:color="000000"/>
            </w:tcBorders>
            <w:shd w:val="clear" w:color="auto" w:fill="auto"/>
          </w:tcPr>
          <w:p w14:paraId="766CE843" w14:textId="77777777" w:rsidR="008A6931" w:rsidRPr="00AE1744" w:rsidRDefault="008A6931" w:rsidP="008A6931">
            <w:pPr>
              <w:spacing w:before="120" w:after="120"/>
              <w:rPr>
                <w:rFonts w:ascii="Times New Roman" w:eastAsia="Times New Roman" w:hAnsi="Times New Roman" w:cs="Times New Roman"/>
              </w:rPr>
            </w:pPr>
          </w:p>
          <w:p w14:paraId="4B173CE3" w14:textId="39D491E7" w:rsidR="008A6931" w:rsidRPr="00AE1744" w:rsidRDefault="00DD4356" w:rsidP="008A6931">
            <w:pPr>
              <w:spacing w:before="120" w:after="120"/>
              <w:rPr>
                <w:rFonts w:ascii="Times New Roman" w:eastAsia="Times New Roman" w:hAnsi="Times New Roman" w:cs="Times New Roman"/>
              </w:rPr>
            </w:pPr>
            <w:r w:rsidRPr="00AE1744">
              <w:rPr>
                <w:rFonts w:ascii="Times New Roman" w:eastAsia="Times New Roman" w:hAnsi="Times New Roman" w:cs="Times New Roman"/>
              </w:rPr>
              <w:t>+</w:t>
            </w:r>
            <w:r w:rsidR="008A6931" w:rsidRPr="00AE1744">
              <w:rPr>
                <w:rFonts w:ascii="Times New Roman" w:eastAsia="Times New Roman" w:hAnsi="Times New Roman" w:cs="Times New Roman"/>
              </w:rPr>
              <w:t>25 518 000</w:t>
            </w:r>
          </w:p>
        </w:tc>
      </w:tr>
      <w:tr w:rsidR="008A6931" w:rsidRPr="00065EF0" w14:paraId="60344E01" w14:textId="77777777" w:rsidTr="00B01360">
        <w:trPr>
          <w:trHeight w:val="380"/>
        </w:trPr>
        <w:tc>
          <w:tcPr>
            <w:tcW w:w="1460" w:type="pct"/>
            <w:tcBorders>
              <w:top w:val="outset" w:sz="6" w:space="0" w:color="000000"/>
              <w:left w:val="outset" w:sz="6" w:space="0" w:color="000000"/>
              <w:bottom w:val="outset" w:sz="6" w:space="0" w:color="000000"/>
              <w:right w:val="single" w:sz="4" w:space="0" w:color="auto"/>
            </w:tcBorders>
          </w:tcPr>
          <w:p w14:paraId="52523059" w14:textId="77777777" w:rsidR="008A6931" w:rsidRPr="00813FA3" w:rsidRDefault="008A6931" w:rsidP="008A6931">
            <w:pPr>
              <w:spacing w:before="120" w:after="120" w:line="240" w:lineRule="auto"/>
              <w:rPr>
                <w:rFonts w:ascii="Times New Roman" w:hAnsi="Times New Roman" w:cs="Times New Roman"/>
                <w:i/>
              </w:rPr>
            </w:pPr>
            <w:r w:rsidRPr="00813FA3">
              <w:rPr>
                <w:rFonts w:ascii="Times New Roman" w:hAnsi="Times New Roman" w:cs="Times New Roman"/>
                <w:i/>
              </w:rPr>
              <w:t>t.sk. pievienotās vērtības nodoklis</w:t>
            </w:r>
          </w:p>
        </w:tc>
        <w:tc>
          <w:tcPr>
            <w:tcW w:w="748" w:type="pct"/>
            <w:tcBorders>
              <w:top w:val="nil"/>
              <w:left w:val="single" w:sz="4" w:space="0" w:color="000000"/>
              <w:bottom w:val="single" w:sz="4" w:space="0" w:color="000000"/>
              <w:right w:val="single" w:sz="4" w:space="0" w:color="000000"/>
            </w:tcBorders>
            <w:shd w:val="clear" w:color="auto" w:fill="auto"/>
          </w:tcPr>
          <w:p w14:paraId="3615B97F" w14:textId="77777777" w:rsidR="008A6931" w:rsidRPr="00AE1744" w:rsidRDefault="008A6931" w:rsidP="008A6931">
            <w:pPr>
              <w:spacing w:before="120" w:after="120"/>
              <w:jc w:val="center"/>
              <w:rPr>
                <w:rFonts w:ascii="Times New Roman" w:eastAsia="Times New Roman" w:hAnsi="Times New Roman" w:cs="Times New Roman"/>
              </w:rPr>
            </w:pPr>
            <w:r w:rsidRPr="00AE1744">
              <w:rPr>
                <w:rFonts w:ascii="Times New Roman" w:eastAsia="Times New Roman" w:hAnsi="Times New Roman" w:cs="Times New Roman"/>
              </w:rPr>
              <w:t>0</w:t>
            </w:r>
          </w:p>
        </w:tc>
        <w:tc>
          <w:tcPr>
            <w:tcW w:w="681" w:type="pct"/>
            <w:tcBorders>
              <w:top w:val="nil"/>
              <w:left w:val="nil"/>
              <w:bottom w:val="single" w:sz="4" w:space="0" w:color="000000"/>
              <w:right w:val="single" w:sz="4" w:space="0" w:color="000000"/>
            </w:tcBorders>
            <w:shd w:val="clear" w:color="auto" w:fill="auto"/>
          </w:tcPr>
          <w:p w14:paraId="7A7A1DF1" w14:textId="77777777" w:rsidR="008A6931" w:rsidRPr="00AE1744" w:rsidRDefault="008A6931" w:rsidP="008A6931">
            <w:pPr>
              <w:spacing w:before="120" w:after="120"/>
              <w:jc w:val="center"/>
              <w:rPr>
                <w:rFonts w:ascii="Times New Roman" w:eastAsia="Times New Roman" w:hAnsi="Times New Roman" w:cs="Times New Roman"/>
              </w:rPr>
            </w:pPr>
            <w:r w:rsidRPr="00AE1744">
              <w:rPr>
                <w:rFonts w:ascii="Times New Roman" w:eastAsia="Times New Roman" w:hAnsi="Times New Roman" w:cs="Times New Roman"/>
              </w:rPr>
              <w:t>0</w:t>
            </w:r>
          </w:p>
        </w:tc>
        <w:tc>
          <w:tcPr>
            <w:tcW w:w="649" w:type="pct"/>
            <w:tcBorders>
              <w:top w:val="nil"/>
              <w:left w:val="nil"/>
              <w:bottom w:val="single" w:sz="4" w:space="0" w:color="000000"/>
              <w:right w:val="single" w:sz="4" w:space="0" w:color="000000"/>
            </w:tcBorders>
            <w:shd w:val="clear" w:color="auto" w:fill="auto"/>
          </w:tcPr>
          <w:p w14:paraId="39DB9A77" w14:textId="0357245C" w:rsidR="008A6931" w:rsidRPr="00AE1744" w:rsidRDefault="00DD4356" w:rsidP="008A6931">
            <w:pPr>
              <w:spacing w:before="120" w:after="120"/>
              <w:rPr>
                <w:rFonts w:ascii="Times New Roman" w:eastAsia="Times New Roman" w:hAnsi="Times New Roman" w:cs="Times New Roman"/>
              </w:rPr>
            </w:pPr>
            <w:r w:rsidRPr="00AE1744">
              <w:rPr>
                <w:rFonts w:ascii="Times New Roman" w:eastAsia="Times New Roman" w:hAnsi="Times New Roman" w:cs="Times New Roman"/>
              </w:rPr>
              <w:t>+</w:t>
            </w:r>
            <w:r w:rsidR="008A6931" w:rsidRPr="00AE1744">
              <w:rPr>
                <w:rFonts w:ascii="Times New Roman" w:eastAsia="Times New Roman" w:hAnsi="Times New Roman" w:cs="Times New Roman"/>
              </w:rPr>
              <w:t>12 441 000</w:t>
            </w:r>
          </w:p>
        </w:tc>
        <w:tc>
          <w:tcPr>
            <w:tcW w:w="770" w:type="pct"/>
            <w:tcBorders>
              <w:top w:val="nil"/>
              <w:left w:val="nil"/>
              <w:bottom w:val="single" w:sz="4" w:space="0" w:color="000000"/>
              <w:right w:val="single" w:sz="4" w:space="0" w:color="000000"/>
            </w:tcBorders>
            <w:shd w:val="clear" w:color="auto" w:fill="auto"/>
          </w:tcPr>
          <w:p w14:paraId="38C1A112" w14:textId="26765755" w:rsidR="008A6931" w:rsidRPr="00AE1744" w:rsidRDefault="00DD4356" w:rsidP="008A6931">
            <w:pPr>
              <w:spacing w:before="120" w:after="120"/>
              <w:rPr>
                <w:rFonts w:ascii="Times New Roman" w:eastAsia="Times New Roman" w:hAnsi="Times New Roman" w:cs="Times New Roman"/>
              </w:rPr>
            </w:pPr>
            <w:r w:rsidRPr="00AE1744">
              <w:rPr>
                <w:rFonts w:ascii="Times New Roman" w:eastAsia="Times New Roman" w:hAnsi="Times New Roman" w:cs="Times New Roman"/>
              </w:rPr>
              <w:t>+</w:t>
            </w:r>
            <w:r w:rsidR="008A6931" w:rsidRPr="00AE1744">
              <w:rPr>
                <w:rFonts w:ascii="Times New Roman" w:eastAsia="Times New Roman" w:hAnsi="Times New Roman" w:cs="Times New Roman"/>
              </w:rPr>
              <w:t>25 518 000</w:t>
            </w:r>
          </w:p>
        </w:tc>
        <w:tc>
          <w:tcPr>
            <w:tcW w:w="692" w:type="pct"/>
            <w:tcBorders>
              <w:top w:val="nil"/>
              <w:left w:val="nil"/>
              <w:bottom w:val="single" w:sz="4" w:space="0" w:color="000000"/>
              <w:right w:val="single" w:sz="4" w:space="0" w:color="000000"/>
            </w:tcBorders>
            <w:shd w:val="clear" w:color="auto" w:fill="auto"/>
          </w:tcPr>
          <w:p w14:paraId="774D0135" w14:textId="2AEE30AC" w:rsidR="008A6931" w:rsidRPr="00AE1744" w:rsidRDefault="00DD4356" w:rsidP="008A6931">
            <w:pPr>
              <w:spacing w:before="120" w:after="120"/>
              <w:rPr>
                <w:rFonts w:ascii="Times New Roman" w:eastAsia="Times New Roman" w:hAnsi="Times New Roman" w:cs="Times New Roman"/>
              </w:rPr>
            </w:pPr>
            <w:r w:rsidRPr="00AE1744">
              <w:rPr>
                <w:rFonts w:ascii="Times New Roman" w:eastAsia="Times New Roman" w:hAnsi="Times New Roman" w:cs="Times New Roman"/>
              </w:rPr>
              <w:t>+</w:t>
            </w:r>
            <w:r w:rsidR="008A6931" w:rsidRPr="00AE1744">
              <w:rPr>
                <w:rFonts w:ascii="Times New Roman" w:eastAsia="Times New Roman" w:hAnsi="Times New Roman" w:cs="Times New Roman"/>
              </w:rPr>
              <w:t>25 518 000</w:t>
            </w:r>
          </w:p>
        </w:tc>
      </w:tr>
      <w:tr w:rsidR="008A6931" w:rsidRPr="0046177E" w14:paraId="12A76A9F" w14:textId="77777777" w:rsidTr="00B01360">
        <w:trPr>
          <w:trHeight w:val="380"/>
        </w:trPr>
        <w:tc>
          <w:tcPr>
            <w:tcW w:w="1460" w:type="pct"/>
            <w:tcBorders>
              <w:top w:val="outset" w:sz="6" w:space="0" w:color="000000"/>
              <w:left w:val="outset" w:sz="6" w:space="0" w:color="000000"/>
              <w:bottom w:val="outset" w:sz="6" w:space="0" w:color="000000"/>
              <w:right w:val="single" w:sz="4" w:space="0" w:color="auto"/>
            </w:tcBorders>
          </w:tcPr>
          <w:p w14:paraId="51A17107" w14:textId="77777777" w:rsidR="008A6931" w:rsidRPr="00813FA3" w:rsidRDefault="008A6931" w:rsidP="008A6931">
            <w:pPr>
              <w:spacing w:before="120" w:after="0" w:line="240" w:lineRule="auto"/>
              <w:rPr>
                <w:rFonts w:ascii="Times New Roman" w:eastAsia="Times New Roman" w:hAnsi="Times New Roman" w:cs="Times New Roman"/>
              </w:rPr>
            </w:pPr>
            <w:r w:rsidRPr="00813FA3">
              <w:rPr>
                <w:rFonts w:ascii="Times New Roman" w:hAnsi="Times New Roman" w:cs="Times New Roman"/>
              </w:rPr>
              <w:t>1.2. valsts speciālais budžets</w:t>
            </w: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3979EC44"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1569B490"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1340B336"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3427C941"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756083A6" w14:textId="77777777" w:rsidR="008A6931" w:rsidRPr="00AE1744" w:rsidRDefault="008A6931" w:rsidP="008A6931">
            <w:pPr>
              <w:spacing w:after="0" w:line="240" w:lineRule="auto"/>
              <w:jc w:val="center"/>
              <w:rPr>
                <w:rFonts w:ascii="Times New Roman" w:eastAsia="Times New Roman" w:hAnsi="Times New Roman" w:cs="Times New Roman"/>
              </w:rPr>
            </w:pPr>
          </w:p>
        </w:tc>
      </w:tr>
      <w:tr w:rsidR="008A6931" w:rsidRPr="0046177E" w14:paraId="2F1AAA74" w14:textId="77777777" w:rsidTr="00B01360">
        <w:tc>
          <w:tcPr>
            <w:tcW w:w="1460" w:type="pct"/>
            <w:tcBorders>
              <w:top w:val="outset" w:sz="6" w:space="0" w:color="000000"/>
              <w:left w:val="outset" w:sz="6" w:space="0" w:color="000000"/>
              <w:bottom w:val="outset" w:sz="6" w:space="0" w:color="000000"/>
              <w:right w:val="single" w:sz="4" w:space="0" w:color="auto"/>
            </w:tcBorders>
          </w:tcPr>
          <w:p w14:paraId="3BB21E38" w14:textId="77777777" w:rsidR="008A6931" w:rsidRPr="00813FA3" w:rsidRDefault="008A6931" w:rsidP="008A6931">
            <w:pPr>
              <w:spacing w:before="120" w:after="0" w:line="240" w:lineRule="auto"/>
              <w:rPr>
                <w:rFonts w:ascii="Times New Roman" w:eastAsia="Times New Roman" w:hAnsi="Times New Roman" w:cs="Times New Roman"/>
              </w:rPr>
            </w:pPr>
            <w:r w:rsidRPr="00813FA3">
              <w:rPr>
                <w:rFonts w:ascii="Times New Roman" w:eastAsia="Times New Roman" w:hAnsi="Times New Roman" w:cs="Times New Roman"/>
              </w:rPr>
              <w:t>1.3. pašvaldību budžets</w:t>
            </w:r>
          </w:p>
        </w:tc>
        <w:tc>
          <w:tcPr>
            <w:tcW w:w="748" w:type="pct"/>
            <w:tcBorders>
              <w:top w:val="single" w:sz="4" w:space="0" w:color="auto"/>
              <w:left w:val="single" w:sz="4" w:space="0" w:color="auto"/>
              <w:bottom w:val="single" w:sz="4" w:space="0" w:color="auto"/>
              <w:right w:val="single" w:sz="4" w:space="0" w:color="auto"/>
            </w:tcBorders>
          </w:tcPr>
          <w:p w14:paraId="3B3E169F"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681" w:type="pct"/>
            <w:tcBorders>
              <w:top w:val="single" w:sz="4" w:space="0" w:color="auto"/>
              <w:left w:val="single" w:sz="4" w:space="0" w:color="auto"/>
              <w:bottom w:val="single" w:sz="4" w:space="0" w:color="auto"/>
              <w:right w:val="single" w:sz="4" w:space="0" w:color="auto"/>
            </w:tcBorders>
          </w:tcPr>
          <w:p w14:paraId="57F6A827"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tcPr>
          <w:p w14:paraId="2C9DCA91"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770" w:type="pct"/>
            <w:tcBorders>
              <w:top w:val="single" w:sz="4" w:space="0" w:color="auto"/>
              <w:left w:val="single" w:sz="4" w:space="0" w:color="auto"/>
              <w:bottom w:val="single" w:sz="4" w:space="0" w:color="auto"/>
              <w:right w:val="single" w:sz="4" w:space="0" w:color="auto"/>
            </w:tcBorders>
          </w:tcPr>
          <w:p w14:paraId="3C70F3D1"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692" w:type="pct"/>
            <w:tcBorders>
              <w:top w:val="single" w:sz="4" w:space="0" w:color="auto"/>
              <w:left w:val="single" w:sz="4" w:space="0" w:color="auto"/>
              <w:bottom w:val="single" w:sz="4" w:space="0" w:color="auto"/>
              <w:right w:val="single" w:sz="4" w:space="0" w:color="auto"/>
            </w:tcBorders>
          </w:tcPr>
          <w:p w14:paraId="54467C48" w14:textId="77777777" w:rsidR="008A6931" w:rsidRPr="00AE1744" w:rsidRDefault="008A6931" w:rsidP="008A6931">
            <w:pPr>
              <w:spacing w:after="0" w:line="240" w:lineRule="auto"/>
              <w:jc w:val="center"/>
              <w:rPr>
                <w:rFonts w:ascii="Times New Roman" w:eastAsia="Times New Roman" w:hAnsi="Times New Roman" w:cs="Times New Roman"/>
              </w:rPr>
            </w:pPr>
          </w:p>
        </w:tc>
      </w:tr>
      <w:tr w:rsidR="008A6931" w:rsidRPr="0046177E" w14:paraId="1E00F26D" w14:textId="77777777" w:rsidTr="00B01360">
        <w:tc>
          <w:tcPr>
            <w:tcW w:w="1460" w:type="pct"/>
            <w:tcBorders>
              <w:top w:val="outset" w:sz="6" w:space="0" w:color="000000"/>
              <w:left w:val="outset" w:sz="6" w:space="0" w:color="000000"/>
              <w:bottom w:val="outset" w:sz="6" w:space="0" w:color="000000"/>
              <w:right w:val="outset" w:sz="6" w:space="0" w:color="000000"/>
            </w:tcBorders>
          </w:tcPr>
          <w:p w14:paraId="2D09E4E1" w14:textId="77777777" w:rsidR="008A6931" w:rsidRPr="00813FA3" w:rsidRDefault="008A6931" w:rsidP="008A6931">
            <w:pPr>
              <w:spacing w:before="120" w:after="0" w:line="240" w:lineRule="auto"/>
              <w:rPr>
                <w:rFonts w:ascii="Times New Roman" w:eastAsia="Times New Roman" w:hAnsi="Times New Roman" w:cs="Times New Roman"/>
              </w:rPr>
            </w:pPr>
            <w:r w:rsidRPr="00813FA3">
              <w:rPr>
                <w:rFonts w:ascii="Times New Roman" w:eastAsia="Times New Roman" w:hAnsi="Times New Roman" w:cs="Times New Roman"/>
              </w:rPr>
              <w:t>2. Budžeta izdevumi:</w:t>
            </w:r>
          </w:p>
        </w:tc>
        <w:tc>
          <w:tcPr>
            <w:tcW w:w="748" w:type="pct"/>
            <w:tcBorders>
              <w:top w:val="single" w:sz="4" w:space="0" w:color="auto"/>
              <w:left w:val="outset" w:sz="6" w:space="0" w:color="000000"/>
              <w:bottom w:val="outset" w:sz="6" w:space="0" w:color="000000"/>
              <w:right w:val="outset" w:sz="6" w:space="0" w:color="000000"/>
            </w:tcBorders>
          </w:tcPr>
          <w:p w14:paraId="6F9E632D"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681" w:type="pct"/>
            <w:tcBorders>
              <w:top w:val="single" w:sz="4" w:space="0" w:color="auto"/>
              <w:left w:val="outset" w:sz="6" w:space="0" w:color="000000"/>
              <w:bottom w:val="outset" w:sz="6" w:space="0" w:color="000000"/>
              <w:right w:val="outset" w:sz="6" w:space="0" w:color="000000"/>
            </w:tcBorders>
          </w:tcPr>
          <w:p w14:paraId="2A4FB494"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649" w:type="pct"/>
            <w:tcBorders>
              <w:top w:val="single" w:sz="4" w:space="0" w:color="auto"/>
              <w:left w:val="outset" w:sz="6" w:space="0" w:color="000000"/>
              <w:bottom w:val="outset" w:sz="6" w:space="0" w:color="000000"/>
              <w:right w:val="outset" w:sz="6" w:space="0" w:color="000000"/>
            </w:tcBorders>
          </w:tcPr>
          <w:p w14:paraId="4ECF55BA"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770" w:type="pct"/>
            <w:tcBorders>
              <w:top w:val="single" w:sz="4" w:space="0" w:color="auto"/>
              <w:left w:val="outset" w:sz="6" w:space="0" w:color="000000"/>
              <w:bottom w:val="outset" w:sz="6" w:space="0" w:color="000000"/>
              <w:right w:val="outset" w:sz="6" w:space="0" w:color="000000"/>
            </w:tcBorders>
          </w:tcPr>
          <w:p w14:paraId="031890BF"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692" w:type="pct"/>
            <w:tcBorders>
              <w:top w:val="single" w:sz="4" w:space="0" w:color="auto"/>
              <w:left w:val="outset" w:sz="6" w:space="0" w:color="000000"/>
              <w:bottom w:val="outset" w:sz="6" w:space="0" w:color="000000"/>
              <w:right w:val="outset" w:sz="6" w:space="0" w:color="000000"/>
            </w:tcBorders>
          </w:tcPr>
          <w:p w14:paraId="6075B07F" w14:textId="77777777" w:rsidR="008A6931" w:rsidRPr="00AE1744" w:rsidRDefault="008A6931" w:rsidP="008A6931">
            <w:pPr>
              <w:spacing w:after="0" w:line="240" w:lineRule="auto"/>
              <w:jc w:val="center"/>
              <w:rPr>
                <w:rFonts w:ascii="Times New Roman" w:eastAsia="Times New Roman" w:hAnsi="Times New Roman" w:cs="Times New Roman"/>
              </w:rPr>
            </w:pPr>
          </w:p>
        </w:tc>
      </w:tr>
      <w:tr w:rsidR="008A6931" w:rsidRPr="0046177E" w14:paraId="2733780A" w14:textId="77777777" w:rsidTr="00B01360">
        <w:tc>
          <w:tcPr>
            <w:tcW w:w="1460" w:type="pct"/>
            <w:tcBorders>
              <w:top w:val="outset" w:sz="6" w:space="0" w:color="000000"/>
              <w:left w:val="outset" w:sz="6" w:space="0" w:color="000000"/>
              <w:bottom w:val="outset" w:sz="6" w:space="0" w:color="000000"/>
              <w:right w:val="outset" w:sz="6" w:space="0" w:color="000000"/>
            </w:tcBorders>
          </w:tcPr>
          <w:p w14:paraId="2560F480" w14:textId="77777777" w:rsidR="008A6931" w:rsidRPr="00813FA3" w:rsidRDefault="008A6931" w:rsidP="008A6931">
            <w:pPr>
              <w:spacing w:before="120" w:after="0" w:line="240" w:lineRule="auto"/>
              <w:rPr>
                <w:rFonts w:ascii="Times New Roman" w:eastAsia="Times New Roman" w:hAnsi="Times New Roman" w:cs="Times New Roman"/>
              </w:rPr>
            </w:pPr>
            <w:r w:rsidRPr="00813FA3">
              <w:rPr>
                <w:rFonts w:ascii="Times New Roman" w:eastAsia="Times New Roman" w:hAnsi="Times New Roman" w:cs="Times New Roman"/>
              </w:rPr>
              <w:t>2.1. valsts pamatbudžets</w:t>
            </w:r>
          </w:p>
        </w:tc>
        <w:tc>
          <w:tcPr>
            <w:tcW w:w="748" w:type="pct"/>
            <w:tcBorders>
              <w:top w:val="outset" w:sz="6" w:space="0" w:color="000000"/>
              <w:left w:val="outset" w:sz="6" w:space="0" w:color="000000"/>
              <w:bottom w:val="outset" w:sz="6" w:space="0" w:color="000000"/>
              <w:right w:val="outset" w:sz="6" w:space="0" w:color="000000"/>
            </w:tcBorders>
          </w:tcPr>
          <w:p w14:paraId="13908F1F"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681" w:type="pct"/>
            <w:tcBorders>
              <w:top w:val="outset" w:sz="6" w:space="0" w:color="000000"/>
              <w:left w:val="outset" w:sz="6" w:space="0" w:color="000000"/>
              <w:bottom w:val="outset" w:sz="6" w:space="0" w:color="000000"/>
              <w:right w:val="outset" w:sz="6" w:space="0" w:color="000000"/>
            </w:tcBorders>
          </w:tcPr>
          <w:p w14:paraId="2BCF49B7"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649" w:type="pct"/>
            <w:tcBorders>
              <w:top w:val="outset" w:sz="6" w:space="0" w:color="000000"/>
              <w:left w:val="outset" w:sz="6" w:space="0" w:color="000000"/>
              <w:bottom w:val="outset" w:sz="6" w:space="0" w:color="000000"/>
              <w:right w:val="outset" w:sz="6" w:space="0" w:color="000000"/>
            </w:tcBorders>
          </w:tcPr>
          <w:p w14:paraId="4A4BC6D3"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770" w:type="pct"/>
            <w:tcBorders>
              <w:top w:val="outset" w:sz="6" w:space="0" w:color="000000"/>
              <w:left w:val="outset" w:sz="6" w:space="0" w:color="000000"/>
              <w:bottom w:val="outset" w:sz="6" w:space="0" w:color="000000"/>
              <w:right w:val="outset" w:sz="6" w:space="0" w:color="000000"/>
            </w:tcBorders>
          </w:tcPr>
          <w:p w14:paraId="58176238"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692" w:type="pct"/>
            <w:tcBorders>
              <w:top w:val="outset" w:sz="6" w:space="0" w:color="000000"/>
              <w:left w:val="outset" w:sz="6" w:space="0" w:color="000000"/>
              <w:bottom w:val="outset" w:sz="6" w:space="0" w:color="000000"/>
              <w:right w:val="outset" w:sz="6" w:space="0" w:color="000000"/>
            </w:tcBorders>
          </w:tcPr>
          <w:p w14:paraId="141FE8D2" w14:textId="77777777" w:rsidR="008A6931" w:rsidRPr="00AE1744" w:rsidRDefault="008A6931" w:rsidP="008A6931">
            <w:pPr>
              <w:spacing w:after="0" w:line="240" w:lineRule="auto"/>
              <w:jc w:val="center"/>
              <w:rPr>
                <w:rFonts w:ascii="Times New Roman" w:eastAsia="Times New Roman" w:hAnsi="Times New Roman" w:cs="Times New Roman"/>
              </w:rPr>
            </w:pPr>
          </w:p>
        </w:tc>
      </w:tr>
      <w:tr w:rsidR="008A6931" w:rsidRPr="0046177E" w14:paraId="7BA157D6" w14:textId="77777777" w:rsidTr="00B01360">
        <w:tc>
          <w:tcPr>
            <w:tcW w:w="1460" w:type="pct"/>
            <w:tcBorders>
              <w:top w:val="outset" w:sz="6" w:space="0" w:color="000000"/>
              <w:left w:val="outset" w:sz="6" w:space="0" w:color="000000"/>
              <w:bottom w:val="outset" w:sz="6" w:space="0" w:color="000000"/>
              <w:right w:val="outset" w:sz="6" w:space="0" w:color="000000"/>
            </w:tcBorders>
          </w:tcPr>
          <w:p w14:paraId="7C90D080" w14:textId="77777777" w:rsidR="008A6931" w:rsidRPr="00813FA3" w:rsidRDefault="008A6931" w:rsidP="008A6931">
            <w:pPr>
              <w:spacing w:before="120" w:after="0" w:line="240" w:lineRule="auto"/>
              <w:rPr>
                <w:rFonts w:ascii="Times New Roman" w:eastAsia="Times New Roman" w:hAnsi="Times New Roman" w:cs="Times New Roman"/>
              </w:rPr>
            </w:pPr>
            <w:r w:rsidRPr="00813FA3">
              <w:rPr>
                <w:rFonts w:ascii="Times New Roman" w:eastAsia="Times New Roman" w:hAnsi="Times New Roman" w:cs="Times New Roman"/>
              </w:rPr>
              <w:t>2.2. valsts speciālais budžets</w:t>
            </w:r>
          </w:p>
        </w:tc>
        <w:tc>
          <w:tcPr>
            <w:tcW w:w="748" w:type="pct"/>
            <w:tcBorders>
              <w:top w:val="outset" w:sz="6" w:space="0" w:color="000000"/>
              <w:left w:val="outset" w:sz="6" w:space="0" w:color="000000"/>
              <w:bottom w:val="outset" w:sz="6" w:space="0" w:color="000000"/>
              <w:right w:val="outset" w:sz="6" w:space="0" w:color="000000"/>
            </w:tcBorders>
          </w:tcPr>
          <w:p w14:paraId="5A9BB988"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681" w:type="pct"/>
            <w:tcBorders>
              <w:top w:val="outset" w:sz="6" w:space="0" w:color="000000"/>
              <w:left w:val="outset" w:sz="6" w:space="0" w:color="000000"/>
              <w:bottom w:val="outset" w:sz="6" w:space="0" w:color="000000"/>
              <w:right w:val="outset" w:sz="6" w:space="0" w:color="000000"/>
            </w:tcBorders>
          </w:tcPr>
          <w:p w14:paraId="23297A23"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649" w:type="pct"/>
            <w:tcBorders>
              <w:top w:val="outset" w:sz="6" w:space="0" w:color="000000"/>
              <w:left w:val="outset" w:sz="6" w:space="0" w:color="000000"/>
              <w:bottom w:val="outset" w:sz="6" w:space="0" w:color="000000"/>
              <w:right w:val="outset" w:sz="6" w:space="0" w:color="000000"/>
            </w:tcBorders>
          </w:tcPr>
          <w:p w14:paraId="093F617E"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770" w:type="pct"/>
            <w:tcBorders>
              <w:top w:val="outset" w:sz="6" w:space="0" w:color="000000"/>
              <w:left w:val="outset" w:sz="6" w:space="0" w:color="000000"/>
              <w:bottom w:val="outset" w:sz="6" w:space="0" w:color="000000"/>
              <w:right w:val="outset" w:sz="6" w:space="0" w:color="000000"/>
            </w:tcBorders>
          </w:tcPr>
          <w:p w14:paraId="5F8BCAE8"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692" w:type="pct"/>
            <w:tcBorders>
              <w:top w:val="outset" w:sz="6" w:space="0" w:color="000000"/>
              <w:left w:val="outset" w:sz="6" w:space="0" w:color="000000"/>
              <w:bottom w:val="outset" w:sz="6" w:space="0" w:color="000000"/>
              <w:right w:val="outset" w:sz="6" w:space="0" w:color="000000"/>
            </w:tcBorders>
          </w:tcPr>
          <w:p w14:paraId="10F3FF99" w14:textId="77777777" w:rsidR="008A6931" w:rsidRPr="00AE1744" w:rsidRDefault="008A6931" w:rsidP="008A6931">
            <w:pPr>
              <w:spacing w:after="0" w:line="240" w:lineRule="auto"/>
              <w:jc w:val="center"/>
              <w:rPr>
                <w:rFonts w:ascii="Times New Roman" w:eastAsia="Times New Roman" w:hAnsi="Times New Roman" w:cs="Times New Roman"/>
              </w:rPr>
            </w:pPr>
          </w:p>
        </w:tc>
      </w:tr>
      <w:tr w:rsidR="008A6931" w:rsidRPr="0046177E" w14:paraId="0CCFE874" w14:textId="77777777" w:rsidTr="00B01360">
        <w:tc>
          <w:tcPr>
            <w:tcW w:w="1460" w:type="pct"/>
            <w:tcBorders>
              <w:top w:val="outset" w:sz="6" w:space="0" w:color="000000"/>
              <w:left w:val="outset" w:sz="6" w:space="0" w:color="000000"/>
              <w:bottom w:val="outset" w:sz="6" w:space="0" w:color="000000"/>
              <w:right w:val="outset" w:sz="6" w:space="0" w:color="000000"/>
            </w:tcBorders>
          </w:tcPr>
          <w:p w14:paraId="77B3A2FA" w14:textId="77777777" w:rsidR="008A6931" w:rsidRPr="00813FA3" w:rsidRDefault="008A6931" w:rsidP="008A6931">
            <w:pPr>
              <w:spacing w:before="120" w:after="0" w:line="240" w:lineRule="auto"/>
              <w:rPr>
                <w:rFonts w:ascii="Times New Roman" w:eastAsia="Times New Roman" w:hAnsi="Times New Roman" w:cs="Times New Roman"/>
              </w:rPr>
            </w:pPr>
            <w:r w:rsidRPr="00813FA3">
              <w:rPr>
                <w:rFonts w:ascii="Times New Roman" w:eastAsia="Times New Roman" w:hAnsi="Times New Roman" w:cs="Times New Roman"/>
              </w:rPr>
              <w:t>2.3. pašvaldību budžets</w:t>
            </w:r>
          </w:p>
        </w:tc>
        <w:tc>
          <w:tcPr>
            <w:tcW w:w="748" w:type="pct"/>
            <w:tcBorders>
              <w:top w:val="outset" w:sz="6" w:space="0" w:color="000000"/>
              <w:left w:val="outset" w:sz="6" w:space="0" w:color="000000"/>
              <w:bottom w:val="outset" w:sz="6" w:space="0" w:color="000000"/>
              <w:right w:val="outset" w:sz="6" w:space="0" w:color="000000"/>
            </w:tcBorders>
          </w:tcPr>
          <w:p w14:paraId="418042F0"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681" w:type="pct"/>
            <w:tcBorders>
              <w:top w:val="outset" w:sz="6" w:space="0" w:color="000000"/>
              <w:left w:val="outset" w:sz="6" w:space="0" w:color="000000"/>
              <w:bottom w:val="outset" w:sz="6" w:space="0" w:color="000000"/>
              <w:right w:val="outset" w:sz="6" w:space="0" w:color="000000"/>
            </w:tcBorders>
          </w:tcPr>
          <w:p w14:paraId="7094BD3D"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649" w:type="pct"/>
            <w:tcBorders>
              <w:top w:val="outset" w:sz="6" w:space="0" w:color="000000"/>
              <w:left w:val="outset" w:sz="6" w:space="0" w:color="000000"/>
              <w:bottom w:val="outset" w:sz="6" w:space="0" w:color="000000"/>
              <w:right w:val="outset" w:sz="6" w:space="0" w:color="000000"/>
            </w:tcBorders>
          </w:tcPr>
          <w:p w14:paraId="152CB504"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770" w:type="pct"/>
            <w:tcBorders>
              <w:top w:val="outset" w:sz="6" w:space="0" w:color="000000"/>
              <w:left w:val="outset" w:sz="6" w:space="0" w:color="000000"/>
              <w:bottom w:val="outset" w:sz="6" w:space="0" w:color="000000"/>
              <w:right w:val="outset" w:sz="6" w:space="0" w:color="000000"/>
            </w:tcBorders>
          </w:tcPr>
          <w:p w14:paraId="6F2904A3" w14:textId="77777777" w:rsidR="008A6931" w:rsidRPr="00AE1744" w:rsidRDefault="008A6931" w:rsidP="008A6931">
            <w:pPr>
              <w:spacing w:after="0" w:line="240" w:lineRule="auto"/>
              <w:jc w:val="center"/>
              <w:rPr>
                <w:rFonts w:ascii="Times New Roman" w:eastAsia="Times New Roman" w:hAnsi="Times New Roman" w:cs="Times New Roman"/>
              </w:rPr>
            </w:pPr>
          </w:p>
        </w:tc>
        <w:tc>
          <w:tcPr>
            <w:tcW w:w="692" w:type="pct"/>
            <w:tcBorders>
              <w:top w:val="outset" w:sz="6" w:space="0" w:color="000000"/>
              <w:left w:val="outset" w:sz="6" w:space="0" w:color="000000"/>
              <w:bottom w:val="outset" w:sz="6" w:space="0" w:color="000000"/>
              <w:right w:val="outset" w:sz="6" w:space="0" w:color="000000"/>
            </w:tcBorders>
          </w:tcPr>
          <w:p w14:paraId="13A3C52C" w14:textId="77777777" w:rsidR="008A6931" w:rsidRPr="00AE1744" w:rsidRDefault="008A6931" w:rsidP="008A6931">
            <w:pPr>
              <w:spacing w:after="0" w:line="240" w:lineRule="auto"/>
              <w:jc w:val="center"/>
              <w:rPr>
                <w:rFonts w:ascii="Times New Roman" w:eastAsia="Times New Roman" w:hAnsi="Times New Roman" w:cs="Times New Roman"/>
              </w:rPr>
            </w:pPr>
          </w:p>
        </w:tc>
      </w:tr>
      <w:tr w:rsidR="008A6931" w:rsidRPr="00065EF0" w14:paraId="16D1C0DC" w14:textId="77777777" w:rsidTr="00B01360">
        <w:trPr>
          <w:trHeight w:val="363"/>
        </w:trPr>
        <w:tc>
          <w:tcPr>
            <w:tcW w:w="1460" w:type="pct"/>
            <w:tcBorders>
              <w:top w:val="outset" w:sz="6" w:space="0" w:color="000000"/>
              <w:left w:val="outset" w:sz="6" w:space="0" w:color="000000"/>
              <w:bottom w:val="outset" w:sz="6" w:space="0" w:color="000000"/>
              <w:right w:val="outset" w:sz="6" w:space="0" w:color="000000"/>
            </w:tcBorders>
          </w:tcPr>
          <w:p w14:paraId="1F1557D9" w14:textId="77777777" w:rsidR="008A6931" w:rsidRPr="00813FA3" w:rsidRDefault="008A6931" w:rsidP="008A6931">
            <w:pPr>
              <w:spacing w:before="120" w:after="120" w:line="240" w:lineRule="auto"/>
              <w:rPr>
                <w:rFonts w:ascii="Times New Roman" w:eastAsia="Times New Roman" w:hAnsi="Times New Roman" w:cs="Times New Roman"/>
              </w:rPr>
            </w:pPr>
            <w:r w:rsidRPr="00813FA3">
              <w:rPr>
                <w:rFonts w:ascii="Times New Roman" w:eastAsia="Times New Roman" w:hAnsi="Times New Roman" w:cs="Times New Roman"/>
              </w:rPr>
              <w:t>3. Finansiālā ietekme:</w:t>
            </w:r>
          </w:p>
        </w:tc>
        <w:tc>
          <w:tcPr>
            <w:tcW w:w="748" w:type="pct"/>
            <w:tcBorders>
              <w:top w:val="outset" w:sz="6" w:space="0" w:color="000000"/>
              <w:left w:val="outset" w:sz="6" w:space="0" w:color="000000"/>
              <w:bottom w:val="outset" w:sz="6" w:space="0" w:color="000000"/>
              <w:right w:val="outset" w:sz="6" w:space="0" w:color="000000"/>
            </w:tcBorders>
          </w:tcPr>
          <w:p w14:paraId="10D7F208" w14:textId="77777777" w:rsidR="008A6931" w:rsidRPr="00AE1744" w:rsidRDefault="008A6931" w:rsidP="008A6931">
            <w:pPr>
              <w:spacing w:before="120" w:after="120" w:line="240" w:lineRule="auto"/>
              <w:jc w:val="center"/>
              <w:rPr>
                <w:rFonts w:ascii="Times New Roman" w:hAnsi="Times New Roman" w:cs="Times New Roman"/>
              </w:rPr>
            </w:pPr>
          </w:p>
        </w:tc>
        <w:tc>
          <w:tcPr>
            <w:tcW w:w="681" w:type="pct"/>
            <w:tcBorders>
              <w:top w:val="outset" w:sz="6" w:space="0" w:color="000000"/>
              <w:left w:val="outset" w:sz="6" w:space="0" w:color="000000"/>
              <w:bottom w:val="outset" w:sz="6" w:space="0" w:color="000000"/>
              <w:right w:val="outset" w:sz="6" w:space="0" w:color="000000"/>
            </w:tcBorders>
          </w:tcPr>
          <w:p w14:paraId="476CDA59" w14:textId="77777777" w:rsidR="008A6931" w:rsidRPr="00AE1744" w:rsidRDefault="008A6931" w:rsidP="008A6931">
            <w:pPr>
              <w:spacing w:before="120" w:after="120" w:line="240" w:lineRule="auto"/>
              <w:jc w:val="center"/>
              <w:rPr>
                <w:rFonts w:ascii="Times New Roman" w:eastAsia="Times New Roman" w:hAnsi="Times New Roman" w:cs="Times New Roman"/>
              </w:rPr>
            </w:pPr>
          </w:p>
        </w:tc>
        <w:tc>
          <w:tcPr>
            <w:tcW w:w="649" w:type="pct"/>
            <w:tcBorders>
              <w:top w:val="nil"/>
              <w:left w:val="nil"/>
              <w:bottom w:val="single" w:sz="4" w:space="0" w:color="000000"/>
              <w:right w:val="single" w:sz="4" w:space="0" w:color="000000"/>
            </w:tcBorders>
            <w:shd w:val="clear" w:color="auto" w:fill="auto"/>
          </w:tcPr>
          <w:p w14:paraId="36016013" w14:textId="0ECE0397" w:rsidR="008A6931" w:rsidRPr="00AE1744" w:rsidRDefault="00DD4356" w:rsidP="008A6931">
            <w:pPr>
              <w:spacing w:before="120" w:after="120"/>
              <w:rPr>
                <w:rFonts w:ascii="Times New Roman" w:eastAsia="Times New Roman" w:hAnsi="Times New Roman" w:cs="Times New Roman"/>
              </w:rPr>
            </w:pPr>
            <w:r w:rsidRPr="00AE1744">
              <w:rPr>
                <w:rFonts w:ascii="Times New Roman" w:eastAsia="Times New Roman" w:hAnsi="Times New Roman" w:cs="Times New Roman"/>
              </w:rPr>
              <w:t>+</w:t>
            </w:r>
            <w:r w:rsidR="008A6931" w:rsidRPr="00AE1744">
              <w:rPr>
                <w:rFonts w:ascii="Times New Roman" w:eastAsia="Times New Roman" w:hAnsi="Times New Roman" w:cs="Times New Roman"/>
              </w:rPr>
              <w:t>12 441 000</w:t>
            </w:r>
          </w:p>
        </w:tc>
        <w:tc>
          <w:tcPr>
            <w:tcW w:w="770" w:type="pct"/>
            <w:tcBorders>
              <w:top w:val="nil"/>
              <w:left w:val="nil"/>
              <w:bottom w:val="single" w:sz="4" w:space="0" w:color="000000"/>
              <w:right w:val="single" w:sz="4" w:space="0" w:color="000000"/>
            </w:tcBorders>
            <w:shd w:val="clear" w:color="auto" w:fill="auto"/>
          </w:tcPr>
          <w:p w14:paraId="6DCF8746" w14:textId="29D753A1" w:rsidR="008A6931" w:rsidRPr="00AE1744" w:rsidRDefault="00DD4356" w:rsidP="008A6931">
            <w:pPr>
              <w:spacing w:before="120" w:after="120"/>
              <w:rPr>
                <w:rFonts w:ascii="Times New Roman" w:eastAsia="Times New Roman" w:hAnsi="Times New Roman" w:cs="Times New Roman"/>
              </w:rPr>
            </w:pPr>
            <w:r w:rsidRPr="00AE1744">
              <w:rPr>
                <w:rFonts w:ascii="Times New Roman" w:eastAsia="Times New Roman" w:hAnsi="Times New Roman" w:cs="Times New Roman"/>
              </w:rPr>
              <w:t>+</w:t>
            </w:r>
            <w:r w:rsidR="008A6931" w:rsidRPr="00AE1744">
              <w:rPr>
                <w:rFonts w:ascii="Times New Roman" w:eastAsia="Times New Roman" w:hAnsi="Times New Roman" w:cs="Times New Roman"/>
              </w:rPr>
              <w:t>25 518 000</w:t>
            </w:r>
          </w:p>
        </w:tc>
        <w:tc>
          <w:tcPr>
            <w:tcW w:w="692" w:type="pct"/>
            <w:tcBorders>
              <w:top w:val="nil"/>
              <w:left w:val="nil"/>
              <w:bottom w:val="single" w:sz="4" w:space="0" w:color="000000"/>
              <w:right w:val="single" w:sz="4" w:space="0" w:color="000000"/>
            </w:tcBorders>
            <w:shd w:val="clear" w:color="auto" w:fill="auto"/>
          </w:tcPr>
          <w:p w14:paraId="4D85887B" w14:textId="343202BB" w:rsidR="008A6931" w:rsidRPr="00AE1744" w:rsidRDefault="00DD4356" w:rsidP="008A6931">
            <w:pPr>
              <w:spacing w:before="120" w:after="120"/>
              <w:rPr>
                <w:rFonts w:ascii="Times New Roman" w:eastAsia="Times New Roman" w:hAnsi="Times New Roman" w:cs="Times New Roman"/>
              </w:rPr>
            </w:pPr>
            <w:r w:rsidRPr="00AE1744">
              <w:rPr>
                <w:rFonts w:ascii="Times New Roman" w:eastAsia="Times New Roman" w:hAnsi="Times New Roman" w:cs="Times New Roman"/>
              </w:rPr>
              <w:t>+</w:t>
            </w:r>
            <w:r w:rsidR="008A6931" w:rsidRPr="00AE1744">
              <w:rPr>
                <w:rFonts w:ascii="Times New Roman" w:eastAsia="Times New Roman" w:hAnsi="Times New Roman" w:cs="Times New Roman"/>
              </w:rPr>
              <w:t>25 518 000</w:t>
            </w:r>
          </w:p>
        </w:tc>
      </w:tr>
      <w:tr w:rsidR="008A6931" w:rsidRPr="00065EF0" w14:paraId="12F643A3" w14:textId="77777777" w:rsidTr="00B01360">
        <w:tc>
          <w:tcPr>
            <w:tcW w:w="1460" w:type="pct"/>
            <w:tcBorders>
              <w:top w:val="outset" w:sz="6" w:space="0" w:color="000000"/>
              <w:left w:val="outset" w:sz="6" w:space="0" w:color="000000"/>
              <w:bottom w:val="single" w:sz="4" w:space="0" w:color="auto"/>
              <w:right w:val="outset" w:sz="6" w:space="0" w:color="000000"/>
            </w:tcBorders>
          </w:tcPr>
          <w:p w14:paraId="07E07A2A" w14:textId="77777777" w:rsidR="008A6931" w:rsidRPr="00813FA3" w:rsidRDefault="008A6931" w:rsidP="008A6931">
            <w:pPr>
              <w:spacing w:before="120" w:after="120" w:line="240" w:lineRule="auto"/>
              <w:rPr>
                <w:rFonts w:ascii="Times New Roman" w:eastAsia="Times New Roman" w:hAnsi="Times New Roman" w:cs="Times New Roman"/>
              </w:rPr>
            </w:pPr>
            <w:r w:rsidRPr="00813FA3">
              <w:rPr>
                <w:rFonts w:ascii="Times New Roman" w:eastAsia="Times New Roman" w:hAnsi="Times New Roman" w:cs="Times New Roman"/>
              </w:rPr>
              <w:t>3.1. valsts pamatbudžets</w:t>
            </w:r>
          </w:p>
        </w:tc>
        <w:tc>
          <w:tcPr>
            <w:tcW w:w="748" w:type="pct"/>
            <w:tcBorders>
              <w:top w:val="outset" w:sz="6" w:space="0" w:color="000000"/>
              <w:left w:val="outset" w:sz="6" w:space="0" w:color="000000"/>
              <w:bottom w:val="single" w:sz="4" w:space="0" w:color="auto"/>
              <w:right w:val="outset" w:sz="6" w:space="0" w:color="000000"/>
            </w:tcBorders>
          </w:tcPr>
          <w:p w14:paraId="49BB4040" w14:textId="77777777" w:rsidR="008A6931" w:rsidRPr="00AE1744" w:rsidRDefault="008A6931" w:rsidP="008A6931">
            <w:pPr>
              <w:spacing w:before="120" w:after="120" w:line="240" w:lineRule="auto"/>
              <w:jc w:val="center"/>
              <w:rPr>
                <w:rFonts w:ascii="Times New Roman" w:eastAsia="Times New Roman" w:hAnsi="Times New Roman" w:cs="Times New Roman"/>
              </w:rPr>
            </w:pPr>
          </w:p>
        </w:tc>
        <w:tc>
          <w:tcPr>
            <w:tcW w:w="681" w:type="pct"/>
            <w:tcBorders>
              <w:top w:val="outset" w:sz="6" w:space="0" w:color="000000"/>
              <w:left w:val="outset" w:sz="6" w:space="0" w:color="000000"/>
              <w:bottom w:val="single" w:sz="4" w:space="0" w:color="auto"/>
              <w:right w:val="outset" w:sz="6" w:space="0" w:color="000000"/>
            </w:tcBorders>
          </w:tcPr>
          <w:p w14:paraId="2F9CAA6C" w14:textId="77777777" w:rsidR="008A6931" w:rsidRPr="00AE1744" w:rsidRDefault="008A6931" w:rsidP="008A6931">
            <w:pPr>
              <w:spacing w:before="120" w:after="120" w:line="240" w:lineRule="auto"/>
              <w:jc w:val="center"/>
              <w:rPr>
                <w:rFonts w:ascii="Times New Roman" w:eastAsia="Times New Roman" w:hAnsi="Times New Roman" w:cs="Times New Roman"/>
              </w:rPr>
            </w:pPr>
          </w:p>
        </w:tc>
        <w:tc>
          <w:tcPr>
            <w:tcW w:w="649" w:type="pct"/>
            <w:tcBorders>
              <w:top w:val="nil"/>
              <w:left w:val="nil"/>
              <w:bottom w:val="single" w:sz="4" w:space="0" w:color="000000"/>
              <w:right w:val="single" w:sz="4" w:space="0" w:color="000000"/>
            </w:tcBorders>
            <w:shd w:val="clear" w:color="auto" w:fill="auto"/>
          </w:tcPr>
          <w:p w14:paraId="2842BC8A" w14:textId="106C67D0" w:rsidR="008A6931" w:rsidRPr="00AE1744" w:rsidRDefault="00DD4356" w:rsidP="008A6931">
            <w:pPr>
              <w:spacing w:before="120" w:after="120"/>
              <w:rPr>
                <w:rFonts w:ascii="Times New Roman" w:eastAsia="Times New Roman" w:hAnsi="Times New Roman" w:cs="Times New Roman"/>
              </w:rPr>
            </w:pPr>
            <w:r w:rsidRPr="00AE1744">
              <w:rPr>
                <w:rFonts w:ascii="Times New Roman" w:eastAsia="Times New Roman" w:hAnsi="Times New Roman" w:cs="Times New Roman"/>
              </w:rPr>
              <w:t>+</w:t>
            </w:r>
            <w:r w:rsidR="008A6931" w:rsidRPr="00AE1744">
              <w:rPr>
                <w:rFonts w:ascii="Times New Roman" w:eastAsia="Times New Roman" w:hAnsi="Times New Roman" w:cs="Times New Roman"/>
              </w:rPr>
              <w:t>12 441 000</w:t>
            </w:r>
          </w:p>
        </w:tc>
        <w:tc>
          <w:tcPr>
            <w:tcW w:w="770" w:type="pct"/>
            <w:tcBorders>
              <w:top w:val="nil"/>
              <w:left w:val="nil"/>
              <w:bottom w:val="single" w:sz="4" w:space="0" w:color="000000"/>
              <w:right w:val="single" w:sz="4" w:space="0" w:color="000000"/>
            </w:tcBorders>
            <w:shd w:val="clear" w:color="auto" w:fill="auto"/>
          </w:tcPr>
          <w:p w14:paraId="2347C2AA" w14:textId="44B022C0" w:rsidR="008A6931" w:rsidRPr="00AE1744" w:rsidRDefault="00DD4356" w:rsidP="008A6931">
            <w:pPr>
              <w:spacing w:before="120" w:after="120"/>
              <w:rPr>
                <w:rFonts w:ascii="Times New Roman" w:eastAsia="Times New Roman" w:hAnsi="Times New Roman" w:cs="Times New Roman"/>
              </w:rPr>
            </w:pPr>
            <w:r w:rsidRPr="00AE1744">
              <w:rPr>
                <w:rFonts w:ascii="Times New Roman" w:eastAsia="Times New Roman" w:hAnsi="Times New Roman" w:cs="Times New Roman"/>
              </w:rPr>
              <w:t>+</w:t>
            </w:r>
            <w:r w:rsidR="008A6931" w:rsidRPr="00AE1744">
              <w:rPr>
                <w:rFonts w:ascii="Times New Roman" w:eastAsia="Times New Roman" w:hAnsi="Times New Roman" w:cs="Times New Roman"/>
              </w:rPr>
              <w:t>25 518 000</w:t>
            </w:r>
          </w:p>
        </w:tc>
        <w:tc>
          <w:tcPr>
            <w:tcW w:w="692" w:type="pct"/>
            <w:tcBorders>
              <w:top w:val="nil"/>
              <w:left w:val="nil"/>
              <w:bottom w:val="single" w:sz="4" w:space="0" w:color="000000"/>
              <w:right w:val="single" w:sz="4" w:space="0" w:color="000000"/>
            </w:tcBorders>
            <w:shd w:val="clear" w:color="auto" w:fill="auto"/>
          </w:tcPr>
          <w:p w14:paraId="1303C702" w14:textId="7D9F97BF" w:rsidR="008A6931" w:rsidRPr="00AE1744" w:rsidRDefault="00DD4356" w:rsidP="008A6931">
            <w:pPr>
              <w:spacing w:before="120" w:after="120"/>
              <w:rPr>
                <w:rFonts w:ascii="Times New Roman" w:eastAsia="Times New Roman" w:hAnsi="Times New Roman" w:cs="Times New Roman"/>
              </w:rPr>
            </w:pPr>
            <w:r w:rsidRPr="00AE1744">
              <w:rPr>
                <w:rFonts w:ascii="Times New Roman" w:eastAsia="Times New Roman" w:hAnsi="Times New Roman" w:cs="Times New Roman"/>
              </w:rPr>
              <w:t>+</w:t>
            </w:r>
            <w:r w:rsidR="008A6931" w:rsidRPr="00AE1744">
              <w:rPr>
                <w:rFonts w:ascii="Times New Roman" w:eastAsia="Times New Roman" w:hAnsi="Times New Roman" w:cs="Times New Roman"/>
              </w:rPr>
              <w:t>25 518 000</w:t>
            </w:r>
          </w:p>
        </w:tc>
      </w:tr>
      <w:tr w:rsidR="00813FA3" w:rsidRPr="0046177E" w14:paraId="3A2D0B4F" w14:textId="77777777" w:rsidTr="00B01360">
        <w:tc>
          <w:tcPr>
            <w:tcW w:w="1460" w:type="pct"/>
            <w:tcBorders>
              <w:top w:val="single" w:sz="4" w:space="0" w:color="auto"/>
              <w:left w:val="outset" w:sz="6" w:space="0" w:color="000000"/>
              <w:bottom w:val="outset" w:sz="6" w:space="0" w:color="000000"/>
              <w:right w:val="outset" w:sz="6" w:space="0" w:color="000000"/>
            </w:tcBorders>
          </w:tcPr>
          <w:p w14:paraId="0C8D88A1" w14:textId="77777777" w:rsidR="00813FA3" w:rsidRPr="00813FA3" w:rsidRDefault="00813FA3" w:rsidP="00B01360">
            <w:pPr>
              <w:spacing w:before="120" w:after="0" w:line="240" w:lineRule="auto"/>
              <w:rPr>
                <w:rFonts w:ascii="Times New Roman" w:eastAsia="Times New Roman" w:hAnsi="Times New Roman" w:cs="Times New Roman"/>
              </w:rPr>
            </w:pPr>
            <w:r w:rsidRPr="00813FA3">
              <w:rPr>
                <w:rFonts w:ascii="Times New Roman" w:eastAsia="Times New Roman" w:hAnsi="Times New Roman" w:cs="Times New Roman"/>
              </w:rPr>
              <w:t>3.2. speciālais budžets</w:t>
            </w:r>
          </w:p>
        </w:tc>
        <w:tc>
          <w:tcPr>
            <w:tcW w:w="748" w:type="pct"/>
            <w:tcBorders>
              <w:top w:val="single" w:sz="4" w:space="0" w:color="auto"/>
              <w:left w:val="outset" w:sz="6" w:space="0" w:color="000000"/>
              <w:bottom w:val="outset" w:sz="6" w:space="0" w:color="000000"/>
              <w:right w:val="outset" w:sz="6" w:space="0" w:color="000000"/>
            </w:tcBorders>
          </w:tcPr>
          <w:p w14:paraId="2CBF35BF"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681" w:type="pct"/>
            <w:tcBorders>
              <w:top w:val="single" w:sz="4" w:space="0" w:color="auto"/>
              <w:left w:val="outset" w:sz="6" w:space="0" w:color="000000"/>
              <w:bottom w:val="outset" w:sz="6" w:space="0" w:color="000000"/>
              <w:right w:val="outset" w:sz="6" w:space="0" w:color="000000"/>
            </w:tcBorders>
          </w:tcPr>
          <w:p w14:paraId="3E7DAF23"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649" w:type="pct"/>
            <w:tcBorders>
              <w:top w:val="single" w:sz="4" w:space="0" w:color="auto"/>
              <w:left w:val="outset" w:sz="6" w:space="0" w:color="000000"/>
              <w:bottom w:val="outset" w:sz="6" w:space="0" w:color="000000"/>
              <w:right w:val="outset" w:sz="6" w:space="0" w:color="000000"/>
            </w:tcBorders>
          </w:tcPr>
          <w:p w14:paraId="76B4A7E1"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770" w:type="pct"/>
            <w:tcBorders>
              <w:top w:val="single" w:sz="4" w:space="0" w:color="auto"/>
              <w:left w:val="outset" w:sz="6" w:space="0" w:color="000000"/>
              <w:bottom w:val="outset" w:sz="6" w:space="0" w:color="000000"/>
              <w:right w:val="outset" w:sz="6" w:space="0" w:color="000000"/>
            </w:tcBorders>
          </w:tcPr>
          <w:p w14:paraId="0B995E99"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692" w:type="pct"/>
            <w:tcBorders>
              <w:top w:val="single" w:sz="4" w:space="0" w:color="auto"/>
              <w:left w:val="outset" w:sz="6" w:space="0" w:color="000000"/>
              <w:bottom w:val="outset" w:sz="6" w:space="0" w:color="000000"/>
              <w:right w:val="outset" w:sz="6" w:space="0" w:color="000000"/>
            </w:tcBorders>
          </w:tcPr>
          <w:p w14:paraId="15CED0CD" w14:textId="77777777" w:rsidR="00813FA3" w:rsidRPr="00AE1744" w:rsidRDefault="00813FA3" w:rsidP="00B01360">
            <w:pPr>
              <w:spacing w:after="0" w:line="240" w:lineRule="auto"/>
              <w:jc w:val="center"/>
              <w:rPr>
                <w:rFonts w:ascii="Times New Roman" w:eastAsia="Times New Roman" w:hAnsi="Times New Roman" w:cs="Times New Roman"/>
              </w:rPr>
            </w:pPr>
          </w:p>
        </w:tc>
      </w:tr>
      <w:tr w:rsidR="00813FA3" w:rsidRPr="0046177E" w14:paraId="0EAFFD51" w14:textId="77777777" w:rsidTr="00B01360">
        <w:tc>
          <w:tcPr>
            <w:tcW w:w="1460" w:type="pct"/>
            <w:tcBorders>
              <w:top w:val="outset" w:sz="6" w:space="0" w:color="000000"/>
              <w:left w:val="outset" w:sz="6" w:space="0" w:color="000000"/>
              <w:bottom w:val="outset" w:sz="6" w:space="0" w:color="000000"/>
              <w:right w:val="outset" w:sz="6" w:space="0" w:color="000000"/>
            </w:tcBorders>
          </w:tcPr>
          <w:p w14:paraId="6D17B06F" w14:textId="77777777" w:rsidR="00813FA3" w:rsidRPr="00813FA3" w:rsidRDefault="00813FA3" w:rsidP="00B01360">
            <w:pPr>
              <w:spacing w:before="120" w:after="0" w:line="240" w:lineRule="auto"/>
              <w:rPr>
                <w:rFonts w:ascii="Times New Roman" w:eastAsia="Times New Roman" w:hAnsi="Times New Roman" w:cs="Times New Roman"/>
              </w:rPr>
            </w:pPr>
            <w:r w:rsidRPr="00813FA3">
              <w:rPr>
                <w:rFonts w:ascii="Times New Roman" w:eastAsia="Times New Roman" w:hAnsi="Times New Roman" w:cs="Times New Roman"/>
              </w:rPr>
              <w:t>3.3. pašvaldību budžets</w:t>
            </w:r>
          </w:p>
        </w:tc>
        <w:tc>
          <w:tcPr>
            <w:tcW w:w="748" w:type="pct"/>
            <w:tcBorders>
              <w:top w:val="outset" w:sz="6" w:space="0" w:color="000000"/>
              <w:left w:val="outset" w:sz="6" w:space="0" w:color="000000"/>
              <w:bottom w:val="outset" w:sz="6" w:space="0" w:color="000000"/>
              <w:right w:val="outset" w:sz="6" w:space="0" w:color="000000"/>
            </w:tcBorders>
          </w:tcPr>
          <w:p w14:paraId="40D89141"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681" w:type="pct"/>
            <w:tcBorders>
              <w:top w:val="outset" w:sz="6" w:space="0" w:color="000000"/>
              <w:left w:val="outset" w:sz="6" w:space="0" w:color="000000"/>
              <w:bottom w:val="outset" w:sz="6" w:space="0" w:color="000000"/>
              <w:right w:val="outset" w:sz="6" w:space="0" w:color="000000"/>
            </w:tcBorders>
          </w:tcPr>
          <w:p w14:paraId="4F493910"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649" w:type="pct"/>
            <w:tcBorders>
              <w:top w:val="outset" w:sz="6" w:space="0" w:color="000000"/>
              <w:left w:val="outset" w:sz="6" w:space="0" w:color="000000"/>
              <w:bottom w:val="outset" w:sz="6" w:space="0" w:color="000000"/>
              <w:right w:val="outset" w:sz="6" w:space="0" w:color="000000"/>
            </w:tcBorders>
          </w:tcPr>
          <w:p w14:paraId="471EFB78"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770" w:type="pct"/>
            <w:tcBorders>
              <w:top w:val="outset" w:sz="6" w:space="0" w:color="000000"/>
              <w:left w:val="outset" w:sz="6" w:space="0" w:color="000000"/>
              <w:bottom w:val="outset" w:sz="6" w:space="0" w:color="000000"/>
              <w:right w:val="outset" w:sz="6" w:space="0" w:color="000000"/>
            </w:tcBorders>
          </w:tcPr>
          <w:p w14:paraId="0AA21093"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692" w:type="pct"/>
            <w:tcBorders>
              <w:top w:val="outset" w:sz="6" w:space="0" w:color="000000"/>
              <w:left w:val="outset" w:sz="6" w:space="0" w:color="000000"/>
              <w:bottom w:val="outset" w:sz="6" w:space="0" w:color="000000"/>
              <w:right w:val="outset" w:sz="6" w:space="0" w:color="000000"/>
            </w:tcBorders>
          </w:tcPr>
          <w:p w14:paraId="0662930D" w14:textId="77777777" w:rsidR="00813FA3" w:rsidRPr="00AE1744" w:rsidRDefault="00813FA3" w:rsidP="00B01360">
            <w:pPr>
              <w:spacing w:after="0" w:line="240" w:lineRule="auto"/>
              <w:jc w:val="center"/>
              <w:rPr>
                <w:rFonts w:ascii="Times New Roman" w:eastAsia="Times New Roman" w:hAnsi="Times New Roman" w:cs="Times New Roman"/>
              </w:rPr>
            </w:pPr>
          </w:p>
        </w:tc>
      </w:tr>
      <w:tr w:rsidR="00813FA3" w:rsidRPr="0046177E" w14:paraId="7DFE8BA1" w14:textId="77777777" w:rsidTr="00B01360">
        <w:tc>
          <w:tcPr>
            <w:tcW w:w="1460" w:type="pct"/>
            <w:tcBorders>
              <w:top w:val="outset" w:sz="6" w:space="0" w:color="000000"/>
              <w:left w:val="outset" w:sz="6" w:space="0" w:color="000000"/>
              <w:bottom w:val="outset" w:sz="6" w:space="0" w:color="000000"/>
              <w:right w:val="outset" w:sz="6" w:space="0" w:color="000000"/>
            </w:tcBorders>
          </w:tcPr>
          <w:p w14:paraId="1095CA9F" w14:textId="77777777" w:rsidR="00813FA3" w:rsidRPr="00813FA3" w:rsidRDefault="00813FA3" w:rsidP="00B01360">
            <w:pPr>
              <w:spacing w:after="0" w:line="240" w:lineRule="auto"/>
              <w:rPr>
                <w:rFonts w:ascii="Times New Roman" w:eastAsia="Times New Roman" w:hAnsi="Times New Roman" w:cs="Times New Roman"/>
              </w:rPr>
            </w:pPr>
            <w:r w:rsidRPr="00813FA3">
              <w:rPr>
                <w:rFonts w:ascii="Times New Roman" w:eastAsia="Times New Roman" w:hAnsi="Times New Roman" w:cs="Times New Roman"/>
              </w:rPr>
              <w:t>4. Finanšu līdzekļi papildu izdevumu finansēšanai (kompensējošu izdevumu samazinājumu norāda ar “+” zīmi)</w:t>
            </w:r>
          </w:p>
        </w:tc>
        <w:tc>
          <w:tcPr>
            <w:tcW w:w="748" w:type="pct"/>
            <w:tcBorders>
              <w:top w:val="outset" w:sz="6" w:space="0" w:color="000000"/>
              <w:left w:val="outset" w:sz="6" w:space="0" w:color="000000"/>
              <w:bottom w:val="outset" w:sz="6" w:space="0" w:color="000000"/>
              <w:right w:val="outset" w:sz="6" w:space="0" w:color="000000"/>
            </w:tcBorders>
          </w:tcPr>
          <w:p w14:paraId="5D8AE018" w14:textId="77777777" w:rsidR="00813FA3" w:rsidRPr="00AE1744" w:rsidRDefault="00813FA3" w:rsidP="00B01360">
            <w:pPr>
              <w:spacing w:after="0" w:line="240" w:lineRule="auto"/>
              <w:jc w:val="center"/>
              <w:rPr>
                <w:rFonts w:ascii="Times New Roman" w:hAnsi="Times New Roman" w:cs="Times New Roman"/>
              </w:rPr>
            </w:pPr>
          </w:p>
        </w:tc>
        <w:tc>
          <w:tcPr>
            <w:tcW w:w="681" w:type="pct"/>
            <w:tcBorders>
              <w:top w:val="outset" w:sz="6" w:space="0" w:color="000000"/>
              <w:left w:val="outset" w:sz="6" w:space="0" w:color="000000"/>
              <w:bottom w:val="outset" w:sz="6" w:space="0" w:color="000000"/>
              <w:right w:val="outset" w:sz="6" w:space="0" w:color="000000"/>
            </w:tcBorders>
          </w:tcPr>
          <w:p w14:paraId="33C3EA9C" w14:textId="77777777" w:rsidR="00813FA3" w:rsidRPr="00AE1744" w:rsidRDefault="00813FA3" w:rsidP="00B01360">
            <w:pPr>
              <w:spacing w:after="0" w:line="240" w:lineRule="auto"/>
              <w:jc w:val="center"/>
              <w:rPr>
                <w:rFonts w:ascii="Times New Roman" w:hAnsi="Times New Roman" w:cs="Times New Roman"/>
              </w:rPr>
            </w:pPr>
          </w:p>
        </w:tc>
        <w:tc>
          <w:tcPr>
            <w:tcW w:w="649" w:type="pct"/>
            <w:tcBorders>
              <w:top w:val="outset" w:sz="6" w:space="0" w:color="000000"/>
              <w:left w:val="outset" w:sz="6" w:space="0" w:color="000000"/>
              <w:bottom w:val="outset" w:sz="6" w:space="0" w:color="000000"/>
              <w:right w:val="outset" w:sz="6" w:space="0" w:color="000000"/>
            </w:tcBorders>
          </w:tcPr>
          <w:p w14:paraId="7E0C401B" w14:textId="77777777" w:rsidR="00813FA3" w:rsidRPr="00AE1744" w:rsidRDefault="00813FA3" w:rsidP="00B01360">
            <w:pPr>
              <w:spacing w:after="0" w:line="240" w:lineRule="auto"/>
              <w:jc w:val="center"/>
              <w:rPr>
                <w:rFonts w:ascii="Times New Roman" w:hAnsi="Times New Roman" w:cs="Times New Roman"/>
              </w:rPr>
            </w:pPr>
          </w:p>
        </w:tc>
        <w:tc>
          <w:tcPr>
            <w:tcW w:w="770" w:type="pct"/>
            <w:tcBorders>
              <w:top w:val="outset" w:sz="6" w:space="0" w:color="000000"/>
              <w:left w:val="outset" w:sz="6" w:space="0" w:color="000000"/>
              <w:bottom w:val="outset" w:sz="6" w:space="0" w:color="000000"/>
              <w:right w:val="outset" w:sz="6" w:space="0" w:color="000000"/>
            </w:tcBorders>
          </w:tcPr>
          <w:p w14:paraId="3704390E" w14:textId="77777777" w:rsidR="00813FA3" w:rsidRPr="00AE1744" w:rsidRDefault="00813FA3" w:rsidP="00B01360">
            <w:pPr>
              <w:spacing w:after="0" w:line="240" w:lineRule="auto"/>
              <w:jc w:val="center"/>
              <w:rPr>
                <w:rFonts w:ascii="Times New Roman" w:hAnsi="Times New Roman" w:cs="Times New Roman"/>
              </w:rPr>
            </w:pPr>
          </w:p>
        </w:tc>
        <w:tc>
          <w:tcPr>
            <w:tcW w:w="692" w:type="pct"/>
            <w:tcBorders>
              <w:top w:val="outset" w:sz="6" w:space="0" w:color="000000"/>
              <w:left w:val="outset" w:sz="6" w:space="0" w:color="000000"/>
              <w:bottom w:val="outset" w:sz="6" w:space="0" w:color="000000"/>
              <w:right w:val="outset" w:sz="6" w:space="0" w:color="000000"/>
            </w:tcBorders>
          </w:tcPr>
          <w:p w14:paraId="380DA1A2" w14:textId="77777777" w:rsidR="00813FA3" w:rsidRPr="00AE1744" w:rsidRDefault="00813FA3" w:rsidP="00B01360">
            <w:pPr>
              <w:spacing w:after="0" w:line="240" w:lineRule="auto"/>
              <w:jc w:val="center"/>
              <w:rPr>
                <w:rFonts w:ascii="Times New Roman" w:hAnsi="Times New Roman" w:cs="Times New Roman"/>
              </w:rPr>
            </w:pPr>
          </w:p>
        </w:tc>
      </w:tr>
      <w:tr w:rsidR="00813FA3" w:rsidRPr="0046177E" w14:paraId="12A13471" w14:textId="77777777" w:rsidTr="00B01360">
        <w:tc>
          <w:tcPr>
            <w:tcW w:w="1460" w:type="pct"/>
            <w:tcBorders>
              <w:top w:val="outset" w:sz="6" w:space="0" w:color="000000"/>
              <w:left w:val="outset" w:sz="6" w:space="0" w:color="000000"/>
              <w:bottom w:val="outset" w:sz="6" w:space="0" w:color="000000"/>
              <w:right w:val="outset" w:sz="6" w:space="0" w:color="000000"/>
            </w:tcBorders>
          </w:tcPr>
          <w:p w14:paraId="293FA024" w14:textId="77777777" w:rsidR="00813FA3" w:rsidRPr="00813FA3" w:rsidRDefault="00813FA3" w:rsidP="00B01360">
            <w:pPr>
              <w:spacing w:after="0" w:line="240" w:lineRule="auto"/>
              <w:rPr>
                <w:rFonts w:ascii="Times New Roman" w:eastAsia="Times New Roman" w:hAnsi="Times New Roman" w:cs="Times New Roman"/>
              </w:rPr>
            </w:pPr>
            <w:r w:rsidRPr="00813FA3">
              <w:rPr>
                <w:rFonts w:ascii="Times New Roman" w:eastAsia="Times New Roman" w:hAnsi="Times New Roman" w:cs="Times New Roman"/>
              </w:rPr>
              <w:t>5. Precizēta finansiālā ietekme:</w:t>
            </w:r>
          </w:p>
        </w:tc>
        <w:tc>
          <w:tcPr>
            <w:tcW w:w="748" w:type="pct"/>
            <w:vMerge w:val="restart"/>
            <w:tcBorders>
              <w:top w:val="outset" w:sz="6" w:space="0" w:color="000000"/>
              <w:left w:val="outset" w:sz="6" w:space="0" w:color="000000"/>
              <w:right w:val="outset" w:sz="6" w:space="0" w:color="000000"/>
            </w:tcBorders>
          </w:tcPr>
          <w:p w14:paraId="08EF5A46"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681" w:type="pct"/>
            <w:tcBorders>
              <w:top w:val="outset" w:sz="6" w:space="0" w:color="000000"/>
              <w:left w:val="outset" w:sz="6" w:space="0" w:color="000000"/>
              <w:bottom w:val="outset" w:sz="6" w:space="0" w:color="000000"/>
              <w:right w:val="outset" w:sz="6" w:space="0" w:color="000000"/>
            </w:tcBorders>
          </w:tcPr>
          <w:p w14:paraId="6166F70F"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649" w:type="pct"/>
            <w:tcBorders>
              <w:top w:val="outset" w:sz="6" w:space="0" w:color="000000"/>
              <w:left w:val="outset" w:sz="6" w:space="0" w:color="000000"/>
              <w:bottom w:val="outset" w:sz="6" w:space="0" w:color="000000"/>
              <w:right w:val="outset" w:sz="6" w:space="0" w:color="000000"/>
            </w:tcBorders>
          </w:tcPr>
          <w:p w14:paraId="4620ED2A"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770" w:type="pct"/>
            <w:tcBorders>
              <w:top w:val="outset" w:sz="6" w:space="0" w:color="000000"/>
              <w:left w:val="outset" w:sz="6" w:space="0" w:color="000000"/>
              <w:bottom w:val="outset" w:sz="6" w:space="0" w:color="000000"/>
              <w:right w:val="outset" w:sz="6" w:space="0" w:color="000000"/>
            </w:tcBorders>
          </w:tcPr>
          <w:p w14:paraId="7837419E"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692" w:type="pct"/>
            <w:tcBorders>
              <w:top w:val="outset" w:sz="6" w:space="0" w:color="000000"/>
              <w:left w:val="outset" w:sz="6" w:space="0" w:color="000000"/>
              <w:bottom w:val="outset" w:sz="6" w:space="0" w:color="000000"/>
              <w:right w:val="outset" w:sz="6" w:space="0" w:color="000000"/>
            </w:tcBorders>
          </w:tcPr>
          <w:p w14:paraId="7ADD30AC" w14:textId="77777777" w:rsidR="00813FA3" w:rsidRPr="00AE1744" w:rsidRDefault="00813FA3" w:rsidP="00B01360">
            <w:pPr>
              <w:spacing w:after="0" w:line="240" w:lineRule="auto"/>
              <w:jc w:val="center"/>
              <w:rPr>
                <w:rFonts w:ascii="Times New Roman" w:eastAsia="Times New Roman" w:hAnsi="Times New Roman" w:cs="Times New Roman"/>
              </w:rPr>
            </w:pPr>
          </w:p>
        </w:tc>
      </w:tr>
      <w:tr w:rsidR="00813FA3" w:rsidRPr="0046177E" w14:paraId="5848764E" w14:textId="77777777" w:rsidTr="00B01360">
        <w:tc>
          <w:tcPr>
            <w:tcW w:w="1460" w:type="pct"/>
            <w:tcBorders>
              <w:top w:val="outset" w:sz="6" w:space="0" w:color="000000"/>
              <w:left w:val="outset" w:sz="6" w:space="0" w:color="000000"/>
              <w:bottom w:val="outset" w:sz="6" w:space="0" w:color="000000"/>
              <w:right w:val="outset" w:sz="6" w:space="0" w:color="000000"/>
            </w:tcBorders>
          </w:tcPr>
          <w:p w14:paraId="4D659390" w14:textId="77777777" w:rsidR="00813FA3" w:rsidRPr="00813FA3" w:rsidRDefault="00813FA3" w:rsidP="00B01360">
            <w:pPr>
              <w:spacing w:after="0" w:line="240" w:lineRule="auto"/>
              <w:rPr>
                <w:rFonts w:ascii="Times New Roman" w:eastAsia="Times New Roman" w:hAnsi="Times New Roman" w:cs="Times New Roman"/>
              </w:rPr>
            </w:pPr>
            <w:r w:rsidRPr="00813FA3">
              <w:rPr>
                <w:rFonts w:ascii="Times New Roman" w:eastAsia="Times New Roman" w:hAnsi="Times New Roman" w:cs="Times New Roman"/>
              </w:rPr>
              <w:t>5.1. valsts pamatbudžets</w:t>
            </w:r>
          </w:p>
        </w:tc>
        <w:tc>
          <w:tcPr>
            <w:tcW w:w="748" w:type="pct"/>
            <w:vMerge/>
            <w:tcBorders>
              <w:left w:val="outset" w:sz="6" w:space="0" w:color="000000"/>
              <w:right w:val="outset" w:sz="6" w:space="0" w:color="000000"/>
            </w:tcBorders>
            <w:vAlign w:val="center"/>
          </w:tcPr>
          <w:p w14:paraId="4CDAE436" w14:textId="77777777" w:rsidR="00813FA3" w:rsidRPr="00AE1744" w:rsidRDefault="00813FA3" w:rsidP="00B01360">
            <w:pPr>
              <w:spacing w:after="0" w:line="240" w:lineRule="auto"/>
              <w:rPr>
                <w:rFonts w:ascii="Times New Roman" w:eastAsia="Times New Roman" w:hAnsi="Times New Roman" w:cs="Times New Roman"/>
              </w:rPr>
            </w:pPr>
          </w:p>
        </w:tc>
        <w:tc>
          <w:tcPr>
            <w:tcW w:w="681" w:type="pct"/>
            <w:tcBorders>
              <w:top w:val="outset" w:sz="6" w:space="0" w:color="000000"/>
              <w:left w:val="outset" w:sz="6" w:space="0" w:color="000000"/>
              <w:bottom w:val="outset" w:sz="6" w:space="0" w:color="000000"/>
              <w:right w:val="outset" w:sz="6" w:space="0" w:color="000000"/>
            </w:tcBorders>
          </w:tcPr>
          <w:p w14:paraId="0471D0D9"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649" w:type="pct"/>
            <w:tcBorders>
              <w:top w:val="outset" w:sz="6" w:space="0" w:color="000000"/>
              <w:left w:val="outset" w:sz="6" w:space="0" w:color="000000"/>
              <w:bottom w:val="outset" w:sz="6" w:space="0" w:color="000000"/>
              <w:right w:val="outset" w:sz="6" w:space="0" w:color="000000"/>
            </w:tcBorders>
          </w:tcPr>
          <w:p w14:paraId="1D65D785"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770" w:type="pct"/>
            <w:tcBorders>
              <w:top w:val="outset" w:sz="6" w:space="0" w:color="000000"/>
              <w:left w:val="outset" w:sz="6" w:space="0" w:color="000000"/>
              <w:bottom w:val="outset" w:sz="6" w:space="0" w:color="000000"/>
              <w:right w:val="outset" w:sz="6" w:space="0" w:color="000000"/>
            </w:tcBorders>
          </w:tcPr>
          <w:p w14:paraId="6709D61E"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692" w:type="pct"/>
            <w:tcBorders>
              <w:top w:val="outset" w:sz="6" w:space="0" w:color="000000"/>
              <w:left w:val="outset" w:sz="6" w:space="0" w:color="000000"/>
              <w:bottom w:val="outset" w:sz="6" w:space="0" w:color="000000"/>
              <w:right w:val="outset" w:sz="6" w:space="0" w:color="000000"/>
            </w:tcBorders>
          </w:tcPr>
          <w:p w14:paraId="7F681DB4" w14:textId="77777777" w:rsidR="00813FA3" w:rsidRPr="00AE1744" w:rsidRDefault="00813FA3" w:rsidP="00B01360">
            <w:pPr>
              <w:spacing w:after="0" w:line="240" w:lineRule="auto"/>
              <w:jc w:val="center"/>
              <w:rPr>
                <w:rFonts w:ascii="Times New Roman" w:eastAsia="Times New Roman" w:hAnsi="Times New Roman" w:cs="Times New Roman"/>
              </w:rPr>
            </w:pPr>
          </w:p>
        </w:tc>
      </w:tr>
      <w:tr w:rsidR="00813FA3" w:rsidRPr="0046177E" w14:paraId="11C7C396" w14:textId="77777777" w:rsidTr="00B01360">
        <w:tc>
          <w:tcPr>
            <w:tcW w:w="1460" w:type="pct"/>
            <w:tcBorders>
              <w:top w:val="outset" w:sz="6" w:space="0" w:color="000000"/>
              <w:left w:val="outset" w:sz="6" w:space="0" w:color="000000"/>
              <w:bottom w:val="outset" w:sz="6" w:space="0" w:color="000000"/>
              <w:right w:val="outset" w:sz="6" w:space="0" w:color="000000"/>
            </w:tcBorders>
          </w:tcPr>
          <w:p w14:paraId="6EEF682C" w14:textId="77777777" w:rsidR="00813FA3" w:rsidRPr="00813FA3" w:rsidRDefault="00813FA3" w:rsidP="00B01360">
            <w:pPr>
              <w:spacing w:after="0" w:line="240" w:lineRule="auto"/>
              <w:rPr>
                <w:rFonts w:ascii="Times New Roman" w:eastAsia="Times New Roman" w:hAnsi="Times New Roman" w:cs="Times New Roman"/>
              </w:rPr>
            </w:pPr>
            <w:r w:rsidRPr="00813FA3">
              <w:rPr>
                <w:rFonts w:ascii="Times New Roman" w:eastAsia="Times New Roman" w:hAnsi="Times New Roman" w:cs="Times New Roman"/>
              </w:rPr>
              <w:t>5.2. speciālais budžets</w:t>
            </w:r>
          </w:p>
        </w:tc>
        <w:tc>
          <w:tcPr>
            <w:tcW w:w="748" w:type="pct"/>
            <w:vMerge/>
            <w:tcBorders>
              <w:left w:val="outset" w:sz="6" w:space="0" w:color="000000"/>
              <w:right w:val="outset" w:sz="6" w:space="0" w:color="000000"/>
            </w:tcBorders>
            <w:vAlign w:val="center"/>
          </w:tcPr>
          <w:p w14:paraId="717C5804" w14:textId="77777777" w:rsidR="00813FA3" w:rsidRPr="00AE1744" w:rsidRDefault="00813FA3" w:rsidP="00B01360">
            <w:pPr>
              <w:spacing w:after="0" w:line="240" w:lineRule="auto"/>
              <w:rPr>
                <w:rFonts w:ascii="Times New Roman" w:eastAsia="Times New Roman" w:hAnsi="Times New Roman" w:cs="Times New Roman"/>
              </w:rPr>
            </w:pPr>
          </w:p>
        </w:tc>
        <w:tc>
          <w:tcPr>
            <w:tcW w:w="681" w:type="pct"/>
            <w:tcBorders>
              <w:top w:val="outset" w:sz="6" w:space="0" w:color="000000"/>
              <w:left w:val="outset" w:sz="6" w:space="0" w:color="000000"/>
              <w:bottom w:val="outset" w:sz="6" w:space="0" w:color="000000"/>
              <w:right w:val="outset" w:sz="6" w:space="0" w:color="000000"/>
            </w:tcBorders>
          </w:tcPr>
          <w:p w14:paraId="4A49915B"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649" w:type="pct"/>
            <w:tcBorders>
              <w:top w:val="outset" w:sz="6" w:space="0" w:color="000000"/>
              <w:left w:val="outset" w:sz="6" w:space="0" w:color="000000"/>
              <w:bottom w:val="outset" w:sz="6" w:space="0" w:color="000000"/>
              <w:right w:val="outset" w:sz="6" w:space="0" w:color="000000"/>
            </w:tcBorders>
          </w:tcPr>
          <w:p w14:paraId="035A2C4D"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770" w:type="pct"/>
            <w:tcBorders>
              <w:top w:val="outset" w:sz="6" w:space="0" w:color="000000"/>
              <w:left w:val="outset" w:sz="6" w:space="0" w:color="000000"/>
              <w:bottom w:val="outset" w:sz="6" w:space="0" w:color="000000"/>
              <w:right w:val="outset" w:sz="6" w:space="0" w:color="000000"/>
            </w:tcBorders>
          </w:tcPr>
          <w:p w14:paraId="35622A17"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692" w:type="pct"/>
            <w:tcBorders>
              <w:top w:val="outset" w:sz="6" w:space="0" w:color="000000"/>
              <w:left w:val="outset" w:sz="6" w:space="0" w:color="000000"/>
              <w:bottom w:val="outset" w:sz="6" w:space="0" w:color="000000"/>
              <w:right w:val="outset" w:sz="6" w:space="0" w:color="000000"/>
            </w:tcBorders>
          </w:tcPr>
          <w:p w14:paraId="11F57CF7" w14:textId="77777777" w:rsidR="00813FA3" w:rsidRPr="00AE1744" w:rsidRDefault="00813FA3" w:rsidP="00B01360">
            <w:pPr>
              <w:spacing w:after="0" w:line="240" w:lineRule="auto"/>
              <w:jc w:val="center"/>
              <w:rPr>
                <w:rFonts w:ascii="Times New Roman" w:eastAsia="Times New Roman" w:hAnsi="Times New Roman" w:cs="Times New Roman"/>
              </w:rPr>
            </w:pPr>
          </w:p>
        </w:tc>
      </w:tr>
      <w:tr w:rsidR="00813FA3" w:rsidRPr="0046177E" w14:paraId="035EEC5F" w14:textId="77777777" w:rsidTr="00B01360">
        <w:tc>
          <w:tcPr>
            <w:tcW w:w="1460" w:type="pct"/>
            <w:tcBorders>
              <w:top w:val="outset" w:sz="6" w:space="0" w:color="000000"/>
              <w:left w:val="outset" w:sz="6" w:space="0" w:color="000000"/>
              <w:bottom w:val="outset" w:sz="6" w:space="0" w:color="000000"/>
              <w:right w:val="outset" w:sz="6" w:space="0" w:color="000000"/>
            </w:tcBorders>
          </w:tcPr>
          <w:p w14:paraId="37A6F948" w14:textId="77777777" w:rsidR="00813FA3" w:rsidRPr="00813FA3" w:rsidRDefault="00813FA3" w:rsidP="00B01360">
            <w:pPr>
              <w:spacing w:after="0" w:line="240" w:lineRule="auto"/>
              <w:rPr>
                <w:rFonts w:ascii="Times New Roman" w:eastAsia="Times New Roman" w:hAnsi="Times New Roman" w:cs="Times New Roman"/>
              </w:rPr>
            </w:pPr>
            <w:r w:rsidRPr="00813FA3">
              <w:rPr>
                <w:rFonts w:ascii="Times New Roman" w:eastAsia="Times New Roman" w:hAnsi="Times New Roman" w:cs="Times New Roman"/>
              </w:rPr>
              <w:t>5.3. pašvaldību budžets</w:t>
            </w:r>
          </w:p>
        </w:tc>
        <w:tc>
          <w:tcPr>
            <w:tcW w:w="748" w:type="pct"/>
            <w:vMerge/>
            <w:tcBorders>
              <w:left w:val="outset" w:sz="6" w:space="0" w:color="000000"/>
              <w:bottom w:val="outset" w:sz="6" w:space="0" w:color="000000"/>
              <w:right w:val="outset" w:sz="6" w:space="0" w:color="000000"/>
            </w:tcBorders>
            <w:vAlign w:val="center"/>
          </w:tcPr>
          <w:p w14:paraId="1BB603F1" w14:textId="77777777" w:rsidR="00813FA3" w:rsidRPr="00AE1744" w:rsidRDefault="00813FA3" w:rsidP="00B01360">
            <w:pPr>
              <w:spacing w:after="0" w:line="240" w:lineRule="auto"/>
              <w:rPr>
                <w:rFonts w:ascii="Times New Roman" w:eastAsia="Times New Roman" w:hAnsi="Times New Roman" w:cs="Times New Roman"/>
              </w:rPr>
            </w:pPr>
          </w:p>
        </w:tc>
        <w:tc>
          <w:tcPr>
            <w:tcW w:w="681" w:type="pct"/>
            <w:tcBorders>
              <w:top w:val="outset" w:sz="6" w:space="0" w:color="000000"/>
              <w:left w:val="outset" w:sz="6" w:space="0" w:color="000000"/>
              <w:bottom w:val="outset" w:sz="6" w:space="0" w:color="000000"/>
              <w:right w:val="outset" w:sz="6" w:space="0" w:color="000000"/>
            </w:tcBorders>
          </w:tcPr>
          <w:p w14:paraId="30C204A6"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649" w:type="pct"/>
            <w:tcBorders>
              <w:top w:val="outset" w:sz="6" w:space="0" w:color="000000"/>
              <w:left w:val="outset" w:sz="6" w:space="0" w:color="000000"/>
              <w:bottom w:val="outset" w:sz="6" w:space="0" w:color="000000"/>
              <w:right w:val="outset" w:sz="6" w:space="0" w:color="000000"/>
            </w:tcBorders>
          </w:tcPr>
          <w:p w14:paraId="1E3934D1"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770" w:type="pct"/>
            <w:tcBorders>
              <w:top w:val="outset" w:sz="6" w:space="0" w:color="000000"/>
              <w:left w:val="outset" w:sz="6" w:space="0" w:color="000000"/>
              <w:bottom w:val="outset" w:sz="6" w:space="0" w:color="000000"/>
              <w:right w:val="outset" w:sz="6" w:space="0" w:color="000000"/>
            </w:tcBorders>
          </w:tcPr>
          <w:p w14:paraId="13ABE79B" w14:textId="77777777" w:rsidR="00813FA3" w:rsidRPr="00AE1744" w:rsidRDefault="00813FA3" w:rsidP="00B01360">
            <w:pPr>
              <w:spacing w:after="0" w:line="240" w:lineRule="auto"/>
              <w:jc w:val="center"/>
              <w:rPr>
                <w:rFonts w:ascii="Times New Roman" w:eastAsia="Times New Roman" w:hAnsi="Times New Roman" w:cs="Times New Roman"/>
              </w:rPr>
            </w:pPr>
          </w:p>
        </w:tc>
        <w:tc>
          <w:tcPr>
            <w:tcW w:w="692" w:type="pct"/>
            <w:tcBorders>
              <w:top w:val="outset" w:sz="6" w:space="0" w:color="000000"/>
              <w:left w:val="outset" w:sz="6" w:space="0" w:color="000000"/>
              <w:bottom w:val="outset" w:sz="6" w:space="0" w:color="000000"/>
              <w:right w:val="outset" w:sz="6" w:space="0" w:color="000000"/>
            </w:tcBorders>
          </w:tcPr>
          <w:p w14:paraId="44E0E932" w14:textId="77777777" w:rsidR="00813FA3" w:rsidRPr="00AE1744" w:rsidRDefault="00813FA3" w:rsidP="00B01360">
            <w:pPr>
              <w:spacing w:after="0" w:line="240" w:lineRule="auto"/>
              <w:jc w:val="center"/>
              <w:rPr>
                <w:rFonts w:ascii="Times New Roman" w:eastAsia="Times New Roman" w:hAnsi="Times New Roman" w:cs="Times New Roman"/>
              </w:rPr>
            </w:pPr>
          </w:p>
        </w:tc>
      </w:tr>
    </w:tbl>
    <w:p w14:paraId="5D588B49" w14:textId="77777777" w:rsidR="007A479D" w:rsidRDefault="007A479D">
      <w:r>
        <w:br w:type="page"/>
      </w:r>
    </w:p>
    <w:tbl>
      <w:tblPr>
        <w:tblW w:w="5556" w:type="pct"/>
        <w:tblInd w:w="-28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08"/>
        <w:gridCol w:w="2393"/>
        <w:gridCol w:w="318"/>
        <w:gridCol w:w="6472"/>
      </w:tblGrid>
      <w:tr w:rsidR="00813FA3" w:rsidRPr="003E15E4" w14:paraId="1BDA311D" w14:textId="77777777" w:rsidTr="007A479D">
        <w:tc>
          <w:tcPr>
            <w:tcW w:w="1459" w:type="pct"/>
            <w:gridSpan w:val="2"/>
            <w:tcBorders>
              <w:top w:val="outset" w:sz="6" w:space="0" w:color="000000"/>
              <w:left w:val="outset" w:sz="6" w:space="0" w:color="000000"/>
              <w:bottom w:val="outset" w:sz="6" w:space="0" w:color="000000"/>
              <w:right w:val="outset" w:sz="6" w:space="0" w:color="000000"/>
            </w:tcBorders>
          </w:tcPr>
          <w:p w14:paraId="6B9EBDBE" w14:textId="63D429E8" w:rsidR="00813FA3" w:rsidRPr="00813FA3" w:rsidRDefault="00813FA3" w:rsidP="00B01360">
            <w:pPr>
              <w:spacing w:after="0" w:line="240" w:lineRule="auto"/>
              <w:rPr>
                <w:rFonts w:ascii="Times New Roman" w:eastAsia="Times New Roman" w:hAnsi="Times New Roman" w:cs="Times New Roman"/>
              </w:rPr>
            </w:pPr>
            <w:r w:rsidRPr="00813FA3">
              <w:rPr>
                <w:rFonts w:ascii="Times New Roman" w:eastAsia="Times New Roman" w:hAnsi="Times New Roman" w:cs="Times New Roman"/>
              </w:rPr>
              <w:t>6. Detalizēts ieņēmumu un izdevu</w:t>
            </w:r>
            <w:r w:rsidRPr="00813FA3">
              <w:rPr>
                <w:rFonts w:ascii="Times New Roman" w:eastAsia="Times New Roman" w:hAnsi="Times New Roman" w:cs="Times New Roman"/>
              </w:rPr>
              <w:softHyphen/>
              <w:t>mu aprēķins (ja nepieciešams, detalizētu ieņēmumu un izdevumu aprēķinu var pievienot anotācijas pielikumā):</w:t>
            </w:r>
          </w:p>
        </w:tc>
        <w:tc>
          <w:tcPr>
            <w:tcW w:w="3539" w:type="pct"/>
            <w:gridSpan w:val="2"/>
            <w:vMerge w:val="restart"/>
            <w:tcBorders>
              <w:top w:val="outset" w:sz="6" w:space="0" w:color="000000"/>
              <w:left w:val="outset" w:sz="6" w:space="0" w:color="000000"/>
              <w:bottom w:val="outset" w:sz="6" w:space="0" w:color="000000"/>
              <w:right w:val="outset" w:sz="6" w:space="0" w:color="000000"/>
            </w:tcBorders>
          </w:tcPr>
          <w:p w14:paraId="43E21BEF" w14:textId="77777777" w:rsidR="008A6931" w:rsidRPr="00AE1744" w:rsidRDefault="008A6931" w:rsidP="008A6931">
            <w:pPr>
              <w:spacing w:after="0" w:line="240" w:lineRule="auto"/>
              <w:ind w:right="125"/>
              <w:jc w:val="both"/>
              <w:rPr>
                <w:rFonts w:ascii="Times New Roman" w:eastAsia="Times New Roman" w:hAnsi="Times New Roman" w:cs="Times New Roman"/>
                <w:sz w:val="24"/>
                <w:szCs w:val="24"/>
                <w:u w:val="single"/>
              </w:rPr>
            </w:pPr>
            <w:r w:rsidRPr="00AE1744">
              <w:rPr>
                <w:rFonts w:ascii="Times New Roman" w:eastAsia="Times New Roman" w:hAnsi="Times New Roman" w:cs="Times New Roman"/>
                <w:sz w:val="24"/>
                <w:szCs w:val="24"/>
                <w:u w:val="single"/>
              </w:rPr>
              <w:t>PVN dzīvojamo telpu apsaimniekošanai</w:t>
            </w:r>
          </w:p>
          <w:p w14:paraId="545667AE" w14:textId="77777777" w:rsidR="008A6931" w:rsidRPr="00AE1744" w:rsidRDefault="008A6931" w:rsidP="008A6931">
            <w:pPr>
              <w:spacing w:after="0" w:line="240" w:lineRule="auto"/>
              <w:ind w:right="125"/>
              <w:jc w:val="both"/>
              <w:rPr>
                <w:rFonts w:ascii="Times New Roman" w:eastAsia="Times New Roman" w:hAnsi="Times New Roman" w:cs="Times New Roman"/>
                <w:sz w:val="24"/>
                <w:szCs w:val="24"/>
                <w:u w:val="single"/>
              </w:rPr>
            </w:pPr>
          </w:p>
          <w:p w14:paraId="16134AF3" w14:textId="77777777" w:rsidR="00275975" w:rsidRPr="00AE1744" w:rsidRDefault="00275975" w:rsidP="00275975">
            <w:pPr>
              <w:spacing w:after="0" w:line="240" w:lineRule="auto"/>
              <w:ind w:right="125"/>
              <w:jc w:val="both"/>
              <w:rPr>
                <w:rFonts w:ascii="Times New Roman" w:eastAsia="Times New Roman" w:hAnsi="Times New Roman" w:cs="Times New Roman"/>
                <w:sz w:val="24"/>
                <w:szCs w:val="24"/>
              </w:rPr>
            </w:pPr>
            <w:r w:rsidRPr="00AE1744">
              <w:rPr>
                <w:rFonts w:ascii="Times New Roman" w:eastAsia="Times New Roman" w:hAnsi="Times New Roman" w:cs="Times New Roman"/>
                <w:sz w:val="24"/>
                <w:szCs w:val="24"/>
              </w:rPr>
              <w:t>Analizējot PVN deklarāciju datus</w:t>
            </w:r>
            <w:r w:rsidRPr="00AE1744">
              <w:rPr>
                <w:rFonts w:ascii="Times New Roman" w:eastAsia="Times New Roman" w:hAnsi="Times New Roman" w:cs="Times New Roman"/>
                <w:sz w:val="24"/>
                <w:szCs w:val="24"/>
                <w:vertAlign w:val="superscript"/>
              </w:rPr>
              <w:footnoteReference w:id="1"/>
            </w:r>
            <w:r w:rsidRPr="00AE1744">
              <w:rPr>
                <w:rFonts w:ascii="Times New Roman" w:eastAsia="Times New Roman" w:hAnsi="Times New Roman" w:cs="Times New Roman"/>
                <w:sz w:val="24"/>
                <w:szCs w:val="24"/>
              </w:rPr>
              <w:t xml:space="preserve"> par 2014. gada un 2015. gada pirmā pusgada, ar PVN neapliekamiem darījumiem no </w:t>
            </w:r>
            <w:r w:rsidRPr="00AE1744">
              <w:rPr>
                <w:rFonts w:ascii="Times New Roman" w:hAnsi="Times New Roman" w:cs="Times New Roman"/>
                <w:sz w:val="24"/>
                <w:szCs w:val="24"/>
              </w:rPr>
              <w:t xml:space="preserve">NACE red.2 klasifikācijas koda 68.32 </w:t>
            </w:r>
            <w:r w:rsidRPr="00AE1744">
              <w:rPr>
                <w:rFonts w:ascii="Times New Roman" w:eastAsia="Times New Roman" w:hAnsi="Times New Roman" w:cs="Times New Roman"/>
                <w:sz w:val="24"/>
                <w:szCs w:val="24"/>
              </w:rPr>
              <w:t>(nekustamā īpašuma pārvaldīšana par atlīdzību vai uz līguma pamata) darījumu apjoma modelētā bāze 2016. gadam ir noteikta 118,612 milj. </w:t>
            </w:r>
            <w:proofErr w:type="spellStart"/>
            <w:r w:rsidRPr="00AE1744">
              <w:rPr>
                <w:rFonts w:ascii="Times New Roman" w:eastAsia="Times New Roman" w:hAnsi="Times New Roman" w:cs="Times New Roman"/>
                <w:i/>
                <w:sz w:val="24"/>
                <w:szCs w:val="24"/>
              </w:rPr>
              <w:t>euro</w:t>
            </w:r>
            <w:proofErr w:type="spellEnd"/>
            <w:r w:rsidRPr="00AE1744">
              <w:rPr>
                <w:rFonts w:ascii="Times New Roman" w:eastAsia="Times New Roman" w:hAnsi="Times New Roman" w:cs="Times New Roman"/>
                <w:sz w:val="24"/>
                <w:szCs w:val="24"/>
              </w:rPr>
              <w:t>.</w:t>
            </w:r>
          </w:p>
          <w:p w14:paraId="7D2F01B3" w14:textId="77777777" w:rsidR="00275975" w:rsidRPr="00AE1744" w:rsidRDefault="00275975" w:rsidP="00275975">
            <w:pPr>
              <w:spacing w:before="120" w:after="0" w:line="240" w:lineRule="auto"/>
              <w:ind w:left="57" w:right="142"/>
              <w:jc w:val="both"/>
              <w:rPr>
                <w:rFonts w:ascii="Times New Roman" w:eastAsia="Times New Roman" w:hAnsi="Times New Roman" w:cs="Times New Roman"/>
                <w:i/>
                <w:sz w:val="24"/>
                <w:szCs w:val="24"/>
              </w:rPr>
            </w:pPr>
            <w:r w:rsidRPr="00AE1744">
              <w:rPr>
                <w:rFonts w:ascii="Times New Roman" w:eastAsia="Times New Roman" w:hAnsi="Times New Roman" w:cs="Times New Roman"/>
                <w:sz w:val="24"/>
                <w:szCs w:val="24"/>
              </w:rPr>
              <w:t xml:space="preserve">Pieņemot, ka 10% no </w:t>
            </w:r>
            <w:r w:rsidRPr="00AE1744">
              <w:rPr>
                <w:rFonts w:ascii="Times New Roman" w:hAnsi="Times New Roman" w:cs="Times New Roman"/>
                <w:sz w:val="24"/>
                <w:szCs w:val="24"/>
              </w:rPr>
              <w:t xml:space="preserve">NACE red.2 klasifikācijas koda 68.32 </w:t>
            </w:r>
            <w:r w:rsidRPr="00AE1744">
              <w:rPr>
                <w:rFonts w:ascii="Times New Roman" w:eastAsia="Times New Roman" w:hAnsi="Times New Roman" w:cs="Times New Roman"/>
                <w:sz w:val="24"/>
                <w:szCs w:val="24"/>
              </w:rPr>
              <w:t xml:space="preserve">ar PVN neapliekamo darījumu apjomu veido sniegtie pakalpojumi iedzīvotājiem par dzīvojamo telpu īri, tad ar PVN neapliekamo darījumu apjoms dzīvojamo māju uzturēšanas un apsaimniekošanas pakalpojumiem, ko sniedz dzīvojamo māju </w:t>
            </w:r>
            <w:proofErr w:type="spellStart"/>
            <w:r w:rsidRPr="00AE1744">
              <w:rPr>
                <w:rFonts w:ascii="Times New Roman" w:eastAsia="Times New Roman" w:hAnsi="Times New Roman" w:cs="Times New Roman"/>
                <w:sz w:val="24"/>
                <w:szCs w:val="24"/>
              </w:rPr>
              <w:t>apsaimniekotāji</w:t>
            </w:r>
            <w:proofErr w:type="spellEnd"/>
            <w:r w:rsidRPr="00AE1744">
              <w:rPr>
                <w:rFonts w:ascii="Times New Roman" w:eastAsia="Times New Roman" w:hAnsi="Times New Roman" w:cs="Times New Roman"/>
                <w:sz w:val="24"/>
                <w:szCs w:val="24"/>
              </w:rPr>
              <w:t xml:space="preserve"> saskaņā ar dzīvojamo māju (</w:t>
            </w:r>
            <w:r w:rsidRPr="00AE1744">
              <w:rPr>
                <w:rFonts w:ascii="Times New Roman" w:hAnsi="Times New Roman" w:cs="Times New Roman"/>
                <w:sz w:val="24"/>
                <w:szCs w:val="24"/>
              </w:rPr>
              <w:t>tajā skaitā arī dzīvokļu</w:t>
            </w:r>
            <w:r w:rsidRPr="00AE1744">
              <w:rPr>
                <w:rFonts w:ascii="Times New Roman" w:eastAsia="Times New Roman" w:hAnsi="Times New Roman" w:cs="Times New Roman"/>
                <w:sz w:val="24"/>
                <w:szCs w:val="24"/>
              </w:rPr>
              <w:t xml:space="preserve">) pārvaldīšanas līgumiem, 2016. gadā būs 106,751 milj. </w:t>
            </w:r>
            <w:proofErr w:type="spellStart"/>
            <w:r w:rsidRPr="00AE1744">
              <w:rPr>
                <w:rFonts w:ascii="Times New Roman" w:eastAsia="Times New Roman" w:hAnsi="Times New Roman" w:cs="Times New Roman"/>
                <w:i/>
                <w:sz w:val="24"/>
                <w:szCs w:val="24"/>
              </w:rPr>
              <w:t>euro</w:t>
            </w:r>
            <w:proofErr w:type="spellEnd"/>
            <w:r w:rsidRPr="00AE1744">
              <w:rPr>
                <w:rFonts w:ascii="Times New Roman" w:eastAsia="Times New Roman" w:hAnsi="Times New Roman" w:cs="Times New Roman"/>
                <w:i/>
                <w:sz w:val="24"/>
                <w:szCs w:val="24"/>
              </w:rPr>
              <w:t>.</w:t>
            </w:r>
          </w:p>
          <w:p w14:paraId="327D3B42" w14:textId="1D6BD5C1" w:rsidR="006D2D1A" w:rsidRPr="00AE1744" w:rsidRDefault="006D2D1A" w:rsidP="006D2D1A">
            <w:pPr>
              <w:spacing w:before="240" w:after="160" w:line="240" w:lineRule="auto"/>
              <w:ind w:left="1440"/>
              <w:rPr>
                <w:rFonts w:ascii="Times New Roman" w:eastAsia="Times New Roman" w:hAnsi="Times New Roman" w:cs="Times New Roman"/>
                <w:i/>
              </w:rPr>
            </w:pPr>
            <w:r w:rsidRPr="00AE1744">
              <w:rPr>
                <w:rFonts w:ascii="Times New Roman" w:eastAsia="Times New Roman" w:hAnsi="Times New Roman" w:cs="Times New Roman"/>
              </w:rPr>
              <w:t>Nekustamā īpašuma pārvaldīšanas par atlīdzību vai uz līguma pamata fiskālās ietekmes aprēķins</w:t>
            </w:r>
            <w:r w:rsidRPr="00AE1744">
              <w:rPr>
                <w:rFonts w:ascii="Times New Roman" w:eastAsia="Times New Roman" w:hAnsi="Times New Roman" w:cs="Times New Roman"/>
                <w:i/>
              </w:rPr>
              <w:t>,</w:t>
            </w:r>
            <w:r w:rsidR="00275975" w:rsidRPr="00AE1744">
              <w:rPr>
                <w:rFonts w:ascii="Times New Roman" w:eastAsia="Times New Roman" w:hAnsi="Times New Roman" w:cs="Times New Roman"/>
                <w:i/>
              </w:rPr>
              <w:t xml:space="preserve"> milj.</w:t>
            </w:r>
            <w:r w:rsidRPr="00AE1744">
              <w:rPr>
                <w:rFonts w:ascii="Times New Roman" w:eastAsia="Times New Roman" w:hAnsi="Times New Roman" w:cs="Times New Roman"/>
                <w:i/>
              </w:rPr>
              <w:t xml:space="preserve"> </w:t>
            </w:r>
            <w:proofErr w:type="spellStart"/>
            <w:r w:rsidRPr="00AE1744">
              <w:rPr>
                <w:rFonts w:ascii="Times New Roman" w:eastAsia="Times New Roman" w:hAnsi="Times New Roman" w:cs="Times New Roman"/>
                <w:i/>
              </w:rPr>
              <w:t>euro</w:t>
            </w:r>
            <w:proofErr w:type="spellEnd"/>
          </w:p>
          <w:tbl>
            <w:tblPr>
              <w:tblStyle w:val="TableGrid"/>
              <w:tblW w:w="0" w:type="auto"/>
              <w:tblLayout w:type="fixed"/>
              <w:tblLook w:val="04A0" w:firstRow="1" w:lastRow="0" w:firstColumn="1" w:lastColumn="0" w:noHBand="0" w:noVBand="1"/>
            </w:tblPr>
            <w:tblGrid>
              <w:gridCol w:w="4106"/>
              <w:gridCol w:w="2268"/>
            </w:tblGrid>
            <w:tr w:rsidR="00275975" w:rsidRPr="00AE1744" w14:paraId="74FCE4C6" w14:textId="77777777" w:rsidTr="005D2575">
              <w:tc>
                <w:tcPr>
                  <w:tcW w:w="4106" w:type="dxa"/>
                </w:tcPr>
                <w:p w14:paraId="09571FEE" w14:textId="77777777" w:rsidR="00275975" w:rsidRPr="00AE1744" w:rsidRDefault="00275975" w:rsidP="00275975">
                  <w:pPr>
                    <w:spacing w:before="120" w:after="120"/>
                  </w:pPr>
                  <w:r w:rsidRPr="00AE1744">
                    <w:rPr>
                      <w:rFonts w:ascii="Times New Roman" w:eastAsia="Times New Roman" w:hAnsi="Times New Roman" w:cs="Times New Roman"/>
                    </w:rPr>
                    <w:t>2016.g. prognozētais ar PVN neapliekamo darījumu apjoms</w:t>
                  </w:r>
                </w:p>
              </w:tc>
              <w:tc>
                <w:tcPr>
                  <w:tcW w:w="2268" w:type="dxa"/>
                </w:tcPr>
                <w:p w14:paraId="6E70B5D7" w14:textId="3CB916D2" w:rsidR="00275975" w:rsidRPr="00AE1744" w:rsidRDefault="00275975" w:rsidP="00275975">
                  <w:pPr>
                    <w:spacing w:before="120" w:after="120"/>
                    <w:jc w:val="center"/>
                    <w:rPr>
                      <w:rFonts w:ascii="Times New Roman" w:hAnsi="Times New Roman" w:cs="Times New Roman"/>
                    </w:rPr>
                  </w:pPr>
                  <w:r w:rsidRPr="00AE1744">
                    <w:rPr>
                      <w:rFonts w:ascii="Times New Roman" w:hAnsi="Times New Roman" w:cs="Times New Roman"/>
                    </w:rPr>
                    <w:t>118,612</w:t>
                  </w:r>
                </w:p>
              </w:tc>
            </w:tr>
            <w:tr w:rsidR="00275975" w:rsidRPr="00AE1744" w14:paraId="589C4458" w14:textId="77777777" w:rsidTr="005D2575">
              <w:tc>
                <w:tcPr>
                  <w:tcW w:w="4106" w:type="dxa"/>
                </w:tcPr>
                <w:p w14:paraId="24E180E2" w14:textId="77777777" w:rsidR="00275975" w:rsidRPr="00AE1744" w:rsidRDefault="00275975" w:rsidP="00275975">
                  <w:pPr>
                    <w:spacing w:before="120" w:after="120"/>
                  </w:pPr>
                  <w:r w:rsidRPr="00AE1744">
                    <w:rPr>
                      <w:rFonts w:ascii="Times New Roman" w:hAnsi="Times New Roman" w:cs="Times New Roman"/>
                    </w:rPr>
                    <w:t>2016.g. prognozētie sniegtie pakalpojumi</w:t>
                  </w:r>
                  <w:r w:rsidRPr="00AE1744">
                    <w:rPr>
                      <w:rFonts w:ascii="Times New Roman" w:eastAsia="Times New Roman" w:hAnsi="Times New Roman" w:cs="Times New Roman"/>
                    </w:rPr>
                    <w:t xml:space="preserve"> par  dzīvojamo telpu īri (10%)</w:t>
                  </w:r>
                </w:p>
              </w:tc>
              <w:tc>
                <w:tcPr>
                  <w:tcW w:w="2268" w:type="dxa"/>
                </w:tcPr>
                <w:p w14:paraId="7A1A28CD" w14:textId="47DCD6B5" w:rsidR="00275975" w:rsidRPr="00AE1744" w:rsidRDefault="00275975" w:rsidP="00275975">
                  <w:pPr>
                    <w:spacing w:before="120" w:after="120"/>
                    <w:jc w:val="center"/>
                    <w:rPr>
                      <w:rFonts w:ascii="Times New Roman" w:hAnsi="Times New Roman" w:cs="Times New Roman"/>
                    </w:rPr>
                  </w:pPr>
                  <w:r w:rsidRPr="00AE1744">
                    <w:rPr>
                      <w:rFonts w:ascii="Times New Roman" w:hAnsi="Times New Roman" w:cs="Times New Roman"/>
                    </w:rPr>
                    <w:t>11,861</w:t>
                  </w:r>
                </w:p>
              </w:tc>
            </w:tr>
            <w:tr w:rsidR="00275975" w:rsidRPr="00AE1744" w14:paraId="2FF40111" w14:textId="77777777" w:rsidTr="005D2575">
              <w:tc>
                <w:tcPr>
                  <w:tcW w:w="4106" w:type="dxa"/>
                </w:tcPr>
                <w:p w14:paraId="7DF6D82E" w14:textId="77777777" w:rsidR="00275975" w:rsidRPr="00AE1744" w:rsidRDefault="00275975" w:rsidP="00275975">
                  <w:pPr>
                    <w:spacing w:before="120" w:after="120"/>
                  </w:pPr>
                  <w:r w:rsidRPr="00AE1744">
                    <w:rPr>
                      <w:rFonts w:ascii="Times New Roman" w:eastAsia="Times New Roman" w:hAnsi="Times New Roman" w:cs="Times New Roman"/>
                    </w:rPr>
                    <w:t>2016.g. prognozētais apjoms, neieskaitot pakalpojumus par dzīvojamo telpu īri</w:t>
                  </w:r>
                </w:p>
              </w:tc>
              <w:tc>
                <w:tcPr>
                  <w:tcW w:w="2268" w:type="dxa"/>
                </w:tcPr>
                <w:p w14:paraId="01D0525A" w14:textId="0893AD4C" w:rsidR="00275975" w:rsidRPr="00AE1744" w:rsidRDefault="00275975" w:rsidP="00275975">
                  <w:pPr>
                    <w:spacing w:before="120" w:after="120"/>
                    <w:jc w:val="center"/>
                    <w:rPr>
                      <w:rFonts w:ascii="Times New Roman" w:hAnsi="Times New Roman" w:cs="Times New Roman"/>
                    </w:rPr>
                  </w:pPr>
                  <w:r w:rsidRPr="00AE1744">
                    <w:rPr>
                      <w:rFonts w:ascii="Times New Roman" w:hAnsi="Times New Roman" w:cs="Times New Roman"/>
                    </w:rPr>
                    <w:t>106,751</w:t>
                  </w:r>
                </w:p>
              </w:tc>
            </w:tr>
            <w:tr w:rsidR="00275975" w:rsidRPr="00AE1744" w14:paraId="5686C969" w14:textId="77777777" w:rsidTr="005D2575">
              <w:tc>
                <w:tcPr>
                  <w:tcW w:w="4106" w:type="dxa"/>
                </w:tcPr>
                <w:p w14:paraId="3ED9AFC3" w14:textId="77777777" w:rsidR="00275975" w:rsidRPr="00AE1744" w:rsidRDefault="00275975" w:rsidP="00275975">
                  <w:pPr>
                    <w:spacing w:before="120" w:after="120"/>
                  </w:pPr>
                  <w:r w:rsidRPr="00AE1744">
                    <w:rPr>
                      <w:rFonts w:ascii="Times New Roman" w:eastAsia="Times New Roman" w:hAnsi="Times New Roman" w:cs="Times New Roman"/>
                    </w:rPr>
                    <w:t xml:space="preserve">PVN </w:t>
                  </w:r>
                  <w:proofErr w:type="spellStart"/>
                  <w:r w:rsidRPr="00AE1744">
                    <w:rPr>
                      <w:rFonts w:ascii="Times New Roman" w:eastAsia="Times New Roman" w:hAnsi="Times New Roman" w:cs="Times New Roman"/>
                    </w:rPr>
                    <w:t>standartlikme</w:t>
                  </w:r>
                  <w:proofErr w:type="spellEnd"/>
                </w:p>
              </w:tc>
              <w:tc>
                <w:tcPr>
                  <w:tcW w:w="2268" w:type="dxa"/>
                </w:tcPr>
                <w:p w14:paraId="40389A5D" w14:textId="5ED76BC7" w:rsidR="00275975" w:rsidRPr="00AE1744" w:rsidRDefault="00275975" w:rsidP="00275975">
                  <w:pPr>
                    <w:spacing w:before="120" w:after="120"/>
                    <w:jc w:val="center"/>
                    <w:rPr>
                      <w:rFonts w:ascii="Times New Roman" w:hAnsi="Times New Roman" w:cs="Times New Roman"/>
                    </w:rPr>
                  </w:pPr>
                  <w:r w:rsidRPr="00AE1744">
                    <w:rPr>
                      <w:rFonts w:ascii="Times New Roman" w:hAnsi="Times New Roman" w:cs="Times New Roman"/>
                    </w:rPr>
                    <w:t>21 %</w:t>
                  </w:r>
                </w:p>
              </w:tc>
            </w:tr>
            <w:tr w:rsidR="00275975" w:rsidRPr="00AE1744" w14:paraId="4D1D8B09" w14:textId="77777777" w:rsidTr="005D2575">
              <w:tc>
                <w:tcPr>
                  <w:tcW w:w="4106" w:type="dxa"/>
                </w:tcPr>
                <w:p w14:paraId="0BE9A301" w14:textId="77777777" w:rsidR="00275975" w:rsidRPr="00AE1744" w:rsidRDefault="00275975" w:rsidP="00275975">
                  <w:pPr>
                    <w:spacing w:before="120" w:after="120"/>
                  </w:pPr>
                  <w:r w:rsidRPr="00AE1744">
                    <w:rPr>
                      <w:rFonts w:ascii="Times New Roman" w:eastAsia="Times New Roman" w:hAnsi="Times New Roman" w:cs="Times New Roman"/>
                      <w:bCs/>
                    </w:rPr>
                    <w:t xml:space="preserve">Gada fiskālā ietekme, </w:t>
                  </w:r>
                  <w:proofErr w:type="spellStart"/>
                  <w:r w:rsidRPr="00AE1744">
                    <w:rPr>
                      <w:rFonts w:ascii="Times New Roman" w:eastAsia="Times New Roman" w:hAnsi="Times New Roman" w:cs="Times New Roman"/>
                      <w:bCs/>
                      <w:i/>
                    </w:rPr>
                    <w:t>euro</w:t>
                  </w:r>
                  <w:proofErr w:type="spellEnd"/>
                </w:p>
              </w:tc>
              <w:tc>
                <w:tcPr>
                  <w:tcW w:w="2268" w:type="dxa"/>
                </w:tcPr>
                <w:p w14:paraId="1D1F1962" w14:textId="2A163128" w:rsidR="00275975" w:rsidRPr="00AE1744" w:rsidRDefault="00275975" w:rsidP="00275975">
                  <w:pPr>
                    <w:spacing w:before="120" w:after="120"/>
                    <w:jc w:val="center"/>
                    <w:rPr>
                      <w:rFonts w:ascii="Times New Roman" w:hAnsi="Times New Roman" w:cs="Times New Roman"/>
                    </w:rPr>
                  </w:pPr>
                  <w:r w:rsidRPr="00AE1744">
                    <w:rPr>
                      <w:rFonts w:ascii="Times New Roman" w:hAnsi="Times New Roman" w:cs="Times New Roman"/>
                    </w:rPr>
                    <w:t>22,418*</w:t>
                  </w:r>
                </w:p>
              </w:tc>
            </w:tr>
          </w:tbl>
          <w:p w14:paraId="016BA839" w14:textId="77777777" w:rsidR="00813FA3" w:rsidRPr="00AE1744" w:rsidRDefault="00813FA3" w:rsidP="00B01360">
            <w:pPr>
              <w:spacing w:after="0" w:line="240" w:lineRule="auto"/>
              <w:ind w:firstLine="301"/>
              <w:jc w:val="both"/>
              <w:rPr>
                <w:rFonts w:ascii="Times New Roman" w:eastAsia="Times New Roman" w:hAnsi="Times New Roman" w:cs="Times New Roman"/>
              </w:rPr>
            </w:pPr>
          </w:p>
          <w:p w14:paraId="1A213EEB" w14:textId="4CAE4DFF" w:rsidR="008A6931" w:rsidRPr="00AE1744" w:rsidRDefault="00D55D51" w:rsidP="009C3A8A">
            <w:pPr>
              <w:spacing w:after="120" w:line="240" w:lineRule="auto"/>
              <w:ind w:right="125"/>
              <w:jc w:val="both"/>
              <w:rPr>
                <w:rFonts w:ascii="Times New Roman" w:eastAsia="Times New Roman" w:hAnsi="Times New Roman" w:cs="Times New Roman"/>
                <w:sz w:val="24"/>
                <w:szCs w:val="24"/>
              </w:rPr>
            </w:pPr>
            <w:r w:rsidRPr="00AE1744">
              <w:rPr>
                <w:rFonts w:ascii="Times New Roman" w:eastAsia="Times New Roman" w:hAnsi="Times New Roman" w:cs="Times New Roman"/>
                <w:sz w:val="24"/>
                <w:szCs w:val="24"/>
              </w:rPr>
              <w:t>Izslēdzot PVN likuma 52.panta pirmās daļas 25.punkta “b”</w:t>
            </w:r>
            <w:r w:rsidR="00275975" w:rsidRPr="00AE1744">
              <w:rPr>
                <w:rFonts w:ascii="Times New Roman" w:eastAsia="Times New Roman" w:hAnsi="Times New Roman" w:cs="Times New Roman"/>
                <w:sz w:val="24"/>
                <w:szCs w:val="24"/>
              </w:rPr>
              <w:t> </w:t>
            </w:r>
            <w:r w:rsidRPr="00AE1744">
              <w:rPr>
                <w:rFonts w:ascii="Times New Roman" w:eastAsia="Times New Roman" w:hAnsi="Times New Roman" w:cs="Times New Roman"/>
                <w:sz w:val="24"/>
                <w:szCs w:val="24"/>
              </w:rPr>
              <w:t>apakšpunktu, kas paredz, ka ar PVN neapliek dzīvojamās mājas pārvaldīšanas pakalpojumu saskaņā ar pārvaldīšanas līgumā iekļautajiem maksājumiem</w:t>
            </w:r>
            <w:r w:rsidR="00A94185" w:rsidRPr="00AE1744">
              <w:rPr>
                <w:rFonts w:ascii="Times New Roman" w:eastAsia="Times New Roman" w:hAnsi="Times New Roman" w:cs="Times New Roman"/>
                <w:sz w:val="24"/>
                <w:szCs w:val="24"/>
              </w:rPr>
              <w:t>,</w:t>
            </w:r>
            <w:r w:rsidRPr="00AE1744">
              <w:rPr>
                <w:rFonts w:ascii="Times New Roman" w:eastAsia="Times New Roman" w:hAnsi="Times New Roman" w:cs="Times New Roman"/>
                <w:sz w:val="24"/>
                <w:szCs w:val="24"/>
              </w:rPr>
              <w:t xml:space="preserve"> </w:t>
            </w:r>
            <w:r w:rsidR="003638B0" w:rsidRPr="00AE1744">
              <w:rPr>
                <w:rFonts w:ascii="Times New Roman" w:eastAsia="Times New Roman" w:hAnsi="Times New Roman" w:cs="Times New Roman"/>
                <w:sz w:val="24"/>
                <w:szCs w:val="24"/>
              </w:rPr>
              <w:t>un PVN likuma 52.panta pirmās daļas 8.punkta “b” apakšpunktu, ka</w:t>
            </w:r>
            <w:r w:rsidR="00275975" w:rsidRPr="00AE1744">
              <w:rPr>
                <w:rFonts w:ascii="Times New Roman" w:eastAsia="Times New Roman" w:hAnsi="Times New Roman" w:cs="Times New Roman"/>
                <w:sz w:val="24"/>
                <w:szCs w:val="24"/>
              </w:rPr>
              <w:t>s</w:t>
            </w:r>
            <w:r w:rsidR="003638B0" w:rsidRPr="00AE1744">
              <w:rPr>
                <w:rFonts w:ascii="Times New Roman" w:eastAsia="Times New Roman" w:hAnsi="Times New Roman" w:cs="Times New Roman"/>
                <w:sz w:val="24"/>
                <w:szCs w:val="24"/>
              </w:rPr>
              <w:t xml:space="preserve"> paredz, ka ar PVN neapliek dzīvokļu īpašnieku kooperatīvo sabiedrību biedriem sniegtos dzīvojamo māju uzturēšanas un pārvaldīšanas pakalpojumus, </w:t>
            </w:r>
            <w:r w:rsidRPr="00AE1744">
              <w:rPr>
                <w:rFonts w:ascii="Times New Roman" w:eastAsia="Times New Roman" w:hAnsi="Times New Roman" w:cs="Times New Roman"/>
                <w:sz w:val="24"/>
                <w:szCs w:val="24"/>
              </w:rPr>
              <w:t xml:space="preserve">un piemērojot minētajam pakalpojumam PVN </w:t>
            </w:r>
            <w:proofErr w:type="spellStart"/>
            <w:r w:rsidRPr="00AE1744">
              <w:rPr>
                <w:rFonts w:ascii="Times New Roman" w:eastAsia="Times New Roman" w:hAnsi="Times New Roman" w:cs="Times New Roman"/>
                <w:sz w:val="24"/>
                <w:szCs w:val="24"/>
              </w:rPr>
              <w:t>standartlikmi</w:t>
            </w:r>
            <w:proofErr w:type="spellEnd"/>
            <w:r w:rsidRPr="00AE1744">
              <w:rPr>
                <w:rFonts w:ascii="Times New Roman" w:eastAsia="Times New Roman" w:hAnsi="Times New Roman" w:cs="Times New Roman"/>
                <w:sz w:val="24"/>
                <w:szCs w:val="24"/>
              </w:rPr>
              <w:t xml:space="preserve"> 21% apmērā, ietekme uz valsts budžeta ieņēmumiem, ņemot vērā PVN maksāšanas kārtību</w:t>
            </w:r>
            <w:r w:rsidR="00431A96" w:rsidRPr="00AE1744">
              <w:rPr>
                <w:rFonts w:ascii="Times New Roman" w:eastAsia="Times New Roman" w:hAnsi="Times New Roman" w:cs="Times New Roman"/>
                <w:sz w:val="24"/>
                <w:szCs w:val="24"/>
              </w:rPr>
              <w:t xml:space="preserve"> valsts budžetā</w:t>
            </w:r>
            <w:r w:rsidRPr="00AE1744">
              <w:rPr>
                <w:rFonts w:ascii="Times New Roman" w:eastAsia="Times New Roman" w:hAnsi="Times New Roman" w:cs="Times New Roman"/>
                <w:sz w:val="24"/>
                <w:szCs w:val="24"/>
              </w:rPr>
              <w:t xml:space="preserve"> un </w:t>
            </w:r>
            <w:r w:rsidR="00431A96" w:rsidRPr="00AE1744">
              <w:rPr>
                <w:rFonts w:ascii="Times New Roman" w:eastAsia="Times New Roman" w:hAnsi="Times New Roman" w:cs="Times New Roman"/>
                <w:sz w:val="24"/>
                <w:szCs w:val="24"/>
              </w:rPr>
              <w:t xml:space="preserve">PVN </w:t>
            </w:r>
            <w:r w:rsidRPr="00AE1744">
              <w:rPr>
                <w:rFonts w:ascii="Times New Roman" w:eastAsia="Times New Roman" w:hAnsi="Times New Roman" w:cs="Times New Roman"/>
                <w:sz w:val="24"/>
                <w:szCs w:val="24"/>
              </w:rPr>
              <w:t xml:space="preserve">likuma grozījumu </w:t>
            </w:r>
            <w:r w:rsidR="00275975" w:rsidRPr="00AE1744">
              <w:rPr>
                <w:rFonts w:ascii="Times New Roman" w:eastAsia="Times New Roman" w:hAnsi="Times New Roman" w:cs="Times New Roman"/>
                <w:sz w:val="24"/>
                <w:szCs w:val="24"/>
              </w:rPr>
              <w:t>stāšanos spēkā ar 2016. gada 1.jūliju, 2016. gadā būs 9,341 milj. </w:t>
            </w:r>
            <w:proofErr w:type="spellStart"/>
            <w:r w:rsidR="00275975" w:rsidRPr="00AE1744">
              <w:rPr>
                <w:rFonts w:ascii="Times New Roman" w:eastAsia="Times New Roman" w:hAnsi="Times New Roman" w:cs="Times New Roman"/>
                <w:i/>
                <w:sz w:val="24"/>
                <w:szCs w:val="24"/>
              </w:rPr>
              <w:t>euro</w:t>
            </w:r>
            <w:proofErr w:type="spellEnd"/>
            <w:r w:rsidR="00275975" w:rsidRPr="00AE1744">
              <w:rPr>
                <w:rFonts w:ascii="Times New Roman" w:eastAsia="Times New Roman" w:hAnsi="Times New Roman" w:cs="Times New Roman"/>
                <w:sz w:val="24"/>
                <w:szCs w:val="24"/>
              </w:rPr>
              <w:t>, 2017. un 2018. gadā 22,418 milj. </w:t>
            </w:r>
            <w:proofErr w:type="spellStart"/>
            <w:r w:rsidR="00275975" w:rsidRPr="00AE1744">
              <w:rPr>
                <w:rFonts w:ascii="Times New Roman" w:eastAsia="Times New Roman" w:hAnsi="Times New Roman" w:cs="Times New Roman"/>
                <w:i/>
                <w:sz w:val="24"/>
                <w:szCs w:val="24"/>
              </w:rPr>
              <w:t>euro</w:t>
            </w:r>
            <w:proofErr w:type="spellEnd"/>
            <w:r w:rsidR="00275975" w:rsidRPr="00AE1744">
              <w:rPr>
                <w:rFonts w:ascii="Times New Roman" w:eastAsia="Times New Roman" w:hAnsi="Times New Roman" w:cs="Times New Roman"/>
                <w:sz w:val="24"/>
                <w:szCs w:val="24"/>
              </w:rPr>
              <w:t xml:space="preserve"> (katru gadu).</w:t>
            </w:r>
          </w:p>
          <w:p w14:paraId="0877774C" w14:textId="77777777" w:rsidR="001D421B" w:rsidRDefault="001D421B" w:rsidP="009C3A8A">
            <w:pPr>
              <w:spacing w:after="120" w:line="240" w:lineRule="auto"/>
              <w:ind w:right="125"/>
              <w:jc w:val="both"/>
              <w:rPr>
                <w:rFonts w:ascii="Times New Roman" w:eastAsia="Times New Roman" w:hAnsi="Times New Roman" w:cs="Times New Roman"/>
                <w:sz w:val="24"/>
                <w:szCs w:val="24"/>
              </w:rPr>
            </w:pPr>
          </w:p>
          <w:p w14:paraId="28E45FD7" w14:textId="77777777" w:rsidR="007A479D" w:rsidRDefault="007A479D" w:rsidP="009C3A8A">
            <w:pPr>
              <w:spacing w:after="120" w:line="240" w:lineRule="auto"/>
              <w:ind w:right="125"/>
              <w:jc w:val="both"/>
              <w:rPr>
                <w:rFonts w:ascii="Times New Roman" w:eastAsia="Times New Roman" w:hAnsi="Times New Roman" w:cs="Times New Roman"/>
                <w:sz w:val="24"/>
                <w:szCs w:val="24"/>
              </w:rPr>
            </w:pPr>
          </w:p>
          <w:p w14:paraId="5C3D794B" w14:textId="77777777" w:rsidR="007A479D" w:rsidRPr="00AE1744" w:rsidRDefault="007A479D" w:rsidP="009C3A8A">
            <w:pPr>
              <w:spacing w:after="120" w:line="240" w:lineRule="auto"/>
              <w:ind w:right="125"/>
              <w:jc w:val="both"/>
              <w:rPr>
                <w:rFonts w:ascii="Times New Roman" w:eastAsia="Times New Roman" w:hAnsi="Times New Roman" w:cs="Times New Roman"/>
                <w:sz w:val="24"/>
                <w:szCs w:val="24"/>
              </w:rPr>
            </w:pPr>
          </w:p>
          <w:p w14:paraId="6A2846E2" w14:textId="77777777" w:rsidR="008A6931" w:rsidRPr="00AE1744" w:rsidRDefault="008A6931" w:rsidP="008A6931">
            <w:pPr>
              <w:spacing w:after="120" w:line="240" w:lineRule="auto"/>
              <w:ind w:right="125"/>
              <w:jc w:val="both"/>
              <w:rPr>
                <w:rFonts w:ascii="Times New Roman" w:eastAsia="Times New Roman" w:hAnsi="Times New Roman" w:cs="Times New Roman"/>
                <w:sz w:val="24"/>
                <w:szCs w:val="24"/>
                <w:u w:val="single"/>
              </w:rPr>
            </w:pPr>
            <w:r w:rsidRPr="00AE1744">
              <w:rPr>
                <w:rFonts w:ascii="Times New Roman" w:eastAsia="Times New Roman" w:hAnsi="Times New Roman" w:cs="Times New Roman"/>
                <w:sz w:val="24"/>
                <w:szCs w:val="24"/>
                <w:u w:val="single"/>
              </w:rPr>
              <w:t>PVN kultūras pakalpojumiem</w:t>
            </w:r>
          </w:p>
          <w:p w14:paraId="51A16AF4" w14:textId="77777777" w:rsidR="00275975" w:rsidRPr="00AE1744" w:rsidRDefault="00275975" w:rsidP="00275975">
            <w:pPr>
              <w:spacing w:after="0" w:line="240" w:lineRule="auto"/>
              <w:ind w:right="125"/>
              <w:jc w:val="both"/>
              <w:rPr>
                <w:rFonts w:ascii="Times New Roman" w:eastAsia="Times New Roman" w:hAnsi="Times New Roman" w:cs="Times New Roman"/>
                <w:sz w:val="24"/>
                <w:szCs w:val="24"/>
              </w:rPr>
            </w:pPr>
            <w:r w:rsidRPr="00AE1744">
              <w:rPr>
                <w:rFonts w:ascii="Times New Roman" w:eastAsia="Times New Roman" w:hAnsi="Times New Roman" w:cs="Times New Roman"/>
                <w:sz w:val="24"/>
                <w:szCs w:val="24"/>
              </w:rPr>
              <w:t>Analizējot PVN deklarāciju datus</w:t>
            </w:r>
            <w:r w:rsidRPr="00AE1744">
              <w:rPr>
                <w:rStyle w:val="FootnoteReference"/>
                <w:rFonts w:ascii="Times New Roman" w:eastAsia="Times New Roman" w:hAnsi="Times New Roman" w:cs="Times New Roman"/>
                <w:sz w:val="24"/>
                <w:szCs w:val="24"/>
              </w:rPr>
              <w:footnoteReference w:id="2"/>
            </w:r>
            <w:r w:rsidRPr="00AE1744">
              <w:rPr>
                <w:rFonts w:ascii="Times New Roman" w:eastAsia="Times New Roman" w:hAnsi="Times New Roman" w:cs="Times New Roman"/>
                <w:sz w:val="24"/>
                <w:szCs w:val="24"/>
              </w:rPr>
              <w:t xml:space="preserve"> par 2014.gadu (informācija sagatavota 2015. gada augustā), ar PVN neapliekamiem darījumiem no </w:t>
            </w:r>
            <w:r w:rsidRPr="00AE1744">
              <w:rPr>
                <w:rFonts w:ascii="Times New Roman" w:hAnsi="Times New Roman" w:cs="Times New Roman"/>
                <w:sz w:val="24"/>
                <w:szCs w:val="24"/>
              </w:rPr>
              <w:t xml:space="preserve">NACE red.2 klasifikācijas koda 90.0 (radošas, mākslinieciskas un izklaides darbības) ar </w:t>
            </w:r>
            <w:r w:rsidRPr="00AE1744">
              <w:rPr>
                <w:rFonts w:ascii="Times New Roman" w:eastAsia="Times New Roman" w:hAnsi="Times New Roman" w:cs="Times New Roman"/>
                <w:sz w:val="24"/>
                <w:szCs w:val="24"/>
              </w:rPr>
              <w:t xml:space="preserve">PVN neapliekamo darījumu </w:t>
            </w:r>
            <w:r w:rsidRPr="00AE1744">
              <w:rPr>
                <w:rFonts w:ascii="Times New Roman" w:hAnsi="Times New Roman" w:cs="Times New Roman"/>
                <w:sz w:val="24"/>
                <w:szCs w:val="24"/>
              </w:rPr>
              <w:t>kopsumma bija 14,8 milj. </w:t>
            </w:r>
            <w:proofErr w:type="spellStart"/>
            <w:r w:rsidRPr="00AE1744">
              <w:rPr>
                <w:rFonts w:ascii="Times New Roman" w:eastAsia="Times New Roman" w:hAnsi="Times New Roman" w:cs="Times New Roman"/>
                <w:i/>
                <w:sz w:val="24"/>
                <w:szCs w:val="24"/>
              </w:rPr>
              <w:t>euro</w:t>
            </w:r>
            <w:proofErr w:type="spellEnd"/>
            <w:r w:rsidRPr="00AE1744">
              <w:rPr>
                <w:rFonts w:ascii="Times New Roman" w:eastAsia="Times New Roman" w:hAnsi="Times New Roman" w:cs="Times New Roman"/>
                <w:sz w:val="24"/>
                <w:szCs w:val="24"/>
              </w:rPr>
              <w:t xml:space="preserve"> (neskaitot valsts un pašvaldību kapitālsabiedrības un iestādes).</w:t>
            </w:r>
          </w:p>
          <w:p w14:paraId="3890F493" w14:textId="3E85B7F8" w:rsidR="00275975" w:rsidRPr="00AE1744" w:rsidRDefault="00275975" w:rsidP="00275975">
            <w:pPr>
              <w:spacing w:after="0" w:line="240" w:lineRule="auto"/>
              <w:ind w:right="125"/>
              <w:jc w:val="both"/>
              <w:rPr>
                <w:rFonts w:ascii="Times New Roman" w:hAnsi="Times New Roman" w:cs="Times New Roman"/>
                <w:sz w:val="24"/>
                <w:szCs w:val="24"/>
              </w:rPr>
            </w:pPr>
            <w:r w:rsidRPr="00AE1744">
              <w:rPr>
                <w:rFonts w:ascii="Times New Roman" w:hAnsi="Times New Roman" w:cs="Times New Roman"/>
                <w:sz w:val="24"/>
                <w:szCs w:val="24"/>
              </w:rPr>
              <w:t xml:space="preserve">Precizējot PVN atbrīvojuma piemērošanu kultūras pakalpojumiem, un nosakot, ka atsevišķām kultūras institūcijām, kuras sniedz kultūras pakalpojumus, vairs nebūs piemērojams atbrīvojums no PVN, (tiks piemērota PVN </w:t>
            </w:r>
            <w:proofErr w:type="spellStart"/>
            <w:r w:rsidRPr="00AE1744">
              <w:rPr>
                <w:rFonts w:ascii="Times New Roman" w:hAnsi="Times New Roman" w:cs="Times New Roman"/>
                <w:sz w:val="24"/>
                <w:szCs w:val="24"/>
              </w:rPr>
              <w:t>standartlikme</w:t>
            </w:r>
            <w:proofErr w:type="spellEnd"/>
            <w:r w:rsidRPr="00AE1744">
              <w:rPr>
                <w:rFonts w:ascii="Times New Roman" w:hAnsi="Times New Roman" w:cs="Times New Roman"/>
                <w:sz w:val="24"/>
                <w:szCs w:val="24"/>
              </w:rPr>
              <w:t xml:space="preserve"> 21%), ietekme uz valsts budžeta ieņēmumiem 2016.gadā un turpmāk ir aprēķināta 3,1 milj. </w:t>
            </w:r>
            <w:proofErr w:type="spellStart"/>
            <w:r w:rsidRPr="00AE1744">
              <w:rPr>
                <w:rFonts w:ascii="Times New Roman" w:hAnsi="Times New Roman" w:cs="Times New Roman"/>
                <w:i/>
                <w:sz w:val="24"/>
                <w:szCs w:val="24"/>
              </w:rPr>
              <w:t>euro</w:t>
            </w:r>
            <w:proofErr w:type="spellEnd"/>
            <w:r w:rsidRPr="00AE1744">
              <w:rPr>
                <w:rFonts w:ascii="Times New Roman" w:hAnsi="Times New Roman" w:cs="Times New Roman"/>
                <w:sz w:val="24"/>
                <w:szCs w:val="24"/>
              </w:rPr>
              <w:t xml:space="preserve"> (katru gadu).</w:t>
            </w:r>
          </w:p>
          <w:p w14:paraId="2C036E64" w14:textId="77777777" w:rsidR="00275975" w:rsidRPr="00AE1744" w:rsidRDefault="00275975" w:rsidP="00275975">
            <w:pPr>
              <w:spacing w:after="0" w:line="240" w:lineRule="auto"/>
              <w:ind w:right="125"/>
              <w:jc w:val="both"/>
              <w:rPr>
                <w:rFonts w:ascii="Times New Roman" w:hAnsi="Times New Roman" w:cs="Times New Roman"/>
                <w:sz w:val="24"/>
                <w:szCs w:val="24"/>
              </w:rPr>
            </w:pPr>
            <w:r w:rsidRPr="00AE1744">
              <w:rPr>
                <w:rFonts w:ascii="Times New Roman" w:hAnsi="Times New Roman" w:cs="Times New Roman"/>
                <w:sz w:val="24"/>
                <w:szCs w:val="24"/>
              </w:rPr>
              <w:t xml:space="preserve"> Aprēķins: 14,8*21%=3,1 </w:t>
            </w:r>
            <w:proofErr w:type="spellStart"/>
            <w:r w:rsidRPr="00AE1744">
              <w:rPr>
                <w:rFonts w:ascii="Times New Roman" w:eastAsia="Times New Roman" w:hAnsi="Times New Roman" w:cs="Times New Roman"/>
                <w:i/>
                <w:sz w:val="24"/>
                <w:szCs w:val="24"/>
              </w:rPr>
              <w:t>euro</w:t>
            </w:r>
            <w:proofErr w:type="spellEnd"/>
            <w:r w:rsidRPr="00AE1744">
              <w:rPr>
                <w:rFonts w:ascii="Times New Roman" w:eastAsia="Times New Roman" w:hAnsi="Times New Roman" w:cs="Times New Roman"/>
                <w:sz w:val="24"/>
                <w:szCs w:val="20"/>
              </w:rPr>
              <w:t>.</w:t>
            </w:r>
            <w:r w:rsidRPr="00AE1744">
              <w:rPr>
                <w:rFonts w:ascii="Times New Roman" w:hAnsi="Times New Roman" w:cs="Times New Roman"/>
                <w:sz w:val="24"/>
                <w:szCs w:val="24"/>
              </w:rPr>
              <w:t xml:space="preserve"> </w:t>
            </w:r>
          </w:p>
          <w:p w14:paraId="3A3B9BF1" w14:textId="2AEF70C6" w:rsidR="009D785B" w:rsidRPr="00AE1744" w:rsidRDefault="00275975" w:rsidP="00275975">
            <w:pPr>
              <w:spacing w:after="0" w:line="240" w:lineRule="auto"/>
              <w:ind w:right="125"/>
              <w:jc w:val="both"/>
              <w:rPr>
                <w:rFonts w:ascii="Times New Roman" w:eastAsia="Times New Roman" w:hAnsi="Times New Roman" w:cs="Times New Roman"/>
                <w:sz w:val="24"/>
                <w:szCs w:val="24"/>
              </w:rPr>
            </w:pPr>
            <w:r w:rsidRPr="00AE1744">
              <w:rPr>
                <w:rFonts w:ascii="Times New Roman" w:hAnsi="Times New Roman" w:cs="Times New Roman"/>
                <w:sz w:val="24"/>
                <w:szCs w:val="24"/>
              </w:rPr>
              <w:t>Ietekme uz valsts budžeta ieņēmumiem ir aprēķināta ņemot vērā PVN maksāšanas kārtību valsts budžetā un PVN likuma grozījumu stāšanos spēkā 2016. gada 1. janvārī.</w:t>
            </w:r>
          </w:p>
        </w:tc>
      </w:tr>
      <w:tr w:rsidR="00813FA3" w:rsidRPr="0046177E" w14:paraId="7431C1F7" w14:textId="77777777" w:rsidTr="007A479D">
        <w:tc>
          <w:tcPr>
            <w:tcW w:w="1459" w:type="pct"/>
            <w:gridSpan w:val="2"/>
            <w:tcBorders>
              <w:top w:val="outset" w:sz="6" w:space="0" w:color="000000"/>
              <w:left w:val="outset" w:sz="6" w:space="0" w:color="000000"/>
              <w:bottom w:val="outset" w:sz="6" w:space="0" w:color="000000"/>
              <w:right w:val="outset" w:sz="6" w:space="0" w:color="000000"/>
            </w:tcBorders>
          </w:tcPr>
          <w:p w14:paraId="1C9AE0BB" w14:textId="77777777" w:rsidR="00813FA3" w:rsidRPr="00813FA3" w:rsidRDefault="00813FA3" w:rsidP="00B01360">
            <w:pPr>
              <w:spacing w:after="0" w:line="240" w:lineRule="auto"/>
              <w:rPr>
                <w:rFonts w:ascii="Times New Roman" w:eastAsia="Times New Roman" w:hAnsi="Times New Roman" w:cs="Times New Roman"/>
              </w:rPr>
            </w:pPr>
            <w:r w:rsidRPr="00813FA3">
              <w:rPr>
                <w:rFonts w:ascii="Times New Roman" w:eastAsia="Times New Roman" w:hAnsi="Times New Roman" w:cs="Times New Roman"/>
              </w:rPr>
              <w:t>6.1. detalizēts ieņēmumu aprēķins</w:t>
            </w:r>
          </w:p>
        </w:tc>
        <w:tc>
          <w:tcPr>
            <w:tcW w:w="3539" w:type="pct"/>
            <w:gridSpan w:val="2"/>
            <w:vMerge/>
            <w:tcBorders>
              <w:top w:val="outset" w:sz="6" w:space="0" w:color="000000"/>
              <w:left w:val="outset" w:sz="6" w:space="0" w:color="000000"/>
              <w:bottom w:val="outset" w:sz="6" w:space="0" w:color="000000"/>
              <w:right w:val="outset" w:sz="6" w:space="0" w:color="000000"/>
            </w:tcBorders>
            <w:vAlign w:val="center"/>
          </w:tcPr>
          <w:p w14:paraId="7CAC2C70" w14:textId="77777777" w:rsidR="00813FA3" w:rsidRPr="00813FA3" w:rsidRDefault="00813FA3" w:rsidP="00B01360">
            <w:pPr>
              <w:spacing w:after="0" w:line="240" w:lineRule="auto"/>
              <w:rPr>
                <w:rFonts w:ascii="Times New Roman" w:eastAsia="Times New Roman" w:hAnsi="Times New Roman" w:cs="Times New Roman"/>
              </w:rPr>
            </w:pPr>
          </w:p>
        </w:tc>
      </w:tr>
      <w:tr w:rsidR="00813FA3" w:rsidRPr="0046177E" w14:paraId="7446DC03" w14:textId="77777777" w:rsidTr="007A479D">
        <w:tc>
          <w:tcPr>
            <w:tcW w:w="1459" w:type="pct"/>
            <w:gridSpan w:val="2"/>
            <w:tcBorders>
              <w:top w:val="outset" w:sz="6" w:space="0" w:color="000000"/>
              <w:left w:val="outset" w:sz="6" w:space="0" w:color="000000"/>
              <w:bottom w:val="outset" w:sz="6" w:space="0" w:color="000000"/>
              <w:right w:val="outset" w:sz="6" w:space="0" w:color="000000"/>
            </w:tcBorders>
          </w:tcPr>
          <w:p w14:paraId="33EB158B" w14:textId="77777777" w:rsidR="00813FA3" w:rsidRPr="00813FA3" w:rsidRDefault="00813FA3" w:rsidP="00B01360">
            <w:pPr>
              <w:spacing w:after="0" w:line="240" w:lineRule="auto"/>
              <w:rPr>
                <w:rFonts w:ascii="Times New Roman" w:eastAsia="Times New Roman" w:hAnsi="Times New Roman" w:cs="Times New Roman"/>
              </w:rPr>
            </w:pPr>
            <w:r w:rsidRPr="00813FA3">
              <w:rPr>
                <w:rFonts w:ascii="Times New Roman" w:eastAsia="Times New Roman" w:hAnsi="Times New Roman" w:cs="Times New Roman"/>
              </w:rPr>
              <w:t>6.2. detalizēts izdevumu aprēķins</w:t>
            </w:r>
          </w:p>
        </w:tc>
        <w:tc>
          <w:tcPr>
            <w:tcW w:w="3539" w:type="pct"/>
            <w:gridSpan w:val="2"/>
            <w:vMerge/>
            <w:tcBorders>
              <w:top w:val="outset" w:sz="6" w:space="0" w:color="000000"/>
              <w:left w:val="outset" w:sz="6" w:space="0" w:color="000000"/>
              <w:bottom w:val="outset" w:sz="6" w:space="0" w:color="000000"/>
              <w:right w:val="outset" w:sz="6" w:space="0" w:color="000000"/>
            </w:tcBorders>
            <w:vAlign w:val="center"/>
          </w:tcPr>
          <w:p w14:paraId="5CA6563A" w14:textId="77777777" w:rsidR="00813FA3" w:rsidRPr="00813FA3" w:rsidRDefault="00813FA3" w:rsidP="00B01360">
            <w:pPr>
              <w:spacing w:after="0" w:line="240" w:lineRule="auto"/>
              <w:rPr>
                <w:rFonts w:ascii="Times New Roman" w:eastAsia="Times New Roman" w:hAnsi="Times New Roman" w:cs="Times New Roman"/>
              </w:rPr>
            </w:pPr>
          </w:p>
        </w:tc>
      </w:tr>
      <w:tr w:rsidR="00813FA3" w:rsidRPr="0046177E" w14:paraId="3596F3BA" w14:textId="77777777" w:rsidTr="007A479D">
        <w:tc>
          <w:tcPr>
            <w:tcW w:w="1459" w:type="pct"/>
            <w:gridSpan w:val="2"/>
            <w:tcBorders>
              <w:top w:val="outset" w:sz="6" w:space="0" w:color="000000"/>
              <w:left w:val="outset" w:sz="6" w:space="0" w:color="000000"/>
              <w:bottom w:val="outset" w:sz="6" w:space="0" w:color="000000"/>
              <w:right w:val="outset" w:sz="6" w:space="0" w:color="000000"/>
            </w:tcBorders>
          </w:tcPr>
          <w:p w14:paraId="5D736356" w14:textId="77777777" w:rsidR="00813FA3" w:rsidRPr="00813FA3" w:rsidRDefault="00813FA3" w:rsidP="00B01360">
            <w:pPr>
              <w:spacing w:after="0" w:line="240" w:lineRule="auto"/>
              <w:rPr>
                <w:rFonts w:ascii="Times New Roman" w:eastAsia="Times New Roman" w:hAnsi="Times New Roman" w:cs="Times New Roman"/>
              </w:rPr>
            </w:pPr>
            <w:r w:rsidRPr="00813FA3">
              <w:rPr>
                <w:rFonts w:ascii="Times New Roman" w:eastAsia="Times New Roman" w:hAnsi="Times New Roman" w:cs="Times New Roman"/>
              </w:rPr>
              <w:t>7. Cita informācija</w:t>
            </w:r>
          </w:p>
        </w:tc>
        <w:tc>
          <w:tcPr>
            <w:tcW w:w="3539" w:type="pct"/>
            <w:gridSpan w:val="2"/>
            <w:tcBorders>
              <w:top w:val="outset" w:sz="6" w:space="0" w:color="000000"/>
              <w:left w:val="outset" w:sz="6" w:space="0" w:color="000000"/>
              <w:bottom w:val="outset" w:sz="6" w:space="0" w:color="000000"/>
              <w:right w:val="outset" w:sz="6" w:space="0" w:color="000000"/>
            </w:tcBorders>
          </w:tcPr>
          <w:p w14:paraId="2EB6CB03" w14:textId="77777777" w:rsidR="00813FA3" w:rsidRPr="000D6F24" w:rsidRDefault="00630010" w:rsidP="00B01360">
            <w:pPr>
              <w:spacing w:line="240" w:lineRule="auto"/>
              <w:ind w:left="57" w:right="142"/>
              <w:jc w:val="both"/>
              <w:rPr>
                <w:rFonts w:ascii="Times New Roman" w:hAnsi="Times New Roman" w:cs="Times New Roman"/>
                <w:sz w:val="24"/>
                <w:szCs w:val="24"/>
              </w:rPr>
            </w:pPr>
            <w:r>
              <w:rPr>
                <w:rFonts w:ascii="Times New Roman" w:hAnsi="Times New Roman" w:cs="Times New Roman"/>
                <w:sz w:val="24"/>
                <w:szCs w:val="24"/>
              </w:rPr>
              <w:t>Nav</w:t>
            </w:r>
          </w:p>
        </w:tc>
      </w:tr>
      <w:tr w:rsidR="00174D0F" w:rsidRPr="00174D0F" w14:paraId="0E47D190" w14:textId="77777777" w:rsidTr="007A4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1"/>
        </w:trPr>
        <w:tc>
          <w:tcPr>
            <w:tcW w:w="4998" w:type="pct"/>
            <w:gridSpan w:val="4"/>
            <w:vAlign w:val="center"/>
          </w:tcPr>
          <w:p w14:paraId="375335E8" w14:textId="77777777" w:rsidR="00174D0F" w:rsidRPr="00174D0F" w:rsidRDefault="00174D0F" w:rsidP="00174D0F">
            <w:pPr>
              <w:spacing w:after="0" w:line="240" w:lineRule="auto"/>
              <w:jc w:val="center"/>
              <w:rPr>
                <w:rFonts w:ascii="Times New Roman" w:eastAsia="Times New Roman" w:hAnsi="Times New Roman" w:cs="Times New Roman"/>
                <w:b/>
                <w:sz w:val="24"/>
                <w:szCs w:val="24"/>
              </w:rPr>
            </w:pPr>
            <w:r w:rsidRPr="00174D0F">
              <w:rPr>
                <w:rFonts w:ascii="Times New Roman" w:eastAsia="Times New Roman" w:hAnsi="Times New Roman" w:cs="Times New Roman"/>
                <w:sz w:val="24"/>
                <w:szCs w:val="24"/>
              </w:rPr>
              <w:br w:type="page"/>
            </w:r>
            <w:r w:rsidRPr="00174D0F">
              <w:rPr>
                <w:rFonts w:ascii="Times New Roman" w:eastAsia="Times New Roman" w:hAnsi="Times New Roman" w:cs="Times New Roman"/>
                <w:b/>
                <w:sz w:val="24"/>
                <w:szCs w:val="24"/>
              </w:rPr>
              <w:t>IV. Tiesību akta projekta ietekme uz spēkā esošo tiesību normu sistēmu</w:t>
            </w:r>
          </w:p>
        </w:tc>
      </w:tr>
      <w:tr w:rsidR="00174D0F" w:rsidRPr="00174D0F" w14:paraId="0F902652" w14:textId="77777777" w:rsidTr="007A4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12" w:type="pct"/>
          </w:tcPr>
          <w:p w14:paraId="743F3157" w14:textId="77777777" w:rsidR="00174D0F" w:rsidRPr="00174D0F" w:rsidRDefault="00174D0F" w:rsidP="00174D0F">
            <w:pPr>
              <w:tabs>
                <w:tab w:val="left" w:pos="2628"/>
              </w:tabs>
              <w:spacing w:after="0" w:line="240" w:lineRule="auto"/>
              <w:jc w:val="both"/>
              <w:rPr>
                <w:rFonts w:ascii="Times New Roman" w:eastAsia="Times New Roman" w:hAnsi="Times New Roman" w:cs="Times New Roman"/>
                <w:iCs/>
                <w:sz w:val="24"/>
                <w:szCs w:val="24"/>
              </w:rPr>
            </w:pPr>
            <w:r w:rsidRPr="00174D0F">
              <w:rPr>
                <w:rFonts w:ascii="Times New Roman" w:eastAsia="Times New Roman" w:hAnsi="Times New Roman" w:cs="Times New Roman"/>
                <w:iCs/>
                <w:sz w:val="24"/>
                <w:szCs w:val="24"/>
              </w:rPr>
              <w:t>1.</w:t>
            </w:r>
          </w:p>
        </w:tc>
        <w:tc>
          <w:tcPr>
            <w:tcW w:w="1413" w:type="pct"/>
            <w:gridSpan w:val="2"/>
          </w:tcPr>
          <w:p w14:paraId="3754C101" w14:textId="77777777" w:rsidR="00174D0F" w:rsidRPr="00174D0F" w:rsidRDefault="00174D0F" w:rsidP="00174D0F">
            <w:pPr>
              <w:tabs>
                <w:tab w:val="left" w:pos="2628"/>
              </w:tabs>
              <w:spacing w:after="0" w:line="240" w:lineRule="auto"/>
              <w:jc w:val="both"/>
              <w:rPr>
                <w:rFonts w:ascii="Times New Roman" w:eastAsia="Times New Roman" w:hAnsi="Times New Roman" w:cs="Times New Roman"/>
                <w:iCs/>
                <w:sz w:val="24"/>
                <w:szCs w:val="24"/>
              </w:rPr>
            </w:pPr>
            <w:r w:rsidRPr="00174D0F">
              <w:rPr>
                <w:rFonts w:ascii="Times New Roman" w:eastAsia="Times New Roman" w:hAnsi="Times New Roman" w:cs="Times New Roman"/>
                <w:sz w:val="24"/>
                <w:szCs w:val="24"/>
              </w:rPr>
              <w:t>Nepieciešamie saistītie tiesību aktu projekti</w:t>
            </w:r>
          </w:p>
        </w:tc>
        <w:tc>
          <w:tcPr>
            <w:tcW w:w="3373" w:type="pct"/>
          </w:tcPr>
          <w:p w14:paraId="497D1A81" w14:textId="3D63294F" w:rsidR="00174D0F" w:rsidRPr="00AE1744" w:rsidRDefault="00174D0F" w:rsidP="00A20104">
            <w:pPr>
              <w:adjustRightInd w:val="0"/>
              <w:spacing w:before="120" w:after="0" w:line="240" w:lineRule="auto"/>
              <w:ind w:right="127"/>
              <w:jc w:val="both"/>
              <w:rPr>
                <w:rFonts w:ascii="Times New Roman" w:eastAsia="Times New Roman" w:hAnsi="Times New Roman" w:cs="Times New Roman"/>
                <w:sz w:val="24"/>
                <w:szCs w:val="24"/>
              </w:rPr>
            </w:pPr>
            <w:r w:rsidRPr="00174D0F">
              <w:rPr>
                <w:rFonts w:ascii="Times New Roman" w:eastAsia="Times New Roman" w:hAnsi="Times New Roman" w:cs="Times New Roman"/>
                <w:sz w:val="24"/>
                <w:szCs w:val="24"/>
              </w:rPr>
              <w:t xml:space="preserve">Saistībā ar likumprojekta ieviešanu Finanšu ministrija izstrādās grozījumus Ministru kabineta 2013. gada 3. janvāra noteikumos Nr. 17 “Pievienotās vērtības nodokļa likuma normu piemērošanas kārtība un atsevišķas prasības pievienotās vērtības nodokļa maksāšanai </w:t>
            </w:r>
            <w:r w:rsidRPr="00AE1744">
              <w:rPr>
                <w:rFonts w:ascii="Times New Roman" w:eastAsia="Times New Roman" w:hAnsi="Times New Roman" w:cs="Times New Roman"/>
                <w:sz w:val="24"/>
                <w:szCs w:val="24"/>
              </w:rPr>
              <w:t xml:space="preserve">un administrēšanai” (turpmāk </w:t>
            </w:r>
            <w:r w:rsidR="00831004" w:rsidRPr="00AE1744">
              <w:rPr>
                <w:rFonts w:ascii="Times New Roman" w:eastAsia="Times New Roman" w:hAnsi="Times New Roman" w:cs="Times New Roman"/>
                <w:sz w:val="24"/>
                <w:szCs w:val="24"/>
              </w:rPr>
              <w:t xml:space="preserve">- </w:t>
            </w:r>
            <w:r w:rsidRPr="00AE1744">
              <w:rPr>
                <w:rFonts w:ascii="Times New Roman" w:eastAsia="Times New Roman" w:hAnsi="Times New Roman" w:cs="Times New Roman"/>
                <w:sz w:val="24"/>
                <w:szCs w:val="24"/>
              </w:rPr>
              <w:t xml:space="preserve">MK noteikumi Nr. 17). </w:t>
            </w:r>
            <w:bookmarkStart w:id="0" w:name="p-458940"/>
            <w:bookmarkStart w:id="1" w:name="p56"/>
            <w:bookmarkEnd w:id="0"/>
            <w:bookmarkEnd w:id="1"/>
            <w:r w:rsidRPr="00AE1744">
              <w:rPr>
                <w:rFonts w:ascii="Times New Roman" w:eastAsia="Times New Roman" w:hAnsi="Times New Roman" w:cs="Times New Roman"/>
                <w:color w:val="000000"/>
                <w:sz w:val="24"/>
                <w:szCs w:val="24"/>
              </w:rPr>
              <w:t>Grozījumi nepieciešami, jo tiek izslēgts PVN likuma 52. panta pirmās daļas 25. punkta “b” apakšpunkts, kura piemērošanu skaidro MK noteikumu Nr. 17. 56., 57. un 58.punkti.</w:t>
            </w:r>
          </w:p>
          <w:p w14:paraId="3384FAA4" w14:textId="22255804" w:rsidR="009D785B" w:rsidRPr="00445181" w:rsidRDefault="00445181" w:rsidP="00AE1744">
            <w:pPr>
              <w:spacing w:before="120" w:after="0" w:line="240" w:lineRule="auto"/>
              <w:jc w:val="both"/>
              <w:rPr>
                <w:rFonts w:ascii="Times New Roman" w:eastAsia="Calibri" w:hAnsi="Times New Roman" w:cs="Times New Roman"/>
                <w:iCs/>
                <w:color w:val="000000"/>
                <w:sz w:val="24"/>
                <w:szCs w:val="24"/>
              </w:rPr>
            </w:pPr>
            <w:r w:rsidRPr="00AE1744">
              <w:rPr>
                <w:rFonts w:ascii="Times New Roman" w:eastAsia="Calibri" w:hAnsi="Times New Roman" w:cs="Times New Roman"/>
                <w:color w:val="000000"/>
                <w:sz w:val="24"/>
                <w:szCs w:val="24"/>
              </w:rPr>
              <w:t>Finanšu ministrija nodrošina</w:t>
            </w:r>
            <w:r w:rsidR="00174D0F" w:rsidRPr="00AE1744">
              <w:rPr>
                <w:rFonts w:ascii="Times New Roman" w:eastAsia="Calibri" w:hAnsi="Times New Roman" w:cs="Times New Roman"/>
                <w:color w:val="000000"/>
                <w:sz w:val="24"/>
                <w:szCs w:val="24"/>
              </w:rPr>
              <w:t xml:space="preserve"> </w:t>
            </w:r>
            <w:r w:rsidR="001745D3" w:rsidRPr="00AE1744">
              <w:rPr>
                <w:rFonts w:ascii="Times New Roman" w:eastAsia="Calibri" w:hAnsi="Times New Roman" w:cs="Times New Roman"/>
                <w:color w:val="000000"/>
                <w:sz w:val="24"/>
                <w:szCs w:val="24"/>
              </w:rPr>
              <w:t xml:space="preserve">grozījumu </w:t>
            </w:r>
            <w:r w:rsidR="001745D3" w:rsidRPr="00AE1744">
              <w:rPr>
                <w:rFonts w:ascii="Times New Roman" w:eastAsia="Calibri" w:hAnsi="Times New Roman" w:cs="Times New Roman"/>
                <w:iCs/>
                <w:color w:val="000000"/>
                <w:sz w:val="24"/>
                <w:szCs w:val="24"/>
              </w:rPr>
              <w:t>MK noteikumos Nr. 17 sagatavošanu</w:t>
            </w:r>
            <w:r w:rsidR="00174D0F" w:rsidRPr="00AE1744">
              <w:rPr>
                <w:rFonts w:ascii="Times New Roman" w:eastAsia="Calibri" w:hAnsi="Times New Roman" w:cs="Times New Roman"/>
                <w:iCs/>
                <w:color w:val="000000"/>
                <w:sz w:val="24"/>
                <w:szCs w:val="24"/>
              </w:rPr>
              <w:t>.</w:t>
            </w:r>
          </w:p>
        </w:tc>
      </w:tr>
      <w:tr w:rsidR="00174D0F" w:rsidRPr="00174D0F" w14:paraId="3C61B168" w14:textId="77777777" w:rsidTr="007A4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12" w:type="pct"/>
          </w:tcPr>
          <w:p w14:paraId="281AC8DE" w14:textId="77777777" w:rsidR="00174D0F" w:rsidRPr="00174D0F" w:rsidRDefault="00174D0F" w:rsidP="00174D0F">
            <w:pPr>
              <w:tabs>
                <w:tab w:val="left" w:pos="2628"/>
              </w:tabs>
              <w:spacing w:after="0" w:line="240" w:lineRule="auto"/>
              <w:jc w:val="both"/>
              <w:rPr>
                <w:rFonts w:ascii="Times New Roman" w:eastAsia="Times New Roman" w:hAnsi="Times New Roman" w:cs="Times New Roman"/>
                <w:iCs/>
                <w:sz w:val="24"/>
                <w:szCs w:val="24"/>
              </w:rPr>
            </w:pPr>
            <w:r w:rsidRPr="00174D0F">
              <w:rPr>
                <w:rFonts w:ascii="Times New Roman" w:eastAsia="Times New Roman" w:hAnsi="Times New Roman" w:cs="Times New Roman"/>
                <w:iCs/>
                <w:sz w:val="24"/>
                <w:szCs w:val="24"/>
              </w:rPr>
              <w:t>2.</w:t>
            </w:r>
          </w:p>
        </w:tc>
        <w:tc>
          <w:tcPr>
            <w:tcW w:w="1413" w:type="pct"/>
            <w:gridSpan w:val="2"/>
          </w:tcPr>
          <w:p w14:paraId="2698C584" w14:textId="77777777" w:rsidR="00174D0F" w:rsidRPr="00174D0F" w:rsidRDefault="00174D0F" w:rsidP="00174D0F">
            <w:pPr>
              <w:tabs>
                <w:tab w:val="left" w:pos="2628"/>
              </w:tabs>
              <w:spacing w:after="0" w:line="240" w:lineRule="auto"/>
              <w:jc w:val="both"/>
              <w:rPr>
                <w:rFonts w:ascii="Times New Roman" w:eastAsia="Times New Roman" w:hAnsi="Times New Roman" w:cs="Times New Roman"/>
                <w:sz w:val="24"/>
                <w:szCs w:val="24"/>
              </w:rPr>
            </w:pPr>
            <w:r w:rsidRPr="00174D0F">
              <w:rPr>
                <w:rFonts w:ascii="Times New Roman" w:eastAsia="Times New Roman" w:hAnsi="Times New Roman" w:cs="Times New Roman"/>
                <w:sz w:val="24"/>
                <w:szCs w:val="24"/>
              </w:rPr>
              <w:t>Atbildīgā institūcija</w:t>
            </w:r>
          </w:p>
        </w:tc>
        <w:tc>
          <w:tcPr>
            <w:tcW w:w="3373" w:type="pct"/>
          </w:tcPr>
          <w:p w14:paraId="5D024D70" w14:textId="1E1A6518" w:rsidR="00174D0F" w:rsidRPr="00174D0F" w:rsidRDefault="00174D0F" w:rsidP="007A479D">
            <w:pPr>
              <w:shd w:val="clear" w:color="auto" w:fill="FFFFFF"/>
              <w:spacing w:after="0" w:line="240" w:lineRule="auto"/>
              <w:jc w:val="both"/>
              <w:rPr>
                <w:rFonts w:ascii="Times New Roman" w:hAnsi="Times New Roman" w:cs="Times New Roman"/>
                <w:color w:val="000000"/>
                <w:sz w:val="24"/>
                <w:szCs w:val="24"/>
              </w:rPr>
            </w:pPr>
            <w:r w:rsidRPr="00174D0F">
              <w:rPr>
                <w:rFonts w:ascii="Times New Roman" w:hAnsi="Times New Roman" w:cs="Times New Roman"/>
                <w:sz w:val="24"/>
                <w:szCs w:val="24"/>
              </w:rPr>
              <w:t>Finanšu ministrija</w:t>
            </w:r>
          </w:p>
        </w:tc>
      </w:tr>
      <w:tr w:rsidR="00174D0F" w:rsidRPr="00174D0F" w14:paraId="1D6D40A9" w14:textId="77777777" w:rsidTr="007A4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12" w:type="pct"/>
          </w:tcPr>
          <w:p w14:paraId="0ADFB5F5" w14:textId="77777777" w:rsidR="00174D0F" w:rsidRPr="00174D0F" w:rsidRDefault="00174D0F" w:rsidP="00174D0F">
            <w:pPr>
              <w:tabs>
                <w:tab w:val="left" w:pos="2628"/>
              </w:tabs>
              <w:spacing w:after="0" w:line="240" w:lineRule="auto"/>
              <w:jc w:val="both"/>
              <w:rPr>
                <w:rFonts w:ascii="Times New Roman" w:eastAsia="Times New Roman" w:hAnsi="Times New Roman" w:cs="Times New Roman"/>
                <w:iCs/>
                <w:sz w:val="24"/>
                <w:szCs w:val="24"/>
              </w:rPr>
            </w:pPr>
            <w:r w:rsidRPr="00174D0F">
              <w:rPr>
                <w:rFonts w:ascii="Times New Roman" w:eastAsia="Times New Roman" w:hAnsi="Times New Roman" w:cs="Times New Roman"/>
                <w:iCs/>
                <w:sz w:val="24"/>
                <w:szCs w:val="24"/>
              </w:rPr>
              <w:t>3.</w:t>
            </w:r>
          </w:p>
        </w:tc>
        <w:tc>
          <w:tcPr>
            <w:tcW w:w="1413" w:type="pct"/>
            <w:gridSpan w:val="2"/>
          </w:tcPr>
          <w:p w14:paraId="43541CF2" w14:textId="77777777" w:rsidR="00174D0F" w:rsidRPr="00174D0F" w:rsidRDefault="00174D0F" w:rsidP="00174D0F">
            <w:pPr>
              <w:tabs>
                <w:tab w:val="left" w:pos="2628"/>
              </w:tabs>
              <w:spacing w:after="0" w:line="240" w:lineRule="auto"/>
              <w:jc w:val="both"/>
              <w:rPr>
                <w:rFonts w:ascii="Times New Roman" w:eastAsia="Times New Roman" w:hAnsi="Times New Roman" w:cs="Times New Roman"/>
                <w:iCs/>
                <w:sz w:val="24"/>
                <w:szCs w:val="24"/>
              </w:rPr>
            </w:pPr>
            <w:r w:rsidRPr="00174D0F">
              <w:rPr>
                <w:rFonts w:ascii="Times New Roman" w:eastAsia="Times New Roman" w:hAnsi="Times New Roman" w:cs="Times New Roman"/>
                <w:sz w:val="24"/>
                <w:szCs w:val="24"/>
              </w:rPr>
              <w:t>Cita informācija</w:t>
            </w:r>
          </w:p>
        </w:tc>
        <w:tc>
          <w:tcPr>
            <w:tcW w:w="3373" w:type="pct"/>
          </w:tcPr>
          <w:p w14:paraId="0E15CD43" w14:textId="77777777" w:rsidR="00174D0F" w:rsidRPr="00AE1744" w:rsidRDefault="00174D0F" w:rsidP="002B015B">
            <w:pPr>
              <w:tabs>
                <w:tab w:val="left" w:pos="365"/>
              </w:tabs>
              <w:autoSpaceDE w:val="0"/>
              <w:autoSpaceDN w:val="0"/>
              <w:adjustRightInd w:val="0"/>
              <w:spacing w:after="0" w:line="240" w:lineRule="auto"/>
              <w:ind w:right="127"/>
              <w:jc w:val="both"/>
              <w:rPr>
                <w:rFonts w:ascii="Times New Roman" w:hAnsi="Times New Roman"/>
                <w:sz w:val="24"/>
                <w:szCs w:val="24"/>
              </w:rPr>
            </w:pPr>
            <w:r w:rsidRPr="00174D0F">
              <w:rPr>
                <w:rFonts w:ascii="Times New Roman" w:eastAsia="Times New Roman" w:hAnsi="Times New Roman" w:cs="Times New Roman"/>
                <w:sz w:val="24"/>
                <w:szCs w:val="24"/>
              </w:rPr>
              <w:t xml:space="preserve">Atbilstoši Ministru kabineta sēdes 2015. gada 27. janvāra </w:t>
            </w:r>
            <w:proofErr w:type="spellStart"/>
            <w:r w:rsidRPr="00174D0F">
              <w:rPr>
                <w:rFonts w:ascii="Times New Roman" w:eastAsia="Times New Roman" w:hAnsi="Times New Roman" w:cs="Times New Roman"/>
                <w:sz w:val="24"/>
                <w:szCs w:val="24"/>
              </w:rPr>
              <w:t>protokollēmumā</w:t>
            </w:r>
            <w:proofErr w:type="spellEnd"/>
            <w:r w:rsidRPr="00174D0F">
              <w:rPr>
                <w:rFonts w:ascii="Times New Roman" w:eastAsia="Times New Roman" w:hAnsi="Times New Roman" w:cs="Times New Roman"/>
                <w:sz w:val="24"/>
                <w:szCs w:val="24"/>
              </w:rPr>
              <w:t xml:space="preserve"> Nr. 5, 81. § noteiktajam, </w:t>
            </w:r>
            <w:r w:rsidRPr="00174D0F">
              <w:rPr>
                <w:rFonts w:ascii="Times New Roman" w:hAnsi="Times New Roman"/>
                <w:sz w:val="24"/>
                <w:szCs w:val="24"/>
              </w:rPr>
              <w:t>Ekonomikas ministrijai sadarbībā ar Vides aizsardzības un reģionālās attīstības ministriju un Finanšu ministriju līdz 2015. </w:t>
            </w:r>
            <w:r w:rsidR="00251C86">
              <w:rPr>
                <w:rFonts w:ascii="Times New Roman" w:hAnsi="Times New Roman"/>
                <w:sz w:val="24"/>
                <w:szCs w:val="24"/>
              </w:rPr>
              <w:t>gada 30. decembrim ir jāizvērtē un</w:t>
            </w:r>
            <w:r w:rsidRPr="00174D0F">
              <w:rPr>
                <w:rFonts w:ascii="Times New Roman" w:hAnsi="Times New Roman"/>
                <w:sz w:val="24"/>
                <w:szCs w:val="24"/>
              </w:rPr>
              <w:t xml:space="preserve"> nepieciešamības gadījumā jāsagatavo un līdz 2016. gada 1. aprīlim jāiesniedz izskatīšanai Ministru </w:t>
            </w:r>
            <w:r w:rsidRPr="00AE1744">
              <w:rPr>
                <w:rFonts w:ascii="Times New Roman" w:hAnsi="Times New Roman"/>
                <w:sz w:val="24"/>
                <w:szCs w:val="24"/>
              </w:rPr>
              <w:t>kabinetā grozījumu normatīvajos  aktos attiecībā uz dzīvojamās mājas pārvaldīšanas pakalpojumiem, lai pēc grozījumu veikšanas PVN likumā neveidotos pretrunas ar dzīvojamās mājas pārvaldīšanas pakalpojumu jomu regulējošajiem normatīvajiem aktiem.</w:t>
            </w:r>
          </w:p>
          <w:p w14:paraId="0CE73873" w14:textId="0DAE5BA3" w:rsidR="00072D3C" w:rsidRPr="00174D0F" w:rsidRDefault="00072D3C" w:rsidP="00AE1744">
            <w:pPr>
              <w:tabs>
                <w:tab w:val="left" w:pos="365"/>
              </w:tabs>
              <w:autoSpaceDE w:val="0"/>
              <w:autoSpaceDN w:val="0"/>
              <w:adjustRightInd w:val="0"/>
              <w:spacing w:after="0" w:line="240" w:lineRule="auto"/>
              <w:ind w:right="127"/>
              <w:jc w:val="both"/>
              <w:rPr>
                <w:rFonts w:ascii="Times New Roman" w:hAnsi="Times New Roman" w:cs="Times New Roman"/>
                <w:iCs/>
                <w:sz w:val="24"/>
                <w:szCs w:val="24"/>
              </w:rPr>
            </w:pPr>
            <w:r w:rsidRPr="00AE1744">
              <w:rPr>
                <w:rFonts w:ascii="Times New Roman" w:eastAsia="Times New Roman" w:hAnsi="Times New Roman" w:cs="Times New Roman"/>
                <w:sz w:val="24"/>
                <w:szCs w:val="24"/>
              </w:rPr>
              <w:t xml:space="preserve">Saskaņā ar Ministru kabineta 2015.gada 25.augusta sēdes </w:t>
            </w:r>
            <w:proofErr w:type="spellStart"/>
            <w:r w:rsidRPr="00AE1744">
              <w:rPr>
                <w:rFonts w:ascii="Times New Roman" w:eastAsia="Times New Roman" w:hAnsi="Times New Roman" w:cs="Times New Roman"/>
                <w:sz w:val="24"/>
                <w:szCs w:val="24"/>
              </w:rPr>
              <w:t>protokollēmuma</w:t>
            </w:r>
            <w:proofErr w:type="spellEnd"/>
            <w:r w:rsidRPr="00AE1744">
              <w:rPr>
                <w:rFonts w:ascii="Times New Roman" w:eastAsia="Times New Roman" w:hAnsi="Times New Roman" w:cs="Times New Roman"/>
                <w:sz w:val="24"/>
                <w:szCs w:val="24"/>
              </w:rPr>
              <w:t xml:space="preserve"> Nr.4</w:t>
            </w:r>
            <w:r w:rsidR="00976634" w:rsidRPr="00AE1744">
              <w:rPr>
                <w:rFonts w:ascii="Times New Roman" w:eastAsia="Times New Roman" w:hAnsi="Times New Roman" w:cs="Times New Roman"/>
                <w:sz w:val="24"/>
                <w:szCs w:val="24"/>
              </w:rPr>
              <w:t>1 43.§</w:t>
            </w:r>
            <w:r w:rsidRPr="00AE1744">
              <w:rPr>
                <w:rFonts w:ascii="Times New Roman" w:eastAsia="Times New Roman" w:hAnsi="Times New Roman" w:cs="Times New Roman"/>
                <w:sz w:val="24"/>
                <w:szCs w:val="24"/>
              </w:rPr>
              <w:t xml:space="preserve"> “Informatīvais ziņojums “Par iespējām palielināt ieņēmumus”” 6.punktu Ekonomikas ministrijai sadarbībā ar Vides aizsardzības un reģionālās attīstības ministriju un Finanšu ministriju nepieciešamības gadījumā sagatavot un līdz 2015.gada 11.septembrim iesniegt izskatīšanai Ministru kabinetā grozījumus normatīvajos aktos attiecībā uz dzīvojamās mājas pārvaldīšanas pakalpojumiem, lai pēc grozījumu veikšanas Pievienotās vērtības nodokļa likumā neveidotos pretrunas ar dzīvojamās mājas pārvaldīšanas pakalpojumu jomu regulējošajiem normatīvajiem aktiem.</w:t>
            </w:r>
          </w:p>
        </w:tc>
      </w:tr>
    </w:tbl>
    <w:p w14:paraId="2D0EF2A2" w14:textId="77777777" w:rsidR="00AE1744" w:rsidRPr="001D421B" w:rsidRDefault="00AE1744" w:rsidP="00171D36">
      <w:pPr>
        <w:spacing w:after="0" w:line="240" w:lineRule="auto"/>
        <w:rPr>
          <w:rFonts w:ascii="Times New Roman" w:hAnsi="Times New Roman" w:cs="Times New Roman"/>
          <w:sz w:val="28"/>
          <w:szCs w:val="28"/>
        </w:rPr>
      </w:pPr>
    </w:p>
    <w:tbl>
      <w:tblPr>
        <w:tblW w:w="5550" w:type="pct"/>
        <w:tblInd w:w="-27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03"/>
        <w:gridCol w:w="2412"/>
        <w:gridCol w:w="2234"/>
        <w:gridCol w:w="431"/>
        <w:gridCol w:w="1696"/>
        <w:gridCol w:w="2504"/>
      </w:tblGrid>
      <w:tr w:rsidR="00DA6C86" w:rsidRPr="00DD49B6" w14:paraId="6D51D606" w14:textId="77777777" w:rsidTr="001E4380">
        <w:tc>
          <w:tcPr>
            <w:tcW w:w="9580" w:type="dxa"/>
            <w:gridSpan w:val="6"/>
            <w:tcBorders>
              <w:top w:val="outset" w:sz="6" w:space="0" w:color="auto"/>
              <w:left w:val="outset" w:sz="6" w:space="0" w:color="auto"/>
              <w:bottom w:val="outset" w:sz="6" w:space="0" w:color="auto"/>
              <w:right w:val="outset" w:sz="6" w:space="0" w:color="auto"/>
            </w:tcBorders>
            <w:vAlign w:val="center"/>
          </w:tcPr>
          <w:p w14:paraId="24871588" w14:textId="77777777" w:rsidR="00DA6C86" w:rsidRPr="00DD49B6" w:rsidRDefault="00DA6C86" w:rsidP="00171D36">
            <w:pPr>
              <w:spacing w:after="0" w:line="240" w:lineRule="auto"/>
              <w:jc w:val="center"/>
              <w:rPr>
                <w:rFonts w:ascii="Times New Roman" w:hAnsi="Times New Roman" w:cs="Times New Roman"/>
                <w:b/>
                <w:sz w:val="24"/>
                <w:szCs w:val="24"/>
              </w:rPr>
            </w:pPr>
            <w:r w:rsidRPr="00DD49B6">
              <w:rPr>
                <w:rFonts w:ascii="Times New Roman" w:hAnsi="Times New Roman" w:cs="Times New Roman"/>
                <w:b/>
                <w:sz w:val="24"/>
                <w:szCs w:val="24"/>
              </w:rPr>
              <w:t>V. Tiesību akta projekta atbilstība Latvijas Republikas starptautiskajām saistībām</w:t>
            </w:r>
          </w:p>
        </w:tc>
      </w:tr>
      <w:tr w:rsidR="00DA6C86" w:rsidRPr="00DD49B6" w14:paraId="5A202830" w14:textId="77777777" w:rsidTr="00195A56">
        <w:tc>
          <w:tcPr>
            <w:tcW w:w="303" w:type="dxa"/>
            <w:tcBorders>
              <w:top w:val="outset" w:sz="6" w:space="0" w:color="auto"/>
              <w:left w:val="outset" w:sz="6" w:space="0" w:color="auto"/>
              <w:bottom w:val="outset" w:sz="6" w:space="0" w:color="auto"/>
              <w:right w:val="outset" w:sz="6" w:space="0" w:color="auto"/>
            </w:tcBorders>
          </w:tcPr>
          <w:p w14:paraId="778C994A" w14:textId="77777777" w:rsidR="00DA6C86" w:rsidRPr="00DD49B6" w:rsidRDefault="00DA6C86" w:rsidP="00DB5C9D">
            <w:pPr>
              <w:spacing w:before="120"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1.</w:t>
            </w:r>
          </w:p>
        </w:tc>
        <w:tc>
          <w:tcPr>
            <w:tcW w:w="2412" w:type="dxa"/>
            <w:tcBorders>
              <w:top w:val="outset" w:sz="6" w:space="0" w:color="auto"/>
              <w:left w:val="outset" w:sz="6" w:space="0" w:color="auto"/>
              <w:bottom w:val="outset" w:sz="6" w:space="0" w:color="auto"/>
              <w:right w:val="outset" w:sz="6" w:space="0" w:color="auto"/>
            </w:tcBorders>
          </w:tcPr>
          <w:p w14:paraId="67E1A87D" w14:textId="77777777" w:rsidR="00DA6C86" w:rsidRPr="00DD49B6" w:rsidRDefault="00DA6C86" w:rsidP="00DB5C9D">
            <w:pPr>
              <w:spacing w:before="120"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Saistības pret Eiropas Savienību</w:t>
            </w:r>
          </w:p>
        </w:tc>
        <w:tc>
          <w:tcPr>
            <w:tcW w:w="6865" w:type="dxa"/>
            <w:gridSpan w:val="4"/>
            <w:tcBorders>
              <w:top w:val="outset" w:sz="6" w:space="0" w:color="auto"/>
              <w:left w:val="outset" w:sz="6" w:space="0" w:color="auto"/>
              <w:bottom w:val="outset" w:sz="6" w:space="0" w:color="auto"/>
              <w:right w:val="outset" w:sz="6" w:space="0" w:color="auto"/>
            </w:tcBorders>
          </w:tcPr>
          <w:p w14:paraId="57099FF2" w14:textId="77777777" w:rsidR="0089547A" w:rsidRDefault="0089547A" w:rsidP="000D0638">
            <w:pPr>
              <w:spacing w:before="120" w:after="120" w:line="240" w:lineRule="auto"/>
              <w:ind w:left="57" w:right="142"/>
              <w:jc w:val="both"/>
              <w:rPr>
                <w:rFonts w:ascii="Times New Roman" w:hAnsi="Times New Roman" w:cs="Times New Roman"/>
                <w:sz w:val="24"/>
                <w:szCs w:val="24"/>
              </w:rPr>
            </w:pPr>
            <w:r w:rsidRPr="006B1D44">
              <w:rPr>
                <w:rFonts w:ascii="Times New Roman" w:hAnsi="Times New Roman" w:cs="Times New Roman"/>
                <w:sz w:val="24"/>
                <w:szCs w:val="24"/>
              </w:rPr>
              <w:t>Padomes 2006.</w:t>
            </w:r>
            <w:r>
              <w:rPr>
                <w:rFonts w:ascii="Times New Roman" w:hAnsi="Times New Roman" w:cs="Times New Roman"/>
                <w:sz w:val="24"/>
                <w:szCs w:val="24"/>
              </w:rPr>
              <w:t> </w:t>
            </w:r>
            <w:r w:rsidRPr="006B1D44">
              <w:rPr>
                <w:rFonts w:ascii="Times New Roman" w:hAnsi="Times New Roman" w:cs="Times New Roman"/>
                <w:sz w:val="24"/>
                <w:szCs w:val="24"/>
              </w:rPr>
              <w:t>gada 28.</w:t>
            </w:r>
            <w:r>
              <w:rPr>
                <w:rFonts w:ascii="Times New Roman" w:hAnsi="Times New Roman" w:cs="Times New Roman"/>
                <w:sz w:val="24"/>
                <w:szCs w:val="24"/>
              </w:rPr>
              <w:t> </w:t>
            </w:r>
            <w:r w:rsidRPr="006B1D44">
              <w:rPr>
                <w:rFonts w:ascii="Times New Roman" w:hAnsi="Times New Roman" w:cs="Times New Roman"/>
                <w:sz w:val="24"/>
                <w:szCs w:val="24"/>
              </w:rPr>
              <w:t>novembra direktīva 2006/112/EK par kopējo pievienotās vērtības nodokļa sistēmu.</w:t>
            </w:r>
          </w:p>
          <w:p w14:paraId="2749ED45" w14:textId="77777777" w:rsidR="00EF7928" w:rsidRPr="0089547A" w:rsidRDefault="0089547A" w:rsidP="000D0638">
            <w:pPr>
              <w:spacing w:before="120" w:after="120" w:line="240" w:lineRule="auto"/>
              <w:ind w:left="57" w:right="142"/>
              <w:jc w:val="both"/>
              <w:rPr>
                <w:rFonts w:ascii="Times New Roman" w:eastAsia="Times New Roman" w:hAnsi="Times New Roman" w:cs="Times New Roman"/>
                <w:sz w:val="24"/>
                <w:szCs w:val="24"/>
              </w:rPr>
            </w:pPr>
            <w:r>
              <w:rPr>
                <w:rFonts w:ascii="Times New Roman" w:hAnsi="Times New Roman" w:cs="Times New Roman"/>
                <w:noProof/>
                <w:snapToGrid w:val="0"/>
                <w:sz w:val="24"/>
              </w:rPr>
              <w:t xml:space="preserve">Likumprojekts ir jāpieņem saistībā ar </w:t>
            </w:r>
            <w:r w:rsidRPr="009748FF">
              <w:rPr>
                <w:rFonts w:ascii="Times New Roman" w:eastAsia="Times New Roman" w:hAnsi="Times New Roman" w:cs="Times New Roman"/>
                <w:sz w:val="24"/>
                <w:szCs w:val="24"/>
              </w:rPr>
              <w:t>Eiropas Komisijas 2014. gada 26.</w:t>
            </w:r>
            <w:r>
              <w:t> </w:t>
            </w:r>
            <w:r w:rsidRPr="009748FF">
              <w:rPr>
                <w:rFonts w:ascii="Times New Roman" w:eastAsia="Times New Roman" w:hAnsi="Times New Roman" w:cs="Times New Roman"/>
                <w:sz w:val="24"/>
                <w:szCs w:val="24"/>
              </w:rPr>
              <w:t>novembra formālo paziņojumu pārkāpuma procedūras lietā Nr. 2014/2233</w:t>
            </w:r>
            <w:r>
              <w:rPr>
                <w:rFonts w:ascii="Times New Roman" w:eastAsia="Times New Roman" w:hAnsi="Times New Roman" w:cs="Times New Roman"/>
                <w:sz w:val="24"/>
                <w:szCs w:val="24"/>
              </w:rPr>
              <w:t>.</w:t>
            </w:r>
          </w:p>
        </w:tc>
      </w:tr>
      <w:tr w:rsidR="00DA6C86" w:rsidRPr="00DD49B6" w14:paraId="7CB2690D" w14:textId="77777777" w:rsidTr="007A479D">
        <w:trPr>
          <w:trHeight w:val="654"/>
        </w:trPr>
        <w:tc>
          <w:tcPr>
            <w:tcW w:w="303" w:type="dxa"/>
            <w:tcBorders>
              <w:top w:val="outset" w:sz="6" w:space="0" w:color="auto"/>
              <w:left w:val="outset" w:sz="6" w:space="0" w:color="auto"/>
              <w:bottom w:val="outset" w:sz="6" w:space="0" w:color="auto"/>
              <w:right w:val="outset" w:sz="6" w:space="0" w:color="auto"/>
            </w:tcBorders>
          </w:tcPr>
          <w:p w14:paraId="1EB29527" w14:textId="77777777" w:rsidR="00DA6C86" w:rsidRPr="00DD49B6" w:rsidRDefault="00DA6C86" w:rsidP="00DB5C9D">
            <w:pPr>
              <w:spacing w:before="120"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2.</w:t>
            </w:r>
          </w:p>
        </w:tc>
        <w:tc>
          <w:tcPr>
            <w:tcW w:w="2412" w:type="dxa"/>
            <w:tcBorders>
              <w:top w:val="outset" w:sz="6" w:space="0" w:color="auto"/>
              <w:left w:val="outset" w:sz="6" w:space="0" w:color="auto"/>
              <w:bottom w:val="outset" w:sz="6" w:space="0" w:color="auto"/>
              <w:right w:val="outset" w:sz="6" w:space="0" w:color="auto"/>
            </w:tcBorders>
          </w:tcPr>
          <w:p w14:paraId="4410B93B" w14:textId="77777777" w:rsidR="00DA6C86" w:rsidRPr="00DD49B6" w:rsidRDefault="00DA6C86" w:rsidP="000D0638">
            <w:pPr>
              <w:spacing w:before="120" w:after="120" w:line="240" w:lineRule="auto"/>
              <w:ind w:left="57"/>
              <w:rPr>
                <w:rFonts w:ascii="Times New Roman" w:hAnsi="Times New Roman" w:cs="Times New Roman"/>
                <w:sz w:val="24"/>
                <w:szCs w:val="24"/>
              </w:rPr>
            </w:pPr>
            <w:r w:rsidRPr="00DD49B6">
              <w:rPr>
                <w:rFonts w:ascii="Times New Roman" w:hAnsi="Times New Roman" w:cs="Times New Roman"/>
                <w:sz w:val="24"/>
                <w:szCs w:val="24"/>
              </w:rPr>
              <w:t>Citas starptautiskās saistības</w:t>
            </w:r>
          </w:p>
        </w:tc>
        <w:tc>
          <w:tcPr>
            <w:tcW w:w="6865" w:type="dxa"/>
            <w:gridSpan w:val="4"/>
            <w:tcBorders>
              <w:top w:val="outset" w:sz="6" w:space="0" w:color="auto"/>
              <w:left w:val="outset" w:sz="6" w:space="0" w:color="auto"/>
              <w:bottom w:val="outset" w:sz="6" w:space="0" w:color="auto"/>
              <w:right w:val="outset" w:sz="6" w:space="0" w:color="auto"/>
            </w:tcBorders>
          </w:tcPr>
          <w:p w14:paraId="509EF1E3" w14:textId="77777777" w:rsidR="00DA6C86" w:rsidRPr="00253427" w:rsidRDefault="00253427" w:rsidP="000D0638">
            <w:pPr>
              <w:spacing w:before="120" w:after="120" w:line="240" w:lineRule="auto"/>
              <w:ind w:left="57" w:right="142"/>
              <w:jc w:val="both"/>
              <w:rPr>
                <w:rFonts w:ascii="Times New Roman" w:hAnsi="Times New Roman" w:cs="Times New Roman"/>
                <w:sz w:val="24"/>
                <w:szCs w:val="24"/>
              </w:rPr>
            </w:pPr>
            <w:r w:rsidRPr="00253427">
              <w:rPr>
                <w:rFonts w:ascii="Times New Roman" w:hAnsi="Times New Roman" w:cs="Times New Roman"/>
                <w:sz w:val="24"/>
                <w:szCs w:val="24"/>
              </w:rPr>
              <w:t>Projekts šo jomu neskar</w:t>
            </w:r>
          </w:p>
        </w:tc>
      </w:tr>
      <w:tr w:rsidR="00DA6C86" w:rsidRPr="00DD49B6" w14:paraId="51110E4F" w14:textId="77777777" w:rsidTr="00195A56">
        <w:tc>
          <w:tcPr>
            <w:tcW w:w="303" w:type="dxa"/>
            <w:tcBorders>
              <w:top w:val="outset" w:sz="6" w:space="0" w:color="auto"/>
              <w:left w:val="outset" w:sz="6" w:space="0" w:color="auto"/>
              <w:bottom w:val="outset" w:sz="6" w:space="0" w:color="auto"/>
              <w:right w:val="outset" w:sz="6" w:space="0" w:color="auto"/>
            </w:tcBorders>
          </w:tcPr>
          <w:p w14:paraId="637524E3" w14:textId="77777777" w:rsidR="00DA6C86" w:rsidRPr="00DD49B6" w:rsidRDefault="00DA6C86" w:rsidP="000D0638">
            <w:pPr>
              <w:spacing w:before="120" w:after="0" w:line="240" w:lineRule="auto"/>
              <w:rPr>
                <w:rFonts w:ascii="Times New Roman" w:hAnsi="Times New Roman" w:cs="Times New Roman"/>
                <w:sz w:val="24"/>
                <w:szCs w:val="24"/>
              </w:rPr>
            </w:pPr>
            <w:r w:rsidRPr="00DD49B6">
              <w:rPr>
                <w:rFonts w:ascii="Times New Roman" w:hAnsi="Times New Roman" w:cs="Times New Roman"/>
                <w:sz w:val="24"/>
                <w:szCs w:val="24"/>
              </w:rPr>
              <w:t>3.</w:t>
            </w:r>
          </w:p>
        </w:tc>
        <w:tc>
          <w:tcPr>
            <w:tcW w:w="2412" w:type="dxa"/>
            <w:tcBorders>
              <w:top w:val="outset" w:sz="6" w:space="0" w:color="auto"/>
              <w:left w:val="outset" w:sz="6" w:space="0" w:color="auto"/>
              <w:bottom w:val="outset" w:sz="6" w:space="0" w:color="auto"/>
              <w:right w:val="outset" w:sz="6" w:space="0" w:color="auto"/>
            </w:tcBorders>
          </w:tcPr>
          <w:p w14:paraId="2014FA66" w14:textId="77777777" w:rsidR="00DA6C86" w:rsidRPr="00DD49B6" w:rsidRDefault="00DA6C86" w:rsidP="000D0638">
            <w:pPr>
              <w:spacing w:before="120" w:after="12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865" w:type="dxa"/>
            <w:gridSpan w:val="4"/>
            <w:tcBorders>
              <w:top w:val="outset" w:sz="6" w:space="0" w:color="auto"/>
              <w:left w:val="outset" w:sz="6" w:space="0" w:color="auto"/>
              <w:bottom w:val="outset" w:sz="6" w:space="0" w:color="auto"/>
              <w:right w:val="outset" w:sz="6" w:space="0" w:color="auto"/>
            </w:tcBorders>
          </w:tcPr>
          <w:p w14:paraId="5FD6DE0A" w14:textId="77777777" w:rsidR="00DA6C86" w:rsidRPr="00DD49B6" w:rsidRDefault="00DA6C86" w:rsidP="000D0638">
            <w:pPr>
              <w:spacing w:before="120" w:after="12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Nav</w:t>
            </w:r>
          </w:p>
        </w:tc>
      </w:tr>
      <w:tr w:rsidR="00DA6C86" w:rsidRPr="00DD49B6" w14:paraId="7CD9C91C" w14:textId="77777777" w:rsidTr="001E4380">
        <w:tc>
          <w:tcPr>
            <w:tcW w:w="9580" w:type="dxa"/>
            <w:gridSpan w:val="6"/>
            <w:tcBorders>
              <w:top w:val="outset" w:sz="6" w:space="0" w:color="auto"/>
              <w:left w:val="outset" w:sz="6" w:space="0" w:color="auto"/>
              <w:bottom w:val="outset" w:sz="6" w:space="0" w:color="auto"/>
              <w:right w:val="outset" w:sz="6" w:space="0" w:color="auto"/>
            </w:tcBorders>
            <w:vAlign w:val="center"/>
          </w:tcPr>
          <w:p w14:paraId="165EBD06" w14:textId="77777777" w:rsidR="00DA6C86" w:rsidRPr="00DD49B6" w:rsidRDefault="00DA6C86" w:rsidP="00171D36">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1.tabula</w:t>
            </w:r>
          </w:p>
          <w:p w14:paraId="4B865E3B"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b/>
                <w:sz w:val="24"/>
                <w:szCs w:val="24"/>
              </w:rPr>
              <w:t>Tiesību akta projekta atbilstība ES tiesību aktiem</w:t>
            </w:r>
          </w:p>
        </w:tc>
      </w:tr>
      <w:tr w:rsidR="00DA6C86" w:rsidRPr="00DD49B6" w14:paraId="3DFAC984" w14:textId="77777777" w:rsidTr="00195A56">
        <w:tc>
          <w:tcPr>
            <w:tcW w:w="2715" w:type="dxa"/>
            <w:gridSpan w:val="2"/>
            <w:tcBorders>
              <w:top w:val="outset" w:sz="6" w:space="0" w:color="auto"/>
              <w:left w:val="outset" w:sz="6" w:space="0" w:color="auto"/>
              <w:bottom w:val="outset" w:sz="6" w:space="0" w:color="auto"/>
              <w:right w:val="outset" w:sz="6" w:space="0" w:color="auto"/>
            </w:tcBorders>
          </w:tcPr>
          <w:p w14:paraId="4A05228B" w14:textId="77777777" w:rsidR="00DA6C86" w:rsidRPr="00DD49B6" w:rsidRDefault="00DA6C86" w:rsidP="00DB5C9D">
            <w:pPr>
              <w:spacing w:before="120" w:after="120" w:line="240" w:lineRule="auto"/>
              <w:ind w:left="57"/>
              <w:rPr>
                <w:rFonts w:ascii="Times New Roman" w:hAnsi="Times New Roman" w:cs="Times New Roman"/>
                <w:sz w:val="24"/>
                <w:szCs w:val="24"/>
              </w:rPr>
            </w:pPr>
            <w:r w:rsidRPr="00DD49B6">
              <w:rPr>
                <w:rFonts w:ascii="Times New Roman" w:hAnsi="Times New Roman" w:cs="Times New Roman"/>
                <w:sz w:val="24"/>
                <w:szCs w:val="24"/>
              </w:rPr>
              <w:t>Attiecīgā ES tiesību akta datums, numurs un nosaukums</w:t>
            </w:r>
          </w:p>
        </w:tc>
        <w:tc>
          <w:tcPr>
            <w:tcW w:w="6865" w:type="dxa"/>
            <w:gridSpan w:val="4"/>
            <w:tcBorders>
              <w:top w:val="outset" w:sz="6" w:space="0" w:color="auto"/>
              <w:left w:val="outset" w:sz="6" w:space="0" w:color="auto"/>
              <w:bottom w:val="outset" w:sz="6" w:space="0" w:color="auto"/>
              <w:right w:val="outset" w:sz="6" w:space="0" w:color="auto"/>
            </w:tcBorders>
          </w:tcPr>
          <w:p w14:paraId="420B1393" w14:textId="77777777" w:rsidR="0090362A" w:rsidRPr="006B1D44" w:rsidRDefault="006B1D44" w:rsidP="00DB5C9D">
            <w:pPr>
              <w:pStyle w:val="ListParagraph"/>
              <w:spacing w:before="120" w:after="120" w:line="240" w:lineRule="auto"/>
              <w:ind w:left="57" w:right="114"/>
              <w:jc w:val="both"/>
              <w:rPr>
                <w:rFonts w:ascii="Times New Roman" w:hAnsi="Times New Roman" w:cs="Times New Roman"/>
                <w:sz w:val="24"/>
                <w:szCs w:val="24"/>
              </w:rPr>
            </w:pPr>
            <w:r w:rsidRPr="006B1D44">
              <w:rPr>
                <w:rFonts w:ascii="Times New Roman" w:hAnsi="Times New Roman" w:cs="Times New Roman"/>
                <w:sz w:val="24"/>
                <w:szCs w:val="24"/>
              </w:rPr>
              <w:t>Padomes 2006.</w:t>
            </w:r>
            <w:r w:rsidR="005B6089">
              <w:rPr>
                <w:rFonts w:ascii="Times New Roman" w:hAnsi="Times New Roman" w:cs="Times New Roman"/>
                <w:sz w:val="24"/>
                <w:szCs w:val="24"/>
              </w:rPr>
              <w:t> </w:t>
            </w:r>
            <w:r w:rsidRPr="006B1D44">
              <w:rPr>
                <w:rFonts w:ascii="Times New Roman" w:hAnsi="Times New Roman" w:cs="Times New Roman"/>
                <w:sz w:val="24"/>
                <w:szCs w:val="24"/>
              </w:rPr>
              <w:t>gada 28.</w:t>
            </w:r>
            <w:r w:rsidR="005B6089">
              <w:rPr>
                <w:rFonts w:ascii="Times New Roman" w:hAnsi="Times New Roman" w:cs="Times New Roman"/>
                <w:sz w:val="24"/>
                <w:szCs w:val="24"/>
              </w:rPr>
              <w:t> </w:t>
            </w:r>
            <w:r w:rsidRPr="006B1D44">
              <w:rPr>
                <w:rFonts w:ascii="Times New Roman" w:hAnsi="Times New Roman" w:cs="Times New Roman"/>
                <w:sz w:val="24"/>
                <w:szCs w:val="24"/>
              </w:rPr>
              <w:t>novembra direktīva 2006/112/EK par kopējo pievienotās vērtības nodokļa sistēmu.</w:t>
            </w:r>
          </w:p>
        </w:tc>
      </w:tr>
      <w:tr w:rsidR="00DA6C86" w:rsidRPr="00DD49B6" w14:paraId="10834FD1" w14:textId="77777777" w:rsidTr="00195A56">
        <w:tc>
          <w:tcPr>
            <w:tcW w:w="2715" w:type="dxa"/>
            <w:gridSpan w:val="2"/>
            <w:tcBorders>
              <w:top w:val="outset" w:sz="6" w:space="0" w:color="auto"/>
              <w:left w:val="outset" w:sz="6" w:space="0" w:color="auto"/>
              <w:bottom w:val="outset" w:sz="6" w:space="0" w:color="auto"/>
              <w:right w:val="outset" w:sz="6" w:space="0" w:color="auto"/>
            </w:tcBorders>
            <w:vAlign w:val="center"/>
          </w:tcPr>
          <w:p w14:paraId="5911A1FF"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2234" w:type="dxa"/>
            <w:tcBorders>
              <w:top w:val="outset" w:sz="6" w:space="0" w:color="auto"/>
              <w:left w:val="outset" w:sz="6" w:space="0" w:color="auto"/>
              <w:bottom w:val="outset" w:sz="6" w:space="0" w:color="auto"/>
              <w:right w:val="outset" w:sz="6" w:space="0" w:color="auto"/>
            </w:tcBorders>
            <w:vAlign w:val="center"/>
          </w:tcPr>
          <w:p w14:paraId="148093B3"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2127" w:type="dxa"/>
            <w:gridSpan w:val="2"/>
            <w:tcBorders>
              <w:top w:val="outset" w:sz="6" w:space="0" w:color="auto"/>
              <w:left w:val="outset" w:sz="6" w:space="0" w:color="auto"/>
              <w:bottom w:val="outset" w:sz="6" w:space="0" w:color="auto"/>
              <w:right w:val="outset" w:sz="6" w:space="0" w:color="auto"/>
            </w:tcBorders>
            <w:vAlign w:val="center"/>
          </w:tcPr>
          <w:p w14:paraId="23AEE843"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c>
          <w:tcPr>
            <w:tcW w:w="2504" w:type="dxa"/>
            <w:tcBorders>
              <w:top w:val="outset" w:sz="6" w:space="0" w:color="auto"/>
              <w:left w:val="outset" w:sz="6" w:space="0" w:color="auto"/>
              <w:bottom w:val="outset" w:sz="6" w:space="0" w:color="auto"/>
              <w:right w:val="outset" w:sz="6" w:space="0" w:color="auto"/>
            </w:tcBorders>
            <w:vAlign w:val="center"/>
          </w:tcPr>
          <w:p w14:paraId="08110897"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D</w:t>
            </w:r>
          </w:p>
        </w:tc>
      </w:tr>
      <w:tr w:rsidR="003B4B9E" w:rsidRPr="00DD49B6" w14:paraId="25CB2F5F" w14:textId="77777777" w:rsidTr="00195A56">
        <w:tc>
          <w:tcPr>
            <w:tcW w:w="2715" w:type="dxa"/>
            <w:gridSpan w:val="2"/>
            <w:tcBorders>
              <w:top w:val="outset" w:sz="6" w:space="0" w:color="auto"/>
              <w:left w:val="outset" w:sz="6" w:space="0" w:color="auto"/>
              <w:bottom w:val="outset" w:sz="6" w:space="0" w:color="auto"/>
              <w:right w:val="outset" w:sz="6" w:space="0" w:color="auto"/>
            </w:tcBorders>
          </w:tcPr>
          <w:p w14:paraId="1899B8EE" w14:textId="77777777" w:rsidR="003B4B9E" w:rsidRPr="00AE1744" w:rsidRDefault="006B4565" w:rsidP="00634F21">
            <w:pPr>
              <w:spacing w:before="120" w:after="0" w:line="240" w:lineRule="auto"/>
              <w:ind w:left="57"/>
              <w:rPr>
                <w:rFonts w:ascii="Times New Roman" w:hAnsi="Times New Roman" w:cs="Times New Roman"/>
                <w:sz w:val="24"/>
                <w:szCs w:val="24"/>
              </w:rPr>
            </w:pPr>
            <w:r w:rsidRPr="00AE1744">
              <w:rPr>
                <w:rFonts w:ascii="Times New Roman" w:hAnsi="Times New Roman" w:cs="Times New Roman"/>
                <w:sz w:val="24"/>
                <w:szCs w:val="24"/>
              </w:rPr>
              <w:t>2. panta 1. punkta c) apakšpunkts</w:t>
            </w:r>
          </w:p>
        </w:tc>
        <w:tc>
          <w:tcPr>
            <w:tcW w:w="2234" w:type="dxa"/>
            <w:tcBorders>
              <w:top w:val="outset" w:sz="6" w:space="0" w:color="auto"/>
              <w:left w:val="outset" w:sz="6" w:space="0" w:color="auto"/>
              <w:bottom w:val="outset" w:sz="6" w:space="0" w:color="auto"/>
              <w:right w:val="outset" w:sz="6" w:space="0" w:color="auto"/>
            </w:tcBorders>
          </w:tcPr>
          <w:p w14:paraId="5C58382F" w14:textId="7C59F17B" w:rsidR="003B4B9E" w:rsidRPr="00AE1744" w:rsidRDefault="0050789C" w:rsidP="0050789C">
            <w:pPr>
              <w:spacing w:after="0" w:line="240" w:lineRule="auto"/>
              <w:ind w:left="57"/>
              <w:rPr>
                <w:rFonts w:ascii="Times New Roman" w:hAnsi="Times New Roman" w:cs="Times New Roman"/>
                <w:spacing w:val="-2"/>
                <w:sz w:val="24"/>
                <w:szCs w:val="24"/>
              </w:rPr>
            </w:pPr>
            <w:r w:rsidRPr="00AE1744">
              <w:rPr>
                <w:rFonts w:ascii="Times New Roman" w:hAnsi="Times New Roman" w:cs="Times New Roman"/>
                <w:spacing w:val="-2"/>
                <w:sz w:val="24"/>
                <w:szCs w:val="24"/>
              </w:rPr>
              <w:t>likumprojekta</w:t>
            </w:r>
            <w:r w:rsidR="0091047A" w:rsidRPr="00AE1744">
              <w:rPr>
                <w:rFonts w:ascii="Times New Roman" w:hAnsi="Times New Roman" w:cs="Times New Roman"/>
                <w:spacing w:val="-2"/>
                <w:sz w:val="24"/>
                <w:szCs w:val="24"/>
              </w:rPr>
              <w:t xml:space="preserve"> </w:t>
            </w:r>
            <w:r w:rsidRPr="00AE1744">
              <w:rPr>
                <w:rFonts w:ascii="Times New Roman" w:hAnsi="Times New Roman" w:cs="Times New Roman"/>
                <w:spacing w:val="-2"/>
                <w:sz w:val="24"/>
                <w:szCs w:val="24"/>
              </w:rPr>
              <w:t xml:space="preserve">1.panta </w:t>
            </w:r>
            <w:r w:rsidR="001E4380" w:rsidRPr="00AE1744">
              <w:rPr>
                <w:rFonts w:ascii="Times New Roman" w:hAnsi="Times New Roman" w:cs="Times New Roman"/>
                <w:spacing w:val="-2"/>
                <w:sz w:val="24"/>
                <w:szCs w:val="24"/>
              </w:rPr>
              <w:t xml:space="preserve">pirmā, </w:t>
            </w:r>
            <w:r w:rsidRPr="00AE1744">
              <w:rPr>
                <w:rFonts w:ascii="Times New Roman" w:hAnsi="Times New Roman" w:cs="Times New Roman"/>
                <w:spacing w:val="-2"/>
                <w:sz w:val="24"/>
                <w:szCs w:val="24"/>
              </w:rPr>
              <w:t xml:space="preserve">otrā un piektā daļa, kā arī 2.pants (attiecīgi likuma pārejas noteikumu 24.punkts) </w:t>
            </w:r>
          </w:p>
        </w:tc>
        <w:tc>
          <w:tcPr>
            <w:tcW w:w="2127" w:type="dxa"/>
            <w:gridSpan w:val="2"/>
            <w:tcBorders>
              <w:top w:val="outset" w:sz="6" w:space="0" w:color="auto"/>
              <w:left w:val="outset" w:sz="6" w:space="0" w:color="auto"/>
              <w:bottom w:val="outset" w:sz="6" w:space="0" w:color="auto"/>
              <w:right w:val="outset" w:sz="6" w:space="0" w:color="auto"/>
            </w:tcBorders>
          </w:tcPr>
          <w:p w14:paraId="3F7045FB" w14:textId="77777777" w:rsidR="003B4B9E" w:rsidRPr="00AE1744" w:rsidRDefault="003B4B9E" w:rsidP="00634F21">
            <w:pPr>
              <w:spacing w:before="120" w:after="0" w:line="240" w:lineRule="auto"/>
              <w:ind w:left="57"/>
              <w:rPr>
                <w:rFonts w:ascii="Times New Roman" w:hAnsi="Times New Roman" w:cs="Times New Roman"/>
                <w:spacing w:val="-2"/>
                <w:sz w:val="24"/>
                <w:szCs w:val="24"/>
              </w:rPr>
            </w:pPr>
            <w:r w:rsidRPr="00AE1744">
              <w:rPr>
                <w:rFonts w:ascii="Times New Roman" w:hAnsi="Times New Roman" w:cs="Times New Roman"/>
                <w:spacing w:val="-2"/>
                <w:sz w:val="24"/>
                <w:szCs w:val="24"/>
              </w:rPr>
              <w:t>Ieviest</w:t>
            </w:r>
            <w:r w:rsidR="00632480" w:rsidRPr="00AE1744">
              <w:rPr>
                <w:rFonts w:ascii="Times New Roman" w:hAnsi="Times New Roman" w:cs="Times New Roman"/>
                <w:spacing w:val="-2"/>
                <w:sz w:val="24"/>
                <w:szCs w:val="24"/>
              </w:rPr>
              <w:t xml:space="preserve">s </w:t>
            </w:r>
            <w:r w:rsidRPr="00AE1744">
              <w:rPr>
                <w:rFonts w:ascii="Times New Roman" w:hAnsi="Times New Roman" w:cs="Times New Roman"/>
                <w:spacing w:val="-2"/>
                <w:sz w:val="24"/>
                <w:szCs w:val="24"/>
              </w:rPr>
              <w:t>pilnībā</w:t>
            </w:r>
          </w:p>
        </w:tc>
        <w:tc>
          <w:tcPr>
            <w:tcW w:w="2504" w:type="dxa"/>
            <w:tcBorders>
              <w:top w:val="outset" w:sz="6" w:space="0" w:color="auto"/>
              <w:left w:val="outset" w:sz="6" w:space="0" w:color="auto"/>
              <w:bottom w:val="outset" w:sz="6" w:space="0" w:color="auto"/>
              <w:right w:val="outset" w:sz="6" w:space="0" w:color="auto"/>
            </w:tcBorders>
          </w:tcPr>
          <w:p w14:paraId="51397F08" w14:textId="77777777" w:rsidR="003B4B9E" w:rsidRPr="00AE1744" w:rsidRDefault="007E4417" w:rsidP="00634F21">
            <w:pPr>
              <w:spacing w:before="120" w:after="0" w:line="240" w:lineRule="auto"/>
              <w:ind w:left="57"/>
              <w:rPr>
                <w:rFonts w:ascii="Times New Roman" w:hAnsi="Times New Roman" w:cs="Times New Roman"/>
                <w:spacing w:val="-2"/>
                <w:sz w:val="24"/>
                <w:szCs w:val="24"/>
              </w:rPr>
            </w:pPr>
            <w:r w:rsidRPr="00AE1744">
              <w:rPr>
                <w:rFonts w:ascii="Times New Roman" w:eastAsia="Times New Roman" w:hAnsi="Times New Roman" w:cs="Times New Roman"/>
                <w:sz w:val="24"/>
                <w:szCs w:val="24"/>
              </w:rPr>
              <w:t>Nav attiecināms</w:t>
            </w:r>
          </w:p>
        </w:tc>
      </w:tr>
      <w:tr w:rsidR="001E4380" w:rsidRPr="00DD49B6" w14:paraId="03D4A8B3" w14:textId="77777777" w:rsidTr="00195A56">
        <w:tc>
          <w:tcPr>
            <w:tcW w:w="2715" w:type="dxa"/>
            <w:gridSpan w:val="2"/>
            <w:tcBorders>
              <w:top w:val="outset" w:sz="6" w:space="0" w:color="auto"/>
              <w:left w:val="outset" w:sz="6" w:space="0" w:color="auto"/>
              <w:bottom w:val="outset" w:sz="6" w:space="0" w:color="auto"/>
              <w:right w:val="outset" w:sz="6" w:space="0" w:color="auto"/>
            </w:tcBorders>
          </w:tcPr>
          <w:p w14:paraId="60AD0581" w14:textId="115F9812" w:rsidR="001E4380" w:rsidRPr="00AE1744" w:rsidRDefault="001E4380" w:rsidP="001E4380">
            <w:pPr>
              <w:spacing w:before="120" w:after="0" w:line="240" w:lineRule="auto"/>
              <w:ind w:left="57"/>
              <w:rPr>
                <w:rFonts w:ascii="Times New Roman" w:hAnsi="Times New Roman" w:cs="Times New Roman"/>
                <w:sz w:val="24"/>
                <w:szCs w:val="24"/>
              </w:rPr>
            </w:pPr>
            <w:r w:rsidRPr="00AE1744">
              <w:rPr>
                <w:rFonts w:ascii="Times New Roman" w:hAnsi="Times New Roman" w:cs="Times New Roman"/>
                <w:sz w:val="24"/>
                <w:szCs w:val="24"/>
              </w:rPr>
              <w:t>132.panta 1.punkta “n” apakšpunkts</w:t>
            </w:r>
          </w:p>
        </w:tc>
        <w:tc>
          <w:tcPr>
            <w:tcW w:w="2234" w:type="dxa"/>
            <w:tcBorders>
              <w:top w:val="outset" w:sz="6" w:space="0" w:color="auto"/>
              <w:left w:val="outset" w:sz="6" w:space="0" w:color="auto"/>
              <w:bottom w:val="outset" w:sz="6" w:space="0" w:color="auto"/>
              <w:right w:val="outset" w:sz="6" w:space="0" w:color="auto"/>
            </w:tcBorders>
          </w:tcPr>
          <w:p w14:paraId="68B8FF2D" w14:textId="1E3CCF35" w:rsidR="001E4380" w:rsidRPr="00AE1744" w:rsidRDefault="001E4380" w:rsidP="006B111B">
            <w:pPr>
              <w:spacing w:after="0" w:line="240" w:lineRule="auto"/>
              <w:ind w:left="57"/>
              <w:rPr>
                <w:rFonts w:ascii="Times New Roman" w:hAnsi="Times New Roman" w:cs="Times New Roman"/>
                <w:spacing w:val="-2"/>
                <w:sz w:val="24"/>
                <w:szCs w:val="24"/>
              </w:rPr>
            </w:pPr>
            <w:r w:rsidRPr="00AE1744">
              <w:rPr>
                <w:rFonts w:ascii="Times New Roman" w:hAnsi="Times New Roman" w:cs="Times New Roman"/>
                <w:spacing w:val="-2"/>
                <w:sz w:val="24"/>
                <w:szCs w:val="24"/>
              </w:rPr>
              <w:t>likumprojekta 1.panta trešā da</w:t>
            </w:r>
            <w:r w:rsidR="006B111B" w:rsidRPr="00AE1744">
              <w:rPr>
                <w:rFonts w:ascii="Times New Roman" w:hAnsi="Times New Roman" w:cs="Times New Roman"/>
                <w:spacing w:val="-2"/>
                <w:sz w:val="24"/>
                <w:szCs w:val="24"/>
              </w:rPr>
              <w:t>ļa</w:t>
            </w:r>
          </w:p>
        </w:tc>
        <w:tc>
          <w:tcPr>
            <w:tcW w:w="2127" w:type="dxa"/>
            <w:gridSpan w:val="2"/>
            <w:tcBorders>
              <w:top w:val="outset" w:sz="6" w:space="0" w:color="auto"/>
              <w:left w:val="outset" w:sz="6" w:space="0" w:color="auto"/>
              <w:bottom w:val="outset" w:sz="6" w:space="0" w:color="auto"/>
              <w:right w:val="outset" w:sz="6" w:space="0" w:color="auto"/>
            </w:tcBorders>
          </w:tcPr>
          <w:p w14:paraId="1C224EF8" w14:textId="608EE8CB" w:rsidR="001E4380" w:rsidRPr="00AE1744" w:rsidRDefault="001E4380" w:rsidP="001E4380">
            <w:pPr>
              <w:spacing w:before="120" w:after="0" w:line="240" w:lineRule="auto"/>
              <w:ind w:left="57"/>
              <w:rPr>
                <w:rFonts w:ascii="Times New Roman" w:hAnsi="Times New Roman" w:cs="Times New Roman"/>
                <w:spacing w:val="-2"/>
                <w:sz w:val="24"/>
                <w:szCs w:val="24"/>
              </w:rPr>
            </w:pPr>
            <w:r w:rsidRPr="00AE1744">
              <w:rPr>
                <w:rFonts w:ascii="Times New Roman" w:hAnsi="Times New Roman" w:cs="Times New Roman"/>
                <w:spacing w:val="-2"/>
                <w:sz w:val="24"/>
                <w:szCs w:val="24"/>
              </w:rPr>
              <w:t>Ieviests pilnībā</w:t>
            </w:r>
          </w:p>
        </w:tc>
        <w:tc>
          <w:tcPr>
            <w:tcW w:w="2504" w:type="dxa"/>
            <w:tcBorders>
              <w:top w:val="outset" w:sz="6" w:space="0" w:color="auto"/>
              <w:left w:val="outset" w:sz="6" w:space="0" w:color="auto"/>
              <w:bottom w:val="outset" w:sz="6" w:space="0" w:color="auto"/>
              <w:right w:val="outset" w:sz="6" w:space="0" w:color="auto"/>
            </w:tcBorders>
          </w:tcPr>
          <w:p w14:paraId="6B3C4FF7" w14:textId="65858E2F" w:rsidR="001E4380" w:rsidRPr="00AE1744" w:rsidRDefault="001E4380" w:rsidP="001E4380">
            <w:pPr>
              <w:spacing w:before="120" w:after="0" w:line="240" w:lineRule="auto"/>
              <w:ind w:left="57"/>
              <w:rPr>
                <w:rFonts w:ascii="Times New Roman" w:eastAsia="Times New Roman" w:hAnsi="Times New Roman" w:cs="Times New Roman"/>
                <w:sz w:val="24"/>
                <w:szCs w:val="24"/>
              </w:rPr>
            </w:pPr>
            <w:r w:rsidRPr="00AE1744">
              <w:rPr>
                <w:rFonts w:ascii="Times New Roman" w:eastAsia="Times New Roman" w:hAnsi="Times New Roman" w:cs="Times New Roman"/>
                <w:sz w:val="24"/>
                <w:szCs w:val="24"/>
              </w:rPr>
              <w:t>Nav attiecināms</w:t>
            </w:r>
          </w:p>
        </w:tc>
      </w:tr>
      <w:tr w:rsidR="006B111B" w:rsidRPr="00DD49B6" w14:paraId="2DDF912E" w14:textId="77777777" w:rsidTr="00195A56">
        <w:tc>
          <w:tcPr>
            <w:tcW w:w="2715" w:type="dxa"/>
            <w:gridSpan w:val="2"/>
            <w:tcBorders>
              <w:top w:val="outset" w:sz="6" w:space="0" w:color="auto"/>
              <w:left w:val="outset" w:sz="6" w:space="0" w:color="auto"/>
              <w:bottom w:val="outset" w:sz="6" w:space="0" w:color="auto"/>
              <w:right w:val="outset" w:sz="6" w:space="0" w:color="auto"/>
            </w:tcBorders>
          </w:tcPr>
          <w:p w14:paraId="7049C04C" w14:textId="6CC3E5A9" w:rsidR="006B111B" w:rsidRPr="00AE1744" w:rsidRDefault="006B111B" w:rsidP="006B111B">
            <w:pPr>
              <w:spacing w:before="120" w:after="0" w:line="240" w:lineRule="auto"/>
              <w:ind w:left="57"/>
              <w:rPr>
                <w:rFonts w:ascii="Times New Roman" w:hAnsi="Times New Roman" w:cs="Times New Roman"/>
                <w:sz w:val="24"/>
                <w:szCs w:val="24"/>
              </w:rPr>
            </w:pPr>
            <w:r w:rsidRPr="00AE1744">
              <w:rPr>
                <w:rFonts w:ascii="Times New Roman" w:hAnsi="Times New Roman" w:cs="Times New Roman"/>
                <w:sz w:val="24"/>
                <w:szCs w:val="24"/>
              </w:rPr>
              <w:t>133.panta</w:t>
            </w:r>
            <w:r w:rsidR="002E3AA4" w:rsidRPr="00AE1744">
              <w:rPr>
                <w:rFonts w:ascii="Times New Roman" w:hAnsi="Times New Roman" w:cs="Times New Roman"/>
                <w:sz w:val="24"/>
                <w:szCs w:val="24"/>
              </w:rPr>
              <w:t xml:space="preserve"> 1.punkta</w:t>
            </w:r>
            <w:r w:rsidRPr="00AE1744">
              <w:rPr>
                <w:rFonts w:ascii="Times New Roman" w:hAnsi="Times New Roman" w:cs="Times New Roman"/>
                <w:sz w:val="24"/>
                <w:szCs w:val="24"/>
              </w:rPr>
              <w:t xml:space="preserve"> “a” apakšpunkts</w:t>
            </w:r>
          </w:p>
        </w:tc>
        <w:tc>
          <w:tcPr>
            <w:tcW w:w="2234" w:type="dxa"/>
            <w:tcBorders>
              <w:top w:val="outset" w:sz="6" w:space="0" w:color="auto"/>
              <w:left w:val="outset" w:sz="6" w:space="0" w:color="auto"/>
              <w:bottom w:val="outset" w:sz="6" w:space="0" w:color="auto"/>
              <w:right w:val="outset" w:sz="6" w:space="0" w:color="auto"/>
            </w:tcBorders>
          </w:tcPr>
          <w:p w14:paraId="58630970" w14:textId="5A99837F" w:rsidR="006B111B" w:rsidRPr="00AE1744" w:rsidRDefault="006B111B" w:rsidP="006B111B">
            <w:pPr>
              <w:spacing w:after="0" w:line="240" w:lineRule="auto"/>
              <w:ind w:left="57"/>
              <w:rPr>
                <w:rFonts w:ascii="Times New Roman" w:hAnsi="Times New Roman" w:cs="Times New Roman"/>
                <w:spacing w:val="-2"/>
                <w:sz w:val="24"/>
                <w:szCs w:val="24"/>
              </w:rPr>
            </w:pPr>
            <w:r w:rsidRPr="00AE1744">
              <w:rPr>
                <w:rFonts w:ascii="Times New Roman" w:hAnsi="Times New Roman" w:cs="Times New Roman"/>
                <w:spacing w:val="-2"/>
                <w:sz w:val="24"/>
                <w:szCs w:val="24"/>
              </w:rPr>
              <w:t>likumprojekta 1.panta trešā daļa</w:t>
            </w:r>
          </w:p>
        </w:tc>
        <w:tc>
          <w:tcPr>
            <w:tcW w:w="2127" w:type="dxa"/>
            <w:gridSpan w:val="2"/>
            <w:tcBorders>
              <w:top w:val="outset" w:sz="6" w:space="0" w:color="auto"/>
              <w:left w:val="outset" w:sz="6" w:space="0" w:color="auto"/>
              <w:bottom w:val="outset" w:sz="6" w:space="0" w:color="auto"/>
              <w:right w:val="outset" w:sz="6" w:space="0" w:color="auto"/>
            </w:tcBorders>
          </w:tcPr>
          <w:p w14:paraId="6A6DE1D4" w14:textId="4E567A79" w:rsidR="006B111B" w:rsidRPr="00AE1744" w:rsidRDefault="006B111B" w:rsidP="006B111B">
            <w:pPr>
              <w:spacing w:before="120" w:after="0" w:line="240" w:lineRule="auto"/>
              <w:ind w:left="57"/>
              <w:rPr>
                <w:rFonts w:ascii="Times New Roman" w:hAnsi="Times New Roman" w:cs="Times New Roman"/>
                <w:spacing w:val="-2"/>
                <w:sz w:val="24"/>
                <w:szCs w:val="24"/>
              </w:rPr>
            </w:pPr>
            <w:r w:rsidRPr="00AE1744">
              <w:rPr>
                <w:rFonts w:ascii="Times New Roman" w:hAnsi="Times New Roman" w:cs="Times New Roman"/>
                <w:spacing w:val="-2"/>
                <w:sz w:val="24"/>
                <w:szCs w:val="24"/>
              </w:rPr>
              <w:t>Ieviests pilnībā</w:t>
            </w:r>
          </w:p>
        </w:tc>
        <w:tc>
          <w:tcPr>
            <w:tcW w:w="2504" w:type="dxa"/>
            <w:tcBorders>
              <w:top w:val="outset" w:sz="6" w:space="0" w:color="auto"/>
              <w:left w:val="outset" w:sz="6" w:space="0" w:color="auto"/>
              <w:bottom w:val="outset" w:sz="6" w:space="0" w:color="auto"/>
              <w:right w:val="outset" w:sz="6" w:space="0" w:color="auto"/>
            </w:tcBorders>
          </w:tcPr>
          <w:p w14:paraId="147D818C" w14:textId="66A55DE7" w:rsidR="006B111B" w:rsidRPr="00AE1744" w:rsidRDefault="006B111B" w:rsidP="006B111B">
            <w:pPr>
              <w:spacing w:before="120" w:after="0" w:line="240" w:lineRule="auto"/>
              <w:ind w:left="57"/>
              <w:rPr>
                <w:rFonts w:ascii="Times New Roman" w:eastAsia="Times New Roman" w:hAnsi="Times New Roman" w:cs="Times New Roman"/>
                <w:sz w:val="24"/>
                <w:szCs w:val="24"/>
              </w:rPr>
            </w:pPr>
            <w:r w:rsidRPr="00AE1744">
              <w:rPr>
                <w:rFonts w:ascii="Times New Roman" w:eastAsia="Times New Roman" w:hAnsi="Times New Roman" w:cs="Times New Roman"/>
                <w:sz w:val="24"/>
                <w:szCs w:val="24"/>
              </w:rPr>
              <w:t>Nav attiecināms</w:t>
            </w:r>
          </w:p>
        </w:tc>
      </w:tr>
      <w:tr w:rsidR="006B111B" w:rsidRPr="00DD49B6" w14:paraId="59A7EDC9" w14:textId="77777777" w:rsidTr="00195A56">
        <w:tc>
          <w:tcPr>
            <w:tcW w:w="2715" w:type="dxa"/>
            <w:gridSpan w:val="2"/>
            <w:tcBorders>
              <w:top w:val="outset" w:sz="6" w:space="0" w:color="auto"/>
              <w:left w:val="outset" w:sz="6" w:space="0" w:color="auto"/>
              <w:bottom w:val="single" w:sz="4" w:space="0" w:color="auto"/>
              <w:right w:val="outset" w:sz="6" w:space="0" w:color="auto"/>
            </w:tcBorders>
          </w:tcPr>
          <w:p w14:paraId="7EE524B4" w14:textId="77777777" w:rsidR="006B111B" w:rsidRPr="00AE1744" w:rsidRDefault="006B111B" w:rsidP="006B111B">
            <w:pPr>
              <w:spacing w:after="0" w:line="240" w:lineRule="auto"/>
              <w:ind w:left="57"/>
              <w:rPr>
                <w:rFonts w:ascii="Times New Roman" w:hAnsi="Times New Roman" w:cs="Times New Roman"/>
                <w:spacing w:val="-3"/>
                <w:sz w:val="24"/>
                <w:szCs w:val="24"/>
              </w:rPr>
            </w:pPr>
            <w:r w:rsidRPr="00AE1744">
              <w:rPr>
                <w:rFonts w:ascii="Times New Roman" w:hAnsi="Times New Roman" w:cs="Times New Roman"/>
                <w:spacing w:val="-3"/>
                <w:sz w:val="24"/>
                <w:szCs w:val="24"/>
              </w:rPr>
              <w:t>Kā ir izmantota ES tiesību aktā paredzētā rīcības brīvība dalībvalstij pārņemt vai ieviest noteiktas ES tiesību akta normas?</w:t>
            </w:r>
          </w:p>
          <w:p w14:paraId="37BDFB63" w14:textId="77777777" w:rsidR="006B111B" w:rsidRPr="00AE1744" w:rsidRDefault="006B111B" w:rsidP="006B111B">
            <w:pPr>
              <w:spacing w:after="0" w:line="240" w:lineRule="auto"/>
              <w:ind w:left="57"/>
              <w:rPr>
                <w:rFonts w:ascii="Times New Roman" w:hAnsi="Times New Roman" w:cs="Times New Roman"/>
                <w:spacing w:val="-3"/>
                <w:sz w:val="24"/>
                <w:szCs w:val="24"/>
              </w:rPr>
            </w:pPr>
            <w:r w:rsidRPr="00AE1744">
              <w:rPr>
                <w:rFonts w:ascii="Times New Roman" w:hAnsi="Times New Roman" w:cs="Times New Roman"/>
                <w:spacing w:val="-3"/>
                <w:sz w:val="24"/>
                <w:szCs w:val="24"/>
              </w:rPr>
              <w:t>Kādēļ?</w:t>
            </w:r>
          </w:p>
        </w:tc>
        <w:tc>
          <w:tcPr>
            <w:tcW w:w="6865" w:type="dxa"/>
            <w:gridSpan w:val="4"/>
            <w:tcBorders>
              <w:top w:val="outset" w:sz="6" w:space="0" w:color="auto"/>
              <w:left w:val="outset" w:sz="6" w:space="0" w:color="auto"/>
              <w:bottom w:val="single" w:sz="4" w:space="0" w:color="auto"/>
              <w:right w:val="outset" w:sz="6" w:space="0" w:color="auto"/>
            </w:tcBorders>
          </w:tcPr>
          <w:p w14:paraId="61551DA4" w14:textId="77777777" w:rsidR="006B111B" w:rsidRPr="00AE1744" w:rsidRDefault="006B111B" w:rsidP="006B111B">
            <w:pPr>
              <w:spacing w:before="120" w:after="0" w:line="240" w:lineRule="auto"/>
              <w:ind w:left="57"/>
              <w:jc w:val="both"/>
              <w:rPr>
                <w:rFonts w:ascii="Arial" w:hAnsi="Arial" w:cs="Arial"/>
              </w:rPr>
            </w:pPr>
            <w:r w:rsidRPr="00AE1744">
              <w:rPr>
                <w:rFonts w:ascii="Times New Roman" w:hAnsi="Times New Roman" w:cs="Times New Roman"/>
                <w:sz w:val="24"/>
                <w:szCs w:val="24"/>
              </w:rPr>
              <w:t>PVN direktīvas 132.</w:t>
            </w:r>
            <w:r w:rsidRPr="00AE1744">
              <w:rPr>
                <w:rFonts w:ascii="Times New Roman" w:hAnsi="Times New Roman"/>
                <w:sz w:val="24"/>
                <w:szCs w:val="24"/>
              </w:rPr>
              <w:t>panta 1.punkta “n” apakšpunkts paredz rīcības brīvību dalībvalstij noteikt kultūras organizācijas, kuras ir tiesīgas piemērot PVN atbrīvojumu attiecībā uz kultūras pakalpojumiem, tādējādi ar likuma grozījumiem tiek precizēts personu loks, lai nošķirtu kultūras institūcijas, kuras pasākumus rīko komerciālu mērķu sasniegšanai, no kultūras institūcijām, kuras pasākumus rīko sabiedriskā labuma darbības ietvaros un kultūrpolitikas mērķu sasniegšanai.</w:t>
            </w:r>
            <w:r w:rsidRPr="00AE1744">
              <w:rPr>
                <w:rFonts w:ascii="Arial" w:hAnsi="Arial" w:cs="Arial"/>
              </w:rPr>
              <w:t xml:space="preserve"> </w:t>
            </w:r>
          </w:p>
          <w:p w14:paraId="0E61D152" w14:textId="74FE28F2" w:rsidR="009D785B" w:rsidRPr="00AE1744" w:rsidRDefault="002E3AA4" w:rsidP="00AE1744">
            <w:pPr>
              <w:spacing w:before="120" w:after="0" w:line="240" w:lineRule="auto"/>
              <w:ind w:left="57"/>
              <w:jc w:val="both"/>
              <w:rPr>
                <w:rFonts w:ascii="Times New Roman" w:hAnsi="Times New Roman" w:cs="Times New Roman"/>
                <w:sz w:val="24"/>
                <w:szCs w:val="24"/>
              </w:rPr>
            </w:pPr>
            <w:r w:rsidRPr="00AE1744">
              <w:rPr>
                <w:rFonts w:ascii="Times New Roman" w:hAnsi="Times New Roman" w:cs="Times New Roman"/>
                <w:sz w:val="24"/>
                <w:szCs w:val="24"/>
              </w:rPr>
              <w:t>PVN direktīvas 133.panta 1.punkta “a” apakšpunkts (kas paredz dalībvalsts tiesības noteikts, ka valsts atzītās kultūras organizācijas nedrīkst pastāvīgi censties gūt peļņu, bet peļņa, kas radusies, ir jānovirza pakalpojumu turpināšanai un uzlabošanai) jau ir pārņemts PVN likuma 52.panta otrajā daļā un ir plānots saglabāt esošo nosacījumu, lai sasniegtu PVN atbrīvojuma pastāvēšanas mērķi</w:t>
            </w:r>
            <w:r w:rsidR="006C6EFB" w:rsidRPr="00AE1744">
              <w:rPr>
                <w:rFonts w:ascii="Times New Roman" w:hAnsi="Times New Roman" w:cs="Times New Roman"/>
                <w:sz w:val="24"/>
                <w:szCs w:val="24"/>
              </w:rPr>
              <w:t xml:space="preserve"> un </w:t>
            </w:r>
            <w:r w:rsidR="00CB610B" w:rsidRPr="00AE1744">
              <w:rPr>
                <w:rFonts w:ascii="Times New Roman" w:hAnsi="Times New Roman" w:cs="Times New Roman"/>
                <w:sz w:val="24"/>
                <w:szCs w:val="24"/>
              </w:rPr>
              <w:t xml:space="preserve">šis </w:t>
            </w:r>
            <w:r w:rsidR="006C6EFB" w:rsidRPr="00AE1744">
              <w:rPr>
                <w:rFonts w:ascii="Times New Roman" w:hAnsi="Times New Roman" w:cs="Times New Roman"/>
                <w:sz w:val="24"/>
                <w:szCs w:val="24"/>
              </w:rPr>
              <w:t>regulējums tiktu saskaņots ar kultūras institūciju regulējumu</w:t>
            </w:r>
            <w:r w:rsidRPr="00AE1744">
              <w:rPr>
                <w:rFonts w:ascii="Times New Roman" w:hAnsi="Times New Roman" w:cs="Times New Roman"/>
                <w:sz w:val="24"/>
                <w:szCs w:val="24"/>
              </w:rPr>
              <w:t xml:space="preserve">.  </w:t>
            </w:r>
          </w:p>
        </w:tc>
      </w:tr>
      <w:tr w:rsidR="006B111B" w:rsidRPr="00DD49B6" w14:paraId="59B37025" w14:textId="77777777" w:rsidTr="00195A56">
        <w:trPr>
          <w:trHeight w:val="3097"/>
        </w:trPr>
        <w:tc>
          <w:tcPr>
            <w:tcW w:w="2715" w:type="dxa"/>
            <w:gridSpan w:val="2"/>
            <w:tcBorders>
              <w:top w:val="single" w:sz="4" w:space="0" w:color="auto"/>
              <w:left w:val="single" w:sz="4" w:space="0" w:color="auto"/>
              <w:bottom w:val="single" w:sz="4" w:space="0" w:color="auto"/>
              <w:right w:val="single" w:sz="4" w:space="0" w:color="auto"/>
            </w:tcBorders>
          </w:tcPr>
          <w:p w14:paraId="1A5A1E4D" w14:textId="77777777" w:rsidR="006B111B" w:rsidRPr="00AE1744" w:rsidRDefault="006B111B" w:rsidP="006B111B">
            <w:pPr>
              <w:spacing w:after="0" w:line="240" w:lineRule="auto"/>
              <w:ind w:left="57"/>
              <w:rPr>
                <w:rFonts w:ascii="Times New Roman" w:hAnsi="Times New Roman" w:cs="Times New Roman"/>
                <w:spacing w:val="-3"/>
                <w:sz w:val="24"/>
                <w:szCs w:val="24"/>
              </w:rPr>
            </w:pPr>
            <w:r w:rsidRPr="00AE1744">
              <w:rPr>
                <w:rFonts w:ascii="Times New Roman" w:hAnsi="Times New Roman" w:cs="Times New Roman"/>
                <w:spacing w:val="-4"/>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65" w:type="dxa"/>
            <w:gridSpan w:val="4"/>
            <w:tcBorders>
              <w:top w:val="single" w:sz="4" w:space="0" w:color="auto"/>
              <w:left w:val="single" w:sz="4" w:space="0" w:color="auto"/>
              <w:bottom w:val="single" w:sz="4" w:space="0" w:color="auto"/>
              <w:right w:val="single" w:sz="4" w:space="0" w:color="auto"/>
            </w:tcBorders>
          </w:tcPr>
          <w:p w14:paraId="0E492121" w14:textId="5682F6FA" w:rsidR="006B111B" w:rsidRPr="00AE1744" w:rsidRDefault="006B111B" w:rsidP="006B111B">
            <w:pPr>
              <w:spacing w:before="120" w:line="240" w:lineRule="auto"/>
              <w:ind w:left="104" w:right="142" w:hanging="47"/>
              <w:jc w:val="both"/>
              <w:rPr>
                <w:rFonts w:ascii="Times New Roman" w:hAnsi="Times New Roman" w:cs="Times New Roman"/>
                <w:sz w:val="24"/>
                <w:szCs w:val="24"/>
              </w:rPr>
            </w:pPr>
            <w:r w:rsidRPr="00AE1744">
              <w:rPr>
                <w:rFonts w:ascii="Times New Roman" w:hAnsi="Times New Roman" w:cs="Times New Roman"/>
                <w:sz w:val="24"/>
                <w:szCs w:val="24"/>
              </w:rPr>
              <w:t xml:space="preserve"> Pēc</w:t>
            </w:r>
            <w:r w:rsidRPr="00AE1744">
              <w:rPr>
                <w:rFonts w:ascii="Times New Roman" w:eastAsiaTheme="minorHAnsi" w:hAnsi="Times New Roman" w:cs="Times New Roman"/>
                <w:sz w:val="24"/>
                <w:szCs w:val="24"/>
              </w:rPr>
              <w:t xml:space="preserve"> likumprojekta „Grozījumi Pievienotās vērtības nodokļa likumā” pieņemšanas galīgajā lasījumā Saeimā un izsludināšanas oficiālajā izdevumā “Latvijas Vēstnesis”, Latvijai </w:t>
            </w:r>
            <w:r w:rsidRPr="00AE1744">
              <w:rPr>
                <w:rFonts w:ascii="Times New Roman" w:hAnsi="Times New Roman" w:cs="Times New Roman"/>
                <w:sz w:val="24"/>
                <w:szCs w:val="24"/>
              </w:rPr>
              <w:t xml:space="preserve">attiecībā uz </w:t>
            </w:r>
            <w:r w:rsidRPr="00AE1744">
              <w:rPr>
                <w:rFonts w:ascii="Times New Roman" w:hAnsi="Times New Roman" w:cs="Times New Roman"/>
                <w:spacing w:val="-2"/>
                <w:sz w:val="24"/>
                <w:szCs w:val="24"/>
              </w:rPr>
              <w:t xml:space="preserve">likumprojekta 1.panta pirmajā, otrajā un piektajā daļā, kā arī 2.pantā (attiecīgi likuma pārejas noteikumu 24.punkts) veiktajiem grozījumiem </w:t>
            </w:r>
            <w:r w:rsidRPr="00AE1744">
              <w:rPr>
                <w:rFonts w:ascii="Times New Roman" w:eastAsiaTheme="minorHAnsi" w:hAnsi="Times New Roman" w:cs="Times New Roman"/>
                <w:sz w:val="24"/>
                <w:szCs w:val="24"/>
              </w:rPr>
              <w:t xml:space="preserve">ir pienākums sniegt paziņojumu Eiropas Komisijai. </w:t>
            </w:r>
          </w:p>
          <w:p w14:paraId="76D80E8F" w14:textId="77777777" w:rsidR="006B111B" w:rsidRPr="00AE1744" w:rsidRDefault="006B111B" w:rsidP="006B111B">
            <w:pPr>
              <w:ind w:left="47" w:right="125" w:hanging="47"/>
              <w:jc w:val="both"/>
              <w:rPr>
                <w:rFonts w:ascii="Times New Roman" w:hAnsi="Times New Roman" w:cs="Times New Roman"/>
                <w:sz w:val="24"/>
                <w:szCs w:val="24"/>
              </w:rPr>
            </w:pPr>
          </w:p>
        </w:tc>
      </w:tr>
      <w:tr w:rsidR="006B111B" w:rsidRPr="00DD49B6" w14:paraId="257AA23A" w14:textId="77777777" w:rsidTr="00195A56">
        <w:tc>
          <w:tcPr>
            <w:tcW w:w="2715" w:type="dxa"/>
            <w:gridSpan w:val="2"/>
            <w:tcBorders>
              <w:top w:val="single" w:sz="4" w:space="0" w:color="auto"/>
              <w:left w:val="outset" w:sz="6" w:space="0" w:color="auto"/>
              <w:bottom w:val="outset" w:sz="6" w:space="0" w:color="auto"/>
              <w:right w:val="outset" w:sz="6" w:space="0" w:color="auto"/>
            </w:tcBorders>
          </w:tcPr>
          <w:p w14:paraId="53E2205E" w14:textId="77777777" w:rsidR="006B111B" w:rsidRPr="00DD49B6" w:rsidRDefault="006B111B" w:rsidP="006B111B">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865" w:type="dxa"/>
            <w:gridSpan w:val="4"/>
            <w:tcBorders>
              <w:top w:val="single" w:sz="4" w:space="0" w:color="auto"/>
              <w:left w:val="outset" w:sz="6" w:space="0" w:color="auto"/>
              <w:bottom w:val="outset" w:sz="6" w:space="0" w:color="auto"/>
              <w:right w:val="outset" w:sz="6" w:space="0" w:color="auto"/>
            </w:tcBorders>
          </w:tcPr>
          <w:p w14:paraId="2500A9B1" w14:textId="77777777" w:rsidR="006B111B" w:rsidRPr="00DD49B6" w:rsidRDefault="006B111B" w:rsidP="006B111B">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Nav</w:t>
            </w:r>
          </w:p>
        </w:tc>
      </w:tr>
      <w:tr w:rsidR="006B111B" w:rsidRPr="00DD49B6" w14:paraId="7F6666B0" w14:textId="77777777" w:rsidTr="001E4380">
        <w:tc>
          <w:tcPr>
            <w:tcW w:w="9580" w:type="dxa"/>
            <w:gridSpan w:val="6"/>
            <w:tcBorders>
              <w:top w:val="outset" w:sz="6" w:space="0" w:color="auto"/>
              <w:left w:val="outset" w:sz="6" w:space="0" w:color="auto"/>
              <w:bottom w:val="outset" w:sz="6" w:space="0" w:color="auto"/>
              <w:right w:val="outset" w:sz="6" w:space="0" w:color="auto"/>
            </w:tcBorders>
            <w:vAlign w:val="center"/>
          </w:tcPr>
          <w:p w14:paraId="74742916" w14:textId="77777777" w:rsidR="006B111B" w:rsidRPr="00DD49B6" w:rsidRDefault="006B111B" w:rsidP="006B111B">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2.tabula</w:t>
            </w:r>
          </w:p>
          <w:p w14:paraId="275936E4" w14:textId="77777777" w:rsidR="006B111B" w:rsidRPr="00DD49B6" w:rsidRDefault="006B111B" w:rsidP="006B111B">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249B9316" w14:textId="77777777" w:rsidR="006B111B" w:rsidRPr="00DD49B6" w:rsidRDefault="006B111B" w:rsidP="006B111B">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Pasākumi šo saistību izpildei</w:t>
            </w:r>
          </w:p>
        </w:tc>
      </w:tr>
      <w:tr w:rsidR="006B111B" w:rsidRPr="00DD49B6" w14:paraId="720ACC6C" w14:textId="77777777" w:rsidTr="00195A56">
        <w:tc>
          <w:tcPr>
            <w:tcW w:w="2715" w:type="dxa"/>
            <w:gridSpan w:val="2"/>
            <w:tcBorders>
              <w:top w:val="outset" w:sz="6" w:space="0" w:color="auto"/>
              <w:left w:val="outset" w:sz="6" w:space="0" w:color="auto"/>
              <w:bottom w:val="outset" w:sz="6" w:space="0" w:color="auto"/>
              <w:right w:val="outset" w:sz="6" w:space="0" w:color="auto"/>
            </w:tcBorders>
            <w:vAlign w:val="center"/>
          </w:tcPr>
          <w:p w14:paraId="167E7AE1" w14:textId="77777777" w:rsidR="006B111B" w:rsidRPr="00DD49B6" w:rsidRDefault="006B111B" w:rsidP="006B111B">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6865" w:type="dxa"/>
            <w:gridSpan w:val="4"/>
            <w:tcBorders>
              <w:top w:val="outset" w:sz="6" w:space="0" w:color="auto"/>
              <w:left w:val="outset" w:sz="6" w:space="0" w:color="auto"/>
              <w:bottom w:val="outset" w:sz="6" w:space="0" w:color="auto"/>
              <w:right w:val="outset" w:sz="6" w:space="0" w:color="auto"/>
            </w:tcBorders>
          </w:tcPr>
          <w:p w14:paraId="0D3CD6D8" w14:textId="77777777" w:rsidR="006B111B" w:rsidRPr="00DD49B6" w:rsidRDefault="006B111B" w:rsidP="006B111B">
            <w:pPr>
              <w:spacing w:before="120" w:after="0" w:line="240" w:lineRule="auto"/>
              <w:ind w:left="57"/>
              <w:rPr>
                <w:rFonts w:ascii="Times New Roman" w:hAnsi="Times New Roman" w:cs="Times New Roman"/>
                <w:sz w:val="24"/>
                <w:szCs w:val="24"/>
              </w:rPr>
            </w:pPr>
            <w:r>
              <w:rPr>
                <w:rFonts w:ascii="Times New Roman" w:hAnsi="Times New Roman" w:cs="Times New Roman"/>
                <w:sz w:val="24"/>
                <w:szCs w:val="24"/>
              </w:rPr>
              <w:t>Projekts šo jomu neskar</w:t>
            </w:r>
          </w:p>
        </w:tc>
      </w:tr>
      <w:tr w:rsidR="006B111B" w:rsidRPr="00DD49B6" w14:paraId="72D150F7" w14:textId="77777777" w:rsidTr="00195A56">
        <w:tc>
          <w:tcPr>
            <w:tcW w:w="2715" w:type="dxa"/>
            <w:gridSpan w:val="2"/>
            <w:tcBorders>
              <w:top w:val="outset" w:sz="6" w:space="0" w:color="auto"/>
              <w:left w:val="outset" w:sz="6" w:space="0" w:color="auto"/>
              <w:bottom w:val="outset" w:sz="6" w:space="0" w:color="auto"/>
              <w:right w:val="outset" w:sz="6" w:space="0" w:color="auto"/>
            </w:tcBorders>
            <w:vAlign w:val="center"/>
          </w:tcPr>
          <w:p w14:paraId="23512EAB" w14:textId="77777777" w:rsidR="006B111B" w:rsidRPr="00DD49B6" w:rsidRDefault="006B111B" w:rsidP="006B111B">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2665" w:type="dxa"/>
            <w:gridSpan w:val="2"/>
            <w:tcBorders>
              <w:top w:val="outset" w:sz="6" w:space="0" w:color="auto"/>
              <w:left w:val="outset" w:sz="6" w:space="0" w:color="auto"/>
              <w:bottom w:val="outset" w:sz="6" w:space="0" w:color="auto"/>
              <w:right w:val="single" w:sz="4" w:space="0" w:color="auto"/>
            </w:tcBorders>
            <w:vAlign w:val="center"/>
          </w:tcPr>
          <w:p w14:paraId="7C780B18" w14:textId="77777777" w:rsidR="006B111B" w:rsidRPr="00DD49B6" w:rsidRDefault="006B111B" w:rsidP="006B111B">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4200" w:type="dxa"/>
            <w:gridSpan w:val="2"/>
            <w:tcBorders>
              <w:top w:val="outset" w:sz="6" w:space="0" w:color="auto"/>
              <w:left w:val="single" w:sz="4" w:space="0" w:color="auto"/>
              <w:bottom w:val="outset" w:sz="6" w:space="0" w:color="auto"/>
              <w:right w:val="outset" w:sz="6" w:space="0" w:color="auto"/>
            </w:tcBorders>
            <w:vAlign w:val="center"/>
          </w:tcPr>
          <w:p w14:paraId="244E81AB" w14:textId="77777777" w:rsidR="006B111B" w:rsidRPr="00DD49B6" w:rsidRDefault="006B111B" w:rsidP="006B111B">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r>
      <w:tr w:rsidR="006B111B" w:rsidRPr="00DD49B6" w14:paraId="4B42CDCC" w14:textId="77777777" w:rsidTr="00195A56">
        <w:trPr>
          <w:trHeight w:val="261"/>
        </w:trPr>
        <w:tc>
          <w:tcPr>
            <w:tcW w:w="2715" w:type="dxa"/>
            <w:gridSpan w:val="2"/>
            <w:tcBorders>
              <w:top w:val="single" w:sz="4" w:space="0" w:color="auto"/>
              <w:left w:val="outset" w:sz="6" w:space="0" w:color="auto"/>
              <w:bottom w:val="outset" w:sz="6" w:space="0" w:color="auto"/>
              <w:right w:val="outset" w:sz="6" w:space="0" w:color="auto"/>
            </w:tcBorders>
          </w:tcPr>
          <w:p w14:paraId="631BF762" w14:textId="77777777" w:rsidR="006B111B" w:rsidRDefault="006B111B" w:rsidP="006B111B">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2665" w:type="dxa"/>
            <w:gridSpan w:val="2"/>
            <w:tcBorders>
              <w:top w:val="single" w:sz="4" w:space="0" w:color="auto"/>
              <w:left w:val="outset" w:sz="6" w:space="0" w:color="auto"/>
              <w:bottom w:val="outset" w:sz="6" w:space="0" w:color="auto"/>
              <w:right w:val="single" w:sz="4" w:space="0" w:color="auto"/>
            </w:tcBorders>
          </w:tcPr>
          <w:p w14:paraId="42EE5AEB" w14:textId="77777777" w:rsidR="006B111B" w:rsidRDefault="006B111B" w:rsidP="006B111B">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Nav</w:t>
            </w:r>
          </w:p>
        </w:tc>
        <w:tc>
          <w:tcPr>
            <w:tcW w:w="4200" w:type="dxa"/>
            <w:gridSpan w:val="2"/>
            <w:tcBorders>
              <w:top w:val="single" w:sz="4" w:space="0" w:color="auto"/>
              <w:left w:val="single" w:sz="4" w:space="0" w:color="auto"/>
              <w:bottom w:val="outset" w:sz="6" w:space="0" w:color="auto"/>
              <w:right w:val="outset" w:sz="6" w:space="0" w:color="auto"/>
            </w:tcBorders>
          </w:tcPr>
          <w:p w14:paraId="4D22CDED" w14:textId="77777777" w:rsidR="006B111B" w:rsidRDefault="006B111B" w:rsidP="006B111B">
            <w:pPr>
              <w:spacing w:after="0" w:line="240" w:lineRule="auto"/>
              <w:jc w:val="both"/>
              <w:rPr>
                <w:rFonts w:ascii="Times New Roman" w:hAnsi="Times New Roman" w:cs="Times New Roman"/>
                <w:sz w:val="24"/>
                <w:szCs w:val="24"/>
              </w:rPr>
            </w:pPr>
          </w:p>
        </w:tc>
      </w:tr>
    </w:tbl>
    <w:p w14:paraId="325DD1AD" w14:textId="1FC7449C" w:rsidR="00195A56" w:rsidRDefault="007E7484" w:rsidP="00195A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W w:w="5550" w:type="pct"/>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28" w:type="dxa"/>
          <w:right w:w="28" w:type="dxa"/>
        </w:tblCellMar>
        <w:tblLook w:val="0000" w:firstRow="0" w:lastRow="0" w:firstColumn="0" w:lastColumn="0" w:noHBand="0" w:noVBand="0"/>
      </w:tblPr>
      <w:tblGrid>
        <w:gridCol w:w="351"/>
        <w:gridCol w:w="6"/>
        <w:gridCol w:w="3524"/>
        <w:gridCol w:w="8"/>
        <w:gridCol w:w="5698"/>
      </w:tblGrid>
      <w:tr w:rsidR="00991CBE" w:rsidRPr="00991CBE" w14:paraId="5BD8B58C" w14:textId="77777777" w:rsidTr="00195A56">
        <w:trPr>
          <w:trHeight w:val="421"/>
        </w:trPr>
        <w:tc>
          <w:tcPr>
            <w:tcW w:w="9587" w:type="dxa"/>
            <w:gridSpan w:val="5"/>
            <w:vAlign w:val="center"/>
          </w:tcPr>
          <w:p w14:paraId="458008A7" w14:textId="77777777" w:rsidR="00DA6C86" w:rsidRPr="00991CBE" w:rsidRDefault="00DA6C86" w:rsidP="00B01360">
            <w:pPr>
              <w:pStyle w:val="naisnod"/>
              <w:spacing w:before="0" w:beforeAutospacing="0" w:after="0" w:afterAutospacing="0"/>
              <w:ind w:left="57" w:right="57"/>
              <w:jc w:val="center"/>
            </w:pPr>
            <w:r w:rsidRPr="00991CBE">
              <w:rPr>
                <w:b/>
              </w:rPr>
              <w:t>VI. Sabiedrības līdzdalība un komunikācijas aktivitātes</w:t>
            </w:r>
          </w:p>
        </w:tc>
      </w:tr>
      <w:tr w:rsidR="00991CBE" w:rsidRPr="00991CBE" w14:paraId="5598EE07" w14:textId="77777777" w:rsidTr="007A479D">
        <w:trPr>
          <w:trHeight w:val="268"/>
        </w:trPr>
        <w:tc>
          <w:tcPr>
            <w:tcW w:w="357" w:type="dxa"/>
            <w:gridSpan w:val="2"/>
          </w:tcPr>
          <w:p w14:paraId="23B9B59F" w14:textId="77777777" w:rsidR="00DA6C86" w:rsidRPr="00991CBE" w:rsidRDefault="00DA6C86" w:rsidP="00B01360">
            <w:pPr>
              <w:spacing w:before="120" w:after="0" w:line="240" w:lineRule="auto"/>
              <w:ind w:left="57" w:right="57"/>
              <w:jc w:val="both"/>
              <w:rPr>
                <w:rFonts w:ascii="Times New Roman" w:hAnsi="Times New Roman" w:cs="Times New Roman"/>
                <w:bCs/>
                <w:sz w:val="24"/>
                <w:szCs w:val="24"/>
              </w:rPr>
            </w:pPr>
            <w:r w:rsidRPr="00991CBE">
              <w:rPr>
                <w:rFonts w:ascii="Times New Roman" w:hAnsi="Times New Roman" w:cs="Times New Roman"/>
                <w:bCs/>
                <w:sz w:val="24"/>
                <w:szCs w:val="24"/>
              </w:rPr>
              <w:t>1.</w:t>
            </w:r>
          </w:p>
        </w:tc>
        <w:tc>
          <w:tcPr>
            <w:tcW w:w="3524" w:type="dxa"/>
          </w:tcPr>
          <w:p w14:paraId="26794E9C" w14:textId="77777777" w:rsidR="00DA6C86" w:rsidRPr="00991CBE" w:rsidRDefault="00DA6C86" w:rsidP="00B01360">
            <w:pPr>
              <w:tabs>
                <w:tab w:val="left" w:pos="170"/>
              </w:tabs>
              <w:spacing w:before="120" w:after="0" w:line="240" w:lineRule="auto"/>
              <w:ind w:left="57" w:right="57"/>
              <w:rPr>
                <w:rFonts w:ascii="Times New Roman" w:hAnsi="Times New Roman" w:cs="Times New Roman"/>
                <w:sz w:val="24"/>
                <w:szCs w:val="24"/>
              </w:rPr>
            </w:pPr>
            <w:r w:rsidRPr="00991CBE">
              <w:rPr>
                <w:rFonts w:ascii="Times New Roman" w:hAnsi="Times New Roman" w:cs="Times New Roman"/>
                <w:sz w:val="24"/>
                <w:szCs w:val="24"/>
              </w:rPr>
              <w:t>Plānotās sabiedrības līdzdalības un komunikācijas aktivitātes saistībā ar projektu</w:t>
            </w:r>
          </w:p>
        </w:tc>
        <w:tc>
          <w:tcPr>
            <w:tcW w:w="5706" w:type="dxa"/>
            <w:gridSpan w:val="2"/>
          </w:tcPr>
          <w:p w14:paraId="16C972D8" w14:textId="117B5093" w:rsidR="009500ED" w:rsidRPr="00AE1744" w:rsidRDefault="006832FF" w:rsidP="004812D1">
            <w:pPr>
              <w:shd w:val="clear" w:color="auto" w:fill="FFFFFF"/>
              <w:spacing w:before="120" w:after="120" w:line="240" w:lineRule="auto"/>
              <w:ind w:left="57" w:right="142"/>
              <w:jc w:val="both"/>
              <w:rPr>
                <w:rFonts w:ascii="Times New Roman" w:hAnsi="Times New Roman" w:cs="Times New Roman"/>
                <w:sz w:val="24"/>
                <w:szCs w:val="24"/>
              </w:rPr>
            </w:pPr>
            <w:bookmarkStart w:id="2" w:name="p61"/>
            <w:bookmarkEnd w:id="2"/>
            <w:r w:rsidRPr="00AE1744">
              <w:rPr>
                <w:rFonts w:ascii="Times New Roman" w:hAnsi="Times New Roman" w:cs="Times New Roman"/>
                <w:sz w:val="24"/>
                <w:szCs w:val="24"/>
              </w:rPr>
              <w:t xml:space="preserve">Informācija par grozījumiem tiks </w:t>
            </w:r>
            <w:r w:rsidR="009500ED" w:rsidRPr="00AE1744">
              <w:rPr>
                <w:rFonts w:ascii="Times New Roman" w:hAnsi="Times New Roman" w:cs="Times New Roman"/>
                <w:sz w:val="24"/>
                <w:szCs w:val="24"/>
              </w:rPr>
              <w:t>publicēta Finanšu ministrijas</w:t>
            </w:r>
            <w:r w:rsidRPr="00AE1744">
              <w:rPr>
                <w:rFonts w:ascii="Times New Roman" w:hAnsi="Times New Roman" w:cs="Times New Roman"/>
                <w:sz w:val="24"/>
                <w:szCs w:val="24"/>
              </w:rPr>
              <w:t xml:space="preserve"> un Ministru kabineta</w:t>
            </w:r>
            <w:r w:rsidR="009500ED" w:rsidRPr="00AE1744">
              <w:rPr>
                <w:rFonts w:ascii="Times New Roman" w:hAnsi="Times New Roman" w:cs="Times New Roman"/>
                <w:sz w:val="24"/>
                <w:szCs w:val="24"/>
              </w:rPr>
              <w:t xml:space="preserve"> mājas lapā</w:t>
            </w:r>
            <w:r w:rsidRPr="00AE1744">
              <w:rPr>
                <w:rFonts w:ascii="Times New Roman" w:hAnsi="Times New Roman" w:cs="Times New Roman"/>
                <w:sz w:val="24"/>
                <w:szCs w:val="24"/>
              </w:rPr>
              <w:t>, kā arī plānotas komunikācijas aktivitātes saistībā ar šo projektu</w:t>
            </w:r>
            <w:r w:rsidR="009500ED" w:rsidRPr="00AE1744">
              <w:rPr>
                <w:rFonts w:ascii="Times New Roman" w:hAnsi="Times New Roman" w:cs="Times New Roman"/>
                <w:sz w:val="24"/>
                <w:szCs w:val="24"/>
              </w:rPr>
              <w:t>.</w:t>
            </w:r>
          </w:p>
          <w:p w14:paraId="49477679" w14:textId="209BBDF3" w:rsidR="000728DD" w:rsidRPr="007F1011" w:rsidRDefault="009500ED" w:rsidP="00D857D7">
            <w:pPr>
              <w:shd w:val="clear" w:color="auto" w:fill="FFFFFF"/>
              <w:spacing w:before="120" w:after="120" w:line="240" w:lineRule="auto"/>
              <w:ind w:left="57" w:right="142"/>
              <w:jc w:val="both"/>
              <w:rPr>
                <w:rFonts w:ascii="Times New Roman" w:hAnsi="Times New Roman" w:cs="Times New Roman"/>
                <w:sz w:val="24"/>
                <w:szCs w:val="24"/>
              </w:rPr>
            </w:pPr>
            <w:r w:rsidRPr="00AE1744">
              <w:rPr>
                <w:rFonts w:ascii="Times New Roman" w:hAnsi="Times New Roman" w:cs="Times New Roman"/>
                <w:sz w:val="24"/>
                <w:szCs w:val="24"/>
              </w:rPr>
              <w:t xml:space="preserve"> </w:t>
            </w:r>
            <w:r w:rsidR="0089547A" w:rsidRPr="00AE1744">
              <w:rPr>
                <w:rFonts w:ascii="Times New Roman" w:hAnsi="Times New Roman" w:cs="Times New Roman"/>
                <w:sz w:val="24"/>
                <w:szCs w:val="24"/>
              </w:rPr>
              <w:t>2014.gada martā Finanšu ministrija</w:t>
            </w:r>
            <w:r w:rsidR="004812D1" w:rsidRPr="00AE1744">
              <w:rPr>
                <w:rFonts w:ascii="Times New Roman" w:hAnsi="Times New Roman" w:cs="Times New Roman"/>
                <w:sz w:val="24"/>
                <w:szCs w:val="24"/>
              </w:rPr>
              <w:t xml:space="preserve"> par plānotajiem</w:t>
            </w:r>
            <w:r w:rsidR="0089547A" w:rsidRPr="00AE1744">
              <w:rPr>
                <w:rFonts w:ascii="Times New Roman" w:hAnsi="Times New Roman" w:cs="Times New Roman"/>
                <w:sz w:val="24"/>
                <w:szCs w:val="24"/>
              </w:rPr>
              <w:t xml:space="preserve"> </w:t>
            </w:r>
            <w:r w:rsidR="004812D1" w:rsidRPr="00AE1744">
              <w:rPr>
                <w:rFonts w:ascii="Times New Roman" w:hAnsi="Times New Roman" w:cs="Times New Roman"/>
                <w:sz w:val="24"/>
                <w:szCs w:val="24"/>
              </w:rPr>
              <w:t xml:space="preserve">grozījumiem attiecībā uz </w:t>
            </w:r>
            <w:r w:rsidR="00D857D7" w:rsidRPr="00AE1744">
              <w:rPr>
                <w:rFonts w:ascii="Times New Roman" w:hAnsi="Times New Roman" w:cs="Times New Roman"/>
                <w:sz w:val="24"/>
                <w:szCs w:val="24"/>
              </w:rPr>
              <w:t>PVN atbrīvojuma dzīvojamās mājas pārvaldīšanas pakalpojumiem izslēgšanu</w:t>
            </w:r>
            <w:r w:rsidR="006E75DE" w:rsidRPr="00AE1744">
              <w:rPr>
                <w:rFonts w:ascii="Times New Roman" w:hAnsi="Times New Roman" w:cs="Times New Roman"/>
                <w:sz w:val="24"/>
                <w:szCs w:val="24"/>
              </w:rPr>
              <w:t xml:space="preserve"> no PVN likuma</w:t>
            </w:r>
            <w:r w:rsidR="0089547A" w:rsidRPr="00AE1744">
              <w:rPr>
                <w:rFonts w:ascii="Times New Roman" w:hAnsi="Times New Roman" w:cs="Times New Roman"/>
                <w:sz w:val="24"/>
                <w:szCs w:val="24"/>
              </w:rPr>
              <w:t xml:space="preserve"> ir informējusi</w:t>
            </w:r>
            <w:r w:rsidR="007F1011" w:rsidRPr="00AE1744">
              <w:rPr>
                <w:rFonts w:ascii="Times New Roman" w:hAnsi="Times New Roman" w:cs="Times New Roman"/>
                <w:sz w:val="24"/>
                <w:szCs w:val="24"/>
              </w:rPr>
              <w:t xml:space="preserve"> VID</w:t>
            </w:r>
            <w:r w:rsidR="0089547A" w:rsidRPr="00AE1744">
              <w:rPr>
                <w:rFonts w:ascii="Times New Roman" w:hAnsi="Times New Roman" w:cs="Times New Roman"/>
                <w:sz w:val="24"/>
                <w:szCs w:val="24"/>
              </w:rPr>
              <w:t>, Ekonomikas ministriju,</w:t>
            </w:r>
            <w:r w:rsidR="0089547A" w:rsidRPr="00AE1744">
              <w:t xml:space="preserve"> </w:t>
            </w:r>
            <w:r w:rsidR="0089547A" w:rsidRPr="00AE1744">
              <w:rPr>
                <w:rFonts w:ascii="Times New Roman" w:hAnsi="Times New Roman" w:cs="Times New Roman"/>
                <w:sz w:val="24"/>
                <w:szCs w:val="24"/>
              </w:rPr>
              <w:t>Latvijas Pašvaldību savienību, Latvijas Lielo pilsētu</w:t>
            </w:r>
            <w:r w:rsidR="0089547A">
              <w:rPr>
                <w:rFonts w:ascii="Times New Roman" w:hAnsi="Times New Roman" w:cs="Times New Roman"/>
                <w:sz w:val="24"/>
                <w:szCs w:val="24"/>
              </w:rPr>
              <w:t xml:space="preserve"> asociāciju, </w:t>
            </w:r>
            <w:r w:rsidR="0089547A" w:rsidRPr="004B3042">
              <w:rPr>
                <w:rFonts w:ascii="Times New Roman" w:hAnsi="Times New Roman" w:cs="Times New Roman"/>
                <w:sz w:val="24"/>
                <w:szCs w:val="24"/>
              </w:rPr>
              <w:t>Latvijas Namu pārvaldītā</w:t>
            </w:r>
            <w:r w:rsidR="0089547A">
              <w:rPr>
                <w:rFonts w:ascii="Times New Roman" w:hAnsi="Times New Roman" w:cs="Times New Roman"/>
                <w:sz w:val="24"/>
                <w:szCs w:val="24"/>
              </w:rPr>
              <w:t xml:space="preserve">ju un </w:t>
            </w:r>
            <w:proofErr w:type="spellStart"/>
            <w:r w:rsidR="0089547A">
              <w:rPr>
                <w:rFonts w:ascii="Times New Roman" w:hAnsi="Times New Roman" w:cs="Times New Roman"/>
                <w:sz w:val="24"/>
                <w:szCs w:val="24"/>
              </w:rPr>
              <w:t>apsaimniekotāju</w:t>
            </w:r>
            <w:proofErr w:type="spellEnd"/>
            <w:r w:rsidR="0089547A">
              <w:rPr>
                <w:rFonts w:ascii="Times New Roman" w:hAnsi="Times New Roman" w:cs="Times New Roman"/>
                <w:sz w:val="24"/>
                <w:szCs w:val="24"/>
              </w:rPr>
              <w:t xml:space="preserve"> asociāciju, kā arī Privatizācijas aģentūru.</w:t>
            </w:r>
          </w:p>
        </w:tc>
      </w:tr>
      <w:tr w:rsidR="00991CBE" w:rsidRPr="00991CBE" w14:paraId="3EE257E0" w14:textId="77777777" w:rsidTr="00195A56">
        <w:trPr>
          <w:trHeight w:val="1327"/>
        </w:trPr>
        <w:tc>
          <w:tcPr>
            <w:tcW w:w="357" w:type="dxa"/>
            <w:gridSpan w:val="2"/>
          </w:tcPr>
          <w:p w14:paraId="66F055DC" w14:textId="77777777" w:rsidR="00DA6C86" w:rsidRPr="00991CBE" w:rsidRDefault="00DA6C86" w:rsidP="00B01360">
            <w:pPr>
              <w:spacing w:before="120" w:after="0" w:line="240" w:lineRule="auto"/>
              <w:ind w:left="57" w:right="57"/>
              <w:jc w:val="both"/>
              <w:rPr>
                <w:rFonts w:ascii="Times New Roman" w:hAnsi="Times New Roman" w:cs="Times New Roman"/>
                <w:bCs/>
                <w:sz w:val="24"/>
                <w:szCs w:val="24"/>
              </w:rPr>
            </w:pPr>
            <w:r w:rsidRPr="00991CBE">
              <w:rPr>
                <w:rFonts w:ascii="Times New Roman" w:hAnsi="Times New Roman" w:cs="Times New Roman"/>
                <w:bCs/>
                <w:sz w:val="24"/>
                <w:szCs w:val="24"/>
              </w:rPr>
              <w:t>2.</w:t>
            </w:r>
          </w:p>
        </w:tc>
        <w:tc>
          <w:tcPr>
            <w:tcW w:w="3524" w:type="dxa"/>
          </w:tcPr>
          <w:p w14:paraId="2D1AD887" w14:textId="77777777" w:rsidR="00DA6C86" w:rsidRPr="00991CBE" w:rsidRDefault="00DA6C86" w:rsidP="00B01360">
            <w:pPr>
              <w:spacing w:before="120" w:after="0" w:line="240" w:lineRule="auto"/>
              <w:ind w:left="57" w:right="57"/>
              <w:rPr>
                <w:rFonts w:ascii="Times New Roman" w:hAnsi="Times New Roman" w:cs="Times New Roman"/>
                <w:sz w:val="24"/>
                <w:szCs w:val="24"/>
              </w:rPr>
            </w:pPr>
            <w:r w:rsidRPr="00991CBE">
              <w:rPr>
                <w:rFonts w:ascii="Times New Roman" w:hAnsi="Times New Roman" w:cs="Times New Roman"/>
                <w:sz w:val="24"/>
                <w:szCs w:val="24"/>
              </w:rPr>
              <w:t>Sabiedrības līdzdalība projekta izstrādē</w:t>
            </w:r>
          </w:p>
        </w:tc>
        <w:tc>
          <w:tcPr>
            <w:tcW w:w="5706" w:type="dxa"/>
            <w:gridSpan w:val="2"/>
            <w:vAlign w:val="center"/>
          </w:tcPr>
          <w:p w14:paraId="2B6ADD67" w14:textId="1A0BB887" w:rsidR="007F1011" w:rsidRPr="00AE1744" w:rsidRDefault="00082667" w:rsidP="00B01360">
            <w:pPr>
              <w:shd w:val="clear" w:color="auto" w:fill="FFFFFF"/>
              <w:spacing w:before="120" w:after="120" w:line="240" w:lineRule="auto"/>
              <w:ind w:left="57" w:right="142"/>
              <w:jc w:val="both"/>
              <w:rPr>
                <w:rFonts w:ascii="Times New Roman" w:hAnsi="Times New Roman" w:cs="Times New Roman"/>
                <w:sz w:val="24"/>
                <w:szCs w:val="24"/>
              </w:rPr>
            </w:pPr>
            <w:bookmarkStart w:id="3" w:name="p62"/>
            <w:bookmarkEnd w:id="3"/>
            <w:r w:rsidRPr="00AE1744">
              <w:rPr>
                <w:rFonts w:ascii="Times New Roman" w:hAnsi="Times New Roman" w:cs="Times New Roman"/>
                <w:sz w:val="24"/>
                <w:szCs w:val="24"/>
              </w:rPr>
              <w:t>Tā kā</w:t>
            </w:r>
            <w:r w:rsidR="004B3042" w:rsidRPr="00AE1744">
              <w:rPr>
                <w:rFonts w:ascii="Times New Roman" w:hAnsi="Times New Roman" w:cs="Times New Roman"/>
                <w:sz w:val="24"/>
                <w:szCs w:val="24"/>
              </w:rPr>
              <w:t xml:space="preserve"> grozījumi </w:t>
            </w:r>
            <w:r w:rsidR="00014EC9" w:rsidRPr="00AE1744">
              <w:rPr>
                <w:rFonts w:ascii="Times New Roman" w:hAnsi="Times New Roman" w:cs="Times New Roman"/>
                <w:sz w:val="24"/>
                <w:szCs w:val="24"/>
              </w:rPr>
              <w:t xml:space="preserve">attiecībā uz PVN atbrīvojuma dzīvojamās mājas pārvaldīšanas pakalpojumiem izslēgšanu no PVN likuma </w:t>
            </w:r>
            <w:r w:rsidR="004B3042" w:rsidRPr="00AE1744">
              <w:rPr>
                <w:rFonts w:ascii="Times New Roman" w:hAnsi="Times New Roman" w:cs="Times New Roman"/>
                <w:sz w:val="24"/>
                <w:szCs w:val="24"/>
              </w:rPr>
              <w:t>veikti, lai nodrošinātu PVN likuma atbilstību PVN direktīvas regulējumam un</w:t>
            </w:r>
            <w:r w:rsidRPr="00AE1744">
              <w:rPr>
                <w:rFonts w:ascii="Times New Roman" w:hAnsi="Times New Roman" w:cs="Times New Roman"/>
                <w:sz w:val="24"/>
                <w:szCs w:val="24"/>
              </w:rPr>
              <w:t xml:space="preserve"> jautājums skar valsts intereses, sabiedrības līdzdalības pasākumi nav veikti</w:t>
            </w:r>
            <w:r w:rsidR="00EE3CB5" w:rsidRPr="00AE1744">
              <w:rPr>
                <w:rFonts w:ascii="Times New Roman" w:hAnsi="Times New Roman" w:cs="Times New Roman"/>
                <w:sz w:val="24"/>
                <w:szCs w:val="24"/>
              </w:rPr>
              <w:t>.</w:t>
            </w:r>
          </w:p>
          <w:p w14:paraId="79F17354" w14:textId="5B744820" w:rsidR="00014EC9" w:rsidRPr="00082667" w:rsidRDefault="00014EC9" w:rsidP="00014EC9">
            <w:pPr>
              <w:shd w:val="clear" w:color="auto" w:fill="FFFFFF"/>
              <w:spacing w:before="120" w:after="120" w:line="240" w:lineRule="auto"/>
              <w:ind w:left="57" w:right="142"/>
              <w:jc w:val="both"/>
              <w:rPr>
                <w:rFonts w:ascii="Times New Roman" w:hAnsi="Times New Roman" w:cs="Times New Roman"/>
                <w:sz w:val="24"/>
                <w:szCs w:val="24"/>
              </w:rPr>
            </w:pPr>
            <w:r w:rsidRPr="00AE1744">
              <w:rPr>
                <w:rFonts w:ascii="Times New Roman" w:hAnsi="Times New Roman" w:cs="Times New Roman"/>
                <w:sz w:val="24"/>
                <w:szCs w:val="24"/>
              </w:rPr>
              <w:t>Sabiedrības līdzdalības pasākumi nav veikti arī attiecībā uz kultūras pakalpojumiem, jo ar grozījumiem tiek precizēta PVN atbrīvojuma piemērošana</w:t>
            </w:r>
            <w:r w:rsidRPr="00AE1744">
              <w:rPr>
                <w:rFonts w:ascii="Times New Roman" w:hAnsi="Times New Roman"/>
                <w:sz w:val="24"/>
                <w:szCs w:val="24"/>
              </w:rPr>
              <w:t xml:space="preserve"> atbilstoši PVN direktīvas regulējumam</w:t>
            </w:r>
            <w:r w:rsidRPr="00AE1744">
              <w:rPr>
                <w:rFonts w:ascii="Times New Roman" w:hAnsi="Times New Roman" w:cs="Times New Roman"/>
                <w:sz w:val="24"/>
                <w:szCs w:val="24"/>
              </w:rPr>
              <w:t xml:space="preserve"> un mērķim.</w:t>
            </w:r>
            <w:r>
              <w:rPr>
                <w:rFonts w:ascii="Times New Roman" w:hAnsi="Times New Roman" w:cs="Times New Roman"/>
                <w:sz w:val="24"/>
                <w:szCs w:val="24"/>
              </w:rPr>
              <w:t xml:space="preserve">  </w:t>
            </w:r>
          </w:p>
        </w:tc>
      </w:tr>
      <w:tr w:rsidR="00991CBE" w:rsidRPr="00991CBE" w14:paraId="5C228B56" w14:textId="77777777" w:rsidTr="007A479D">
        <w:trPr>
          <w:trHeight w:val="223"/>
        </w:trPr>
        <w:tc>
          <w:tcPr>
            <w:tcW w:w="357" w:type="dxa"/>
            <w:gridSpan w:val="2"/>
          </w:tcPr>
          <w:p w14:paraId="0C51F7AE" w14:textId="77777777" w:rsidR="00DA6C86" w:rsidRPr="00991CBE" w:rsidRDefault="00DA6C86" w:rsidP="00B01360">
            <w:pPr>
              <w:spacing w:before="120" w:after="0" w:line="240" w:lineRule="auto"/>
              <w:ind w:left="57" w:right="57"/>
              <w:jc w:val="both"/>
              <w:rPr>
                <w:rFonts w:ascii="Times New Roman" w:hAnsi="Times New Roman" w:cs="Times New Roman"/>
                <w:bCs/>
                <w:sz w:val="24"/>
                <w:szCs w:val="24"/>
              </w:rPr>
            </w:pPr>
            <w:r w:rsidRPr="00991CBE">
              <w:rPr>
                <w:rFonts w:ascii="Times New Roman" w:hAnsi="Times New Roman" w:cs="Times New Roman"/>
                <w:bCs/>
                <w:sz w:val="24"/>
                <w:szCs w:val="24"/>
              </w:rPr>
              <w:t>3.</w:t>
            </w:r>
          </w:p>
        </w:tc>
        <w:tc>
          <w:tcPr>
            <w:tcW w:w="3524" w:type="dxa"/>
          </w:tcPr>
          <w:p w14:paraId="3F9796BE" w14:textId="77777777" w:rsidR="00DA6C86" w:rsidRPr="00991CBE" w:rsidRDefault="00DA6C86" w:rsidP="00B01360">
            <w:pPr>
              <w:spacing w:before="120" w:after="120" w:line="240" w:lineRule="auto"/>
              <w:ind w:left="57" w:right="57"/>
              <w:rPr>
                <w:rFonts w:ascii="Times New Roman" w:hAnsi="Times New Roman" w:cs="Times New Roman"/>
                <w:sz w:val="24"/>
                <w:szCs w:val="24"/>
              </w:rPr>
            </w:pPr>
            <w:r w:rsidRPr="00991CBE">
              <w:rPr>
                <w:rFonts w:ascii="Times New Roman" w:hAnsi="Times New Roman" w:cs="Times New Roman"/>
                <w:sz w:val="24"/>
                <w:szCs w:val="24"/>
              </w:rPr>
              <w:t>Sabiedrības līdzdalības rezultāti</w:t>
            </w:r>
          </w:p>
        </w:tc>
        <w:tc>
          <w:tcPr>
            <w:tcW w:w="5706" w:type="dxa"/>
            <w:gridSpan w:val="2"/>
          </w:tcPr>
          <w:p w14:paraId="357ECA45" w14:textId="5CA4CDD4" w:rsidR="00F611EC" w:rsidRPr="009546BF" w:rsidRDefault="009546BF" w:rsidP="00C77FB6">
            <w:pPr>
              <w:shd w:val="clear" w:color="auto" w:fill="FFFFFF"/>
              <w:tabs>
                <w:tab w:val="left" w:pos="878"/>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7FB6">
              <w:rPr>
                <w:rFonts w:ascii="Times New Roman" w:hAnsi="Times New Roman" w:cs="Times New Roman"/>
                <w:sz w:val="24"/>
                <w:szCs w:val="24"/>
              </w:rPr>
              <w:t xml:space="preserve">Projekts šo </w:t>
            </w:r>
            <w:r w:rsidR="00B26AEB">
              <w:rPr>
                <w:rFonts w:ascii="Times New Roman" w:hAnsi="Times New Roman" w:cs="Times New Roman"/>
                <w:sz w:val="24"/>
                <w:szCs w:val="24"/>
              </w:rPr>
              <w:t>jomu neskar</w:t>
            </w:r>
          </w:p>
        </w:tc>
      </w:tr>
      <w:tr w:rsidR="00991CBE" w:rsidRPr="00991CBE" w14:paraId="35349DD6" w14:textId="77777777" w:rsidTr="00195A56">
        <w:trPr>
          <w:trHeight w:val="244"/>
        </w:trPr>
        <w:tc>
          <w:tcPr>
            <w:tcW w:w="357" w:type="dxa"/>
            <w:gridSpan w:val="2"/>
          </w:tcPr>
          <w:p w14:paraId="34484D04" w14:textId="77777777" w:rsidR="00DA6C86" w:rsidRPr="00991CBE" w:rsidRDefault="004D6D5B" w:rsidP="00B01360">
            <w:pPr>
              <w:spacing w:before="120" w:after="0" w:line="240" w:lineRule="auto"/>
              <w:ind w:left="57" w:right="57"/>
              <w:jc w:val="both"/>
              <w:rPr>
                <w:rFonts w:ascii="Times New Roman" w:hAnsi="Times New Roman" w:cs="Times New Roman"/>
                <w:bCs/>
                <w:sz w:val="24"/>
                <w:szCs w:val="24"/>
              </w:rPr>
            </w:pPr>
            <w:r w:rsidRPr="00991CBE">
              <w:rPr>
                <w:rFonts w:ascii="Times New Roman" w:hAnsi="Times New Roman" w:cs="Times New Roman"/>
                <w:bCs/>
                <w:sz w:val="24"/>
                <w:szCs w:val="24"/>
              </w:rPr>
              <w:t>4.</w:t>
            </w:r>
          </w:p>
        </w:tc>
        <w:tc>
          <w:tcPr>
            <w:tcW w:w="3524" w:type="dxa"/>
          </w:tcPr>
          <w:p w14:paraId="54BF6612" w14:textId="77777777" w:rsidR="00DA6C86" w:rsidRPr="00991CBE" w:rsidRDefault="00DA6C86" w:rsidP="00B01360">
            <w:pPr>
              <w:spacing w:before="120" w:after="120" w:line="240" w:lineRule="auto"/>
              <w:ind w:left="57" w:right="57"/>
              <w:rPr>
                <w:rFonts w:ascii="Times New Roman" w:hAnsi="Times New Roman" w:cs="Times New Roman"/>
                <w:sz w:val="24"/>
                <w:szCs w:val="24"/>
              </w:rPr>
            </w:pPr>
            <w:r w:rsidRPr="00991CBE">
              <w:rPr>
                <w:rFonts w:ascii="Times New Roman" w:hAnsi="Times New Roman" w:cs="Times New Roman"/>
                <w:sz w:val="24"/>
                <w:szCs w:val="24"/>
              </w:rPr>
              <w:t>Cita informācija</w:t>
            </w:r>
          </w:p>
        </w:tc>
        <w:tc>
          <w:tcPr>
            <w:tcW w:w="5706" w:type="dxa"/>
            <w:gridSpan w:val="2"/>
          </w:tcPr>
          <w:p w14:paraId="4DBBB5A7" w14:textId="77777777" w:rsidR="00DA6C86" w:rsidRPr="00991CBE" w:rsidRDefault="00D42845" w:rsidP="00B01360">
            <w:pPr>
              <w:spacing w:before="120" w:after="12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00380812" w:rsidRPr="00991CBE">
              <w:rPr>
                <w:rFonts w:ascii="Times New Roman" w:hAnsi="Times New Roman" w:cs="Times New Roman"/>
                <w:sz w:val="24"/>
                <w:szCs w:val="24"/>
              </w:rPr>
              <w:t>Nav</w:t>
            </w:r>
          </w:p>
        </w:tc>
      </w:tr>
      <w:tr w:rsidR="00991CBE" w:rsidRPr="00991CBE" w14:paraId="12EC9935" w14:textId="77777777" w:rsidTr="007A479D">
        <w:tblPrEx>
          <w:tblCellMar>
            <w:top w:w="28" w:type="dxa"/>
          </w:tblCellMar>
        </w:tblPrEx>
        <w:trPr>
          <w:trHeight w:val="381"/>
        </w:trPr>
        <w:tc>
          <w:tcPr>
            <w:tcW w:w="9587" w:type="dxa"/>
            <w:gridSpan w:val="5"/>
            <w:vAlign w:val="center"/>
          </w:tcPr>
          <w:p w14:paraId="65E8114D" w14:textId="77777777" w:rsidR="00DA6C86" w:rsidRPr="00991CBE" w:rsidRDefault="00DA6C86" w:rsidP="00171D36">
            <w:pPr>
              <w:pStyle w:val="naisnod"/>
              <w:spacing w:before="0" w:beforeAutospacing="0" w:after="0" w:afterAutospacing="0"/>
              <w:ind w:left="57" w:right="57"/>
              <w:jc w:val="center"/>
            </w:pPr>
            <w:r w:rsidRPr="00991CBE">
              <w:rPr>
                <w:b/>
              </w:rPr>
              <w:t>VII. Tiesību akta projekta izpildes nodrošināšana un tās ietekme uz institūcijām</w:t>
            </w:r>
          </w:p>
        </w:tc>
      </w:tr>
      <w:tr w:rsidR="00DA6C86" w:rsidRPr="00DD49B6" w14:paraId="2A1871D7" w14:textId="77777777" w:rsidTr="007A479D">
        <w:tblPrEx>
          <w:tblCellMar>
            <w:top w:w="28" w:type="dxa"/>
          </w:tblCellMar>
        </w:tblPrEx>
        <w:trPr>
          <w:trHeight w:val="427"/>
        </w:trPr>
        <w:tc>
          <w:tcPr>
            <w:tcW w:w="351" w:type="dxa"/>
          </w:tcPr>
          <w:p w14:paraId="19BE3EC1" w14:textId="77777777" w:rsidR="00DA6C86" w:rsidRPr="00DD49B6" w:rsidRDefault="00DA6C86" w:rsidP="00DB5C9D">
            <w:pPr>
              <w:pStyle w:val="naisnod"/>
              <w:spacing w:before="120" w:beforeAutospacing="0" w:after="0" w:afterAutospacing="0"/>
              <w:ind w:left="57" w:right="57"/>
              <w:jc w:val="both"/>
            </w:pPr>
            <w:r w:rsidRPr="00DD49B6">
              <w:t>1.</w:t>
            </w:r>
          </w:p>
        </w:tc>
        <w:tc>
          <w:tcPr>
            <w:tcW w:w="3538" w:type="dxa"/>
            <w:gridSpan w:val="3"/>
          </w:tcPr>
          <w:p w14:paraId="327A23F1" w14:textId="77777777" w:rsidR="00DA6C86" w:rsidRPr="00DD49B6" w:rsidRDefault="00DA6C86" w:rsidP="00DB5C9D">
            <w:pPr>
              <w:pStyle w:val="naisf"/>
              <w:spacing w:before="120" w:beforeAutospacing="0" w:after="120" w:afterAutospacing="0"/>
              <w:ind w:left="57" w:right="57"/>
            </w:pPr>
            <w:r w:rsidRPr="00DD49B6">
              <w:t>Projekta izpildē iesaistītās institūcijas</w:t>
            </w:r>
          </w:p>
        </w:tc>
        <w:tc>
          <w:tcPr>
            <w:tcW w:w="5698" w:type="dxa"/>
          </w:tcPr>
          <w:p w14:paraId="12C1A660" w14:textId="77777777" w:rsidR="00DA6C86" w:rsidRPr="003A1800" w:rsidRDefault="007F1011" w:rsidP="00DB5C9D">
            <w:pPr>
              <w:shd w:val="clear" w:color="auto" w:fill="FFFFFF"/>
              <w:spacing w:before="120" w:after="0" w:line="240" w:lineRule="auto"/>
              <w:jc w:val="both"/>
              <w:rPr>
                <w:rFonts w:ascii="Times New Roman" w:hAnsi="Times New Roman" w:cs="Times New Roman"/>
                <w:sz w:val="24"/>
                <w:szCs w:val="24"/>
              </w:rPr>
            </w:pPr>
            <w:bookmarkStart w:id="4" w:name="p66"/>
            <w:bookmarkStart w:id="5" w:name="p67"/>
            <w:bookmarkStart w:id="6" w:name="p68"/>
            <w:bookmarkStart w:id="7" w:name="p69"/>
            <w:bookmarkEnd w:id="4"/>
            <w:bookmarkEnd w:id="5"/>
            <w:bookmarkEnd w:id="6"/>
            <w:bookmarkEnd w:id="7"/>
            <w:r>
              <w:rPr>
                <w:rFonts w:ascii="Times New Roman" w:hAnsi="Times New Roman" w:cs="Times New Roman"/>
                <w:sz w:val="24"/>
                <w:szCs w:val="24"/>
              </w:rPr>
              <w:t>VID</w:t>
            </w:r>
            <w:r w:rsidR="003A1800" w:rsidRPr="003A1800">
              <w:rPr>
                <w:rFonts w:ascii="Times New Roman" w:hAnsi="Times New Roman" w:cs="Times New Roman"/>
                <w:sz w:val="24"/>
                <w:szCs w:val="24"/>
              </w:rPr>
              <w:t xml:space="preserve"> kā PVN administrējošā institūcija</w:t>
            </w:r>
          </w:p>
        </w:tc>
      </w:tr>
      <w:tr w:rsidR="00DA6C86" w:rsidRPr="00DD49B6" w14:paraId="7F19F0B4" w14:textId="77777777" w:rsidTr="007A479D">
        <w:tblPrEx>
          <w:tblCellMar>
            <w:top w:w="28" w:type="dxa"/>
          </w:tblCellMar>
        </w:tblPrEx>
        <w:trPr>
          <w:trHeight w:val="463"/>
        </w:trPr>
        <w:tc>
          <w:tcPr>
            <w:tcW w:w="351" w:type="dxa"/>
          </w:tcPr>
          <w:p w14:paraId="06D40B18" w14:textId="77777777" w:rsidR="00DA6C86" w:rsidRPr="00DD49B6" w:rsidRDefault="00DA6C86" w:rsidP="00195A56">
            <w:pPr>
              <w:pStyle w:val="naisnod"/>
              <w:spacing w:before="120" w:beforeAutospacing="0" w:after="120" w:afterAutospacing="0"/>
              <w:ind w:left="57" w:right="57"/>
              <w:jc w:val="both"/>
            </w:pPr>
            <w:r w:rsidRPr="00DD49B6">
              <w:t>2.</w:t>
            </w:r>
          </w:p>
        </w:tc>
        <w:tc>
          <w:tcPr>
            <w:tcW w:w="3538" w:type="dxa"/>
            <w:gridSpan w:val="3"/>
          </w:tcPr>
          <w:p w14:paraId="0FBA3DDC" w14:textId="77777777" w:rsidR="00DA6C86" w:rsidRPr="00DD49B6" w:rsidRDefault="00DA6C86" w:rsidP="00195A56">
            <w:pPr>
              <w:pStyle w:val="naisf"/>
              <w:spacing w:before="120" w:beforeAutospacing="0" w:after="120" w:afterAutospacing="0"/>
              <w:ind w:left="57" w:right="57"/>
            </w:pPr>
            <w:r w:rsidRPr="00DD49B6">
              <w:t>Projekta izpildes iet</w:t>
            </w:r>
            <w:r w:rsidR="002C5BB1">
              <w:t>ekme uz pār</w:t>
            </w:r>
            <w:r w:rsidR="001E69FC">
              <w:softHyphen/>
            </w:r>
            <w:r w:rsidR="002C5BB1">
              <w:t xml:space="preserve">valdes funkcijām un </w:t>
            </w:r>
            <w:r w:rsidRPr="00DD49B6">
              <w:t>institucionālo struktūru.</w:t>
            </w:r>
          </w:p>
          <w:p w14:paraId="76E3E5DA" w14:textId="77777777" w:rsidR="00DA6C86" w:rsidRPr="00DD49B6" w:rsidRDefault="00DA6C86" w:rsidP="00195A56">
            <w:pPr>
              <w:pStyle w:val="naisf"/>
              <w:spacing w:before="120" w:beforeAutospacing="0" w:after="120" w:afterAutospacing="0"/>
              <w:ind w:left="57" w:right="57"/>
            </w:pPr>
            <w:r w:rsidRPr="00DD49B6">
              <w:t>Jaunu institūciju izveide, esošu institūciju likvidācija vai reorga</w:t>
            </w:r>
            <w:r w:rsidR="001E69FC">
              <w:softHyphen/>
            </w:r>
            <w:r w:rsidRPr="00DD49B6">
              <w:t>nizācija, to ietekme uz institūcijas cilvēkresursiem.</w:t>
            </w:r>
          </w:p>
        </w:tc>
        <w:tc>
          <w:tcPr>
            <w:tcW w:w="5698" w:type="dxa"/>
          </w:tcPr>
          <w:p w14:paraId="1FF5E099" w14:textId="77777777" w:rsidR="0089547A" w:rsidRDefault="0089547A" w:rsidP="00195A56">
            <w:pPr>
              <w:shd w:val="clear" w:color="auto" w:fill="FFFFFF"/>
              <w:spacing w:before="120" w:after="120" w:line="240" w:lineRule="auto"/>
              <w:ind w:left="57" w:right="142" w:hanging="12"/>
              <w:jc w:val="both"/>
              <w:rPr>
                <w:rFonts w:ascii="Times New Roman" w:eastAsia="Calibri" w:hAnsi="Times New Roman" w:cs="Times New Roman"/>
                <w:sz w:val="24"/>
                <w:szCs w:val="24"/>
                <w:lang w:eastAsia="en-US"/>
              </w:rPr>
            </w:pPr>
            <w:r w:rsidRPr="00903A2D">
              <w:rPr>
                <w:rFonts w:ascii="Times New Roman" w:eastAsia="Calibri" w:hAnsi="Times New Roman" w:cs="Times New Roman"/>
                <w:sz w:val="24"/>
                <w:szCs w:val="24"/>
                <w:lang w:eastAsia="en-US"/>
              </w:rPr>
              <w:t xml:space="preserve">Netiek radīta jauna </w:t>
            </w:r>
            <w:r>
              <w:rPr>
                <w:rFonts w:ascii="Times New Roman" w:eastAsia="Calibri" w:hAnsi="Times New Roman" w:cs="Times New Roman"/>
                <w:sz w:val="24"/>
                <w:szCs w:val="24"/>
                <w:lang w:eastAsia="en-US"/>
              </w:rPr>
              <w:t xml:space="preserve">pārvaldes funkcija un jauna  </w:t>
            </w:r>
            <w:r w:rsidRPr="00903A2D">
              <w:rPr>
                <w:rFonts w:ascii="Times New Roman" w:eastAsia="Calibri" w:hAnsi="Times New Roman" w:cs="Times New Roman"/>
                <w:sz w:val="24"/>
                <w:szCs w:val="24"/>
                <w:lang w:eastAsia="en-US"/>
              </w:rPr>
              <w:t>institūcija</w:t>
            </w:r>
            <w:r>
              <w:rPr>
                <w:rFonts w:ascii="Times New Roman" w:eastAsia="Calibri" w:hAnsi="Times New Roman" w:cs="Times New Roman"/>
                <w:sz w:val="24"/>
                <w:szCs w:val="24"/>
                <w:lang w:eastAsia="en-US"/>
              </w:rPr>
              <w:t xml:space="preserve">, kā arī </w:t>
            </w:r>
            <w:r w:rsidRPr="00960E36">
              <w:rPr>
                <w:rFonts w:ascii="Times New Roman" w:eastAsia="Calibri" w:hAnsi="Times New Roman" w:cs="Times New Roman"/>
                <w:sz w:val="24"/>
                <w:szCs w:val="24"/>
                <w:lang w:eastAsia="en-US"/>
              </w:rPr>
              <w:t>esošu ins</w:t>
            </w:r>
            <w:r>
              <w:rPr>
                <w:rFonts w:ascii="Times New Roman" w:eastAsia="Calibri" w:hAnsi="Times New Roman" w:cs="Times New Roman"/>
                <w:sz w:val="24"/>
                <w:szCs w:val="24"/>
                <w:lang w:eastAsia="en-US"/>
              </w:rPr>
              <w:t>titūciju likvidācija vai reorga</w:t>
            </w:r>
            <w:r w:rsidRPr="00960E36">
              <w:rPr>
                <w:rFonts w:ascii="Times New Roman" w:eastAsia="Calibri" w:hAnsi="Times New Roman" w:cs="Times New Roman"/>
                <w:sz w:val="24"/>
                <w:szCs w:val="24"/>
                <w:lang w:eastAsia="en-US"/>
              </w:rPr>
              <w:t>nizācija</w:t>
            </w:r>
            <w:r>
              <w:rPr>
                <w:rFonts w:ascii="Times New Roman" w:eastAsia="Calibri" w:hAnsi="Times New Roman" w:cs="Times New Roman"/>
                <w:sz w:val="24"/>
                <w:szCs w:val="24"/>
                <w:lang w:eastAsia="en-US"/>
              </w:rPr>
              <w:t>.</w:t>
            </w:r>
          </w:p>
          <w:p w14:paraId="36B5FF8F" w14:textId="77777777" w:rsidR="000A0B88" w:rsidRPr="0089547A" w:rsidRDefault="007F1011" w:rsidP="00195A56">
            <w:pPr>
              <w:spacing w:before="120" w:after="120" w:line="240" w:lineRule="auto"/>
              <w:ind w:left="57" w:right="142"/>
              <w:jc w:val="both"/>
            </w:pPr>
            <w:r>
              <w:rPr>
                <w:rFonts w:ascii="Times New Roman" w:eastAsia="Calibri" w:hAnsi="Times New Roman" w:cs="Times New Roman"/>
                <w:sz w:val="24"/>
                <w:szCs w:val="24"/>
                <w:lang w:eastAsia="en-US"/>
              </w:rPr>
              <w:t>VID</w:t>
            </w:r>
            <w:r w:rsidR="0089547A">
              <w:rPr>
                <w:rFonts w:ascii="Times New Roman" w:eastAsia="Calibri" w:hAnsi="Times New Roman" w:cs="Times New Roman"/>
                <w:sz w:val="24"/>
                <w:szCs w:val="24"/>
                <w:lang w:eastAsia="en-US"/>
              </w:rPr>
              <w:t xml:space="preserve"> esošo f</w:t>
            </w:r>
            <w:r>
              <w:rPr>
                <w:rFonts w:ascii="Times New Roman" w:eastAsia="Calibri" w:hAnsi="Times New Roman" w:cs="Times New Roman"/>
                <w:sz w:val="24"/>
                <w:szCs w:val="24"/>
                <w:lang w:eastAsia="en-US"/>
              </w:rPr>
              <w:t xml:space="preserve">unkciju ietvaros nodrošinās PVN </w:t>
            </w:r>
            <w:r w:rsidR="0089547A">
              <w:rPr>
                <w:rFonts w:ascii="Times New Roman" w:eastAsia="Calibri" w:hAnsi="Times New Roman" w:cs="Times New Roman"/>
                <w:sz w:val="24"/>
                <w:szCs w:val="24"/>
                <w:lang w:eastAsia="en-US"/>
              </w:rPr>
              <w:t>summas, ko iemaksājuši PVN maksātāji, administrēšanu.</w:t>
            </w:r>
          </w:p>
        </w:tc>
      </w:tr>
      <w:tr w:rsidR="00DA6C86" w:rsidRPr="00DD49B6" w14:paraId="7A1D23A6" w14:textId="77777777" w:rsidTr="007A479D">
        <w:tblPrEx>
          <w:tblCellMar>
            <w:top w:w="28" w:type="dxa"/>
          </w:tblCellMar>
        </w:tblPrEx>
        <w:trPr>
          <w:trHeight w:val="246"/>
        </w:trPr>
        <w:tc>
          <w:tcPr>
            <w:tcW w:w="351" w:type="dxa"/>
            <w:tcBorders>
              <w:top w:val="single" w:sz="4" w:space="0" w:color="auto"/>
              <w:left w:val="single" w:sz="4" w:space="0" w:color="auto"/>
              <w:bottom w:val="single" w:sz="4" w:space="0" w:color="auto"/>
              <w:right w:val="single" w:sz="4" w:space="0" w:color="auto"/>
            </w:tcBorders>
          </w:tcPr>
          <w:p w14:paraId="21342ED7" w14:textId="77777777" w:rsidR="00DA6C86" w:rsidRPr="00DD49B6" w:rsidRDefault="00DA6C86" w:rsidP="00DB5C9D">
            <w:pPr>
              <w:pStyle w:val="naisnod"/>
              <w:spacing w:before="120" w:beforeAutospacing="0" w:after="0" w:afterAutospacing="0"/>
              <w:ind w:left="57" w:right="57"/>
              <w:jc w:val="both"/>
            </w:pPr>
            <w:r w:rsidRPr="00DD49B6">
              <w:t>3.</w:t>
            </w:r>
          </w:p>
        </w:tc>
        <w:tc>
          <w:tcPr>
            <w:tcW w:w="3538" w:type="dxa"/>
            <w:gridSpan w:val="3"/>
            <w:tcBorders>
              <w:top w:val="single" w:sz="4" w:space="0" w:color="auto"/>
              <w:left w:val="single" w:sz="4" w:space="0" w:color="auto"/>
              <w:bottom w:val="single" w:sz="4" w:space="0" w:color="auto"/>
              <w:right w:val="single" w:sz="4" w:space="0" w:color="auto"/>
            </w:tcBorders>
          </w:tcPr>
          <w:p w14:paraId="69F5B4E9" w14:textId="77777777" w:rsidR="00DA6C86" w:rsidRPr="00DD49B6" w:rsidRDefault="00DA6C86" w:rsidP="00DB5C9D">
            <w:pPr>
              <w:pStyle w:val="naisf"/>
              <w:spacing w:before="120" w:beforeAutospacing="0" w:after="120" w:afterAutospacing="0"/>
              <w:ind w:left="57" w:right="57"/>
            </w:pPr>
            <w:r w:rsidRPr="00DD49B6">
              <w:t>Cita informācija</w:t>
            </w:r>
          </w:p>
        </w:tc>
        <w:tc>
          <w:tcPr>
            <w:tcW w:w="5698" w:type="dxa"/>
            <w:tcBorders>
              <w:top w:val="single" w:sz="4" w:space="0" w:color="auto"/>
              <w:left w:val="single" w:sz="4" w:space="0" w:color="auto"/>
              <w:bottom w:val="single" w:sz="4" w:space="0" w:color="auto"/>
              <w:right w:val="single" w:sz="4" w:space="0" w:color="auto"/>
            </w:tcBorders>
          </w:tcPr>
          <w:p w14:paraId="122A4170" w14:textId="77777777" w:rsidR="00DA6C86" w:rsidRPr="00DD49B6" w:rsidRDefault="00380812" w:rsidP="00DB5C9D">
            <w:pPr>
              <w:spacing w:before="120" w:after="0" w:line="240" w:lineRule="auto"/>
              <w:ind w:left="57" w:right="57"/>
              <w:jc w:val="both"/>
              <w:rPr>
                <w:rFonts w:ascii="Times New Roman" w:hAnsi="Times New Roman" w:cs="Times New Roman"/>
                <w:sz w:val="24"/>
                <w:szCs w:val="24"/>
              </w:rPr>
            </w:pPr>
            <w:r w:rsidRPr="00DD49B6">
              <w:rPr>
                <w:rFonts w:ascii="Times New Roman" w:hAnsi="Times New Roman" w:cs="Times New Roman"/>
                <w:sz w:val="24"/>
                <w:szCs w:val="24"/>
              </w:rPr>
              <w:t>Nav</w:t>
            </w:r>
          </w:p>
        </w:tc>
      </w:tr>
    </w:tbl>
    <w:p w14:paraId="26753FCF" w14:textId="77777777" w:rsidR="00AE1744" w:rsidRDefault="00AE1744" w:rsidP="00806F8D">
      <w:pPr>
        <w:pStyle w:val="naisf"/>
        <w:spacing w:before="0" w:beforeAutospacing="0" w:after="0" w:afterAutospacing="0"/>
      </w:pPr>
    </w:p>
    <w:p w14:paraId="7B1DBDFD" w14:textId="77777777" w:rsidR="00AE1744" w:rsidRDefault="00AE1744" w:rsidP="00806F8D">
      <w:pPr>
        <w:pStyle w:val="naisf"/>
        <w:spacing w:before="0" w:beforeAutospacing="0" w:after="0" w:afterAutospacing="0"/>
      </w:pPr>
    </w:p>
    <w:p w14:paraId="641159A6" w14:textId="77777777" w:rsidR="00806F8D" w:rsidRDefault="00236887" w:rsidP="00806F8D">
      <w:pPr>
        <w:pStyle w:val="naisf"/>
        <w:spacing w:before="0" w:beforeAutospacing="0" w:after="0" w:afterAutospacing="0"/>
      </w:pPr>
      <w:r w:rsidRPr="00B51D00">
        <w:t>Finanšu ministr</w:t>
      </w:r>
      <w:r w:rsidR="00806F8D">
        <w:t xml:space="preserve">a vietā- </w:t>
      </w:r>
    </w:p>
    <w:p w14:paraId="191939B2" w14:textId="51EA7C31" w:rsidR="00620F31" w:rsidRPr="00B51D00" w:rsidRDefault="00275975" w:rsidP="00806F8D">
      <w:pPr>
        <w:pStyle w:val="naisf"/>
        <w:spacing w:before="0" w:beforeAutospacing="0" w:after="0" w:afterAutospacing="0"/>
      </w:pPr>
      <w:r>
        <w:t>satiksmes ministr</w:t>
      </w:r>
      <w:r w:rsidR="00806F8D">
        <w:t>s</w:t>
      </w:r>
      <w:r w:rsidR="00236887" w:rsidRPr="00B51D00">
        <w:tab/>
      </w:r>
      <w:r w:rsidR="00236887" w:rsidRPr="00B51D00">
        <w:tab/>
      </w:r>
      <w:r w:rsidR="00236887" w:rsidRPr="00B51D00">
        <w:tab/>
      </w:r>
      <w:r w:rsidR="00236887" w:rsidRPr="00B51D00">
        <w:tab/>
      </w:r>
      <w:r w:rsidR="00236887" w:rsidRPr="00B51D00">
        <w:tab/>
      </w:r>
      <w:r w:rsidR="00236887" w:rsidRPr="00B51D00">
        <w:tab/>
      </w:r>
      <w:r w:rsidR="00236887" w:rsidRPr="00B51D00">
        <w:tab/>
      </w:r>
      <w:r w:rsidR="00D56418" w:rsidRPr="00B51D00">
        <w:t xml:space="preserve">       </w:t>
      </w:r>
      <w:r w:rsidR="00236887" w:rsidRPr="00B51D00">
        <w:tab/>
      </w:r>
      <w:r w:rsidR="00806F8D">
        <w:t>A. Matīss</w:t>
      </w:r>
    </w:p>
    <w:p w14:paraId="77C7258C" w14:textId="77777777" w:rsidR="001D421B" w:rsidRDefault="001D421B" w:rsidP="00236887">
      <w:pPr>
        <w:pStyle w:val="Header"/>
        <w:rPr>
          <w:rFonts w:ascii="Times New Roman" w:hAnsi="Times New Roman" w:cs="Times New Roman"/>
          <w:sz w:val="18"/>
          <w:szCs w:val="18"/>
        </w:rPr>
      </w:pPr>
    </w:p>
    <w:p w14:paraId="3F0E924A" w14:textId="77777777" w:rsidR="00AE1744" w:rsidRDefault="00AE1744" w:rsidP="00236887">
      <w:pPr>
        <w:pStyle w:val="Header"/>
        <w:rPr>
          <w:rFonts w:ascii="Times New Roman" w:hAnsi="Times New Roman" w:cs="Times New Roman"/>
          <w:sz w:val="18"/>
          <w:szCs w:val="18"/>
        </w:rPr>
      </w:pPr>
    </w:p>
    <w:p w14:paraId="75A4FD44" w14:textId="77777777" w:rsidR="007A479D" w:rsidRDefault="007A479D" w:rsidP="00236887">
      <w:pPr>
        <w:pStyle w:val="Header"/>
        <w:rPr>
          <w:rFonts w:ascii="Times New Roman" w:hAnsi="Times New Roman" w:cs="Times New Roman"/>
          <w:sz w:val="18"/>
          <w:szCs w:val="18"/>
        </w:rPr>
      </w:pPr>
    </w:p>
    <w:p w14:paraId="3B79CB70" w14:textId="720D63C6" w:rsidR="00236887" w:rsidRPr="00B51D00" w:rsidRDefault="00196B96" w:rsidP="00236887">
      <w:pPr>
        <w:pStyle w:val="Header"/>
        <w:rPr>
          <w:rFonts w:ascii="Times New Roman" w:hAnsi="Times New Roman" w:cs="Times New Roman"/>
          <w:sz w:val="18"/>
          <w:szCs w:val="18"/>
        </w:rPr>
      </w:pPr>
      <w:r>
        <w:rPr>
          <w:rFonts w:ascii="Times New Roman" w:hAnsi="Times New Roman" w:cs="Times New Roman"/>
          <w:sz w:val="18"/>
          <w:szCs w:val="18"/>
        </w:rPr>
        <w:t>0</w:t>
      </w:r>
      <w:r w:rsidR="007A479D">
        <w:rPr>
          <w:rFonts w:ascii="Times New Roman" w:hAnsi="Times New Roman" w:cs="Times New Roman"/>
          <w:sz w:val="18"/>
          <w:szCs w:val="18"/>
        </w:rPr>
        <w:t>7</w:t>
      </w:r>
      <w:r w:rsidR="007E066C" w:rsidRPr="00B51D00">
        <w:rPr>
          <w:rFonts w:ascii="Times New Roman" w:hAnsi="Times New Roman" w:cs="Times New Roman"/>
          <w:sz w:val="18"/>
          <w:szCs w:val="18"/>
        </w:rPr>
        <w:t>.</w:t>
      </w:r>
      <w:r>
        <w:rPr>
          <w:rFonts w:ascii="Times New Roman" w:hAnsi="Times New Roman" w:cs="Times New Roman"/>
          <w:sz w:val="18"/>
          <w:szCs w:val="18"/>
        </w:rPr>
        <w:t>09</w:t>
      </w:r>
      <w:r w:rsidR="007F1011" w:rsidRPr="00B51D00">
        <w:rPr>
          <w:rFonts w:ascii="Times New Roman" w:hAnsi="Times New Roman" w:cs="Times New Roman"/>
          <w:sz w:val="18"/>
          <w:szCs w:val="18"/>
        </w:rPr>
        <w:t>.</w:t>
      </w:r>
      <w:r w:rsidR="007E066C" w:rsidRPr="00B51D00">
        <w:rPr>
          <w:rFonts w:ascii="Times New Roman" w:hAnsi="Times New Roman" w:cs="Times New Roman"/>
          <w:sz w:val="18"/>
          <w:szCs w:val="18"/>
        </w:rPr>
        <w:t>2015</w:t>
      </w:r>
      <w:r w:rsidR="00163A60" w:rsidRPr="00B51D00">
        <w:rPr>
          <w:rFonts w:ascii="Times New Roman" w:hAnsi="Times New Roman" w:cs="Times New Roman"/>
          <w:sz w:val="18"/>
          <w:szCs w:val="18"/>
        </w:rPr>
        <w:t>.</w:t>
      </w:r>
      <w:r w:rsidR="00AA6F53" w:rsidRPr="00B51D00">
        <w:rPr>
          <w:rFonts w:ascii="Times New Roman" w:hAnsi="Times New Roman" w:cs="Times New Roman"/>
          <w:sz w:val="18"/>
          <w:szCs w:val="18"/>
        </w:rPr>
        <w:t xml:space="preserve"> </w:t>
      </w:r>
      <w:r w:rsidR="00275975">
        <w:rPr>
          <w:rFonts w:ascii="Times New Roman" w:hAnsi="Times New Roman" w:cs="Times New Roman"/>
          <w:sz w:val="18"/>
          <w:szCs w:val="18"/>
        </w:rPr>
        <w:t>17:00</w:t>
      </w:r>
      <w:bookmarkStart w:id="8" w:name="_GoBack"/>
      <w:bookmarkEnd w:id="8"/>
    </w:p>
    <w:p w14:paraId="4A7E6100" w14:textId="53E1AD19" w:rsidR="00236887" w:rsidRPr="00B51D00" w:rsidRDefault="007A479D" w:rsidP="00236887">
      <w:pPr>
        <w:pStyle w:val="Header"/>
        <w:tabs>
          <w:tab w:val="left" w:pos="5610"/>
        </w:tabs>
        <w:rPr>
          <w:rFonts w:ascii="Times New Roman" w:hAnsi="Times New Roman" w:cs="Times New Roman"/>
          <w:sz w:val="18"/>
          <w:szCs w:val="18"/>
        </w:rPr>
      </w:pPr>
      <w:r>
        <w:rPr>
          <w:rFonts w:ascii="Times New Roman" w:hAnsi="Times New Roman" w:cs="Times New Roman"/>
          <w:sz w:val="18"/>
          <w:szCs w:val="18"/>
        </w:rPr>
        <w:t>3308</w:t>
      </w:r>
    </w:p>
    <w:p w14:paraId="6D5C2A9E" w14:textId="77777777" w:rsidR="00236887" w:rsidRPr="00B51D00" w:rsidRDefault="007E066C" w:rsidP="00236887">
      <w:pPr>
        <w:pStyle w:val="Header"/>
        <w:rPr>
          <w:rFonts w:ascii="Times New Roman" w:hAnsi="Times New Roman" w:cs="Times New Roman"/>
          <w:sz w:val="18"/>
          <w:szCs w:val="18"/>
        </w:rPr>
      </w:pPr>
      <w:proofErr w:type="spellStart"/>
      <w:r w:rsidRPr="00B51D00">
        <w:rPr>
          <w:rFonts w:ascii="Times New Roman" w:hAnsi="Times New Roman" w:cs="Times New Roman"/>
          <w:sz w:val="18"/>
          <w:szCs w:val="18"/>
        </w:rPr>
        <w:t>S.Frienberga</w:t>
      </w:r>
      <w:proofErr w:type="spellEnd"/>
    </w:p>
    <w:p w14:paraId="03DBE5A4" w14:textId="77777777" w:rsidR="00236887" w:rsidRPr="00B51D00" w:rsidRDefault="00236887" w:rsidP="00236887">
      <w:pPr>
        <w:pStyle w:val="Header"/>
        <w:rPr>
          <w:rFonts w:ascii="Times New Roman" w:hAnsi="Times New Roman" w:cs="Times New Roman"/>
          <w:sz w:val="18"/>
          <w:szCs w:val="18"/>
        </w:rPr>
      </w:pPr>
      <w:r w:rsidRPr="00B51D00">
        <w:rPr>
          <w:rFonts w:ascii="Times New Roman" w:hAnsi="Times New Roman" w:cs="Times New Roman"/>
          <w:sz w:val="18"/>
          <w:szCs w:val="18"/>
        </w:rPr>
        <w:t>Finanšu ministrijas</w:t>
      </w:r>
    </w:p>
    <w:p w14:paraId="260569F8" w14:textId="77777777" w:rsidR="00236887" w:rsidRPr="00B51D00" w:rsidRDefault="000209A4" w:rsidP="00236887">
      <w:pPr>
        <w:pStyle w:val="Header"/>
        <w:rPr>
          <w:rFonts w:ascii="Times New Roman" w:hAnsi="Times New Roman" w:cs="Times New Roman"/>
          <w:sz w:val="18"/>
          <w:szCs w:val="18"/>
        </w:rPr>
      </w:pPr>
      <w:r w:rsidRPr="00B51D00">
        <w:rPr>
          <w:rFonts w:ascii="Times New Roman" w:hAnsi="Times New Roman" w:cs="Times New Roman"/>
          <w:sz w:val="18"/>
          <w:szCs w:val="18"/>
        </w:rPr>
        <w:t>Netiešo nodokļu</w:t>
      </w:r>
      <w:r w:rsidR="00236887" w:rsidRPr="00B51D00">
        <w:rPr>
          <w:rFonts w:ascii="Times New Roman" w:hAnsi="Times New Roman" w:cs="Times New Roman"/>
          <w:sz w:val="18"/>
          <w:szCs w:val="18"/>
        </w:rPr>
        <w:t xml:space="preserve"> departamenta</w:t>
      </w:r>
    </w:p>
    <w:p w14:paraId="38BF1B12" w14:textId="77777777" w:rsidR="00EE3CB5" w:rsidRPr="00B51D00" w:rsidRDefault="000209A4" w:rsidP="00236887">
      <w:pPr>
        <w:pStyle w:val="Header"/>
        <w:rPr>
          <w:rFonts w:ascii="Times New Roman" w:hAnsi="Times New Roman" w:cs="Times New Roman"/>
          <w:sz w:val="18"/>
          <w:szCs w:val="18"/>
        </w:rPr>
      </w:pPr>
      <w:r w:rsidRPr="00B51D00">
        <w:rPr>
          <w:rFonts w:ascii="Times New Roman" w:hAnsi="Times New Roman" w:cs="Times New Roman"/>
          <w:sz w:val="18"/>
          <w:szCs w:val="18"/>
        </w:rPr>
        <w:t>Pievienotās vērtības nodokļa</w:t>
      </w:r>
      <w:r w:rsidR="00EE3CB5" w:rsidRPr="00B51D00">
        <w:rPr>
          <w:rFonts w:ascii="Times New Roman" w:hAnsi="Times New Roman" w:cs="Times New Roman"/>
          <w:sz w:val="18"/>
          <w:szCs w:val="18"/>
        </w:rPr>
        <w:t xml:space="preserve"> </w:t>
      </w:r>
      <w:r w:rsidR="007E066C" w:rsidRPr="00B51D00">
        <w:rPr>
          <w:rFonts w:ascii="Times New Roman" w:hAnsi="Times New Roman" w:cs="Times New Roman"/>
          <w:sz w:val="18"/>
          <w:szCs w:val="18"/>
        </w:rPr>
        <w:t xml:space="preserve">nodaļas </w:t>
      </w:r>
    </w:p>
    <w:p w14:paraId="167E626D" w14:textId="77777777" w:rsidR="00236887" w:rsidRPr="00B51D00" w:rsidRDefault="007E066C" w:rsidP="00236887">
      <w:pPr>
        <w:pStyle w:val="Header"/>
        <w:rPr>
          <w:rFonts w:ascii="Times New Roman" w:hAnsi="Times New Roman" w:cs="Times New Roman"/>
          <w:sz w:val="18"/>
          <w:szCs w:val="18"/>
        </w:rPr>
      </w:pPr>
      <w:r w:rsidRPr="00B51D00">
        <w:rPr>
          <w:rFonts w:ascii="Times New Roman" w:hAnsi="Times New Roman" w:cs="Times New Roman"/>
          <w:sz w:val="18"/>
          <w:szCs w:val="18"/>
        </w:rPr>
        <w:t>vecākā referente</w:t>
      </w:r>
    </w:p>
    <w:p w14:paraId="09929DC2" w14:textId="77777777" w:rsidR="00236887" w:rsidRPr="00B51D00" w:rsidRDefault="00236887" w:rsidP="00236887">
      <w:pPr>
        <w:spacing w:after="0" w:line="240" w:lineRule="auto"/>
        <w:rPr>
          <w:rFonts w:ascii="Times New Roman" w:hAnsi="Times New Roman" w:cs="Times New Roman"/>
          <w:sz w:val="18"/>
          <w:szCs w:val="18"/>
        </w:rPr>
      </w:pPr>
      <w:r w:rsidRPr="00B51D00">
        <w:rPr>
          <w:rFonts w:ascii="Times New Roman" w:hAnsi="Times New Roman" w:cs="Times New Roman"/>
          <w:sz w:val="18"/>
          <w:szCs w:val="18"/>
        </w:rPr>
        <w:t>tālr.:</w:t>
      </w:r>
      <w:r w:rsidRPr="00B51D00">
        <w:rPr>
          <w:rFonts w:ascii="Times New Roman" w:hAnsi="Times New Roman" w:cs="Times New Roman"/>
          <w:b/>
          <w:bCs/>
          <w:sz w:val="18"/>
          <w:szCs w:val="18"/>
        </w:rPr>
        <w:t xml:space="preserve"> </w:t>
      </w:r>
      <w:r w:rsidRPr="00B51D00">
        <w:rPr>
          <w:rFonts w:ascii="Times New Roman" w:hAnsi="Times New Roman" w:cs="Times New Roman"/>
          <w:sz w:val="18"/>
          <w:szCs w:val="18"/>
        </w:rPr>
        <w:t>670</w:t>
      </w:r>
      <w:r w:rsidR="007E066C" w:rsidRPr="00B51D00">
        <w:rPr>
          <w:rFonts w:ascii="Times New Roman" w:hAnsi="Times New Roman" w:cs="Times New Roman"/>
          <w:sz w:val="18"/>
          <w:szCs w:val="18"/>
        </w:rPr>
        <w:t>83849</w:t>
      </w:r>
    </w:p>
    <w:p w14:paraId="58BACAC1" w14:textId="77777777" w:rsidR="00236887" w:rsidRDefault="00236887" w:rsidP="00925E34">
      <w:pPr>
        <w:spacing w:after="0" w:line="240" w:lineRule="auto"/>
        <w:rPr>
          <w:rStyle w:val="Hyperlink"/>
          <w:rFonts w:ascii="Times New Roman" w:hAnsi="Times New Roman" w:cs="Times New Roman"/>
          <w:sz w:val="18"/>
          <w:szCs w:val="18"/>
        </w:rPr>
      </w:pPr>
      <w:r w:rsidRPr="00B51D00">
        <w:rPr>
          <w:rFonts w:ascii="Times New Roman" w:hAnsi="Times New Roman" w:cs="Times New Roman"/>
          <w:sz w:val="18"/>
          <w:szCs w:val="18"/>
        </w:rPr>
        <w:t xml:space="preserve">e-pasts: </w:t>
      </w:r>
      <w:hyperlink r:id="rId11" w:history="1">
        <w:r w:rsidR="007E066C" w:rsidRPr="00B51D00">
          <w:rPr>
            <w:rStyle w:val="Hyperlink"/>
            <w:rFonts w:ascii="Times New Roman" w:hAnsi="Times New Roman" w:cs="Times New Roman"/>
            <w:sz w:val="18"/>
            <w:szCs w:val="18"/>
          </w:rPr>
          <w:t>Sintija Frienberga@fm.gov.lv</w:t>
        </w:r>
      </w:hyperlink>
    </w:p>
    <w:p w14:paraId="11013F8F" w14:textId="77777777" w:rsidR="00414837" w:rsidRDefault="00414837" w:rsidP="00925E34">
      <w:pPr>
        <w:spacing w:after="0" w:line="240" w:lineRule="auto"/>
        <w:rPr>
          <w:rStyle w:val="Hyperlink"/>
          <w:rFonts w:ascii="Times New Roman" w:hAnsi="Times New Roman" w:cs="Times New Roman"/>
          <w:sz w:val="18"/>
          <w:szCs w:val="18"/>
        </w:rPr>
      </w:pPr>
    </w:p>
    <w:p w14:paraId="77F00492" w14:textId="77777777" w:rsidR="00414837" w:rsidRPr="00B51D00" w:rsidRDefault="00414837" w:rsidP="00414837">
      <w:pPr>
        <w:pStyle w:val="Header"/>
        <w:rPr>
          <w:rFonts w:ascii="Times New Roman" w:hAnsi="Times New Roman" w:cs="Times New Roman"/>
          <w:sz w:val="18"/>
          <w:szCs w:val="18"/>
        </w:rPr>
      </w:pPr>
      <w:proofErr w:type="spellStart"/>
      <w:r w:rsidRPr="00B51D00">
        <w:rPr>
          <w:rFonts w:ascii="Times New Roman" w:hAnsi="Times New Roman" w:cs="Times New Roman"/>
          <w:sz w:val="18"/>
          <w:szCs w:val="18"/>
        </w:rPr>
        <w:t>S.</w:t>
      </w:r>
      <w:r>
        <w:rPr>
          <w:rFonts w:ascii="Times New Roman" w:hAnsi="Times New Roman" w:cs="Times New Roman"/>
          <w:sz w:val="18"/>
          <w:szCs w:val="18"/>
        </w:rPr>
        <w:t>Ozola</w:t>
      </w:r>
      <w:proofErr w:type="spellEnd"/>
    </w:p>
    <w:p w14:paraId="4DEC5B03" w14:textId="77777777" w:rsidR="00414837" w:rsidRPr="00B51D00" w:rsidRDefault="00414837" w:rsidP="00414837">
      <w:pPr>
        <w:pStyle w:val="Header"/>
        <w:rPr>
          <w:rFonts w:ascii="Times New Roman" w:hAnsi="Times New Roman" w:cs="Times New Roman"/>
          <w:sz w:val="18"/>
          <w:szCs w:val="18"/>
        </w:rPr>
      </w:pPr>
      <w:r w:rsidRPr="00B51D00">
        <w:rPr>
          <w:rFonts w:ascii="Times New Roman" w:hAnsi="Times New Roman" w:cs="Times New Roman"/>
          <w:sz w:val="18"/>
          <w:szCs w:val="18"/>
        </w:rPr>
        <w:t>Finanšu ministrijas</w:t>
      </w:r>
    </w:p>
    <w:p w14:paraId="7F6C533C" w14:textId="77777777" w:rsidR="00414837" w:rsidRPr="00B51D00" w:rsidRDefault="00414837" w:rsidP="00414837">
      <w:pPr>
        <w:pStyle w:val="Header"/>
        <w:rPr>
          <w:rFonts w:ascii="Times New Roman" w:hAnsi="Times New Roman" w:cs="Times New Roman"/>
          <w:sz w:val="18"/>
          <w:szCs w:val="18"/>
        </w:rPr>
      </w:pPr>
      <w:r w:rsidRPr="00B51D00">
        <w:rPr>
          <w:rFonts w:ascii="Times New Roman" w:hAnsi="Times New Roman" w:cs="Times New Roman"/>
          <w:sz w:val="18"/>
          <w:szCs w:val="18"/>
        </w:rPr>
        <w:t>Netiešo nodokļu departamenta</w:t>
      </w:r>
    </w:p>
    <w:p w14:paraId="79C21A22" w14:textId="77777777" w:rsidR="00414837" w:rsidRPr="00B51D00" w:rsidRDefault="00414837" w:rsidP="00414837">
      <w:pPr>
        <w:pStyle w:val="Header"/>
        <w:rPr>
          <w:rFonts w:ascii="Times New Roman" w:hAnsi="Times New Roman" w:cs="Times New Roman"/>
          <w:sz w:val="18"/>
          <w:szCs w:val="18"/>
        </w:rPr>
      </w:pPr>
      <w:r w:rsidRPr="00B51D00">
        <w:rPr>
          <w:rFonts w:ascii="Times New Roman" w:hAnsi="Times New Roman" w:cs="Times New Roman"/>
          <w:sz w:val="18"/>
          <w:szCs w:val="18"/>
        </w:rPr>
        <w:t xml:space="preserve">Pievienotās vērtības nodokļa nodaļas </w:t>
      </w:r>
    </w:p>
    <w:p w14:paraId="26717593" w14:textId="77777777" w:rsidR="00414837" w:rsidRPr="00B51D00" w:rsidRDefault="00414837" w:rsidP="00414837">
      <w:pPr>
        <w:pStyle w:val="Header"/>
        <w:rPr>
          <w:rFonts w:ascii="Times New Roman" w:hAnsi="Times New Roman" w:cs="Times New Roman"/>
          <w:sz w:val="18"/>
          <w:szCs w:val="18"/>
        </w:rPr>
      </w:pPr>
      <w:r>
        <w:rPr>
          <w:rFonts w:ascii="Times New Roman" w:hAnsi="Times New Roman" w:cs="Times New Roman"/>
          <w:sz w:val="18"/>
          <w:szCs w:val="18"/>
        </w:rPr>
        <w:t>vadītāja</w:t>
      </w:r>
    </w:p>
    <w:p w14:paraId="69B85F8B" w14:textId="77777777" w:rsidR="00414837" w:rsidRPr="00B51D00" w:rsidRDefault="00414837" w:rsidP="00414837">
      <w:pPr>
        <w:spacing w:after="0" w:line="240" w:lineRule="auto"/>
        <w:rPr>
          <w:rFonts w:ascii="Times New Roman" w:hAnsi="Times New Roman" w:cs="Times New Roman"/>
          <w:sz w:val="18"/>
          <w:szCs w:val="18"/>
        </w:rPr>
      </w:pPr>
      <w:r w:rsidRPr="00B51D00">
        <w:rPr>
          <w:rFonts w:ascii="Times New Roman" w:hAnsi="Times New Roman" w:cs="Times New Roman"/>
          <w:sz w:val="18"/>
          <w:szCs w:val="18"/>
        </w:rPr>
        <w:t>tālr.:</w:t>
      </w:r>
      <w:r w:rsidRPr="00B51D00">
        <w:rPr>
          <w:rFonts w:ascii="Times New Roman" w:hAnsi="Times New Roman" w:cs="Times New Roman"/>
          <w:b/>
          <w:bCs/>
          <w:sz w:val="18"/>
          <w:szCs w:val="18"/>
        </w:rPr>
        <w:t xml:space="preserve"> </w:t>
      </w:r>
      <w:r w:rsidRPr="00B51D00">
        <w:rPr>
          <w:rFonts w:ascii="Times New Roman" w:hAnsi="Times New Roman" w:cs="Times New Roman"/>
          <w:sz w:val="18"/>
          <w:szCs w:val="18"/>
        </w:rPr>
        <w:t>670</w:t>
      </w:r>
      <w:r>
        <w:rPr>
          <w:rFonts w:ascii="Times New Roman" w:hAnsi="Times New Roman" w:cs="Times New Roman"/>
          <w:sz w:val="18"/>
          <w:szCs w:val="18"/>
        </w:rPr>
        <w:t>95685</w:t>
      </w:r>
    </w:p>
    <w:p w14:paraId="787C917D" w14:textId="1FEB71B0" w:rsidR="00414837" w:rsidRPr="00B51D00" w:rsidRDefault="00414837" w:rsidP="00925E34">
      <w:pPr>
        <w:spacing w:after="0" w:line="240" w:lineRule="auto"/>
        <w:rPr>
          <w:rFonts w:ascii="Times New Roman" w:hAnsi="Times New Roman" w:cs="Times New Roman"/>
          <w:sz w:val="18"/>
          <w:szCs w:val="18"/>
        </w:rPr>
      </w:pPr>
      <w:r w:rsidRPr="00B51D00">
        <w:rPr>
          <w:rFonts w:ascii="Times New Roman" w:hAnsi="Times New Roman" w:cs="Times New Roman"/>
          <w:sz w:val="18"/>
          <w:szCs w:val="18"/>
        </w:rPr>
        <w:t xml:space="preserve">e-pasts: </w:t>
      </w:r>
      <w:hyperlink r:id="rId12" w:history="1">
        <w:r w:rsidRPr="00F1116E">
          <w:rPr>
            <w:rStyle w:val="Hyperlink"/>
            <w:rFonts w:ascii="Times New Roman" w:hAnsi="Times New Roman" w:cs="Times New Roman"/>
            <w:sz w:val="18"/>
            <w:szCs w:val="18"/>
          </w:rPr>
          <w:t>Sintija Ozola@fm.gov.lv</w:t>
        </w:r>
      </w:hyperlink>
    </w:p>
    <w:sectPr w:rsidR="00414837" w:rsidRPr="00B51D00" w:rsidSect="005B1EAF">
      <w:headerReference w:type="even" r:id="rId13"/>
      <w:headerReference w:type="default" r:id="rId14"/>
      <w:footerReference w:type="even" r:id="rId15"/>
      <w:footerReference w:type="default" r:id="rId16"/>
      <w:headerReference w:type="first" r:id="rId17"/>
      <w:footerReference w:type="first" r:id="rId18"/>
      <w:pgSz w:w="11906" w:h="16838" w:code="9"/>
      <w:pgMar w:top="1418" w:right="155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6F66B" w14:textId="77777777" w:rsidR="005D2575" w:rsidRDefault="005D2575" w:rsidP="004369B2">
      <w:pPr>
        <w:spacing w:after="0" w:line="240" w:lineRule="auto"/>
      </w:pPr>
      <w:r>
        <w:separator/>
      </w:r>
    </w:p>
  </w:endnote>
  <w:endnote w:type="continuationSeparator" w:id="0">
    <w:p w14:paraId="03DE1671" w14:textId="77777777" w:rsidR="005D2575" w:rsidRDefault="005D2575"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DF3C6" w14:textId="2A89B55C" w:rsidR="005D2575" w:rsidRPr="00545894" w:rsidRDefault="00545894" w:rsidP="00545894">
    <w:pPr>
      <w:tabs>
        <w:tab w:val="left" w:pos="6663"/>
      </w:tabs>
      <w:spacing w:after="0" w:line="240" w:lineRule="auto"/>
      <w:jc w:val="both"/>
      <w:rPr>
        <w:rFonts w:ascii="Times New Roman" w:hAnsi="Times New Roman"/>
        <w:b/>
        <w:sz w:val="28"/>
        <w:szCs w:val="28"/>
      </w:rPr>
    </w:pPr>
    <w:r>
      <w:rPr>
        <w:rFonts w:ascii="Times New Roman" w:hAnsi="Times New Roman" w:cs="Times New Roman"/>
        <w:sz w:val="18"/>
        <w:szCs w:val="20"/>
      </w:rPr>
      <w:fldChar w:fldCharType="begin"/>
    </w:r>
    <w:r>
      <w:rPr>
        <w:rFonts w:ascii="Times New Roman" w:hAnsi="Times New Roman" w:cs="Times New Roman"/>
        <w:sz w:val="18"/>
        <w:szCs w:val="20"/>
      </w:rPr>
      <w:instrText xml:space="preserve"> FILENAME   \* MERGEFORMAT </w:instrText>
    </w:r>
    <w:r>
      <w:rPr>
        <w:rFonts w:ascii="Times New Roman" w:hAnsi="Times New Roman" w:cs="Times New Roman"/>
        <w:sz w:val="18"/>
        <w:szCs w:val="20"/>
      </w:rPr>
      <w:fldChar w:fldCharType="separate"/>
    </w:r>
    <w:r w:rsidR="00114843">
      <w:rPr>
        <w:rFonts w:ascii="Times New Roman" w:hAnsi="Times New Roman" w:cs="Times New Roman"/>
        <w:noProof/>
        <w:sz w:val="18"/>
        <w:szCs w:val="20"/>
      </w:rPr>
      <w:t>FMAnot_070915_PVN.docx</w:t>
    </w:r>
    <w:r>
      <w:rPr>
        <w:rFonts w:ascii="Times New Roman" w:hAnsi="Times New Roman" w:cs="Times New Roman"/>
        <w:sz w:val="18"/>
        <w:szCs w:val="20"/>
      </w:rPr>
      <w:fldChar w:fldCharType="end"/>
    </w:r>
    <w:r>
      <w:rPr>
        <w:rFonts w:ascii="Times New Roman" w:hAnsi="Times New Roman" w:cs="Times New Roman"/>
        <w:sz w:val="18"/>
        <w:szCs w:val="20"/>
      </w:rPr>
      <w:t>.</w:t>
    </w:r>
    <w:proofErr w:type="spellStart"/>
    <w:r>
      <w:rPr>
        <w:rFonts w:ascii="Times New Roman" w:hAnsi="Times New Roman" w:cs="Times New Roman"/>
        <w:sz w:val="18"/>
        <w:szCs w:val="20"/>
      </w:rPr>
      <w:t>docx</w:t>
    </w:r>
    <w:proofErr w:type="spellEnd"/>
    <w:r>
      <w:rPr>
        <w:rFonts w:ascii="Times New Roman" w:hAnsi="Times New Roman" w:cs="Times New Roman"/>
        <w:sz w:val="18"/>
        <w:szCs w:val="20"/>
      </w:rPr>
      <w:t xml:space="preserve">; </w:t>
    </w:r>
    <w:r w:rsidRPr="004C26BD">
      <w:rPr>
        <w:rFonts w:ascii="Times New Roman" w:hAnsi="Times New Roman" w:cs="Times New Roman"/>
        <w:noProof/>
        <w:sz w:val="18"/>
        <w:szCs w:val="20"/>
      </w:rPr>
      <w:t>Likumprojekta „Grozījumi Pievienotās vērtības nodokļa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240C0" w14:textId="1584DD90" w:rsidR="005D2575" w:rsidRPr="009E74EC" w:rsidRDefault="009E74EC" w:rsidP="009E74EC">
    <w:pPr>
      <w:tabs>
        <w:tab w:val="left" w:pos="6663"/>
      </w:tabs>
      <w:spacing w:after="0" w:line="240" w:lineRule="auto"/>
      <w:jc w:val="both"/>
    </w:pPr>
    <w:r>
      <w:rPr>
        <w:rFonts w:ascii="Times New Roman" w:hAnsi="Times New Roman" w:cs="Times New Roman"/>
        <w:sz w:val="18"/>
        <w:szCs w:val="20"/>
      </w:rPr>
      <w:fldChar w:fldCharType="begin"/>
    </w:r>
    <w:r>
      <w:rPr>
        <w:rFonts w:ascii="Times New Roman" w:hAnsi="Times New Roman" w:cs="Times New Roman"/>
        <w:sz w:val="18"/>
        <w:szCs w:val="20"/>
      </w:rPr>
      <w:instrText xml:space="preserve"> FILENAME   \* MERGEFORMAT </w:instrText>
    </w:r>
    <w:r>
      <w:rPr>
        <w:rFonts w:ascii="Times New Roman" w:hAnsi="Times New Roman" w:cs="Times New Roman"/>
        <w:sz w:val="18"/>
        <w:szCs w:val="20"/>
      </w:rPr>
      <w:fldChar w:fldCharType="separate"/>
    </w:r>
    <w:r w:rsidR="00114843">
      <w:rPr>
        <w:rFonts w:ascii="Times New Roman" w:hAnsi="Times New Roman" w:cs="Times New Roman"/>
        <w:noProof/>
        <w:sz w:val="18"/>
        <w:szCs w:val="20"/>
      </w:rPr>
      <w:t>FMAnot_070915_PVN.docx</w:t>
    </w:r>
    <w:r>
      <w:rPr>
        <w:rFonts w:ascii="Times New Roman" w:hAnsi="Times New Roman" w:cs="Times New Roman"/>
        <w:sz w:val="18"/>
        <w:szCs w:val="20"/>
      </w:rPr>
      <w:fldChar w:fldCharType="end"/>
    </w:r>
    <w:r>
      <w:rPr>
        <w:rFonts w:ascii="Times New Roman" w:hAnsi="Times New Roman" w:cs="Times New Roman"/>
        <w:sz w:val="18"/>
        <w:szCs w:val="20"/>
      </w:rPr>
      <w:t>.</w:t>
    </w:r>
    <w:proofErr w:type="spellStart"/>
    <w:r>
      <w:rPr>
        <w:rFonts w:ascii="Times New Roman" w:hAnsi="Times New Roman" w:cs="Times New Roman"/>
        <w:sz w:val="18"/>
        <w:szCs w:val="20"/>
      </w:rPr>
      <w:t>docx</w:t>
    </w:r>
    <w:proofErr w:type="spellEnd"/>
    <w:r>
      <w:rPr>
        <w:rFonts w:ascii="Times New Roman" w:hAnsi="Times New Roman" w:cs="Times New Roman"/>
        <w:sz w:val="18"/>
        <w:szCs w:val="20"/>
      </w:rPr>
      <w:t xml:space="preserve">; </w:t>
    </w:r>
    <w:r w:rsidRPr="004C26BD">
      <w:rPr>
        <w:rFonts w:ascii="Times New Roman" w:hAnsi="Times New Roman" w:cs="Times New Roman"/>
        <w:noProof/>
        <w:sz w:val="18"/>
        <w:szCs w:val="20"/>
      </w:rPr>
      <w:t>Likumprojekta „Grozījumi Pievienotās vērtības nodokļa likumā”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BE355" w14:textId="5F9E6DBA" w:rsidR="005D2575" w:rsidRPr="00171D36" w:rsidRDefault="0087300F" w:rsidP="0087300F">
    <w:pPr>
      <w:tabs>
        <w:tab w:val="left" w:pos="6663"/>
      </w:tabs>
      <w:spacing w:after="0" w:line="240" w:lineRule="auto"/>
      <w:jc w:val="both"/>
      <w:rPr>
        <w:rFonts w:ascii="Times New Roman" w:eastAsia="Times New Roman" w:hAnsi="Times New Roman" w:cs="Times New Roman"/>
        <w:sz w:val="18"/>
        <w:szCs w:val="20"/>
      </w:rPr>
    </w:pPr>
    <w:r>
      <w:rPr>
        <w:rFonts w:ascii="Times New Roman" w:hAnsi="Times New Roman" w:cs="Times New Roman"/>
        <w:sz w:val="18"/>
        <w:szCs w:val="20"/>
      </w:rPr>
      <w:fldChar w:fldCharType="begin"/>
    </w:r>
    <w:r>
      <w:rPr>
        <w:rFonts w:ascii="Times New Roman" w:hAnsi="Times New Roman" w:cs="Times New Roman"/>
        <w:sz w:val="18"/>
        <w:szCs w:val="20"/>
      </w:rPr>
      <w:instrText xml:space="preserve"> FILENAME   \* MERGEFORMAT </w:instrText>
    </w:r>
    <w:r>
      <w:rPr>
        <w:rFonts w:ascii="Times New Roman" w:hAnsi="Times New Roman" w:cs="Times New Roman"/>
        <w:sz w:val="18"/>
        <w:szCs w:val="20"/>
      </w:rPr>
      <w:fldChar w:fldCharType="separate"/>
    </w:r>
    <w:r w:rsidR="00114843">
      <w:rPr>
        <w:rFonts w:ascii="Times New Roman" w:hAnsi="Times New Roman" w:cs="Times New Roman"/>
        <w:noProof/>
        <w:sz w:val="18"/>
        <w:szCs w:val="20"/>
      </w:rPr>
      <w:t>FMAnot_070915_PVN.docx</w:t>
    </w:r>
    <w:r>
      <w:rPr>
        <w:rFonts w:ascii="Times New Roman" w:hAnsi="Times New Roman" w:cs="Times New Roman"/>
        <w:sz w:val="18"/>
        <w:szCs w:val="20"/>
      </w:rPr>
      <w:fldChar w:fldCharType="end"/>
    </w:r>
    <w:r>
      <w:rPr>
        <w:rFonts w:ascii="Times New Roman" w:hAnsi="Times New Roman" w:cs="Times New Roman"/>
        <w:sz w:val="18"/>
        <w:szCs w:val="20"/>
      </w:rPr>
      <w:t>.</w:t>
    </w:r>
    <w:proofErr w:type="spellStart"/>
    <w:r>
      <w:rPr>
        <w:rFonts w:ascii="Times New Roman" w:hAnsi="Times New Roman" w:cs="Times New Roman"/>
        <w:sz w:val="18"/>
        <w:szCs w:val="20"/>
      </w:rPr>
      <w:t>docx</w:t>
    </w:r>
    <w:proofErr w:type="spellEnd"/>
    <w:r>
      <w:rPr>
        <w:rFonts w:ascii="Times New Roman" w:hAnsi="Times New Roman" w:cs="Times New Roman"/>
        <w:sz w:val="18"/>
        <w:szCs w:val="20"/>
      </w:rPr>
      <w:t xml:space="preserve">; </w:t>
    </w:r>
    <w:r w:rsidRPr="004C26BD">
      <w:rPr>
        <w:rFonts w:ascii="Times New Roman" w:hAnsi="Times New Roman" w:cs="Times New Roman"/>
        <w:noProof/>
        <w:sz w:val="18"/>
        <w:szCs w:val="20"/>
      </w:rPr>
      <w:t>Likumprojekta „Grozījumi Pievienotās vērtības nodokļa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0FBF8" w14:textId="77777777" w:rsidR="005D2575" w:rsidRDefault="005D2575" w:rsidP="004369B2">
      <w:pPr>
        <w:spacing w:after="0" w:line="240" w:lineRule="auto"/>
      </w:pPr>
      <w:r>
        <w:separator/>
      </w:r>
    </w:p>
  </w:footnote>
  <w:footnote w:type="continuationSeparator" w:id="0">
    <w:p w14:paraId="319AB6D4" w14:textId="77777777" w:rsidR="005D2575" w:rsidRDefault="005D2575" w:rsidP="004369B2">
      <w:pPr>
        <w:spacing w:after="0" w:line="240" w:lineRule="auto"/>
      </w:pPr>
      <w:r>
        <w:continuationSeparator/>
      </w:r>
    </w:p>
  </w:footnote>
  <w:footnote w:id="1">
    <w:p w14:paraId="0F6128ED" w14:textId="77777777" w:rsidR="00275975" w:rsidRDefault="00275975" w:rsidP="00275975">
      <w:pPr>
        <w:pStyle w:val="FootnoteText"/>
        <w:jc w:val="both"/>
      </w:pPr>
      <w:r>
        <w:rPr>
          <w:rStyle w:val="FootnoteReference"/>
        </w:rPr>
        <w:footnoteRef/>
      </w:r>
      <w:r>
        <w:t xml:space="preserve"> </w:t>
      </w:r>
      <w:r w:rsidRPr="00142959">
        <w:rPr>
          <w:rFonts w:cs="Times New Roman"/>
          <w:sz w:val="16"/>
          <w:szCs w:val="16"/>
        </w:rPr>
        <w:t>Dati aprēķinam ir atlasīti no VID informācijas sistēmas PVN deklarāciju datiem par 2014. gadu un 2015. gada pirmo pusgadu. Lai veiktu aprēķinus, nepieciešamā nozare tika atlasīta pēc NACE red.2 klasifikācijas koda 68.32 „Nekustamā īpašuma pārvaldīšana par atlīdzību vai uz līguma pamata”, izmantojot informāciju par PVN deklarācijas rindiņu „Ar PVN neapliekamie darījumi”.</w:t>
      </w:r>
    </w:p>
  </w:footnote>
  <w:footnote w:id="2">
    <w:p w14:paraId="3B54C7E7" w14:textId="77777777" w:rsidR="00275975" w:rsidRDefault="00275975" w:rsidP="00275975">
      <w:pPr>
        <w:pStyle w:val="FootnoteText"/>
        <w:jc w:val="both"/>
      </w:pPr>
      <w:r>
        <w:rPr>
          <w:rStyle w:val="FootnoteReference"/>
        </w:rPr>
        <w:footnoteRef/>
      </w:r>
      <w:r>
        <w:t xml:space="preserve"> </w:t>
      </w:r>
      <w:r w:rsidRPr="00142959">
        <w:rPr>
          <w:rFonts w:cs="Times New Roman"/>
          <w:sz w:val="16"/>
          <w:szCs w:val="16"/>
        </w:rPr>
        <w:t xml:space="preserve">Dati aprēķinam ir atlasīti no VID informācijas sistēmas PVN deklarāciju datiem par 2014. gadu. Lai veiktu aprēķinus, nepieciešamā nozare tika atlasīta pēc NACE red.2 klasifikācijas koda </w:t>
      </w:r>
      <w:r>
        <w:rPr>
          <w:rFonts w:cs="Times New Roman"/>
          <w:sz w:val="16"/>
          <w:szCs w:val="16"/>
        </w:rPr>
        <w:t>90.00</w:t>
      </w:r>
      <w:r w:rsidRPr="00142959">
        <w:rPr>
          <w:rFonts w:cs="Times New Roman"/>
          <w:sz w:val="16"/>
          <w:szCs w:val="16"/>
        </w:rPr>
        <w:t xml:space="preserve"> „</w:t>
      </w:r>
      <w:r w:rsidRPr="00AF287C">
        <w:t xml:space="preserve"> </w:t>
      </w:r>
      <w:r>
        <w:rPr>
          <w:rFonts w:cs="Times New Roman"/>
          <w:sz w:val="16"/>
          <w:szCs w:val="16"/>
        </w:rPr>
        <w:t>R</w:t>
      </w:r>
      <w:r w:rsidRPr="00AF287C">
        <w:rPr>
          <w:rFonts w:cs="Times New Roman"/>
          <w:sz w:val="16"/>
          <w:szCs w:val="16"/>
        </w:rPr>
        <w:t>adošas, mākslinieciskas un izklaides darbības</w:t>
      </w:r>
      <w:r w:rsidRPr="00142959">
        <w:rPr>
          <w:rFonts w:cs="Times New Roman"/>
          <w:sz w:val="16"/>
          <w:szCs w:val="16"/>
        </w:rPr>
        <w:t>”, izmantojot informāciju par PVN deklarācijas rindiņu „Ar PVN neapliekamie darījumi”.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47206F19" w14:textId="77777777" w:rsidR="005D2575" w:rsidRPr="00171D36" w:rsidRDefault="005D2575">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351CD1">
          <w:rPr>
            <w:rFonts w:ascii="Times New Roman" w:hAnsi="Times New Roman" w:cs="Times New Roman"/>
            <w:noProof/>
            <w:sz w:val="24"/>
          </w:rPr>
          <w:t>12</w:t>
        </w:r>
        <w:r w:rsidRPr="00171D36">
          <w:rPr>
            <w:rFonts w:ascii="Times New Roman" w:hAnsi="Times New Roman" w:cs="Times New Roman"/>
            <w:noProof/>
            <w:sz w:val="24"/>
          </w:rPr>
          <w:fldChar w:fldCharType="end"/>
        </w:r>
      </w:p>
    </w:sdtContent>
  </w:sdt>
  <w:p w14:paraId="4252FAE8" w14:textId="77777777" w:rsidR="005D2575" w:rsidRDefault="005D2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6933BF4D" w14:textId="77777777" w:rsidR="005D2575" w:rsidRPr="00171D36" w:rsidRDefault="005D2575">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351CD1">
          <w:rPr>
            <w:rFonts w:ascii="Times New Roman" w:hAnsi="Times New Roman" w:cs="Times New Roman"/>
            <w:noProof/>
            <w:sz w:val="24"/>
          </w:rPr>
          <w:t>11</w:t>
        </w:r>
        <w:r w:rsidRPr="00171D36">
          <w:rPr>
            <w:rFonts w:ascii="Times New Roman" w:hAnsi="Times New Roman" w:cs="Times New Roman"/>
            <w:noProof/>
            <w:sz w:val="24"/>
          </w:rPr>
          <w:fldChar w:fldCharType="end"/>
        </w:r>
      </w:p>
    </w:sdtContent>
  </w:sdt>
  <w:p w14:paraId="013EDFC4" w14:textId="77777777" w:rsidR="005D2575" w:rsidRDefault="005D2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428CC" w14:textId="77777777" w:rsidR="005D2575" w:rsidRDefault="005D2575"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B8F"/>
    <w:multiLevelType w:val="hybridMultilevel"/>
    <w:tmpl w:val="9948D822"/>
    <w:lvl w:ilvl="0" w:tplc="ED883A5E">
      <w:start w:val="56"/>
      <w:numFmt w:val="decimal"/>
      <w:lvlText w:val="(%1)"/>
      <w:lvlJc w:val="left"/>
      <w:pPr>
        <w:ind w:left="390" w:hanging="39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947235A"/>
    <w:multiLevelType w:val="hybridMultilevel"/>
    <w:tmpl w:val="1B782894"/>
    <w:lvl w:ilvl="0" w:tplc="03C6454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6B043A"/>
    <w:multiLevelType w:val="multilevel"/>
    <w:tmpl w:val="96F6D58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144102F"/>
    <w:multiLevelType w:val="hybridMultilevel"/>
    <w:tmpl w:val="30A6B0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23149F"/>
    <w:multiLevelType w:val="hybridMultilevel"/>
    <w:tmpl w:val="B71A15D8"/>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FC051CD"/>
    <w:multiLevelType w:val="hybridMultilevel"/>
    <w:tmpl w:val="F70C27E8"/>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20B31AF1"/>
    <w:multiLevelType w:val="hybridMultilevel"/>
    <w:tmpl w:val="2EBC4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0D65AF2"/>
    <w:multiLevelType w:val="multilevel"/>
    <w:tmpl w:val="1F4E4CE0"/>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21FD1B94"/>
    <w:multiLevelType w:val="hybridMultilevel"/>
    <w:tmpl w:val="75E2E81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9">
    <w:nsid w:val="25CD6717"/>
    <w:multiLevelType w:val="hybridMultilevel"/>
    <w:tmpl w:val="519408C0"/>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32356486"/>
    <w:multiLevelType w:val="hybridMultilevel"/>
    <w:tmpl w:val="7E7CD1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76B437F"/>
    <w:multiLevelType w:val="hybridMultilevel"/>
    <w:tmpl w:val="8CE6C4E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3DC1570A"/>
    <w:multiLevelType w:val="hybridMultilevel"/>
    <w:tmpl w:val="F2983B04"/>
    <w:lvl w:ilvl="0" w:tplc="53C6463E">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4D602BE4"/>
    <w:multiLevelType w:val="hybridMultilevel"/>
    <w:tmpl w:val="ED3243CC"/>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5E5F2351"/>
    <w:multiLevelType w:val="hybridMultilevel"/>
    <w:tmpl w:val="2FECC8B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600F6E11"/>
    <w:multiLevelType w:val="hybridMultilevel"/>
    <w:tmpl w:val="61E6496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78C3FAC"/>
    <w:multiLevelType w:val="hybridMultilevel"/>
    <w:tmpl w:val="CBB0B892"/>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710F23F6"/>
    <w:multiLevelType w:val="hybridMultilevel"/>
    <w:tmpl w:val="FD2AD02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13"/>
  </w:num>
  <w:num w:numId="3">
    <w:abstractNumId w:val="14"/>
  </w:num>
  <w:num w:numId="4">
    <w:abstractNumId w:val="16"/>
  </w:num>
  <w:num w:numId="5">
    <w:abstractNumId w:val="10"/>
  </w:num>
  <w:num w:numId="6">
    <w:abstractNumId w:val="0"/>
  </w:num>
  <w:num w:numId="7">
    <w:abstractNumId w:val="1"/>
  </w:num>
  <w:num w:numId="8">
    <w:abstractNumId w:val="15"/>
  </w:num>
  <w:num w:numId="9">
    <w:abstractNumId w:val="2"/>
  </w:num>
  <w:num w:numId="10">
    <w:abstractNumId w:val="9"/>
  </w:num>
  <w:num w:numId="11">
    <w:abstractNumId w:val="3"/>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7"/>
  </w:num>
  <w:num w:numId="17">
    <w:abstractNumId w:val="6"/>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C4"/>
    <w:rsid w:val="00003E71"/>
    <w:rsid w:val="00003F2D"/>
    <w:rsid w:val="000044FD"/>
    <w:rsid w:val="000061FB"/>
    <w:rsid w:val="000066F2"/>
    <w:rsid w:val="00007445"/>
    <w:rsid w:val="0000772D"/>
    <w:rsid w:val="00007A44"/>
    <w:rsid w:val="00011A47"/>
    <w:rsid w:val="00012F4F"/>
    <w:rsid w:val="000136A3"/>
    <w:rsid w:val="00013DA3"/>
    <w:rsid w:val="00014EC9"/>
    <w:rsid w:val="000209A4"/>
    <w:rsid w:val="00024BC7"/>
    <w:rsid w:val="0002742F"/>
    <w:rsid w:val="000277B3"/>
    <w:rsid w:val="00034A6D"/>
    <w:rsid w:val="00034F6A"/>
    <w:rsid w:val="000356EB"/>
    <w:rsid w:val="00035A3D"/>
    <w:rsid w:val="0003706D"/>
    <w:rsid w:val="00037757"/>
    <w:rsid w:val="000419BA"/>
    <w:rsid w:val="00045CE8"/>
    <w:rsid w:val="00047C66"/>
    <w:rsid w:val="00054EAF"/>
    <w:rsid w:val="00056305"/>
    <w:rsid w:val="000612C8"/>
    <w:rsid w:val="0006166B"/>
    <w:rsid w:val="000627FE"/>
    <w:rsid w:val="00062FE4"/>
    <w:rsid w:val="0006659D"/>
    <w:rsid w:val="000674A5"/>
    <w:rsid w:val="00067F85"/>
    <w:rsid w:val="00071243"/>
    <w:rsid w:val="00071906"/>
    <w:rsid w:val="000728DD"/>
    <w:rsid w:val="00072A6D"/>
    <w:rsid w:val="00072D3C"/>
    <w:rsid w:val="00077871"/>
    <w:rsid w:val="00082667"/>
    <w:rsid w:val="00085D9E"/>
    <w:rsid w:val="000900FC"/>
    <w:rsid w:val="00093808"/>
    <w:rsid w:val="00094218"/>
    <w:rsid w:val="00096F4D"/>
    <w:rsid w:val="00097301"/>
    <w:rsid w:val="000A0B88"/>
    <w:rsid w:val="000A150F"/>
    <w:rsid w:val="000A160B"/>
    <w:rsid w:val="000A21A6"/>
    <w:rsid w:val="000A3A53"/>
    <w:rsid w:val="000A6B02"/>
    <w:rsid w:val="000A6BCF"/>
    <w:rsid w:val="000A71B7"/>
    <w:rsid w:val="000A7487"/>
    <w:rsid w:val="000A76F1"/>
    <w:rsid w:val="000B1A2A"/>
    <w:rsid w:val="000B26D5"/>
    <w:rsid w:val="000B40A0"/>
    <w:rsid w:val="000B6F71"/>
    <w:rsid w:val="000B7473"/>
    <w:rsid w:val="000C145E"/>
    <w:rsid w:val="000C2E1B"/>
    <w:rsid w:val="000C3185"/>
    <w:rsid w:val="000C39E3"/>
    <w:rsid w:val="000C674A"/>
    <w:rsid w:val="000C7217"/>
    <w:rsid w:val="000D0638"/>
    <w:rsid w:val="000D1A7F"/>
    <w:rsid w:val="000D6F24"/>
    <w:rsid w:val="000E0ABB"/>
    <w:rsid w:val="000E228D"/>
    <w:rsid w:val="000E22BE"/>
    <w:rsid w:val="000E2D1E"/>
    <w:rsid w:val="000E49B9"/>
    <w:rsid w:val="000F3428"/>
    <w:rsid w:val="000F56D3"/>
    <w:rsid w:val="00100575"/>
    <w:rsid w:val="00101B54"/>
    <w:rsid w:val="001028F2"/>
    <w:rsid w:val="001030D7"/>
    <w:rsid w:val="00103563"/>
    <w:rsid w:val="00105E0D"/>
    <w:rsid w:val="00106E13"/>
    <w:rsid w:val="00107AB9"/>
    <w:rsid w:val="00107BB6"/>
    <w:rsid w:val="00107DFF"/>
    <w:rsid w:val="00110348"/>
    <w:rsid w:val="001111DC"/>
    <w:rsid w:val="00114843"/>
    <w:rsid w:val="001166B9"/>
    <w:rsid w:val="00117C3F"/>
    <w:rsid w:val="0012183D"/>
    <w:rsid w:val="001236CD"/>
    <w:rsid w:val="00124277"/>
    <w:rsid w:val="00124547"/>
    <w:rsid w:val="0012486E"/>
    <w:rsid w:val="00124F9B"/>
    <w:rsid w:val="00125A33"/>
    <w:rsid w:val="0012659F"/>
    <w:rsid w:val="00127506"/>
    <w:rsid w:val="00127DB5"/>
    <w:rsid w:val="0013023A"/>
    <w:rsid w:val="00133320"/>
    <w:rsid w:val="001343C0"/>
    <w:rsid w:val="00137CE0"/>
    <w:rsid w:val="00137F4C"/>
    <w:rsid w:val="0014181D"/>
    <w:rsid w:val="00142FDC"/>
    <w:rsid w:val="00145BBF"/>
    <w:rsid w:val="0014724B"/>
    <w:rsid w:val="0014771B"/>
    <w:rsid w:val="00152DB8"/>
    <w:rsid w:val="001532D1"/>
    <w:rsid w:val="001561F5"/>
    <w:rsid w:val="00163A60"/>
    <w:rsid w:val="00164329"/>
    <w:rsid w:val="00166EA2"/>
    <w:rsid w:val="001719E3"/>
    <w:rsid w:val="00171D17"/>
    <w:rsid w:val="00171D36"/>
    <w:rsid w:val="001730E1"/>
    <w:rsid w:val="001745D3"/>
    <w:rsid w:val="00174AC6"/>
    <w:rsid w:val="00174D0F"/>
    <w:rsid w:val="00174FB9"/>
    <w:rsid w:val="00175420"/>
    <w:rsid w:val="00176CB2"/>
    <w:rsid w:val="00176DC1"/>
    <w:rsid w:val="001809EE"/>
    <w:rsid w:val="0018354B"/>
    <w:rsid w:val="00184133"/>
    <w:rsid w:val="001854FC"/>
    <w:rsid w:val="00186946"/>
    <w:rsid w:val="00186AF1"/>
    <w:rsid w:val="00187D21"/>
    <w:rsid w:val="00192196"/>
    <w:rsid w:val="00192732"/>
    <w:rsid w:val="00195A56"/>
    <w:rsid w:val="0019649B"/>
    <w:rsid w:val="00196B96"/>
    <w:rsid w:val="001A173B"/>
    <w:rsid w:val="001A30FE"/>
    <w:rsid w:val="001A3439"/>
    <w:rsid w:val="001A6068"/>
    <w:rsid w:val="001A681D"/>
    <w:rsid w:val="001A6A7F"/>
    <w:rsid w:val="001A6DE9"/>
    <w:rsid w:val="001A7231"/>
    <w:rsid w:val="001A7D41"/>
    <w:rsid w:val="001B1210"/>
    <w:rsid w:val="001B2D57"/>
    <w:rsid w:val="001B42C1"/>
    <w:rsid w:val="001C144E"/>
    <w:rsid w:val="001C6B6C"/>
    <w:rsid w:val="001C7507"/>
    <w:rsid w:val="001D0E62"/>
    <w:rsid w:val="001D21E5"/>
    <w:rsid w:val="001D3613"/>
    <w:rsid w:val="001D421B"/>
    <w:rsid w:val="001D42C9"/>
    <w:rsid w:val="001D6572"/>
    <w:rsid w:val="001E1D5D"/>
    <w:rsid w:val="001E221C"/>
    <w:rsid w:val="001E3DE9"/>
    <w:rsid w:val="001E4380"/>
    <w:rsid w:val="001E4F58"/>
    <w:rsid w:val="001E69FC"/>
    <w:rsid w:val="001F004D"/>
    <w:rsid w:val="001F0072"/>
    <w:rsid w:val="001F2F7B"/>
    <w:rsid w:val="001F34BB"/>
    <w:rsid w:val="001F37E2"/>
    <w:rsid w:val="001F5427"/>
    <w:rsid w:val="001F6940"/>
    <w:rsid w:val="001F7D56"/>
    <w:rsid w:val="00201828"/>
    <w:rsid w:val="0020233E"/>
    <w:rsid w:val="002030E5"/>
    <w:rsid w:val="002037C9"/>
    <w:rsid w:val="00205591"/>
    <w:rsid w:val="00205CCF"/>
    <w:rsid w:val="00205DB2"/>
    <w:rsid w:val="00205F39"/>
    <w:rsid w:val="002061E3"/>
    <w:rsid w:val="00206258"/>
    <w:rsid w:val="002121D7"/>
    <w:rsid w:val="002130ED"/>
    <w:rsid w:val="002133F3"/>
    <w:rsid w:val="00216A29"/>
    <w:rsid w:val="00216C19"/>
    <w:rsid w:val="002207FD"/>
    <w:rsid w:val="00222E7F"/>
    <w:rsid w:val="00224488"/>
    <w:rsid w:val="0023004C"/>
    <w:rsid w:val="0023149A"/>
    <w:rsid w:val="00232B4D"/>
    <w:rsid w:val="00232EA5"/>
    <w:rsid w:val="00233CDB"/>
    <w:rsid w:val="0023492F"/>
    <w:rsid w:val="00234A68"/>
    <w:rsid w:val="00235345"/>
    <w:rsid w:val="002361F4"/>
    <w:rsid w:val="00236887"/>
    <w:rsid w:val="00244042"/>
    <w:rsid w:val="002441D0"/>
    <w:rsid w:val="0024610B"/>
    <w:rsid w:val="002473E7"/>
    <w:rsid w:val="00247EBD"/>
    <w:rsid w:val="00250602"/>
    <w:rsid w:val="00250606"/>
    <w:rsid w:val="002507F6"/>
    <w:rsid w:val="00250F7D"/>
    <w:rsid w:val="00251C86"/>
    <w:rsid w:val="00252B3E"/>
    <w:rsid w:val="00253427"/>
    <w:rsid w:val="00255E46"/>
    <w:rsid w:val="0025789E"/>
    <w:rsid w:val="002652F4"/>
    <w:rsid w:val="002655A6"/>
    <w:rsid w:val="00270CCE"/>
    <w:rsid w:val="002711CC"/>
    <w:rsid w:val="002730EF"/>
    <w:rsid w:val="002731B1"/>
    <w:rsid w:val="0027384E"/>
    <w:rsid w:val="00274308"/>
    <w:rsid w:val="00274A90"/>
    <w:rsid w:val="0027500F"/>
    <w:rsid w:val="00275975"/>
    <w:rsid w:val="00276EAD"/>
    <w:rsid w:val="00277B1F"/>
    <w:rsid w:val="00277BE5"/>
    <w:rsid w:val="00280188"/>
    <w:rsid w:val="0028065B"/>
    <w:rsid w:val="00282282"/>
    <w:rsid w:val="00282F55"/>
    <w:rsid w:val="00284148"/>
    <w:rsid w:val="00284D83"/>
    <w:rsid w:val="00285418"/>
    <w:rsid w:val="002909AD"/>
    <w:rsid w:val="002926B8"/>
    <w:rsid w:val="00292F92"/>
    <w:rsid w:val="00293F14"/>
    <w:rsid w:val="00296224"/>
    <w:rsid w:val="0029664A"/>
    <w:rsid w:val="002A01EA"/>
    <w:rsid w:val="002A1BF7"/>
    <w:rsid w:val="002A1D39"/>
    <w:rsid w:val="002A26FC"/>
    <w:rsid w:val="002A78F6"/>
    <w:rsid w:val="002B015B"/>
    <w:rsid w:val="002C0DA5"/>
    <w:rsid w:val="002C10EA"/>
    <w:rsid w:val="002C21ED"/>
    <w:rsid w:val="002C3712"/>
    <w:rsid w:val="002C3769"/>
    <w:rsid w:val="002C52B9"/>
    <w:rsid w:val="002C5BB1"/>
    <w:rsid w:val="002D0BE4"/>
    <w:rsid w:val="002D1ACD"/>
    <w:rsid w:val="002D1DBA"/>
    <w:rsid w:val="002D1EA4"/>
    <w:rsid w:val="002D2090"/>
    <w:rsid w:val="002D296D"/>
    <w:rsid w:val="002D3EBD"/>
    <w:rsid w:val="002E0F98"/>
    <w:rsid w:val="002E1C28"/>
    <w:rsid w:val="002E1DFC"/>
    <w:rsid w:val="002E2B09"/>
    <w:rsid w:val="002E3AA4"/>
    <w:rsid w:val="002E44B7"/>
    <w:rsid w:val="002E5A65"/>
    <w:rsid w:val="002F02FD"/>
    <w:rsid w:val="002F249C"/>
    <w:rsid w:val="002F29D1"/>
    <w:rsid w:val="002F3634"/>
    <w:rsid w:val="002F700B"/>
    <w:rsid w:val="00301D9D"/>
    <w:rsid w:val="003033B2"/>
    <w:rsid w:val="003052EF"/>
    <w:rsid w:val="00305B58"/>
    <w:rsid w:val="00305E8A"/>
    <w:rsid w:val="00310679"/>
    <w:rsid w:val="0031152D"/>
    <w:rsid w:val="00311AFF"/>
    <w:rsid w:val="00314CCD"/>
    <w:rsid w:val="0032258D"/>
    <w:rsid w:val="003225F8"/>
    <w:rsid w:val="00325324"/>
    <w:rsid w:val="0032763C"/>
    <w:rsid w:val="00333A9B"/>
    <w:rsid w:val="00334871"/>
    <w:rsid w:val="00335F6B"/>
    <w:rsid w:val="0034066F"/>
    <w:rsid w:val="00340805"/>
    <w:rsid w:val="00343428"/>
    <w:rsid w:val="00344591"/>
    <w:rsid w:val="00350A27"/>
    <w:rsid w:val="0035187D"/>
    <w:rsid w:val="00351CD1"/>
    <w:rsid w:val="00352DF3"/>
    <w:rsid w:val="00353520"/>
    <w:rsid w:val="00355A37"/>
    <w:rsid w:val="00355BB8"/>
    <w:rsid w:val="003638B0"/>
    <w:rsid w:val="003654AA"/>
    <w:rsid w:val="00367445"/>
    <w:rsid w:val="0036755F"/>
    <w:rsid w:val="003714C5"/>
    <w:rsid w:val="00371BD3"/>
    <w:rsid w:val="003722FD"/>
    <w:rsid w:val="00372F48"/>
    <w:rsid w:val="00375982"/>
    <w:rsid w:val="00375B76"/>
    <w:rsid w:val="003807D5"/>
    <w:rsid w:val="00380812"/>
    <w:rsid w:val="003808AD"/>
    <w:rsid w:val="003855FF"/>
    <w:rsid w:val="00386316"/>
    <w:rsid w:val="00386D3D"/>
    <w:rsid w:val="00390590"/>
    <w:rsid w:val="00390E2B"/>
    <w:rsid w:val="003924D5"/>
    <w:rsid w:val="00393CFF"/>
    <w:rsid w:val="003940C7"/>
    <w:rsid w:val="0039446F"/>
    <w:rsid w:val="003955DF"/>
    <w:rsid w:val="003A010F"/>
    <w:rsid w:val="003A1256"/>
    <w:rsid w:val="003A1663"/>
    <w:rsid w:val="003A1800"/>
    <w:rsid w:val="003A4318"/>
    <w:rsid w:val="003B02CB"/>
    <w:rsid w:val="003B1968"/>
    <w:rsid w:val="003B2F31"/>
    <w:rsid w:val="003B3FFB"/>
    <w:rsid w:val="003B4B9E"/>
    <w:rsid w:val="003B5EB7"/>
    <w:rsid w:val="003B6F6D"/>
    <w:rsid w:val="003C04B5"/>
    <w:rsid w:val="003C1E4F"/>
    <w:rsid w:val="003C2843"/>
    <w:rsid w:val="003C4953"/>
    <w:rsid w:val="003C4D71"/>
    <w:rsid w:val="003D26CD"/>
    <w:rsid w:val="003D34B6"/>
    <w:rsid w:val="003D38D2"/>
    <w:rsid w:val="003D5FA7"/>
    <w:rsid w:val="003D664D"/>
    <w:rsid w:val="003E1193"/>
    <w:rsid w:val="003E2191"/>
    <w:rsid w:val="003E23E2"/>
    <w:rsid w:val="003E29A6"/>
    <w:rsid w:val="003F1D78"/>
    <w:rsid w:val="003F2E9E"/>
    <w:rsid w:val="003F4507"/>
    <w:rsid w:val="003F4F69"/>
    <w:rsid w:val="003F5C23"/>
    <w:rsid w:val="003F7223"/>
    <w:rsid w:val="004001D3"/>
    <w:rsid w:val="0040070B"/>
    <w:rsid w:val="00404FC0"/>
    <w:rsid w:val="00405A23"/>
    <w:rsid w:val="00405BC6"/>
    <w:rsid w:val="00414837"/>
    <w:rsid w:val="00415F33"/>
    <w:rsid w:val="00420E0B"/>
    <w:rsid w:val="00421854"/>
    <w:rsid w:val="004229F8"/>
    <w:rsid w:val="004246AB"/>
    <w:rsid w:val="004249A0"/>
    <w:rsid w:val="00424F25"/>
    <w:rsid w:val="0042539D"/>
    <w:rsid w:val="0042678A"/>
    <w:rsid w:val="00427F59"/>
    <w:rsid w:val="004311DE"/>
    <w:rsid w:val="00431A96"/>
    <w:rsid w:val="004326FC"/>
    <w:rsid w:val="0043316C"/>
    <w:rsid w:val="004369B2"/>
    <w:rsid w:val="00437628"/>
    <w:rsid w:val="004414D1"/>
    <w:rsid w:val="00441758"/>
    <w:rsid w:val="0044315B"/>
    <w:rsid w:val="004431BD"/>
    <w:rsid w:val="00443C0C"/>
    <w:rsid w:val="004440E4"/>
    <w:rsid w:val="00444F92"/>
    <w:rsid w:val="00445181"/>
    <w:rsid w:val="00445572"/>
    <w:rsid w:val="0044749C"/>
    <w:rsid w:val="00447E17"/>
    <w:rsid w:val="00451946"/>
    <w:rsid w:val="004544D2"/>
    <w:rsid w:val="00455CA6"/>
    <w:rsid w:val="004654FF"/>
    <w:rsid w:val="00474628"/>
    <w:rsid w:val="00474EEF"/>
    <w:rsid w:val="00475535"/>
    <w:rsid w:val="00476A26"/>
    <w:rsid w:val="0047700D"/>
    <w:rsid w:val="004812D1"/>
    <w:rsid w:val="00482278"/>
    <w:rsid w:val="004822D6"/>
    <w:rsid w:val="004822DE"/>
    <w:rsid w:val="00485048"/>
    <w:rsid w:val="00485D16"/>
    <w:rsid w:val="00486E31"/>
    <w:rsid w:val="00487A04"/>
    <w:rsid w:val="004900D0"/>
    <w:rsid w:val="00491991"/>
    <w:rsid w:val="004919AC"/>
    <w:rsid w:val="00492774"/>
    <w:rsid w:val="0049352B"/>
    <w:rsid w:val="004A0140"/>
    <w:rsid w:val="004A0FA2"/>
    <w:rsid w:val="004A158D"/>
    <w:rsid w:val="004A2511"/>
    <w:rsid w:val="004A2762"/>
    <w:rsid w:val="004A30A9"/>
    <w:rsid w:val="004A5AAF"/>
    <w:rsid w:val="004A758F"/>
    <w:rsid w:val="004B056A"/>
    <w:rsid w:val="004B06D2"/>
    <w:rsid w:val="004B07EC"/>
    <w:rsid w:val="004B1B69"/>
    <w:rsid w:val="004B20FD"/>
    <w:rsid w:val="004B247B"/>
    <w:rsid w:val="004B263A"/>
    <w:rsid w:val="004B3042"/>
    <w:rsid w:val="004B3F90"/>
    <w:rsid w:val="004B56B5"/>
    <w:rsid w:val="004C187A"/>
    <w:rsid w:val="004C26BD"/>
    <w:rsid w:val="004C56D9"/>
    <w:rsid w:val="004C5B55"/>
    <w:rsid w:val="004C67B2"/>
    <w:rsid w:val="004C7C35"/>
    <w:rsid w:val="004D40FD"/>
    <w:rsid w:val="004D6D5B"/>
    <w:rsid w:val="004E0790"/>
    <w:rsid w:val="004E1770"/>
    <w:rsid w:val="004E67ED"/>
    <w:rsid w:val="004F06A6"/>
    <w:rsid w:val="004F12C2"/>
    <w:rsid w:val="004F1F14"/>
    <w:rsid w:val="004F221B"/>
    <w:rsid w:val="004F2C94"/>
    <w:rsid w:val="004F527E"/>
    <w:rsid w:val="004F6353"/>
    <w:rsid w:val="00500402"/>
    <w:rsid w:val="00502937"/>
    <w:rsid w:val="00503049"/>
    <w:rsid w:val="00504112"/>
    <w:rsid w:val="00504770"/>
    <w:rsid w:val="0050499F"/>
    <w:rsid w:val="0050629F"/>
    <w:rsid w:val="0050789C"/>
    <w:rsid w:val="005109D3"/>
    <w:rsid w:val="005119D6"/>
    <w:rsid w:val="00511E9E"/>
    <w:rsid w:val="00512B96"/>
    <w:rsid w:val="005134E8"/>
    <w:rsid w:val="00514DDD"/>
    <w:rsid w:val="00517601"/>
    <w:rsid w:val="00522A85"/>
    <w:rsid w:val="005233FA"/>
    <w:rsid w:val="005242D5"/>
    <w:rsid w:val="00524456"/>
    <w:rsid w:val="00524E56"/>
    <w:rsid w:val="005258CC"/>
    <w:rsid w:val="00526157"/>
    <w:rsid w:val="00526D24"/>
    <w:rsid w:val="005307DD"/>
    <w:rsid w:val="0053272A"/>
    <w:rsid w:val="0053376F"/>
    <w:rsid w:val="00534A86"/>
    <w:rsid w:val="00534C09"/>
    <w:rsid w:val="00541141"/>
    <w:rsid w:val="00541CC6"/>
    <w:rsid w:val="00541F67"/>
    <w:rsid w:val="00542124"/>
    <w:rsid w:val="0054344C"/>
    <w:rsid w:val="0054569D"/>
    <w:rsid w:val="00545894"/>
    <w:rsid w:val="00545E0E"/>
    <w:rsid w:val="00545FF6"/>
    <w:rsid w:val="00546129"/>
    <w:rsid w:val="00550879"/>
    <w:rsid w:val="005530E3"/>
    <w:rsid w:val="0055431F"/>
    <w:rsid w:val="005561E6"/>
    <w:rsid w:val="00556E92"/>
    <w:rsid w:val="00560C94"/>
    <w:rsid w:val="00561CB5"/>
    <w:rsid w:val="0056254F"/>
    <w:rsid w:val="00562811"/>
    <w:rsid w:val="00566531"/>
    <w:rsid w:val="00575269"/>
    <w:rsid w:val="005823B3"/>
    <w:rsid w:val="00583CF4"/>
    <w:rsid w:val="005840B6"/>
    <w:rsid w:val="00584507"/>
    <w:rsid w:val="00584AA3"/>
    <w:rsid w:val="00584C5A"/>
    <w:rsid w:val="00585200"/>
    <w:rsid w:val="00585B64"/>
    <w:rsid w:val="00585F65"/>
    <w:rsid w:val="005906C4"/>
    <w:rsid w:val="00592AE3"/>
    <w:rsid w:val="0059311E"/>
    <w:rsid w:val="005935A8"/>
    <w:rsid w:val="005942DC"/>
    <w:rsid w:val="00596F47"/>
    <w:rsid w:val="00597631"/>
    <w:rsid w:val="005A1D14"/>
    <w:rsid w:val="005A39DF"/>
    <w:rsid w:val="005A5076"/>
    <w:rsid w:val="005A5A37"/>
    <w:rsid w:val="005A5C64"/>
    <w:rsid w:val="005A5FBE"/>
    <w:rsid w:val="005A6697"/>
    <w:rsid w:val="005B11E0"/>
    <w:rsid w:val="005B1EAF"/>
    <w:rsid w:val="005B22B7"/>
    <w:rsid w:val="005B32A1"/>
    <w:rsid w:val="005B33EE"/>
    <w:rsid w:val="005B6089"/>
    <w:rsid w:val="005C223C"/>
    <w:rsid w:val="005C2ABD"/>
    <w:rsid w:val="005C2DF1"/>
    <w:rsid w:val="005C77B9"/>
    <w:rsid w:val="005D0E6E"/>
    <w:rsid w:val="005D178F"/>
    <w:rsid w:val="005D2575"/>
    <w:rsid w:val="005D282D"/>
    <w:rsid w:val="005D5BAE"/>
    <w:rsid w:val="005E056B"/>
    <w:rsid w:val="005E15F7"/>
    <w:rsid w:val="005E26F3"/>
    <w:rsid w:val="005E424E"/>
    <w:rsid w:val="005E6A88"/>
    <w:rsid w:val="005F3251"/>
    <w:rsid w:val="005F3B07"/>
    <w:rsid w:val="005F70D7"/>
    <w:rsid w:val="005F73B9"/>
    <w:rsid w:val="0060138D"/>
    <w:rsid w:val="006014C5"/>
    <w:rsid w:val="0060288A"/>
    <w:rsid w:val="006051C0"/>
    <w:rsid w:val="006067A3"/>
    <w:rsid w:val="006107BD"/>
    <w:rsid w:val="006112F6"/>
    <w:rsid w:val="006119A1"/>
    <w:rsid w:val="006170FC"/>
    <w:rsid w:val="006173EF"/>
    <w:rsid w:val="00617970"/>
    <w:rsid w:val="00620F31"/>
    <w:rsid w:val="00627ECA"/>
    <w:rsid w:val="00630010"/>
    <w:rsid w:val="00632480"/>
    <w:rsid w:val="0063257C"/>
    <w:rsid w:val="00633B07"/>
    <w:rsid w:val="00634F21"/>
    <w:rsid w:val="006358E7"/>
    <w:rsid w:val="00636151"/>
    <w:rsid w:val="0063638D"/>
    <w:rsid w:val="00643151"/>
    <w:rsid w:val="00643263"/>
    <w:rsid w:val="006457F1"/>
    <w:rsid w:val="00645995"/>
    <w:rsid w:val="006477CB"/>
    <w:rsid w:val="00651B2D"/>
    <w:rsid w:val="006562E0"/>
    <w:rsid w:val="006606FF"/>
    <w:rsid w:val="00662CA0"/>
    <w:rsid w:val="00664AC3"/>
    <w:rsid w:val="00664F63"/>
    <w:rsid w:val="00665314"/>
    <w:rsid w:val="00665490"/>
    <w:rsid w:val="00666C0C"/>
    <w:rsid w:val="006671FC"/>
    <w:rsid w:val="0067092B"/>
    <w:rsid w:val="00670D76"/>
    <w:rsid w:val="00671667"/>
    <w:rsid w:val="00675934"/>
    <w:rsid w:val="00680C87"/>
    <w:rsid w:val="00681548"/>
    <w:rsid w:val="006832FF"/>
    <w:rsid w:val="006837F1"/>
    <w:rsid w:val="006842D6"/>
    <w:rsid w:val="006846F7"/>
    <w:rsid w:val="00686DA3"/>
    <w:rsid w:val="006878C6"/>
    <w:rsid w:val="00694926"/>
    <w:rsid w:val="00694976"/>
    <w:rsid w:val="00696872"/>
    <w:rsid w:val="006A11E6"/>
    <w:rsid w:val="006A293E"/>
    <w:rsid w:val="006A2F18"/>
    <w:rsid w:val="006A31F5"/>
    <w:rsid w:val="006A326F"/>
    <w:rsid w:val="006A471E"/>
    <w:rsid w:val="006A6AFE"/>
    <w:rsid w:val="006A7F89"/>
    <w:rsid w:val="006B06F4"/>
    <w:rsid w:val="006B111B"/>
    <w:rsid w:val="006B142D"/>
    <w:rsid w:val="006B1D44"/>
    <w:rsid w:val="006B2115"/>
    <w:rsid w:val="006B2A3E"/>
    <w:rsid w:val="006B2DC9"/>
    <w:rsid w:val="006B3740"/>
    <w:rsid w:val="006B4287"/>
    <w:rsid w:val="006B4565"/>
    <w:rsid w:val="006C4D67"/>
    <w:rsid w:val="006C62AB"/>
    <w:rsid w:val="006C6655"/>
    <w:rsid w:val="006C6EFB"/>
    <w:rsid w:val="006C6FEF"/>
    <w:rsid w:val="006C719C"/>
    <w:rsid w:val="006D241E"/>
    <w:rsid w:val="006D2D1A"/>
    <w:rsid w:val="006D3A64"/>
    <w:rsid w:val="006D40A9"/>
    <w:rsid w:val="006E2085"/>
    <w:rsid w:val="006E3BB3"/>
    <w:rsid w:val="006E412A"/>
    <w:rsid w:val="006E75DE"/>
    <w:rsid w:val="006E7B52"/>
    <w:rsid w:val="006E7B8D"/>
    <w:rsid w:val="006F2076"/>
    <w:rsid w:val="006F462E"/>
    <w:rsid w:val="006F6EFB"/>
    <w:rsid w:val="006F7CBA"/>
    <w:rsid w:val="00700A10"/>
    <w:rsid w:val="007059C6"/>
    <w:rsid w:val="007079D9"/>
    <w:rsid w:val="00711727"/>
    <w:rsid w:val="0071422E"/>
    <w:rsid w:val="007145A7"/>
    <w:rsid w:val="007153BD"/>
    <w:rsid w:val="007203CF"/>
    <w:rsid w:val="00721279"/>
    <w:rsid w:val="00722824"/>
    <w:rsid w:val="0072329F"/>
    <w:rsid w:val="007253C1"/>
    <w:rsid w:val="00725C4F"/>
    <w:rsid w:val="00726802"/>
    <w:rsid w:val="007318A3"/>
    <w:rsid w:val="007319A4"/>
    <w:rsid w:val="00731F56"/>
    <w:rsid w:val="00732619"/>
    <w:rsid w:val="0073592E"/>
    <w:rsid w:val="0073620D"/>
    <w:rsid w:val="007367C4"/>
    <w:rsid w:val="00742A0A"/>
    <w:rsid w:val="00744560"/>
    <w:rsid w:val="007469AE"/>
    <w:rsid w:val="007505EB"/>
    <w:rsid w:val="00752A06"/>
    <w:rsid w:val="00753A6D"/>
    <w:rsid w:val="00754C07"/>
    <w:rsid w:val="00756A78"/>
    <w:rsid w:val="007608B1"/>
    <w:rsid w:val="00760B27"/>
    <w:rsid w:val="00760D11"/>
    <w:rsid w:val="00760F61"/>
    <w:rsid w:val="007634F8"/>
    <w:rsid w:val="00765E16"/>
    <w:rsid w:val="00767188"/>
    <w:rsid w:val="00771A61"/>
    <w:rsid w:val="00773677"/>
    <w:rsid w:val="00774E67"/>
    <w:rsid w:val="00776E44"/>
    <w:rsid w:val="00780F05"/>
    <w:rsid w:val="00783B3F"/>
    <w:rsid w:val="00784413"/>
    <w:rsid w:val="00786848"/>
    <w:rsid w:val="00787650"/>
    <w:rsid w:val="007910CA"/>
    <w:rsid w:val="00795BDA"/>
    <w:rsid w:val="00796885"/>
    <w:rsid w:val="00796E59"/>
    <w:rsid w:val="00797147"/>
    <w:rsid w:val="007978A1"/>
    <w:rsid w:val="00797E33"/>
    <w:rsid w:val="007A4496"/>
    <w:rsid w:val="007A479D"/>
    <w:rsid w:val="007A5414"/>
    <w:rsid w:val="007A6BC9"/>
    <w:rsid w:val="007B0616"/>
    <w:rsid w:val="007B0897"/>
    <w:rsid w:val="007B2372"/>
    <w:rsid w:val="007B3616"/>
    <w:rsid w:val="007B3EDF"/>
    <w:rsid w:val="007B7B6C"/>
    <w:rsid w:val="007C01C3"/>
    <w:rsid w:val="007C2883"/>
    <w:rsid w:val="007C6F35"/>
    <w:rsid w:val="007C7070"/>
    <w:rsid w:val="007C7AEC"/>
    <w:rsid w:val="007D02BB"/>
    <w:rsid w:val="007D03DA"/>
    <w:rsid w:val="007D5708"/>
    <w:rsid w:val="007E066C"/>
    <w:rsid w:val="007E38C0"/>
    <w:rsid w:val="007E3DE4"/>
    <w:rsid w:val="007E4417"/>
    <w:rsid w:val="007E6C75"/>
    <w:rsid w:val="007E7484"/>
    <w:rsid w:val="007F047A"/>
    <w:rsid w:val="007F1011"/>
    <w:rsid w:val="007F1EDB"/>
    <w:rsid w:val="007F2331"/>
    <w:rsid w:val="007F303A"/>
    <w:rsid w:val="007F32B9"/>
    <w:rsid w:val="007F3835"/>
    <w:rsid w:val="007F3911"/>
    <w:rsid w:val="007F4447"/>
    <w:rsid w:val="007F6335"/>
    <w:rsid w:val="007F7E98"/>
    <w:rsid w:val="008023D7"/>
    <w:rsid w:val="008024D2"/>
    <w:rsid w:val="008024F1"/>
    <w:rsid w:val="008043FD"/>
    <w:rsid w:val="008053B2"/>
    <w:rsid w:val="00805E92"/>
    <w:rsid w:val="00806F8D"/>
    <w:rsid w:val="008079EB"/>
    <w:rsid w:val="00807BC3"/>
    <w:rsid w:val="00813FA3"/>
    <w:rsid w:val="00816043"/>
    <w:rsid w:val="008238E4"/>
    <w:rsid w:val="00823E55"/>
    <w:rsid w:val="0082427C"/>
    <w:rsid w:val="00824B32"/>
    <w:rsid w:val="00826012"/>
    <w:rsid w:val="00831004"/>
    <w:rsid w:val="008310F4"/>
    <w:rsid w:val="008313C7"/>
    <w:rsid w:val="0083172A"/>
    <w:rsid w:val="00831928"/>
    <w:rsid w:val="008331FB"/>
    <w:rsid w:val="00836902"/>
    <w:rsid w:val="008378EC"/>
    <w:rsid w:val="00841B05"/>
    <w:rsid w:val="00842A43"/>
    <w:rsid w:val="00843663"/>
    <w:rsid w:val="00843AFD"/>
    <w:rsid w:val="00844B59"/>
    <w:rsid w:val="00845D54"/>
    <w:rsid w:val="0084646A"/>
    <w:rsid w:val="008521EA"/>
    <w:rsid w:val="0085451E"/>
    <w:rsid w:val="00857306"/>
    <w:rsid w:val="008608FC"/>
    <w:rsid w:val="00862FD3"/>
    <w:rsid w:val="00865C2B"/>
    <w:rsid w:val="00867305"/>
    <w:rsid w:val="00867954"/>
    <w:rsid w:val="008679A3"/>
    <w:rsid w:val="00867BB8"/>
    <w:rsid w:val="00870C9D"/>
    <w:rsid w:val="0087130E"/>
    <w:rsid w:val="00871C8D"/>
    <w:rsid w:val="00872ACB"/>
    <w:rsid w:val="0087300F"/>
    <w:rsid w:val="00874568"/>
    <w:rsid w:val="0087502C"/>
    <w:rsid w:val="008769A0"/>
    <w:rsid w:val="00876B5D"/>
    <w:rsid w:val="00877DC0"/>
    <w:rsid w:val="00881C73"/>
    <w:rsid w:val="00882C62"/>
    <w:rsid w:val="008833EC"/>
    <w:rsid w:val="00885312"/>
    <w:rsid w:val="00885A38"/>
    <w:rsid w:val="00891580"/>
    <w:rsid w:val="00892C67"/>
    <w:rsid w:val="00893C1F"/>
    <w:rsid w:val="0089547A"/>
    <w:rsid w:val="008A0C02"/>
    <w:rsid w:val="008A1801"/>
    <w:rsid w:val="008A20C2"/>
    <w:rsid w:val="008A3085"/>
    <w:rsid w:val="008A5259"/>
    <w:rsid w:val="008A5837"/>
    <w:rsid w:val="008A68A8"/>
    <w:rsid w:val="008A6931"/>
    <w:rsid w:val="008A7536"/>
    <w:rsid w:val="008B0F6B"/>
    <w:rsid w:val="008B2F04"/>
    <w:rsid w:val="008B38C5"/>
    <w:rsid w:val="008B4579"/>
    <w:rsid w:val="008B54E9"/>
    <w:rsid w:val="008B627E"/>
    <w:rsid w:val="008C04D8"/>
    <w:rsid w:val="008C0582"/>
    <w:rsid w:val="008C273F"/>
    <w:rsid w:val="008C2E65"/>
    <w:rsid w:val="008C434C"/>
    <w:rsid w:val="008E0A3F"/>
    <w:rsid w:val="008E1670"/>
    <w:rsid w:val="008E1FAC"/>
    <w:rsid w:val="008E393F"/>
    <w:rsid w:val="008E433C"/>
    <w:rsid w:val="008E441B"/>
    <w:rsid w:val="008E5B18"/>
    <w:rsid w:val="008E6F84"/>
    <w:rsid w:val="008E731F"/>
    <w:rsid w:val="008F04F9"/>
    <w:rsid w:val="008F1434"/>
    <w:rsid w:val="008F2BA8"/>
    <w:rsid w:val="008F3C96"/>
    <w:rsid w:val="008F3FB9"/>
    <w:rsid w:val="008F702E"/>
    <w:rsid w:val="008F707A"/>
    <w:rsid w:val="00900304"/>
    <w:rsid w:val="0090040A"/>
    <w:rsid w:val="00901B16"/>
    <w:rsid w:val="009033B5"/>
    <w:rsid w:val="0090362A"/>
    <w:rsid w:val="00903A2D"/>
    <w:rsid w:val="0090638D"/>
    <w:rsid w:val="00906D29"/>
    <w:rsid w:val="00907095"/>
    <w:rsid w:val="00907E8C"/>
    <w:rsid w:val="0091047A"/>
    <w:rsid w:val="00911F8E"/>
    <w:rsid w:val="00914576"/>
    <w:rsid w:val="00914A49"/>
    <w:rsid w:val="009169E7"/>
    <w:rsid w:val="009170EA"/>
    <w:rsid w:val="00917BD7"/>
    <w:rsid w:val="00920261"/>
    <w:rsid w:val="0092098F"/>
    <w:rsid w:val="00921B64"/>
    <w:rsid w:val="0092231D"/>
    <w:rsid w:val="009253C9"/>
    <w:rsid w:val="00925E34"/>
    <w:rsid w:val="00930C42"/>
    <w:rsid w:val="009310B9"/>
    <w:rsid w:val="00933948"/>
    <w:rsid w:val="00933EBA"/>
    <w:rsid w:val="00934722"/>
    <w:rsid w:val="0093487E"/>
    <w:rsid w:val="0093751F"/>
    <w:rsid w:val="00941E63"/>
    <w:rsid w:val="009420D7"/>
    <w:rsid w:val="00942AEE"/>
    <w:rsid w:val="00942B9F"/>
    <w:rsid w:val="0094686C"/>
    <w:rsid w:val="0094721F"/>
    <w:rsid w:val="009500ED"/>
    <w:rsid w:val="009546BF"/>
    <w:rsid w:val="00955714"/>
    <w:rsid w:val="009557AC"/>
    <w:rsid w:val="00955D91"/>
    <w:rsid w:val="00957476"/>
    <w:rsid w:val="00960E36"/>
    <w:rsid w:val="00962387"/>
    <w:rsid w:val="00962EEC"/>
    <w:rsid w:val="00964A62"/>
    <w:rsid w:val="00964F3B"/>
    <w:rsid w:val="00965B97"/>
    <w:rsid w:val="00966AE4"/>
    <w:rsid w:val="00972AF2"/>
    <w:rsid w:val="00976634"/>
    <w:rsid w:val="00980635"/>
    <w:rsid w:val="00983615"/>
    <w:rsid w:val="00991CBE"/>
    <w:rsid w:val="00992B29"/>
    <w:rsid w:val="00994FB8"/>
    <w:rsid w:val="00995E9B"/>
    <w:rsid w:val="0099648E"/>
    <w:rsid w:val="009A0A1E"/>
    <w:rsid w:val="009A3179"/>
    <w:rsid w:val="009A54F6"/>
    <w:rsid w:val="009A5674"/>
    <w:rsid w:val="009B00CA"/>
    <w:rsid w:val="009B1794"/>
    <w:rsid w:val="009B2262"/>
    <w:rsid w:val="009C272E"/>
    <w:rsid w:val="009C3A8A"/>
    <w:rsid w:val="009C7B2D"/>
    <w:rsid w:val="009D0521"/>
    <w:rsid w:val="009D3230"/>
    <w:rsid w:val="009D36E5"/>
    <w:rsid w:val="009D49E4"/>
    <w:rsid w:val="009D4A99"/>
    <w:rsid w:val="009D4F61"/>
    <w:rsid w:val="009D5F0F"/>
    <w:rsid w:val="009D785B"/>
    <w:rsid w:val="009E0768"/>
    <w:rsid w:val="009E0F59"/>
    <w:rsid w:val="009E1574"/>
    <w:rsid w:val="009E74EC"/>
    <w:rsid w:val="009E7B4D"/>
    <w:rsid w:val="009F0AA4"/>
    <w:rsid w:val="009F0BFB"/>
    <w:rsid w:val="009F21E6"/>
    <w:rsid w:val="009F782F"/>
    <w:rsid w:val="009F7855"/>
    <w:rsid w:val="00A02881"/>
    <w:rsid w:val="00A030B6"/>
    <w:rsid w:val="00A045E2"/>
    <w:rsid w:val="00A05001"/>
    <w:rsid w:val="00A05074"/>
    <w:rsid w:val="00A078FF"/>
    <w:rsid w:val="00A1093C"/>
    <w:rsid w:val="00A127ED"/>
    <w:rsid w:val="00A14481"/>
    <w:rsid w:val="00A15F45"/>
    <w:rsid w:val="00A20104"/>
    <w:rsid w:val="00A2012E"/>
    <w:rsid w:val="00A20E2B"/>
    <w:rsid w:val="00A214ED"/>
    <w:rsid w:val="00A228C0"/>
    <w:rsid w:val="00A23B32"/>
    <w:rsid w:val="00A23B6D"/>
    <w:rsid w:val="00A259C9"/>
    <w:rsid w:val="00A25AF9"/>
    <w:rsid w:val="00A271C7"/>
    <w:rsid w:val="00A276F5"/>
    <w:rsid w:val="00A30C32"/>
    <w:rsid w:val="00A3208B"/>
    <w:rsid w:val="00A34529"/>
    <w:rsid w:val="00A413B2"/>
    <w:rsid w:val="00A41ABB"/>
    <w:rsid w:val="00A43BAA"/>
    <w:rsid w:val="00A44F59"/>
    <w:rsid w:val="00A45312"/>
    <w:rsid w:val="00A45722"/>
    <w:rsid w:val="00A46B4F"/>
    <w:rsid w:val="00A47FDA"/>
    <w:rsid w:val="00A50BF5"/>
    <w:rsid w:val="00A50CB6"/>
    <w:rsid w:val="00A51AE5"/>
    <w:rsid w:val="00A53C4B"/>
    <w:rsid w:val="00A54E12"/>
    <w:rsid w:val="00A55113"/>
    <w:rsid w:val="00A55498"/>
    <w:rsid w:val="00A579C5"/>
    <w:rsid w:val="00A6009E"/>
    <w:rsid w:val="00A60EB9"/>
    <w:rsid w:val="00A62884"/>
    <w:rsid w:val="00A63F6D"/>
    <w:rsid w:val="00A65F55"/>
    <w:rsid w:val="00A65F57"/>
    <w:rsid w:val="00A660F9"/>
    <w:rsid w:val="00A7307F"/>
    <w:rsid w:val="00A730F7"/>
    <w:rsid w:val="00A7576D"/>
    <w:rsid w:val="00A80C80"/>
    <w:rsid w:val="00A821FE"/>
    <w:rsid w:val="00A83385"/>
    <w:rsid w:val="00A83F35"/>
    <w:rsid w:val="00A843D4"/>
    <w:rsid w:val="00A87078"/>
    <w:rsid w:val="00A87ABE"/>
    <w:rsid w:val="00A94185"/>
    <w:rsid w:val="00A9477A"/>
    <w:rsid w:val="00A94ADF"/>
    <w:rsid w:val="00A9657B"/>
    <w:rsid w:val="00AA00B0"/>
    <w:rsid w:val="00AA21AA"/>
    <w:rsid w:val="00AA22DE"/>
    <w:rsid w:val="00AA4D8C"/>
    <w:rsid w:val="00AA5DFC"/>
    <w:rsid w:val="00AA6F53"/>
    <w:rsid w:val="00AB1AB7"/>
    <w:rsid w:val="00AB2670"/>
    <w:rsid w:val="00AB3141"/>
    <w:rsid w:val="00AB37EC"/>
    <w:rsid w:val="00AB4526"/>
    <w:rsid w:val="00AB54A5"/>
    <w:rsid w:val="00AB5683"/>
    <w:rsid w:val="00AB57D0"/>
    <w:rsid w:val="00AB5BAD"/>
    <w:rsid w:val="00AB60AC"/>
    <w:rsid w:val="00AB739B"/>
    <w:rsid w:val="00AC0106"/>
    <w:rsid w:val="00AD473A"/>
    <w:rsid w:val="00AD6D49"/>
    <w:rsid w:val="00AE021E"/>
    <w:rsid w:val="00AE03D1"/>
    <w:rsid w:val="00AE1145"/>
    <w:rsid w:val="00AE1744"/>
    <w:rsid w:val="00AE364F"/>
    <w:rsid w:val="00AE54F6"/>
    <w:rsid w:val="00AE6CE0"/>
    <w:rsid w:val="00AF0385"/>
    <w:rsid w:val="00AF424C"/>
    <w:rsid w:val="00AF54D6"/>
    <w:rsid w:val="00AF57D0"/>
    <w:rsid w:val="00AF5F37"/>
    <w:rsid w:val="00AF6121"/>
    <w:rsid w:val="00AF67C1"/>
    <w:rsid w:val="00AF6863"/>
    <w:rsid w:val="00AF7E0F"/>
    <w:rsid w:val="00B01360"/>
    <w:rsid w:val="00B013C4"/>
    <w:rsid w:val="00B030FC"/>
    <w:rsid w:val="00B03955"/>
    <w:rsid w:val="00B1000C"/>
    <w:rsid w:val="00B1027F"/>
    <w:rsid w:val="00B1096C"/>
    <w:rsid w:val="00B117AF"/>
    <w:rsid w:val="00B118EC"/>
    <w:rsid w:val="00B1286E"/>
    <w:rsid w:val="00B12EB3"/>
    <w:rsid w:val="00B1455A"/>
    <w:rsid w:val="00B222F0"/>
    <w:rsid w:val="00B23154"/>
    <w:rsid w:val="00B23AC9"/>
    <w:rsid w:val="00B241FD"/>
    <w:rsid w:val="00B24207"/>
    <w:rsid w:val="00B2667D"/>
    <w:rsid w:val="00B26943"/>
    <w:rsid w:val="00B26AEB"/>
    <w:rsid w:val="00B2754A"/>
    <w:rsid w:val="00B311A4"/>
    <w:rsid w:val="00B34110"/>
    <w:rsid w:val="00B41208"/>
    <w:rsid w:val="00B41B88"/>
    <w:rsid w:val="00B4681E"/>
    <w:rsid w:val="00B51900"/>
    <w:rsid w:val="00B51D00"/>
    <w:rsid w:val="00B5312E"/>
    <w:rsid w:val="00B55EB2"/>
    <w:rsid w:val="00B562D9"/>
    <w:rsid w:val="00B57DF5"/>
    <w:rsid w:val="00B6158B"/>
    <w:rsid w:val="00B64BD4"/>
    <w:rsid w:val="00B655B1"/>
    <w:rsid w:val="00B666B2"/>
    <w:rsid w:val="00B70707"/>
    <w:rsid w:val="00B816D1"/>
    <w:rsid w:val="00B824EA"/>
    <w:rsid w:val="00B842D6"/>
    <w:rsid w:val="00B851D2"/>
    <w:rsid w:val="00B865E0"/>
    <w:rsid w:val="00B9117B"/>
    <w:rsid w:val="00B929E6"/>
    <w:rsid w:val="00B94DB0"/>
    <w:rsid w:val="00B96385"/>
    <w:rsid w:val="00B97A36"/>
    <w:rsid w:val="00BA00E1"/>
    <w:rsid w:val="00BA4585"/>
    <w:rsid w:val="00BA5462"/>
    <w:rsid w:val="00BA5A82"/>
    <w:rsid w:val="00BB249D"/>
    <w:rsid w:val="00BB5B31"/>
    <w:rsid w:val="00BC1E8B"/>
    <w:rsid w:val="00BC7406"/>
    <w:rsid w:val="00BD2436"/>
    <w:rsid w:val="00BD49E9"/>
    <w:rsid w:val="00BD4EFF"/>
    <w:rsid w:val="00BD60F1"/>
    <w:rsid w:val="00BD67FD"/>
    <w:rsid w:val="00BD73CA"/>
    <w:rsid w:val="00BE0B3D"/>
    <w:rsid w:val="00BE1116"/>
    <w:rsid w:val="00BE3ED6"/>
    <w:rsid w:val="00BE6496"/>
    <w:rsid w:val="00BE650B"/>
    <w:rsid w:val="00BE7C4D"/>
    <w:rsid w:val="00BF1573"/>
    <w:rsid w:val="00BF4472"/>
    <w:rsid w:val="00BF6CF4"/>
    <w:rsid w:val="00BF6E02"/>
    <w:rsid w:val="00C03E09"/>
    <w:rsid w:val="00C05026"/>
    <w:rsid w:val="00C10625"/>
    <w:rsid w:val="00C1149C"/>
    <w:rsid w:val="00C15E62"/>
    <w:rsid w:val="00C171CB"/>
    <w:rsid w:val="00C178F2"/>
    <w:rsid w:val="00C2452E"/>
    <w:rsid w:val="00C262F5"/>
    <w:rsid w:val="00C308E2"/>
    <w:rsid w:val="00C31B0F"/>
    <w:rsid w:val="00C32825"/>
    <w:rsid w:val="00C32E20"/>
    <w:rsid w:val="00C34A63"/>
    <w:rsid w:val="00C357B0"/>
    <w:rsid w:val="00C36AD7"/>
    <w:rsid w:val="00C4046E"/>
    <w:rsid w:val="00C40C4E"/>
    <w:rsid w:val="00C439C7"/>
    <w:rsid w:val="00C44584"/>
    <w:rsid w:val="00C453A2"/>
    <w:rsid w:val="00C47345"/>
    <w:rsid w:val="00C47355"/>
    <w:rsid w:val="00C50BB7"/>
    <w:rsid w:val="00C54D8F"/>
    <w:rsid w:val="00C607A9"/>
    <w:rsid w:val="00C624CB"/>
    <w:rsid w:val="00C634FC"/>
    <w:rsid w:val="00C65499"/>
    <w:rsid w:val="00C66814"/>
    <w:rsid w:val="00C72DA9"/>
    <w:rsid w:val="00C736C0"/>
    <w:rsid w:val="00C7379D"/>
    <w:rsid w:val="00C73A75"/>
    <w:rsid w:val="00C73FEB"/>
    <w:rsid w:val="00C7518D"/>
    <w:rsid w:val="00C76627"/>
    <w:rsid w:val="00C766D3"/>
    <w:rsid w:val="00C77FB6"/>
    <w:rsid w:val="00C83A4A"/>
    <w:rsid w:val="00C842B0"/>
    <w:rsid w:val="00C86B50"/>
    <w:rsid w:val="00C86E3A"/>
    <w:rsid w:val="00C92867"/>
    <w:rsid w:val="00C930BD"/>
    <w:rsid w:val="00C947C2"/>
    <w:rsid w:val="00C95025"/>
    <w:rsid w:val="00C95529"/>
    <w:rsid w:val="00CA54EF"/>
    <w:rsid w:val="00CA6915"/>
    <w:rsid w:val="00CA71F0"/>
    <w:rsid w:val="00CB2E5A"/>
    <w:rsid w:val="00CB3AEE"/>
    <w:rsid w:val="00CB610B"/>
    <w:rsid w:val="00CB67F0"/>
    <w:rsid w:val="00CB779C"/>
    <w:rsid w:val="00CC0122"/>
    <w:rsid w:val="00CC0DE0"/>
    <w:rsid w:val="00CC2011"/>
    <w:rsid w:val="00CC231A"/>
    <w:rsid w:val="00CC3978"/>
    <w:rsid w:val="00CC3C16"/>
    <w:rsid w:val="00CC525F"/>
    <w:rsid w:val="00CC68FE"/>
    <w:rsid w:val="00CC69FE"/>
    <w:rsid w:val="00CC730E"/>
    <w:rsid w:val="00CC745B"/>
    <w:rsid w:val="00CD1B47"/>
    <w:rsid w:val="00CD234C"/>
    <w:rsid w:val="00CD2920"/>
    <w:rsid w:val="00CD481C"/>
    <w:rsid w:val="00CD6114"/>
    <w:rsid w:val="00CD6F61"/>
    <w:rsid w:val="00CE07DF"/>
    <w:rsid w:val="00CE1498"/>
    <w:rsid w:val="00CE43DB"/>
    <w:rsid w:val="00CF0360"/>
    <w:rsid w:val="00CF6620"/>
    <w:rsid w:val="00CF6995"/>
    <w:rsid w:val="00D00A05"/>
    <w:rsid w:val="00D01D49"/>
    <w:rsid w:val="00D03B51"/>
    <w:rsid w:val="00D049B1"/>
    <w:rsid w:val="00D06EA2"/>
    <w:rsid w:val="00D10A68"/>
    <w:rsid w:val="00D1132B"/>
    <w:rsid w:val="00D11633"/>
    <w:rsid w:val="00D13203"/>
    <w:rsid w:val="00D13A0F"/>
    <w:rsid w:val="00D14946"/>
    <w:rsid w:val="00D20B04"/>
    <w:rsid w:val="00D2104D"/>
    <w:rsid w:val="00D21EF7"/>
    <w:rsid w:val="00D23C4A"/>
    <w:rsid w:val="00D2400B"/>
    <w:rsid w:val="00D24398"/>
    <w:rsid w:val="00D25E77"/>
    <w:rsid w:val="00D26545"/>
    <w:rsid w:val="00D279E9"/>
    <w:rsid w:val="00D311F3"/>
    <w:rsid w:val="00D31FDC"/>
    <w:rsid w:val="00D3211B"/>
    <w:rsid w:val="00D35CC8"/>
    <w:rsid w:val="00D366BC"/>
    <w:rsid w:val="00D36792"/>
    <w:rsid w:val="00D37294"/>
    <w:rsid w:val="00D37AB1"/>
    <w:rsid w:val="00D40A94"/>
    <w:rsid w:val="00D42845"/>
    <w:rsid w:val="00D445E3"/>
    <w:rsid w:val="00D4509B"/>
    <w:rsid w:val="00D4599A"/>
    <w:rsid w:val="00D468D7"/>
    <w:rsid w:val="00D46F0A"/>
    <w:rsid w:val="00D52381"/>
    <w:rsid w:val="00D54966"/>
    <w:rsid w:val="00D55D51"/>
    <w:rsid w:val="00D56418"/>
    <w:rsid w:val="00D56E11"/>
    <w:rsid w:val="00D61802"/>
    <w:rsid w:val="00D61BBA"/>
    <w:rsid w:val="00D62EEC"/>
    <w:rsid w:val="00D632AF"/>
    <w:rsid w:val="00D66100"/>
    <w:rsid w:val="00D666B6"/>
    <w:rsid w:val="00D667B1"/>
    <w:rsid w:val="00D72161"/>
    <w:rsid w:val="00D725FE"/>
    <w:rsid w:val="00D73E93"/>
    <w:rsid w:val="00D74099"/>
    <w:rsid w:val="00D76ED0"/>
    <w:rsid w:val="00D77A11"/>
    <w:rsid w:val="00D81182"/>
    <w:rsid w:val="00D8176C"/>
    <w:rsid w:val="00D83256"/>
    <w:rsid w:val="00D83D23"/>
    <w:rsid w:val="00D857D7"/>
    <w:rsid w:val="00D85E1A"/>
    <w:rsid w:val="00D86085"/>
    <w:rsid w:val="00D864E4"/>
    <w:rsid w:val="00D870D7"/>
    <w:rsid w:val="00D90BA2"/>
    <w:rsid w:val="00D916E9"/>
    <w:rsid w:val="00D924C3"/>
    <w:rsid w:val="00D93111"/>
    <w:rsid w:val="00D943AD"/>
    <w:rsid w:val="00D954B8"/>
    <w:rsid w:val="00D956B2"/>
    <w:rsid w:val="00D95779"/>
    <w:rsid w:val="00D95A41"/>
    <w:rsid w:val="00D964FD"/>
    <w:rsid w:val="00D967EB"/>
    <w:rsid w:val="00D96D1B"/>
    <w:rsid w:val="00D96FCC"/>
    <w:rsid w:val="00D971BD"/>
    <w:rsid w:val="00DA015A"/>
    <w:rsid w:val="00DA32DA"/>
    <w:rsid w:val="00DA4A19"/>
    <w:rsid w:val="00DA5A1C"/>
    <w:rsid w:val="00DA6C86"/>
    <w:rsid w:val="00DB0498"/>
    <w:rsid w:val="00DB05EF"/>
    <w:rsid w:val="00DB1D2F"/>
    <w:rsid w:val="00DB315A"/>
    <w:rsid w:val="00DB37E2"/>
    <w:rsid w:val="00DB56E0"/>
    <w:rsid w:val="00DB5C9D"/>
    <w:rsid w:val="00DB67D4"/>
    <w:rsid w:val="00DC023D"/>
    <w:rsid w:val="00DC0370"/>
    <w:rsid w:val="00DC0895"/>
    <w:rsid w:val="00DC0BE8"/>
    <w:rsid w:val="00DC1273"/>
    <w:rsid w:val="00DD3C6E"/>
    <w:rsid w:val="00DD4142"/>
    <w:rsid w:val="00DD4356"/>
    <w:rsid w:val="00DD47C8"/>
    <w:rsid w:val="00DD49B6"/>
    <w:rsid w:val="00DD58BD"/>
    <w:rsid w:val="00DD5CBE"/>
    <w:rsid w:val="00DD7956"/>
    <w:rsid w:val="00DD7D20"/>
    <w:rsid w:val="00DE002F"/>
    <w:rsid w:val="00DE0CB1"/>
    <w:rsid w:val="00DE3EE8"/>
    <w:rsid w:val="00DE4554"/>
    <w:rsid w:val="00DE5F35"/>
    <w:rsid w:val="00DE6036"/>
    <w:rsid w:val="00DE6261"/>
    <w:rsid w:val="00DE6610"/>
    <w:rsid w:val="00DE69D0"/>
    <w:rsid w:val="00DF0641"/>
    <w:rsid w:val="00DF136D"/>
    <w:rsid w:val="00DF300E"/>
    <w:rsid w:val="00DF5521"/>
    <w:rsid w:val="00DF6772"/>
    <w:rsid w:val="00E03E5A"/>
    <w:rsid w:val="00E0686D"/>
    <w:rsid w:val="00E10BC1"/>
    <w:rsid w:val="00E11B6B"/>
    <w:rsid w:val="00E120A4"/>
    <w:rsid w:val="00E137C0"/>
    <w:rsid w:val="00E141B2"/>
    <w:rsid w:val="00E163C4"/>
    <w:rsid w:val="00E208B9"/>
    <w:rsid w:val="00E2316B"/>
    <w:rsid w:val="00E23693"/>
    <w:rsid w:val="00E238E6"/>
    <w:rsid w:val="00E23F98"/>
    <w:rsid w:val="00E26B5A"/>
    <w:rsid w:val="00E34FAB"/>
    <w:rsid w:val="00E404DB"/>
    <w:rsid w:val="00E42794"/>
    <w:rsid w:val="00E42943"/>
    <w:rsid w:val="00E43215"/>
    <w:rsid w:val="00E43E40"/>
    <w:rsid w:val="00E52099"/>
    <w:rsid w:val="00E52FB5"/>
    <w:rsid w:val="00E53113"/>
    <w:rsid w:val="00E544F6"/>
    <w:rsid w:val="00E57BD0"/>
    <w:rsid w:val="00E57FCE"/>
    <w:rsid w:val="00E60378"/>
    <w:rsid w:val="00E60E6E"/>
    <w:rsid w:val="00E64A1D"/>
    <w:rsid w:val="00E64BA4"/>
    <w:rsid w:val="00E66012"/>
    <w:rsid w:val="00E70959"/>
    <w:rsid w:val="00E71B57"/>
    <w:rsid w:val="00E72962"/>
    <w:rsid w:val="00E72CE0"/>
    <w:rsid w:val="00E74E50"/>
    <w:rsid w:val="00E80A81"/>
    <w:rsid w:val="00E80D3E"/>
    <w:rsid w:val="00E82DCB"/>
    <w:rsid w:val="00E84781"/>
    <w:rsid w:val="00E85D3A"/>
    <w:rsid w:val="00E86166"/>
    <w:rsid w:val="00E862B5"/>
    <w:rsid w:val="00E8633C"/>
    <w:rsid w:val="00E86518"/>
    <w:rsid w:val="00E8652F"/>
    <w:rsid w:val="00E877B0"/>
    <w:rsid w:val="00E87833"/>
    <w:rsid w:val="00E96220"/>
    <w:rsid w:val="00EA09C1"/>
    <w:rsid w:val="00EA1923"/>
    <w:rsid w:val="00EA2C51"/>
    <w:rsid w:val="00EA365B"/>
    <w:rsid w:val="00EA6DDF"/>
    <w:rsid w:val="00EB1395"/>
    <w:rsid w:val="00EB1C58"/>
    <w:rsid w:val="00EB3C78"/>
    <w:rsid w:val="00EB53A3"/>
    <w:rsid w:val="00EB5637"/>
    <w:rsid w:val="00EC0035"/>
    <w:rsid w:val="00EC100E"/>
    <w:rsid w:val="00EC574E"/>
    <w:rsid w:val="00EC5E31"/>
    <w:rsid w:val="00ED0552"/>
    <w:rsid w:val="00ED0CC5"/>
    <w:rsid w:val="00ED1833"/>
    <w:rsid w:val="00ED35E9"/>
    <w:rsid w:val="00ED4614"/>
    <w:rsid w:val="00ED53B3"/>
    <w:rsid w:val="00ED5EB3"/>
    <w:rsid w:val="00ED7D50"/>
    <w:rsid w:val="00EE1725"/>
    <w:rsid w:val="00EE1D30"/>
    <w:rsid w:val="00EE24A7"/>
    <w:rsid w:val="00EE2F22"/>
    <w:rsid w:val="00EE3CB5"/>
    <w:rsid w:val="00EE6AAE"/>
    <w:rsid w:val="00EE6D99"/>
    <w:rsid w:val="00EE7B79"/>
    <w:rsid w:val="00EF0F81"/>
    <w:rsid w:val="00EF256B"/>
    <w:rsid w:val="00EF324E"/>
    <w:rsid w:val="00EF5AAA"/>
    <w:rsid w:val="00EF7928"/>
    <w:rsid w:val="00EF7BBB"/>
    <w:rsid w:val="00F01460"/>
    <w:rsid w:val="00F0244D"/>
    <w:rsid w:val="00F02C8F"/>
    <w:rsid w:val="00F0381F"/>
    <w:rsid w:val="00F0451B"/>
    <w:rsid w:val="00F04563"/>
    <w:rsid w:val="00F05546"/>
    <w:rsid w:val="00F0661D"/>
    <w:rsid w:val="00F10FAF"/>
    <w:rsid w:val="00F1174D"/>
    <w:rsid w:val="00F12A40"/>
    <w:rsid w:val="00F143AE"/>
    <w:rsid w:val="00F1495F"/>
    <w:rsid w:val="00F14D8E"/>
    <w:rsid w:val="00F15718"/>
    <w:rsid w:val="00F16B06"/>
    <w:rsid w:val="00F16D0A"/>
    <w:rsid w:val="00F16F85"/>
    <w:rsid w:val="00F17392"/>
    <w:rsid w:val="00F17467"/>
    <w:rsid w:val="00F24592"/>
    <w:rsid w:val="00F2490D"/>
    <w:rsid w:val="00F30665"/>
    <w:rsid w:val="00F33780"/>
    <w:rsid w:val="00F34CB9"/>
    <w:rsid w:val="00F372C9"/>
    <w:rsid w:val="00F37348"/>
    <w:rsid w:val="00F4186D"/>
    <w:rsid w:val="00F437F3"/>
    <w:rsid w:val="00F43CFB"/>
    <w:rsid w:val="00F441A9"/>
    <w:rsid w:val="00F44973"/>
    <w:rsid w:val="00F46D80"/>
    <w:rsid w:val="00F51725"/>
    <w:rsid w:val="00F5288B"/>
    <w:rsid w:val="00F52DEB"/>
    <w:rsid w:val="00F5616A"/>
    <w:rsid w:val="00F561D7"/>
    <w:rsid w:val="00F56EA8"/>
    <w:rsid w:val="00F57E68"/>
    <w:rsid w:val="00F6079A"/>
    <w:rsid w:val="00F611EC"/>
    <w:rsid w:val="00F61F43"/>
    <w:rsid w:val="00F62F8F"/>
    <w:rsid w:val="00F637F1"/>
    <w:rsid w:val="00F70A14"/>
    <w:rsid w:val="00F73424"/>
    <w:rsid w:val="00F76B7F"/>
    <w:rsid w:val="00F7764D"/>
    <w:rsid w:val="00F779B3"/>
    <w:rsid w:val="00F8093F"/>
    <w:rsid w:val="00F80CE7"/>
    <w:rsid w:val="00F81E8D"/>
    <w:rsid w:val="00F8287F"/>
    <w:rsid w:val="00F828BB"/>
    <w:rsid w:val="00F84618"/>
    <w:rsid w:val="00F853CC"/>
    <w:rsid w:val="00F87816"/>
    <w:rsid w:val="00F9141E"/>
    <w:rsid w:val="00F92593"/>
    <w:rsid w:val="00F9283B"/>
    <w:rsid w:val="00F92F50"/>
    <w:rsid w:val="00F943FB"/>
    <w:rsid w:val="00F9471B"/>
    <w:rsid w:val="00F94EEA"/>
    <w:rsid w:val="00F95181"/>
    <w:rsid w:val="00F977B1"/>
    <w:rsid w:val="00FA2F18"/>
    <w:rsid w:val="00FA5E4C"/>
    <w:rsid w:val="00FA679D"/>
    <w:rsid w:val="00FA7EA5"/>
    <w:rsid w:val="00FB0A89"/>
    <w:rsid w:val="00FB6DF9"/>
    <w:rsid w:val="00FC02B0"/>
    <w:rsid w:val="00FC0FAB"/>
    <w:rsid w:val="00FC183C"/>
    <w:rsid w:val="00FC5340"/>
    <w:rsid w:val="00FC5432"/>
    <w:rsid w:val="00FC6921"/>
    <w:rsid w:val="00FD0426"/>
    <w:rsid w:val="00FD163E"/>
    <w:rsid w:val="00FD2B16"/>
    <w:rsid w:val="00FD2BA3"/>
    <w:rsid w:val="00FD37A7"/>
    <w:rsid w:val="00FE114D"/>
    <w:rsid w:val="00FE1606"/>
    <w:rsid w:val="00FE1932"/>
    <w:rsid w:val="00FE1E37"/>
    <w:rsid w:val="00FE2432"/>
    <w:rsid w:val="00FE2766"/>
    <w:rsid w:val="00FE3E56"/>
    <w:rsid w:val="00FE478C"/>
    <w:rsid w:val="00FE75D9"/>
    <w:rsid w:val="00FF2742"/>
    <w:rsid w:val="00FF4908"/>
    <w:rsid w:val="00FF5875"/>
    <w:rsid w:val="00FF7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EE24DAE"/>
  <w15:docId w15:val="{BA0DCF5D-6835-4DA1-8047-23276AFA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F4"/>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3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6E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916E9"/>
    <w:rPr>
      <w:rFonts w:cstheme="minorBidi"/>
      <w:color w:val="auto"/>
    </w:rPr>
  </w:style>
  <w:style w:type="paragraph" w:customStyle="1" w:styleId="CM3">
    <w:name w:val="CM3"/>
    <w:basedOn w:val="Default"/>
    <w:next w:val="Default"/>
    <w:uiPriority w:val="99"/>
    <w:rsid w:val="00D916E9"/>
    <w:rPr>
      <w:rFonts w:cstheme="minorBidi"/>
      <w:color w:val="auto"/>
    </w:rPr>
  </w:style>
  <w:style w:type="paragraph" w:customStyle="1" w:styleId="Daaarnumuru">
    <w:name w:val="Daļa ar numuru"/>
    <w:basedOn w:val="Normal"/>
    <w:qFormat/>
    <w:rsid w:val="008F707A"/>
    <w:pPr>
      <w:widowControl w:val="0"/>
      <w:tabs>
        <w:tab w:val="left" w:pos="1072"/>
        <w:tab w:val="left" w:pos="1418"/>
      </w:tabs>
      <w:adjustRightInd w:val="0"/>
      <w:spacing w:before="120" w:after="120" w:line="240" w:lineRule="auto"/>
      <w:jc w:val="both"/>
      <w:textAlignment w:val="baseline"/>
    </w:pPr>
    <w:rPr>
      <w:rFonts w:ascii="Times New Roman" w:eastAsia="Times New Roman" w:hAnsi="Times New Roman" w:cs="Times New Roman"/>
      <w:sz w:val="28"/>
      <w:szCs w:val="28"/>
    </w:rPr>
  </w:style>
  <w:style w:type="character" w:customStyle="1" w:styleId="FontStyle11">
    <w:name w:val="Font Style11"/>
    <w:uiPriority w:val="99"/>
    <w:rsid w:val="00867954"/>
    <w:rPr>
      <w:rFonts w:ascii="Times New Roman" w:hAnsi="Times New Roman" w:cs="Times New Roman" w:hint="default"/>
      <w:sz w:val="26"/>
      <w:szCs w:val="26"/>
    </w:rPr>
  </w:style>
  <w:style w:type="paragraph" w:styleId="NoSpacing">
    <w:name w:val="No Spacing"/>
    <w:uiPriority w:val="1"/>
    <w:qFormat/>
    <w:rsid w:val="0042539D"/>
    <w:pPr>
      <w:spacing w:after="0" w:line="240" w:lineRule="auto"/>
    </w:pPr>
    <w:rPr>
      <w:rFonts w:ascii="Times New Roman" w:eastAsia="Times New Roman" w:hAnsi="Times New Roman" w:cs="Times New Roman"/>
      <w:sz w:val="24"/>
      <w:szCs w:val="24"/>
      <w:lang w:eastAsia="en-US"/>
    </w:rPr>
  </w:style>
  <w:style w:type="paragraph" w:styleId="PlainText">
    <w:name w:val="Plain Text"/>
    <w:basedOn w:val="Normal"/>
    <w:link w:val="PlainTextChar"/>
    <w:uiPriority w:val="99"/>
    <w:semiHidden/>
    <w:unhideWhenUsed/>
    <w:rsid w:val="007469AE"/>
    <w:pPr>
      <w:spacing w:after="0" w:line="240" w:lineRule="auto"/>
    </w:pPr>
    <w:rPr>
      <w:rFonts w:ascii="Calibri" w:eastAsiaTheme="minorHAnsi" w:hAnsi="Calibri"/>
      <w:color w:val="1F497D"/>
      <w:szCs w:val="21"/>
      <w:lang w:eastAsia="en-US"/>
    </w:rPr>
  </w:style>
  <w:style w:type="character" w:customStyle="1" w:styleId="PlainTextChar">
    <w:name w:val="Plain Text Char"/>
    <w:basedOn w:val="DefaultParagraphFont"/>
    <w:link w:val="PlainText"/>
    <w:uiPriority w:val="99"/>
    <w:semiHidden/>
    <w:rsid w:val="007469AE"/>
    <w:rPr>
      <w:rFonts w:ascii="Calibri" w:eastAsiaTheme="minorHAnsi" w:hAnsi="Calibri"/>
      <w:color w:val="1F497D"/>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7234">
      <w:bodyDiv w:val="1"/>
      <w:marLeft w:val="0"/>
      <w:marRight w:val="0"/>
      <w:marTop w:val="0"/>
      <w:marBottom w:val="0"/>
      <w:divBdr>
        <w:top w:val="none" w:sz="0" w:space="0" w:color="auto"/>
        <w:left w:val="none" w:sz="0" w:space="0" w:color="auto"/>
        <w:bottom w:val="none" w:sz="0" w:space="0" w:color="auto"/>
        <w:right w:val="none" w:sz="0" w:space="0" w:color="auto"/>
      </w:divBdr>
      <w:divsChild>
        <w:div w:id="1664508484">
          <w:marLeft w:val="0"/>
          <w:marRight w:val="0"/>
          <w:marTop w:val="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0"/>
                  <w:divBdr>
                    <w:top w:val="none" w:sz="0" w:space="0" w:color="auto"/>
                    <w:left w:val="none" w:sz="0" w:space="0" w:color="auto"/>
                    <w:bottom w:val="none" w:sz="0" w:space="0" w:color="auto"/>
                    <w:right w:val="none" w:sz="0" w:space="0" w:color="auto"/>
                  </w:divBdr>
                  <w:divsChild>
                    <w:div w:id="1587494212">
                      <w:marLeft w:val="0"/>
                      <w:marRight w:val="0"/>
                      <w:marTop w:val="0"/>
                      <w:marBottom w:val="0"/>
                      <w:divBdr>
                        <w:top w:val="none" w:sz="0" w:space="0" w:color="auto"/>
                        <w:left w:val="none" w:sz="0" w:space="0" w:color="auto"/>
                        <w:bottom w:val="none" w:sz="0" w:space="0" w:color="auto"/>
                        <w:right w:val="none" w:sz="0" w:space="0" w:color="auto"/>
                      </w:divBdr>
                      <w:divsChild>
                        <w:div w:id="950624563">
                          <w:marLeft w:val="0"/>
                          <w:marRight w:val="0"/>
                          <w:marTop w:val="0"/>
                          <w:marBottom w:val="0"/>
                          <w:divBdr>
                            <w:top w:val="none" w:sz="0" w:space="0" w:color="auto"/>
                            <w:left w:val="none" w:sz="0" w:space="0" w:color="auto"/>
                            <w:bottom w:val="none" w:sz="0" w:space="0" w:color="auto"/>
                            <w:right w:val="none" w:sz="0" w:space="0" w:color="auto"/>
                          </w:divBdr>
                          <w:divsChild>
                            <w:div w:id="464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13355">
      <w:bodyDiv w:val="1"/>
      <w:marLeft w:val="0"/>
      <w:marRight w:val="0"/>
      <w:marTop w:val="0"/>
      <w:marBottom w:val="0"/>
      <w:divBdr>
        <w:top w:val="none" w:sz="0" w:space="0" w:color="auto"/>
        <w:left w:val="none" w:sz="0" w:space="0" w:color="auto"/>
        <w:bottom w:val="none" w:sz="0" w:space="0" w:color="auto"/>
        <w:right w:val="none" w:sz="0" w:space="0" w:color="auto"/>
      </w:divBdr>
    </w:div>
    <w:div w:id="154419605">
      <w:bodyDiv w:val="1"/>
      <w:marLeft w:val="0"/>
      <w:marRight w:val="0"/>
      <w:marTop w:val="0"/>
      <w:marBottom w:val="0"/>
      <w:divBdr>
        <w:top w:val="none" w:sz="0" w:space="0" w:color="auto"/>
        <w:left w:val="none" w:sz="0" w:space="0" w:color="auto"/>
        <w:bottom w:val="none" w:sz="0" w:space="0" w:color="auto"/>
        <w:right w:val="none" w:sz="0" w:space="0" w:color="auto"/>
      </w:divBdr>
    </w:div>
    <w:div w:id="210769822">
      <w:bodyDiv w:val="1"/>
      <w:marLeft w:val="0"/>
      <w:marRight w:val="0"/>
      <w:marTop w:val="0"/>
      <w:marBottom w:val="0"/>
      <w:divBdr>
        <w:top w:val="none" w:sz="0" w:space="0" w:color="auto"/>
        <w:left w:val="none" w:sz="0" w:space="0" w:color="auto"/>
        <w:bottom w:val="none" w:sz="0" w:space="0" w:color="auto"/>
        <w:right w:val="none" w:sz="0" w:space="0" w:color="auto"/>
      </w:divBdr>
      <w:divsChild>
        <w:div w:id="1491673160">
          <w:marLeft w:val="0"/>
          <w:marRight w:val="0"/>
          <w:marTop w:val="0"/>
          <w:marBottom w:val="0"/>
          <w:divBdr>
            <w:top w:val="none" w:sz="0" w:space="0" w:color="auto"/>
            <w:left w:val="none" w:sz="0" w:space="0" w:color="auto"/>
            <w:bottom w:val="none" w:sz="0" w:space="0" w:color="auto"/>
            <w:right w:val="none" w:sz="0" w:space="0" w:color="auto"/>
          </w:divBdr>
          <w:divsChild>
            <w:div w:id="477260930">
              <w:marLeft w:val="0"/>
              <w:marRight w:val="0"/>
              <w:marTop w:val="0"/>
              <w:marBottom w:val="0"/>
              <w:divBdr>
                <w:top w:val="none" w:sz="0" w:space="0" w:color="auto"/>
                <w:left w:val="none" w:sz="0" w:space="0" w:color="auto"/>
                <w:bottom w:val="none" w:sz="0" w:space="0" w:color="auto"/>
                <w:right w:val="none" w:sz="0" w:space="0" w:color="auto"/>
              </w:divBdr>
              <w:divsChild>
                <w:div w:id="1700666200">
                  <w:marLeft w:val="0"/>
                  <w:marRight w:val="0"/>
                  <w:marTop w:val="0"/>
                  <w:marBottom w:val="0"/>
                  <w:divBdr>
                    <w:top w:val="none" w:sz="0" w:space="0" w:color="auto"/>
                    <w:left w:val="none" w:sz="0" w:space="0" w:color="auto"/>
                    <w:bottom w:val="none" w:sz="0" w:space="0" w:color="auto"/>
                    <w:right w:val="none" w:sz="0" w:space="0" w:color="auto"/>
                  </w:divBdr>
                  <w:divsChild>
                    <w:div w:id="118306015">
                      <w:marLeft w:val="0"/>
                      <w:marRight w:val="0"/>
                      <w:marTop w:val="0"/>
                      <w:marBottom w:val="0"/>
                      <w:divBdr>
                        <w:top w:val="none" w:sz="0" w:space="0" w:color="auto"/>
                        <w:left w:val="none" w:sz="0" w:space="0" w:color="auto"/>
                        <w:bottom w:val="none" w:sz="0" w:space="0" w:color="auto"/>
                        <w:right w:val="none" w:sz="0" w:space="0" w:color="auto"/>
                      </w:divBdr>
                      <w:divsChild>
                        <w:div w:id="1877153305">
                          <w:marLeft w:val="0"/>
                          <w:marRight w:val="0"/>
                          <w:marTop w:val="0"/>
                          <w:marBottom w:val="0"/>
                          <w:divBdr>
                            <w:top w:val="none" w:sz="0" w:space="0" w:color="auto"/>
                            <w:left w:val="none" w:sz="0" w:space="0" w:color="auto"/>
                            <w:bottom w:val="none" w:sz="0" w:space="0" w:color="auto"/>
                            <w:right w:val="none" w:sz="0" w:space="0" w:color="auto"/>
                          </w:divBdr>
                          <w:divsChild>
                            <w:div w:id="1332640123">
                              <w:marLeft w:val="0"/>
                              <w:marRight w:val="0"/>
                              <w:marTop w:val="0"/>
                              <w:marBottom w:val="0"/>
                              <w:divBdr>
                                <w:top w:val="none" w:sz="0" w:space="0" w:color="auto"/>
                                <w:left w:val="none" w:sz="0" w:space="0" w:color="auto"/>
                                <w:bottom w:val="none" w:sz="0" w:space="0" w:color="auto"/>
                                <w:right w:val="none" w:sz="0" w:space="0" w:color="auto"/>
                              </w:divBdr>
                              <w:divsChild>
                                <w:div w:id="1813861461">
                                  <w:marLeft w:val="0"/>
                                  <w:marRight w:val="0"/>
                                  <w:marTop w:val="0"/>
                                  <w:marBottom w:val="0"/>
                                  <w:divBdr>
                                    <w:top w:val="none" w:sz="0" w:space="0" w:color="auto"/>
                                    <w:left w:val="none" w:sz="0" w:space="0" w:color="auto"/>
                                    <w:bottom w:val="none" w:sz="0" w:space="0" w:color="auto"/>
                                    <w:right w:val="none" w:sz="0" w:space="0" w:color="auto"/>
                                  </w:divBdr>
                                </w:div>
                              </w:divsChild>
                            </w:div>
                            <w:div w:id="1156267784">
                              <w:marLeft w:val="0"/>
                              <w:marRight w:val="0"/>
                              <w:marTop w:val="0"/>
                              <w:marBottom w:val="0"/>
                              <w:divBdr>
                                <w:top w:val="none" w:sz="0" w:space="0" w:color="auto"/>
                                <w:left w:val="none" w:sz="0" w:space="0" w:color="auto"/>
                                <w:bottom w:val="none" w:sz="0" w:space="0" w:color="auto"/>
                                <w:right w:val="none" w:sz="0" w:space="0" w:color="auto"/>
                              </w:divBdr>
                              <w:divsChild>
                                <w:div w:id="4048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740079">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697700971">
      <w:bodyDiv w:val="1"/>
      <w:marLeft w:val="0"/>
      <w:marRight w:val="0"/>
      <w:marTop w:val="0"/>
      <w:marBottom w:val="0"/>
      <w:divBdr>
        <w:top w:val="none" w:sz="0" w:space="0" w:color="auto"/>
        <w:left w:val="none" w:sz="0" w:space="0" w:color="auto"/>
        <w:bottom w:val="none" w:sz="0" w:space="0" w:color="auto"/>
        <w:right w:val="none" w:sz="0" w:space="0" w:color="auto"/>
      </w:divBdr>
      <w:divsChild>
        <w:div w:id="2010282334">
          <w:marLeft w:val="0"/>
          <w:marRight w:val="0"/>
          <w:marTop w:val="0"/>
          <w:marBottom w:val="0"/>
          <w:divBdr>
            <w:top w:val="none" w:sz="0" w:space="0" w:color="auto"/>
            <w:left w:val="none" w:sz="0" w:space="0" w:color="auto"/>
            <w:bottom w:val="none" w:sz="0" w:space="0" w:color="auto"/>
            <w:right w:val="none" w:sz="0" w:space="0" w:color="auto"/>
          </w:divBdr>
          <w:divsChild>
            <w:div w:id="18748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18308074">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48733116">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20079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ntija%20Ozola@f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ntija%20Frienberga@f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7</DKP>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82C207-165A-4319-97B9-16307A865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DB80BBC-4542-4F46-A742-D4A846E64D33}">
  <ds:schemaRefs>
    <ds:schemaRef ds:uri="http://schemas.microsoft.com/sharepoint/v3/contenttype/forms"/>
  </ds:schemaRefs>
</ds:datastoreItem>
</file>

<file path=customXml/itemProps3.xml><?xml version="1.0" encoding="utf-8"?>
<ds:datastoreItem xmlns:ds="http://schemas.openxmlformats.org/officeDocument/2006/customXml" ds:itemID="{7B87346C-0C43-4220-866D-05E3652FDA13}">
  <ds:schemaRefs>
    <ds:schemaRef ds:uri="http://www.w3.org/XML/1998/namespace"/>
    <ds:schemaRef ds:uri="http://purl.org/dc/elements/1.1/"/>
    <ds:schemaRef ds:uri="http://schemas.microsoft.com/office/2006/metadata/properties"/>
    <ds:schemaRef ds:uri="2e5bb04e-596e-45bd-9003-43ca78b1ba16"/>
    <ds:schemaRef ds:uri="http://schemas.microsoft.com/office/2006/documentManagement/types"/>
    <ds:schemaRef ds:uri="http://purl.org/dc/dcmityp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32882E29-C0BA-4371-8230-B2B60E4F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12</Pages>
  <Words>3214</Words>
  <Characters>22043</Characters>
  <Application>Microsoft Office Word</Application>
  <DocSecurity>0</DocSecurity>
  <Lines>801</Lines>
  <Paragraphs>260</Paragraphs>
  <ScaleCrop>false</ScaleCrop>
  <HeadingPairs>
    <vt:vector size="2" baseType="variant">
      <vt:variant>
        <vt:lpstr>Title</vt:lpstr>
      </vt:variant>
      <vt:variant>
        <vt:i4>1</vt:i4>
      </vt:variant>
    </vt:vector>
  </HeadingPairs>
  <TitlesOfParts>
    <vt:vector size="1" baseType="lpstr">
      <vt:lpstr>Likumprojekta „Grozījumi Pievienotās vērtības nodokļa likumā” sākotnējās ietekmes novērtējuma ziņojums (anotācija)</vt:lpstr>
    </vt:vector>
  </TitlesOfParts>
  <Company>FM</Company>
  <LinksUpToDate>false</LinksUpToDate>
  <CharactersWithSpaces>25056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Pievienotās vērtības nodokļa likumā” sākotnējās ietekmes novērtējuma ziņojums (anotācija)</dc:title>
  <dc:subject>Anotācija</dc:subject>
  <dc:creator>S.Frienberga, S.Ozola</dc:creator>
  <dc:description>tālr.: 67083849; e-pasts: Sintija Frienberga@fm.gov.lv
tālr.: 67095685; e-pasts: Sintija Ozola@fm.gov.lv</dc:description>
  <cp:lastModifiedBy>Vēvere Ilona</cp:lastModifiedBy>
  <cp:revision>14</cp:revision>
  <cp:lastPrinted>2015-09-08T08:08:00Z</cp:lastPrinted>
  <dcterms:created xsi:type="dcterms:W3CDTF">2015-09-07T14:55:00Z</dcterms:created>
  <dcterms:modified xsi:type="dcterms:W3CDTF">2015-09-08T08:08:00Z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