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BE8B3" w14:textId="77777777" w:rsidR="00455475" w:rsidRDefault="00455475" w:rsidP="006155B9">
      <w:pPr>
        <w:spacing w:line="240" w:lineRule="auto"/>
        <w:jc w:val="center"/>
        <w:rPr>
          <w:rFonts w:ascii="Times New Roman" w:hAnsi="Times New Roman" w:cs="Times New Roman"/>
          <w:b/>
          <w:sz w:val="24"/>
          <w:szCs w:val="24"/>
        </w:rPr>
      </w:pPr>
      <w:bookmarkStart w:id="0" w:name="_GoBack"/>
      <w:bookmarkEnd w:id="0"/>
    </w:p>
    <w:p w14:paraId="5EDF1D9D" w14:textId="646C34C2" w:rsidR="00184133" w:rsidRPr="00EB037E" w:rsidRDefault="007A2DC5" w:rsidP="006155B9">
      <w:pPr>
        <w:spacing w:line="240" w:lineRule="auto"/>
        <w:jc w:val="center"/>
        <w:rPr>
          <w:rFonts w:ascii="Times New Roman" w:eastAsia="Times New Roman" w:hAnsi="Times New Roman" w:cs="Times New Roman"/>
          <w:b/>
          <w:bCs/>
          <w:sz w:val="28"/>
          <w:szCs w:val="28"/>
        </w:rPr>
      </w:pPr>
      <w:r w:rsidRPr="00EB037E">
        <w:rPr>
          <w:rFonts w:ascii="Times New Roman" w:hAnsi="Times New Roman" w:cs="Times New Roman"/>
          <w:b/>
          <w:sz w:val="28"/>
          <w:szCs w:val="28"/>
        </w:rPr>
        <w:t>Ministru kabineta noteikumu projekta</w:t>
      </w:r>
      <w:r w:rsidR="00B241FD" w:rsidRPr="00EB037E">
        <w:rPr>
          <w:rFonts w:ascii="Times New Roman" w:hAnsi="Times New Roman" w:cs="Times New Roman"/>
          <w:b/>
          <w:sz w:val="28"/>
          <w:szCs w:val="28"/>
        </w:rPr>
        <w:t xml:space="preserve"> </w:t>
      </w:r>
      <w:r w:rsidR="00843AFD" w:rsidRPr="00EB037E">
        <w:rPr>
          <w:rFonts w:ascii="Times New Roman" w:hAnsi="Times New Roman" w:cs="Times New Roman"/>
          <w:b/>
          <w:sz w:val="28"/>
          <w:szCs w:val="28"/>
        </w:rPr>
        <w:t>„</w:t>
      </w:r>
      <w:r w:rsidR="004E70BA" w:rsidRPr="00EB037E">
        <w:rPr>
          <w:rFonts w:ascii="Times New Roman" w:eastAsia="Times New Roman" w:hAnsi="Times New Roman" w:cs="Times New Roman"/>
          <w:b/>
          <w:bCs/>
          <w:sz w:val="28"/>
          <w:szCs w:val="28"/>
        </w:rPr>
        <w:t>D</w:t>
      </w:r>
      <w:r w:rsidR="00A166F4" w:rsidRPr="00EB037E">
        <w:rPr>
          <w:rFonts w:ascii="Times New Roman" w:eastAsia="Times New Roman" w:hAnsi="Times New Roman" w:cs="Times New Roman"/>
          <w:b/>
          <w:bCs/>
          <w:sz w:val="28"/>
          <w:szCs w:val="28"/>
        </w:rPr>
        <w:t>arbības programm</w:t>
      </w:r>
      <w:r w:rsidR="004E70BA" w:rsidRPr="00EB037E">
        <w:rPr>
          <w:rFonts w:ascii="Times New Roman" w:eastAsia="Times New Roman" w:hAnsi="Times New Roman" w:cs="Times New Roman"/>
          <w:b/>
          <w:bCs/>
          <w:sz w:val="28"/>
          <w:szCs w:val="28"/>
        </w:rPr>
        <w:t>as "Izaugsme un nodarbinātība"</w:t>
      </w:r>
      <w:r w:rsidR="00A166F4" w:rsidRPr="00EB037E">
        <w:rPr>
          <w:rFonts w:ascii="Times New Roman" w:eastAsia="Times New Roman" w:hAnsi="Times New Roman" w:cs="Times New Roman"/>
          <w:b/>
          <w:bCs/>
          <w:sz w:val="28"/>
          <w:szCs w:val="28"/>
        </w:rPr>
        <w:t xml:space="preserve"> </w:t>
      </w:r>
      <w:r w:rsidR="009A5868" w:rsidRPr="00EB037E">
        <w:rPr>
          <w:rFonts w:ascii="Times New Roman" w:eastAsia="Times New Roman" w:hAnsi="Times New Roman" w:cs="Times New Roman"/>
          <w:b/>
          <w:bCs/>
          <w:sz w:val="28"/>
          <w:szCs w:val="28"/>
        </w:rPr>
        <w:t xml:space="preserve">2.10. </w:t>
      </w:r>
      <w:r w:rsidR="00A166F4" w:rsidRPr="00EB037E">
        <w:rPr>
          <w:rFonts w:ascii="Times New Roman" w:eastAsia="Times New Roman" w:hAnsi="Times New Roman" w:cs="Times New Roman"/>
          <w:b/>
          <w:bCs/>
          <w:sz w:val="28"/>
          <w:szCs w:val="28"/>
        </w:rPr>
        <w:t>prioritārā virziena „Tehniskā palīdzība „E</w:t>
      </w:r>
      <w:r w:rsidR="00DD635F" w:rsidRPr="00EB037E">
        <w:rPr>
          <w:rFonts w:ascii="Times New Roman" w:eastAsia="Times New Roman" w:hAnsi="Times New Roman" w:cs="Times New Roman"/>
          <w:b/>
          <w:bCs/>
          <w:sz w:val="28"/>
          <w:szCs w:val="28"/>
        </w:rPr>
        <w:t>iropas Sociālā fonda</w:t>
      </w:r>
      <w:r w:rsidR="00A166F4" w:rsidRPr="00EB037E">
        <w:rPr>
          <w:rFonts w:ascii="Times New Roman" w:eastAsia="Times New Roman" w:hAnsi="Times New Roman" w:cs="Times New Roman"/>
          <w:b/>
          <w:bCs/>
          <w:sz w:val="28"/>
          <w:szCs w:val="28"/>
        </w:rPr>
        <w:t xml:space="preserve"> atbalsts K</w:t>
      </w:r>
      <w:r w:rsidR="00DD635F" w:rsidRPr="00EB037E">
        <w:rPr>
          <w:rFonts w:ascii="Times New Roman" w:eastAsia="Times New Roman" w:hAnsi="Times New Roman" w:cs="Times New Roman"/>
          <w:b/>
          <w:bCs/>
          <w:sz w:val="28"/>
          <w:szCs w:val="28"/>
        </w:rPr>
        <w:t>o</w:t>
      </w:r>
      <w:r w:rsidR="00B75D56" w:rsidRPr="00EB037E">
        <w:rPr>
          <w:rFonts w:ascii="Times New Roman" w:eastAsia="Times New Roman" w:hAnsi="Times New Roman" w:cs="Times New Roman"/>
          <w:b/>
          <w:bCs/>
          <w:sz w:val="28"/>
          <w:szCs w:val="28"/>
        </w:rPr>
        <w:t>h</w:t>
      </w:r>
      <w:r w:rsidR="00DD635F" w:rsidRPr="00EB037E">
        <w:rPr>
          <w:rFonts w:ascii="Times New Roman" w:eastAsia="Times New Roman" w:hAnsi="Times New Roman" w:cs="Times New Roman"/>
          <w:b/>
          <w:bCs/>
          <w:sz w:val="28"/>
          <w:szCs w:val="28"/>
        </w:rPr>
        <w:t>ēzijas politikas</w:t>
      </w:r>
      <w:r w:rsidR="00A166F4" w:rsidRPr="00EB037E">
        <w:rPr>
          <w:rFonts w:ascii="Times New Roman" w:eastAsia="Times New Roman" w:hAnsi="Times New Roman" w:cs="Times New Roman"/>
          <w:b/>
          <w:bCs/>
          <w:sz w:val="28"/>
          <w:szCs w:val="28"/>
        </w:rPr>
        <w:t xml:space="preserve"> fondu ieviešanai un va</w:t>
      </w:r>
      <w:r w:rsidR="009A5868" w:rsidRPr="00EB037E">
        <w:rPr>
          <w:rFonts w:ascii="Times New Roman" w:eastAsia="Times New Roman" w:hAnsi="Times New Roman" w:cs="Times New Roman"/>
          <w:b/>
          <w:bCs/>
          <w:sz w:val="28"/>
          <w:szCs w:val="28"/>
        </w:rPr>
        <w:t xml:space="preserve">dībai””, 2.11. prioritārā virziena </w:t>
      </w:r>
      <w:r w:rsidR="00A166F4" w:rsidRPr="00EB037E">
        <w:rPr>
          <w:rFonts w:ascii="Times New Roman" w:eastAsia="Times New Roman" w:hAnsi="Times New Roman" w:cs="Times New Roman"/>
          <w:b/>
          <w:bCs/>
          <w:sz w:val="28"/>
          <w:szCs w:val="28"/>
        </w:rPr>
        <w:t>„Tehniskā palīdzība „E</w:t>
      </w:r>
      <w:r w:rsidR="00DD635F" w:rsidRPr="00EB037E">
        <w:rPr>
          <w:rFonts w:ascii="Times New Roman" w:eastAsia="Times New Roman" w:hAnsi="Times New Roman" w:cs="Times New Roman"/>
          <w:b/>
          <w:bCs/>
          <w:sz w:val="28"/>
          <w:szCs w:val="28"/>
        </w:rPr>
        <w:t xml:space="preserve">iropas </w:t>
      </w:r>
      <w:r w:rsidR="00A166F4" w:rsidRPr="00EB037E">
        <w:rPr>
          <w:rFonts w:ascii="Times New Roman" w:eastAsia="Times New Roman" w:hAnsi="Times New Roman" w:cs="Times New Roman"/>
          <w:b/>
          <w:bCs/>
          <w:sz w:val="28"/>
          <w:szCs w:val="28"/>
        </w:rPr>
        <w:t>R</w:t>
      </w:r>
      <w:r w:rsidR="004777E2" w:rsidRPr="00EB037E">
        <w:rPr>
          <w:rFonts w:ascii="Times New Roman" w:eastAsia="Times New Roman" w:hAnsi="Times New Roman" w:cs="Times New Roman"/>
          <w:b/>
          <w:bCs/>
          <w:sz w:val="28"/>
          <w:szCs w:val="28"/>
        </w:rPr>
        <w:t>eģionālās attīstības fonda</w:t>
      </w:r>
      <w:r w:rsidR="00A166F4" w:rsidRPr="00EB037E">
        <w:rPr>
          <w:rFonts w:ascii="Times New Roman" w:eastAsia="Times New Roman" w:hAnsi="Times New Roman" w:cs="Times New Roman"/>
          <w:b/>
          <w:bCs/>
          <w:sz w:val="28"/>
          <w:szCs w:val="28"/>
        </w:rPr>
        <w:t xml:space="preserve"> atbalsts K</w:t>
      </w:r>
      <w:r w:rsidR="004777E2" w:rsidRPr="00EB037E">
        <w:rPr>
          <w:rFonts w:ascii="Times New Roman" w:eastAsia="Times New Roman" w:hAnsi="Times New Roman" w:cs="Times New Roman"/>
          <w:b/>
          <w:bCs/>
          <w:sz w:val="28"/>
          <w:szCs w:val="28"/>
        </w:rPr>
        <w:t>ohēzijas politikas</w:t>
      </w:r>
      <w:r w:rsidR="00A166F4" w:rsidRPr="00EB037E">
        <w:rPr>
          <w:rFonts w:ascii="Times New Roman" w:eastAsia="Times New Roman" w:hAnsi="Times New Roman" w:cs="Times New Roman"/>
          <w:b/>
          <w:bCs/>
          <w:sz w:val="28"/>
          <w:szCs w:val="28"/>
        </w:rPr>
        <w:t xml:space="preserve"> fondu ieviešanai un vad</w:t>
      </w:r>
      <w:r w:rsidR="009A5868" w:rsidRPr="00EB037E">
        <w:rPr>
          <w:rFonts w:ascii="Times New Roman" w:eastAsia="Times New Roman" w:hAnsi="Times New Roman" w:cs="Times New Roman"/>
          <w:b/>
          <w:bCs/>
          <w:sz w:val="28"/>
          <w:szCs w:val="28"/>
        </w:rPr>
        <w:t>ībai”” un</w:t>
      </w:r>
      <w:r w:rsidR="006613D6">
        <w:rPr>
          <w:rFonts w:ascii="Times New Roman" w:eastAsia="Times New Roman" w:hAnsi="Times New Roman" w:cs="Times New Roman"/>
          <w:b/>
          <w:bCs/>
          <w:sz w:val="28"/>
          <w:szCs w:val="28"/>
        </w:rPr>
        <w:t xml:space="preserve">                   </w:t>
      </w:r>
      <w:r w:rsidR="009A5868" w:rsidRPr="00EB037E">
        <w:rPr>
          <w:rFonts w:ascii="Times New Roman" w:eastAsia="Times New Roman" w:hAnsi="Times New Roman" w:cs="Times New Roman"/>
          <w:b/>
          <w:bCs/>
          <w:sz w:val="28"/>
          <w:szCs w:val="28"/>
        </w:rPr>
        <w:t>2.12. prioritārā virziena</w:t>
      </w:r>
      <w:r w:rsidR="00A166F4" w:rsidRPr="00EB037E">
        <w:rPr>
          <w:rFonts w:ascii="Times New Roman" w:eastAsia="Times New Roman" w:hAnsi="Times New Roman" w:cs="Times New Roman"/>
          <w:b/>
          <w:bCs/>
          <w:sz w:val="28"/>
          <w:szCs w:val="28"/>
        </w:rPr>
        <w:t xml:space="preserve"> „Tehniskā palīdzība „K</w:t>
      </w:r>
      <w:r w:rsidR="004777E2" w:rsidRPr="00EB037E">
        <w:rPr>
          <w:rFonts w:ascii="Times New Roman" w:eastAsia="Times New Roman" w:hAnsi="Times New Roman" w:cs="Times New Roman"/>
          <w:b/>
          <w:bCs/>
          <w:sz w:val="28"/>
          <w:szCs w:val="28"/>
        </w:rPr>
        <w:t>ohēzijas fonda</w:t>
      </w:r>
      <w:r w:rsidR="00A166F4" w:rsidRPr="00EB037E">
        <w:rPr>
          <w:rFonts w:ascii="Times New Roman" w:eastAsia="Times New Roman" w:hAnsi="Times New Roman" w:cs="Times New Roman"/>
          <w:b/>
          <w:bCs/>
          <w:sz w:val="28"/>
          <w:szCs w:val="28"/>
        </w:rPr>
        <w:t xml:space="preserve"> atbalsts K</w:t>
      </w:r>
      <w:r w:rsidR="004777E2" w:rsidRPr="00EB037E">
        <w:rPr>
          <w:rFonts w:ascii="Times New Roman" w:eastAsia="Times New Roman" w:hAnsi="Times New Roman" w:cs="Times New Roman"/>
          <w:b/>
          <w:bCs/>
          <w:sz w:val="28"/>
          <w:szCs w:val="28"/>
        </w:rPr>
        <w:t>ohēzijas politikas</w:t>
      </w:r>
      <w:r w:rsidR="00A166F4" w:rsidRPr="00EB037E">
        <w:rPr>
          <w:rFonts w:ascii="Times New Roman" w:eastAsia="Times New Roman" w:hAnsi="Times New Roman" w:cs="Times New Roman"/>
          <w:b/>
          <w:bCs/>
          <w:sz w:val="28"/>
          <w:szCs w:val="28"/>
        </w:rPr>
        <w:t xml:space="preserve"> fondu ieviešanai un vadībai”” p</w:t>
      </w:r>
      <w:r w:rsidR="004E70BA" w:rsidRPr="00EB037E">
        <w:rPr>
          <w:rFonts w:ascii="Times New Roman" w:eastAsia="Times New Roman" w:hAnsi="Times New Roman" w:cs="Times New Roman"/>
          <w:b/>
          <w:bCs/>
          <w:sz w:val="28"/>
          <w:szCs w:val="28"/>
        </w:rPr>
        <w:t>rojektu iesniegumu atlases pirmās kārtas noteikumi</w:t>
      </w:r>
      <w:r w:rsidR="00843AFD" w:rsidRPr="00EB037E">
        <w:rPr>
          <w:rFonts w:ascii="Times New Roman" w:hAnsi="Times New Roman" w:cs="Times New Roman"/>
          <w:b/>
          <w:sz w:val="28"/>
          <w:szCs w:val="28"/>
        </w:rPr>
        <w:t xml:space="preserve">” </w:t>
      </w:r>
      <w:r w:rsidR="00B241FD" w:rsidRPr="00EB037E">
        <w:rPr>
          <w:rFonts w:ascii="Times New Roman" w:hAnsi="Times New Roman" w:cs="Times New Roman"/>
          <w:b/>
          <w:sz w:val="28"/>
          <w:szCs w:val="28"/>
        </w:rPr>
        <w:t>sākotnējās ietekmes novērtējuma ziņojums (anotācija)</w:t>
      </w:r>
    </w:p>
    <w:tbl>
      <w:tblPr>
        <w:tblpPr w:leftFromText="180" w:rightFromText="180" w:vertAnchor="text" w:horzAnchor="margin" w:tblpXSpec="center" w:tblpY="149"/>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400"/>
        <w:gridCol w:w="5671"/>
      </w:tblGrid>
      <w:tr w:rsidR="00DA6C86" w:rsidRPr="00BD19AE" w14:paraId="5EDF1D9F" w14:textId="77777777" w:rsidTr="00FE03EC">
        <w:trPr>
          <w:trHeight w:val="419"/>
        </w:trPr>
        <w:tc>
          <w:tcPr>
            <w:tcW w:w="5000" w:type="pct"/>
            <w:gridSpan w:val="3"/>
            <w:vAlign w:val="center"/>
          </w:tcPr>
          <w:p w14:paraId="5EDF1D9E" w14:textId="77777777" w:rsidR="00DA6C86" w:rsidRPr="00BD19AE" w:rsidRDefault="00DA6C86" w:rsidP="00176CB2">
            <w:pPr>
              <w:pStyle w:val="naisnod"/>
              <w:spacing w:before="0" w:beforeAutospacing="0" w:after="0" w:afterAutospacing="0"/>
              <w:ind w:right="57"/>
              <w:jc w:val="center"/>
              <w:rPr>
                <w:b/>
              </w:rPr>
            </w:pPr>
            <w:r w:rsidRPr="00BD19AE">
              <w:rPr>
                <w:b/>
              </w:rPr>
              <w:t>I. Tiesību akta projekta izstrādes nepieciešamība</w:t>
            </w:r>
          </w:p>
        </w:tc>
      </w:tr>
      <w:tr w:rsidR="00DA6C86" w:rsidRPr="00BD19AE" w14:paraId="5EDF1DA3" w14:textId="77777777" w:rsidTr="00FE03EC">
        <w:trPr>
          <w:trHeight w:val="415"/>
        </w:trPr>
        <w:tc>
          <w:tcPr>
            <w:tcW w:w="222" w:type="pct"/>
          </w:tcPr>
          <w:p w14:paraId="5EDF1DA0" w14:textId="3CC7051E" w:rsidR="00D953B3" w:rsidRDefault="00DA6C86" w:rsidP="00176CB2">
            <w:pPr>
              <w:pStyle w:val="naiskr"/>
              <w:spacing w:before="0" w:beforeAutospacing="0" w:after="0" w:afterAutospacing="0"/>
              <w:ind w:right="57"/>
              <w:jc w:val="center"/>
            </w:pPr>
            <w:r w:rsidRPr="00BD19AE">
              <w:t>1.</w:t>
            </w:r>
          </w:p>
          <w:p w14:paraId="216C6DDE" w14:textId="77777777" w:rsidR="00D953B3" w:rsidRPr="00D953B3" w:rsidRDefault="00D953B3" w:rsidP="00D953B3"/>
          <w:p w14:paraId="6E45C6BB" w14:textId="77777777" w:rsidR="00D953B3" w:rsidRPr="00D953B3" w:rsidRDefault="00D953B3" w:rsidP="00D953B3"/>
          <w:p w14:paraId="5EA638FC" w14:textId="77777777" w:rsidR="00D953B3" w:rsidRPr="00D953B3" w:rsidRDefault="00D953B3" w:rsidP="00D953B3"/>
          <w:p w14:paraId="51E2AEE6" w14:textId="77777777" w:rsidR="00D953B3" w:rsidRPr="00D953B3" w:rsidRDefault="00D953B3" w:rsidP="00D953B3"/>
          <w:p w14:paraId="3A1C302F" w14:textId="005C9EDA" w:rsidR="00D953B3" w:rsidRDefault="00D953B3" w:rsidP="00D953B3"/>
          <w:p w14:paraId="7C46B6E2" w14:textId="77777777" w:rsidR="00DA6C86" w:rsidRPr="00D953B3" w:rsidRDefault="00DA6C86" w:rsidP="00D953B3"/>
        </w:tc>
        <w:tc>
          <w:tcPr>
            <w:tcW w:w="1791" w:type="pct"/>
          </w:tcPr>
          <w:p w14:paraId="5EDF1DA1" w14:textId="1B6B9A4C" w:rsidR="00DD7205" w:rsidRPr="00BD19AE" w:rsidRDefault="00DA6C86" w:rsidP="00F57E68">
            <w:pPr>
              <w:pStyle w:val="naiskr"/>
              <w:spacing w:before="0" w:beforeAutospacing="0" w:after="0" w:afterAutospacing="0"/>
              <w:ind w:left="57" w:right="57"/>
            </w:pPr>
            <w:r w:rsidRPr="00BD19AE">
              <w:t>Pamatojums</w:t>
            </w:r>
          </w:p>
          <w:p w14:paraId="464839E0" w14:textId="77777777" w:rsidR="00DD7205" w:rsidRPr="00BD19AE" w:rsidRDefault="00DD7205" w:rsidP="00DD7205">
            <w:pPr>
              <w:rPr>
                <w:rFonts w:ascii="Times New Roman" w:hAnsi="Times New Roman" w:cs="Times New Roman"/>
                <w:sz w:val="24"/>
                <w:szCs w:val="24"/>
              </w:rPr>
            </w:pPr>
          </w:p>
          <w:p w14:paraId="696F2F30" w14:textId="77777777" w:rsidR="00DD7205" w:rsidRPr="00BD19AE" w:rsidRDefault="00DD7205" w:rsidP="00DD7205">
            <w:pPr>
              <w:rPr>
                <w:rFonts w:ascii="Times New Roman" w:hAnsi="Times New Roman" w:cs="Times New Roman"/>
                <w:sz w:val="24"/>
                <w:szCs w:val="24"/>
              </w:rPr>
            </w:pPr>
          </w:p>
          <w:p w14:paraId="5FE57791" w14:textId="77777777" w:rsidR="00DD7205" w:rsidRPr="00BD19AE" w:rsidRDefault="00DD7205" w:rsidP="00DD7205">
            <w:pPr>
              <w:rPr>
                <w:rFonts w:ascii="Times New Roman" w:hAnsi="Times New Roman" w:cs="Times New Roman"/>
                <w:sz w:val="24"/>
                <w:szCs w:val="24"/>
              </w:rPr>
            </w:pPr>
          </w:p>
          <w:p w14:paraId="0A0B1E85" w14:textId="0128E639" w:rsidR="00DD7205" w:rsidRPr="00BD19AE" w:rsidRDefault="00DD7205" w:rsidP="00DD7205">
            <w:pPr>
              <w:rPr>
                <w:rFonts w:ascii="Times New Roman" w:hAnsi="Times New Roman" w:cs="Times New Roman"/>
                <w:sz w:val="24"/>
                <w:szCs w:val="24"/>
              </w:rPr>
            </w:pPr>
          </w:p>
          <w:p w14:paraId="1914C571" w14:textId="77777777" w:rsidR="00DA6C86" w:rsidRPr="00BD19AE" w:rsidRDefault="00DA6C86" w:rsidP="00DD7205">
            <w:pPr>
              <w:ind w:firstLine="720"/>
              <w:rPr>
                <w:rFonts w:ascii="Times New Roman" w:hAnsi="Times New Roman" w:cs="Times New Roman"/>
                <w:sz w:val="24"/>
                <w:szCs w:val="24"/>
              </w:rPr>
            </w:pPr>
          </w:p>
        </w:tc>
        <w:tc>
          <w:tcPr>
            <w:tcW w:w="2987" w:type="pct"/>
          </w:tcPr>
          <w:p w14:paraId="48B6DEA3" w14:textId="113B146C" w:rsidR="006552BE" w:rsidRPr="00DC7C20" w:rsidRDefault="006552BE" w:rsidP="003F74A9">
            <w:pPr>
              <w:pStyle w:val="ListParagraph"/>
              <w:numPr>
                <w:ilvl w:val="0"/>
                <w:numId w:val="1"/>
              </w:numPr>
              <w:spacing w:after="0" w:line="240" w:lineRule="auto"/>
              <w:ind w:right="57"/>
              <w:jc w:val="both"/>
              <w:rPr>
                <w:rFonts w:ascii="Times New Roman" w:hAnsi="Times New Roman" w:cs="Times New Roman"/>
                <w:sz w:val="24"/>
                <w:szCs w:val="24"/>
              </w:rPr>
            </w:pPr>
            <w:r w:rsidRPr="00DC7C20">
              <w:rPr>
                <w:rFonts w:ascii="Times New Roman" w:hAnsi="Times New Roman" w:cs="Times New Roman"/>
                <w:sz w:val="24"/>
                <w:szCs w:val="24"/>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uz kuriem att</w:t>
            </w:r>
            <w:r w:rsidR="005F20B3">
              <w:rPr>
                <w:rFonts w:ascii="Times New Roman" w:hAnsi="Times New Roman" w:cs="Times New Roman"/>
                <w:sz w:val="24"/>
                <w:szCs w:val="24"/>
              </w:rPr>
              <w:t>iecas vienotais stratēģiskais ie</w:t>
            </w:r>
            <w:r w:rsidRPr="00DC7C20">
              <w:rPr>
                <w:rFonts w:ascii="Times New Roman" w:hAnsi="Times New Roman" w:cs="Times New Roman"/>
                <w:sz w:val="24"/>
                <w:szCs w:val="24"/>
              </w:rPr>
              <w:t>tvars, un vispārīgus noteikumus par Eiropas Reģionālās attīstības fondu, Eiropas Sociālo fondu un Kohēzijas fondu un atceļ Regulu (EK) Nr.1083/2006 (turpmāk – Regula Nr.1303/2013).</w:t>
            </w:r>
          </w:p>
          <w:p w14:paraId="10C2038A" w14:textId="77777777" w:rsidR="006552BE" w:rsidRPr="00BD19AE" w:rsidRDefault="006552BE" w:rsidP="00DF51A8">
            <w:pPr>
              <w:spacing w:after="0" w:line="240" w:lineRule="auto"/>
              <w:ind w:left="57" w:right="57"/>
              <w:jc w:val="both"/>
              <w:rPr>
                <w:rFonts w:ascii="Times New Roman" w:hAnsi="Times New Roman" w:cs="Times New Roman"/>
                <w:sz w:val="24"/>
                <w:szCs w:val="24"/>
              </w:rPr>
            </w:pPr>
          </w:p>
          <w:p w14:paraId="5EDF1DA2" w14:textId="35968220" w:rsidR="005618A9" w:rsidRPr="00BD19AE" w:rsidRDefault="006552BE" w:rsidP="003F74A9">
            <w:pPr>
              <w:pStyle w:val="ListParagraph"/>
              <w:numPr>
                <w:ilvl w:val="0"/>
                <w:numId w:val="1"/>
              </w:numPr>
              <w:spacing w:after="0" w:line="240" w:lineRule="auto"/>
              <w:ind w:right="57"/>
              <w:jc w:val="both"/>
              <w:rPr>
                <w:rFonts w:ascii="Times New Roman" w:hAnsi="Times New Roman" w:cs="Times New Roman"/>
                <w:sz w:val="24"/>
                <w:szCs w:val="24"/>
              </w:rPr>
            </w:pPr>
            <w:r w:rsidRPr="00BD19AE">
              <w:rPr>
                <w:rFonts w:ascii="Times New Roman" w:hAnsi="Times New Roman" w:cs="Times New Roman"/>
                <w:sz w:val="24"/>
                <w:szCs w:val="24"/>
              </w:rPr>
              <w:t>Eiropas Savienības struktūrfondu un Kohēzijas fonda 2014.-2020.gada plānošanas per</w:t>
            </w:r>
            <w:r w:rsidR="001228B8" w:rsidRPr="00BD19AE">
              <w:rPr>
                <w:rFonts w:ascii="Times New Roman" w:hAnsi="Times New Roman" w:cs="Times New Roman"/>
                <w:sz w:val="24"/>
                <w:szCs w:val="24"/>
              </w:rPr>
              <w:t>ioda vadības likum</w:t>
            </w:r>
            <w:r w:rsidR="002B3996" w:rsidRPr="00BD19AE">
              <w:rPr>
                <w:rFonts w:ascii="Times New Roman" w:hAnsi="Times New Roman" w:cs="Times New Roman"/>
                <w:sz w:val="24"/>
                <w:szCs w:val="24"/>
              </w:rPr>
              <w:t>a</w:t>
            </w:r>
            <w:r w:rsidR="001228B8" w:rsidRPr="00BD19AE">
              <w:rPr>
                <w:rFonts w:ascii="Times New Roman" w:hAnsi="Times New Roman" w:cs="Times New Roman"/>
                <w:sz w:val="24"/>
                <w:szCs w:val="24"/>
              </w:rPr>
              <w:t xml:space="preserve"> (turpmāk – L</w:t>
            </w:r>
            <w:r w:rsidRPr="00BD19AE">
              <w:rPr>
                <w:rFonts w:ascii="Times New Roman" w:hAnsi="Times New Roman" w:cs="Times New Roman"/>
                <w:sz w:val="24"/>
                <w:szCs w:val="24"/>
              </w:rPr>
              <w:t xml:space="preserve">ikums) 20.panta </w:t>
            </w:r>
            <w:r w:rsidR="00876D02" w:rsidRPr="00BD19AE">
              <w:rPr>
                <w:rFonts w:ascii="Times New Roman" w:hAnsi="Times New Roman" w:cs="Times New Roman"/>
                <w:sz w:val="24"/>
                <w:szCs w:val="24"/>
              </w:rPr>
              <w:t>13</w:t>
            </w:r>
            <w:r w:rsidRPr="00BD19AE">
              <w:rPr>
                <w:rFonts w:ascii="Times New Roman" w:hAnsi="Times New Roman" w:cs="Times New Roman"/>
                <w:sz w:val="24"/>
                <w:szCs w:val="24"/>
              </w:rPr>
              <w:t>.punkts.</w:t>
            </w:r>
          </w:p>
        </w:tc>
      </w:tr>
      <w:tr w:rsidR="00DA6C86" w:rsidRPr="00BD19AE" w14:paraId="5EDF1DA7" w14:textId="77777777" w:rsidTr="00D13B93">
        <w:trPr>
          <w:trHeight w:val="472"/>
        </w:trPr>
        <w:tc>
          <w:tcPr>
            <w:tcW w:w="222" w:type="pct"/>
          </w:tcPr>
          <w:p w14:paraId="5EDF1DA4" w14:textId="7FFA3DCC" w:rsidR="00DA6C86" w:rsidRPr="00BD19AE" w:rsidRDefault="00DA6C86" w:rsidP="00176CB2">
            <w:pPr>
              <w:pStyle w:val="naiskr"/>
              <w:spacing w:before="0" w:beforeAutospacing="0" w:after="0" w:afterAutospacing="0"/>
              <w:ind w:right="57"/>
              <w:jc w:val="center"/>
            </w:pPr>
            <w:r w:rsidRPr="00BD19AE">
              <w:t>2.</w:t>
            </w:r>
          </w:p>
        </w:tc>
        <w:tc>
          <w:tcPr>
            <w:tcW w:w="1791" w:type="pct"/>
          </w:tcPr>
          <w:p w14:paraId="5EDF1DA5" w14:textId="03F02678" w:rsidR="00DD7205" w:rsidRPr="00BD19AE" w:rsidRDefault="00502937" w:rsidP="00F57E68">
            <w:pPr>
              <w:pStyle w:val="naiskr"/>
              <w:tabs>
                <w:tab w:val="left" w:pos="170"/>
              </w:tabs>
              <w:spacing w:before="0" w:beforeAutospacing="0" w:after="0" w:afterAutospacing="0"/>
              <w:ind w:left="57" w:right="57"/>
            </w:pPr>
            <w:r w:rsidRPr="00BD19AE">
              <w:t>Pašreizējā situācija un problēmas, kuru risināšanai tiesību akta projekts izstrādāts, tiesiskā regulējuma mērķis un būtība</w:t>
            </w:r>
          </w:p>
          <w:p w14:paraId="35F01EEB" w14:textId="77777777" w:rsidR="00DD7205" w:rsidRPr="00BD19AE" w:rsidRDefault="00DD7205" w:rsidP="00386F32">
            <w:pPr>
              <w:jc w:val="center"/>
              <w:rPr>
                <w:rFonts w:ascii="Times New Roman" w:hAnsi="Times New Roman" w:cs="Times New Roman"/>
                <w:sz w:val="24"/>
                <w:szCs w:val="24"/>
              </w:rPr>
            </w:pPr>
          </w:p>
          <w:p w14:paraId="2000C151" w14:textId="77777777" w:rsidR="00DD7205" w:rsidRPr="00BD19AE" w:rsidRDefault="00DD7205" w:rsidP="00DD7205">
            <w:pPr>
              <w:rPr>
                <w:rFonts w:ascii="Times New Roman" w:hAnsi="Times New Roman" w:cs="Times New Roman"/>
                <w:sz w:val="24"/>
                <w:szCs w:val="24"/>
              </w:rPr>
            </w:pPr>
          </w:p>
          <w:p w14:paraId="54077451" w14:textId="77777777" w:rsidR="00DD7205" w:rsidRPr="00BD19AE" w:rsidRDefault="00DD7205" w:rsidP="00DD7205">
            <w:pPr>
              <w:rPr>
                <w:rFonts w:ascii="Times New Roman" w:hAnsi="Times New Roman" w:cs="Times New Roman"/>
                <w:sz w:val="24"/>
                <w:szCs w:val="24"/>
              </w:rPr>
            </w:pPr>
          </w:p>
          <w:p w14:paraId="32367CD9" w14:textId="77777777" w:rsidR="00DD7205" w:rsidRPr="00BD19AE" w:rsidRDefault="00DD7205" w:rsidP="00DD7205">
            <w:pPr>
              <w:rPr>
                <w:rFonts w:ascii="Times New Roman" w:hAnsi="Times New Roman" w:cs="Times New Roman"/>
                <w:sz w:val="24"/>
                <w:szCs w:val="24"/>
              </w:rPr>
            </w:pPr>
          </w:p>
          <w:p w14:paraId="5CECA811" w14:textId="77777777" w:rsidR="00DD7205" w:rsidRPr="00BD19AE" w:rsidRDefault="00DD7205" w:rsidP="00DD7205">
            <w:pPr>
              <w:rPr>
                <w:rFonts w:ascii="Times New Roman" w:hAnsi="Times New Roman" w:cs="Times New Roman"/>
                <w:sz w:val="24"/>
                <w:szCs w:val="24"/>
              </w:rPr>
            </w:pPr>
          </w:p>
          <w:p w14:paraId="3F5958D9" w14:textId="77777777" w:rsidR="00DD7205" w:rsidRPr="00BD19AE" w:rsidRDefault="00DD7205" w:rsidP="00DD7205">
            <w:pPr>
              <w:rPr>
                <w:rFonts w:ascii="Times New Roman" w:hAnsi="Times New Roman" w:cs="Times New Roman"/>
                <w:sz w:val="24"/>
                <w:szCs w:val="24"/>
              </w:rPr>
            </w:pPr>
          </w:p>
          <w:p w14:paraId="12604E66" w14:textId="77777777" w:rsidR="00DD7205" w:rsidRPr="00BD19AE" w:rsidRDefault="00DD7205" w:rsidP="00DD7205">
            <w:pPr>
              <w:rPr>
                <w:rFonts w:ascii="Times New Roman" w:hAnsi="Times New Roman" w:cs="Times New Roman"/>
                <w:sz w:val="24"/>
                <w:szCs w:val="24"/>
              </w:rPr>
            </w:pPr>
          </w:p>
          <w:p w14:paraId="2F008769" w14:textId="13AC675D" w:rsidR="00DD7205" w:rsidRPr="00BD19AE" w:rsidRDefault="00DD7205" w:rsidP="00DD7205">
            <w:pPr>
              <w:rPr>
                <w:rFonts w:ascii="Times New Roman" w:hAnsi="Times New Roman" w:cs="Times New Roman"/>
                <w:sz w:val="24"/>
                <w:szCs w:val="24"/>
              </w:rPr>
            </w:pPr>
          </w:p>
          <w:p w14:paraId="58061920" w14:textId="77777777" w:rsidR="00DA6C86" w:rsidRPr="00BD19AE" w:rsidRDefault="00DA6C86" w:rsidP="00DD7205">
            <w:pPr>
              <w:ind w:firstLine="720"/>
              <w:rPr>
                <w:rFonts w:ascii="Times New Roman" w:hAnsi="Times New Roman" w:cs="Times New Roman"/>
                <w:sz w:val="24"/>
                <w:szCs w:val="24"/>
              </w:rPr>
            </w:pPr>
          </w:p>
        </w:tc>
        <w:tc>
          <w:tcPr>
            <w:tcW w:w="2987" w:type="pct"/>
          </w:tcPr>
          <w:p w14:paraId="51B52C93" w14:textId="02DA90BC" w:rsidR="002E2FD1" w:rsidRPr="00BD19AE" w:rsidRDefault="002E2FD1"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BD19AE">
              <w:rPr>
                <w:b w:val="0"/>
                <w:sz w:val="24"/>
                <w:szCs w:val="24"/>
              </w:rPr>
              <w:lastRenderedPageBreak/>
              <w:t>Sākot ar 2014.gada 1.janvāri</w:t>
            </w:r>
            <w:r w:rsidR="00EB037E">
              <w:rPr>
                <w:b w:val="0"/>
                <w:sz w:val="24"/>
                <w:szCs w:val="24"/>
              </w:rPr>
              <w:t>,</w:t>
            </w:r>
            <w:r w:rsidRPr="00BD19AE">
              <w:rPr>
                <w:b w:val="0"/>
                <w:sz w:val="24"/>
                <w:szCs w:val="24"/>
              </w:rPr>
              <w:t xml:space="preserve"> Latvijas Republikā un pārējās Eiropas Savienības (turpmāk – ES) dalībvalstīs </w:t>
            </w:r>
            <w:r w:rsidR="002B3996" w:rsidRPr="00BD19AE">
              <w:rPr>
                <w:b w:val="0"/>
                <w:sz w:val="24"/>
                <w:szCs w:val="24"/>
              </w:rPr>
              <w:t>tiek uz</w:t>
            </w:r>
            <w:r w:rsidRPr="00BD19AE">
              <w:rPr>
                <w:b w:val="0"/>
                <w:sz w:val="24"/>
                <w:szCs w:val="24"/>
              </w:rPr>
              <w:t>sāk</w:t>
            </w:r>
            <w:r w:rsidR="002B3996" w:rsidRPr="00BD19AE">
              <w:rPr>
                <w:b w:val="0"/>
                <w:sz w:val="24"/>
                <w:szCs w:val="24"/>
              </w:rPr>
              <w:t>t</w:t>
            </w:r>
            <w:r w:rsidRPr="00BD19AE">
              <w:rPr>
                <w:b w:val="0"/>
                <w:sz w:val="24"/>
                <w:szCs w:val="24"/>
              </w:rPr>
              <w:t xml:space="preserve">s ES struktūrfondu un Kohēzijas fonda (turpmāk – ES fondi) </w:t>
            </w:r>
            <w:r w:rsidR="002B3996" w:rsidRPr="00BD19AE">
              <w:rPr>
                <w:b w:val="0"/>
                <w:sz w:val="24"/>
                <w:szCs w:val="24"/>
              </w:rPr>
              <w:t xml:space="preserve">2014.-2020.gada </w:t>
            </w:r>
            <w:r w:rsidRPr="00BD19AE">
              <w:rPr>
                <w:b w:val="0"/>
                <w:sz w:val="24"/>
                <w:szCs w:val="24"/>
              </w:rPr>
              <w:t xml:space="preserve">plānošanas periods, </w:t>
            </w:r>
            <w:r w:rsidR="002B3996" w:rsidRPr="00BD19AE">
              <w:rPr>
                <w:b w:val="0"/>
                <w:sz w:val="24"/>
                <w:szCs w:val="24"/>
              </w:rPr>
              <w:t xml:space="preserve">ko </w:t>
            </w:r>
            <w:r w:rsidRPr="00BD19AE">
              <w:rPr>
                <w:b w:val="0"/>
                <w:sz w:val="24"/>
                <w:szCs w:val="24"/>
              </w:rPr>
              <w:t>regulē jaunas regulas un nacionālie normatīvie akti.</w:t>
            </w:r>
          </w:p>
          <w:p w14:paraId="0AD60804" w14:textId="095E187E" w:rsidR="000545E6" w:rsidRPr="00BD19AE" w:rsidRDefault="000545E6" w:rsidP="008A41D2">
            <w:pPr>
              <w:pStyle w:val="Heading3"/>
              <w:shd w:val="clear" w:color="auto" w:fill="FFFFFF"/>
              <w:tabs>
                <w:tab w:val="left" w:pos="469"/>
              </w:tabs>
              <w:spacing w:before="120" w:beforeAutospacing="0" w:after="0" w:afterAutospacing="0"/>
              <w:ind w:left="427" w:right="57"/>
              <w:jc w:val="both"/>
              <w:rPr>
                <w:b w:val="0"/>
                <w:sz w:val="24"/>
                <w:szCs w:val="24"/>
              </w:rPr>
            </w:pPr>
            <w:r w:rsidRPr="00BD19AE">
              <w:rPr>
                <w:b w:val="0"/>
                <w:sz w:val="24"/>
                <w:szCs w:val="24"/>
              </w:rPr>
              <w:t>ES fondu 2007.-2013.gada plānošanas periodā kārtību, kādā</w:t>
            </w:r>
            <w:r w:rsidRPr="00BD19AE">
              <w:rPr>
                <w:sz w:val="24"/>
                <w:szCs w:val="24"/>
              </w:rPr>
              <w:t xml:space="preserve"> </w:t>
            </w:r>
            <w:r w:rsidRPr="00BD19AE">
              <w:rPr>
                <w:b w:val="0"/>
                <w:sz w:val="24"/>
                <w:szCs w:val="24"/>
              </w:rPr>
              <w:t>īsteno</w:t>
            </w:r>
            <w:r w:rsidRPr="00BD19AE">
              <w:rPr>
                <w:sz w:val="24"/>
                <w:szCs w:val="24"/>
              </w:rPr>
              <w:t xml:space="preserve"> </w:t>
            </w:r>
            <w:r w:rsidRPr="00BD19AE">
              <w:rPr>
                <w:b w:val="0"/>
                <w:sz w:val="24"/>
                <w:szCs w:val="24"/>
              </w:rPr>
              <w:t>tehniskās palīdzības aktivitātes</w:t>
            </w:r>
            <w:r w:rsidR="00EB037E">
              <w:rPr>
                <w:b w:val="0"/>
                <w:sz w:val="24"/>
                <w:szCs w:val="24"/>
              </w:rPr>
              <w:t>,</w:t>
            </w:r>
            <w:r w:rsidRPr="00BD19AE">
              <w:rPr>
                <w:b w:val="0"/>
                <w:sz w:val="24"/>
                <w:szCs w:val="24"/>
              </w:rPr>
              <w:t xml:space="preserve"> regulē </w:t>
            </w:r>
            <w:r w:rsidRPr="00BD19AE">
              <w:rPr>
                <w:sz w:val="24"/>
                <w:szCs w:val="24"/>
              </w:rPr>
              <w:t xml:space="preserve"> </w:t>
            </w:r>
            <w:r w:rsidRPr="00BD19AE">
              <w:rPr>
                <w:b w:val="0"/>
                <w:sz w:val="24"/>
                <w:szCs w:val="24"/>
              </w:rPr>
              <w:t xml:space="preserve">Ministru kabineta 2011.gada 6.septembra noteikumi Nr.694 „Noteikumi par darbības programmas „Cilvēkresursi un nodarbinātība” papildinājuma 1.6.1.1.aktivitātes „Programmas vadības un atbalsta funkciju nodrošināšana”, darbības programmas „Uzņēmējdarbība un inovācijas” papildinājuma 2.4.1.1.aktivitātes „Programmas vadības un atbalsta funkciju nodrošināšana”, darbības programmas „Infrastruktūra un pakalpojumi” papildinājuma 3.7.1.1.aktivitātes „Programmas vadības un atbalsta funkciju nodrošināšana” un </w:t>
            </w:r>
            <w:r w:rsidRPr="00BD19AE">
              <w:rPr>
                <w:b w:val="0"/>
                <w:sz w:val="24"/>
                <w:szCs w:val="24"/>
              </w:rPr>
              <w:lastRenderedPageBreak/>
              <w:t>3.8.1.1.aktivitātes „Programmas vadības un atbalsta funkciju nodrošināšana” projektu iesniegumu atlases otro kārtu”” (turpmāk – MK noteikumi Nr.694).</w:t>
            </w:r>
            <w:r w:rsidR="00DC7C20">
              <w:rPr>
                <w:b w:val="0"/>
                <w:sz w:val="24"/>
                <w:szCs w:val="24"/>
              </w:rPr>
              <w:t xml:space="preserve"> Kārtību</w:t>
            </w:r>
            <w:r w:rsidR="00C433BB">
              <w:rPr>
                <w:b w:val="0"/>
                <w:sz w:val="24"/>
                <w:szCs w:val="24"/>
              </w:rPr>
              <w:t>,</w:t>
            </w:r>
            <w:r w:rsidR="00DC7C20">
              <w:rPr>
                <w:b w:val="0"/>
                <w:sz w:val="24"/>
                <w:szCs w:val="24"/>
              </w:rPr>
              <w:t xml:space="preserve"> kādā īsteno tehniskās palīdzības aktivitātes</w:t>
            </w:r>
            <w:r w:rsidR="00C433BB">
              <w:rPr>
                <w:b w:val="0"/>
                <w:sz w:val="24"/>
                <w:szCs w:val="24"/>
              </w:rPr>
              <w:t>,</w:t>
            </w:r>
            <w:r w:rsidR="00DC7C20">
              <w:rPr>
                <w:b w:val="0"/>
                <w:sz w:val="24"/>
                <w:szCs w:val="24"/>
              </w:rPr>
              <w:t xml:space="preserve"> </w:t>
            </w:r>
            <w:r w:rsidR="00C433BB">
              <w:rPr>
                <w:b w:val="0"/>
                <w:sz w:val="24"/>
                <w:szCs w:val="24"/>
              </w:rPr>
              <w:t xml:space="preserve">             1.</w:t>
            </w:r>
            <w:r w:rsidR="00DC7C20">
              <w:rPr>
                <w:b w:val="0"/>
                <w:sz w:val="24"/>
                <w:szCs w:val="24"/>
              </w:rPr>
              <w:t xml:space="preserve">kārtā noteica </w:t>
            </w:r>
            <w:r w:rsidR="005F20B3">
              <w:rPr>
                <w:b w:val="0"/>
                <w:sz w:val="24"/>
                <w:szCs w:val="24"/>
              </w:rPr>
              <w:t>Ministru kabineta</w:t>
            </w:r>
            <w:r w:rsidR="00E436B6">
              <w:rPr>
                <w:b w:val="0"/>
                <w:sz w:val="24"/>
                <w:szCs w:val="24"/>
              </w:rPr>
              <w:t xml:space="preserve"> noteikumi Nr.</w:t>
            </w:r>
            <w:r w:rsidR="00DC7C20">
              <w:rPr>
                <w:b w:val="0"/>
                <w:sz w:val="24"/>
                <w:szCs w:val="24"/>
              </w:rPr>
              <w:t>918</w:t>
            </w:r>
            <w:r w:rsidR="00DC7C20">
              <w:rPr>
                <w:rStyle w:val="FootnoteReference"/>
                <w:b w:val="0"/>
                <w:sz w:val="24"/>
                <w:szCs w:val="24"/>
              </w:rPr>
              <w:footnoteReference w:id="2"/>
            </w:r>
            <w:r w:rsidR="001B1D27">
              <w:rPr>
                <w:b w:val="0"/>
                <w:sz w:val="24"/>
                <w:szCs w:val="24"/>
              </w:rPr>
              <w:t>.</w:t>
            </w:r>
          </w:p>
          <w:p w14:paraId="24202668" w14:textId="0DA5DF52" w:rsidR="004C731E" w:rsidRPr="00BD19AE" w:rsidRDefault="000545E6" w:rsidP="008A41D2">
            <w:pPr>
              <w:pStyle w:val="Heading3"/>
              <w:shd w:val="clear" w:color="auto" w:fill="FFFFFF"/>
              <w:tabs>
                <w:tab w:val="left" w:pos="469"/>
              </w:tabs>
              <w:spacing w:before="120" w:beforeAutospacing="0" w:after="0" w:afterAutospacing="0"/>
              <w:ind w:left="427" w:right="57"/>
              <w:jc w:val="both"/>
              <w:rPr>
                <w:b w:val="0"/>
                <w:sz w:val="24"/>
                <w:szCs w:val="24"/>
              </w:rPr>
            </w:pPr>
            <w:r w:rsidRPr="00BD19AE">
              <w:rPr>
                <w:b w:val="0"/>
                <w:sz w:val="24"/>
                <w:szCs w:val="24"/>
              </w:rPr>
              <w:t>Ievērojot Likumā, kas stājās spēkā 2014.gada 11.jūlijā, ietverto deleģēj</w:t>
            </w:r>
            <w:r w:rsidR="00C433BB">
              <w:rPr>
                <w:b w:val="0"/>
                <w:sz w:val="24"/>
                <w:szCs w:val="24"/>
              </w:rPr>
              <w:t>umu un Ministru kabineta 2014.gada 2.</w:t>
            </w:r>
            <w:r w:rsidRPr="00BD19AE">
              <w:rPr>
                <w:b w:val="0"/>
                <w:sz w:val="24"/>
                <w:szCs w:val="24"/>
              </w:rPr>
              <w:t>septembra sēdē apstiprinā</w:t>
            </w:r>
            <w:r w:rsidR="0076207F" w:rsidRPr="00BD19AE">
              <w:rPr>
                <w:b w:val="0"/>
                <w:sz w:val="24"/>
                <w:szCs w:val="24"/>
              </w:rPr>
              <w:t>to</w:t>
            </w:r>
            <w:r w:rsidR="008D287B">
              <w:rPr>
                <w:b w:val="0"/>
                <w:sz w:val="24"/>
                <w:szCs w:val="24"/>
              </w:rPr>
              <w:t xml:space="preserve"> darbības programmu</w:t>
            </w:r>
            <w:r w:rsidRPr="00BD19AE">
              <w:rPr>
                <w:b w:val="0"/>
                <w:sz w:val="24"/>
                <w:szCs w:val="24"/>
              </w:rPr>
              <w:t xml:space="preserve"> “Izaugsme un nodarbinātība” </w:t>
            </w:r>
            <w:r w:rsidR="0076207F" w:rsidRPr="00BD19AE">
              <w:rPr>
                <w:b w:val="0"/>
                <w:sz w:val="24"/>
                <w:szCs w:val="24"/>
              </w:rPr>
              <w:t xml:space="preserve">ES fondu </w:t>
            </w:r>
            <w:r w:rsidR="00C433BB">
              <w:rPr>
                <w:b w:val="0"/>
                <w:sz w:val="24"/>
                <w:szCs w:val="24"/>
              </w:rPr>
              <w:t>2014.-2020.</w:t>
            </w:r>
            <w:r w:rsidRPr="00BD19AE">
              <w:rPr>
                <w:b w:val="0"/>
                <w:sz w:val="24"/>
                <w:szCs w:val="24"/>
              </w:rPr>
              <w:t xml:space="preserve">gada plānošanas periodam (protokols </w:t>
            </w:r>
            <w:r w:rsidR="00C433BB">
              <w:rPr>
                <w:b w:val="0"/>
                <w:sz w:val="24"/>
                <w:szCs w:val="24"/>
              </w:rPr>
              <w:t>Nr.46 40.</w:t>
            </w:r>
            <w:r w:rsidRPr="00BD19AE">
              <w:rPr>
                <w:b w:val="0"/>
                <w:sz w:val="24"/>
                <w:szCs w:val="24"/>
              </w:rPr>
              <w:t xml:space="preserve">§), kas nosaka tehniskās palīdzības specifiskos atbalsta mērķus </w:t>
            </w:r>
            <w:r w:rsidR="0076207F" w:rsidRPr="00BD19AE">
              <w:rPr>
                <w:b w:val="0"/>
                <w:sz w:val="24"/>
                <w:szCs w:val="24"/>
              </w:rPr>
              <w:t xml:space="preserve">ES fondu </w:t>
            </w:r>
            <w:r w:rsidR="00C433BB">
              <w:rPr>
                <w:b w:val="0"/>
                <w:sz w:val="24"/>
                <w:szCs w:val="24"/>
              </w:rPr>
              <w:t>2014.-2020.</w:t>
            </w:r>
            <w:r w:rsidRPr="00BD19AE">
              <w:rPr>
                <w:b w:val="0"/>
                <w:sz w:val="24"/>
                <w:szCs w:val="24"/>
              </w:rPr>
              <w:t>gada plānošanas periodā, ir izstrādāti šie noteikumi.</w:t>
            </w:r>
          </w:p>
          <w:p w14:paraId="0B7C0FD0" w14:textId="7F31799C" w:rsidR="004C731E" w:rsidRPr="00BD19AE" w:rsidRDefault="00C20021"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BD19AE">
              <w:rPr>
                <w:b w:val="0"/>
                <w:sz w:val="24"/>
                <w:szCs w:val="24"/>
              </w:rPr>
              <w:t>N</w:t>
            </w:r>
            <w:r w:rsidR="00335D25" w:rsidRPr="00BD19AE">
              <w:rPr>
                <w:b w:val="0"/>
                <w:sz w:val="24"/>
                <w:szCs w:val="24"/>
              </w:rPr>
              <w:t>oteikumu projekta mērķis</w:t>
            </w:r>
            <w:r w:rsidR="006613D6">
              <w:rPr>
                <w:b w:val="0"/>
                <w:sz w:val="24"/>
                <w:szCs w:val="24"/>
              </w:rPr>
              <w:t>,</w:t>
            </w:r>
            <w:r w:rsidR="00335D25" w:rsidRPr="00BD19AE">
              <w:rPr>
                <w:b w:val="0"/>
                <w:sz w:val="24"/>
                <w:szCs w:val="24"/>
              </w:rPr>
              <w:t xml:space="preserve"> līdzīgi kā </w:t>
            </w:r>
            <w:r w:rsidR="002609B6" w:rsidRPr="00BD19AE">
              <w:rPr>
                <w:b w:val="0"/>
                <w:sz w:val="24"/>
                <w:szCs w:val="24"/>
              </w:rPr>
              <w:t xml:space="preserve">ES fondu </w:t>
            </w:r>
            <w:r w:rsidR="00C433BB">
              <w:rPr>
                <w:b w:val="0"/>
                <w:sz w:val="24"/>
                <w:szCs w:val="24"/>
              </w:rPr>
              <w:t xml:space="preserve">  </w:t>
            </w:r>
            <w:r w:rsidR="002609B6" w:rsidRPr="00BD19AE">
              <w:rPr>
                <w:b w:val="0"/>
                <w:sz w:val="24"/>
                <w:szCs w:val="24"/>
              </w:rPr>
              <w:t>2007.-2013.gada</w:t>
            </w:r>
            <w:r w:rsidR="00A15EE4" w:rsidRPr="00BD19AE">
              <w:rPr>
                <w:b w:val="0"/>
                <w:sz w:val="24"/>
                <w:szCs w:val="24"/>
              </w:rPr>
              <w:t xml:space="preserve"> plānošanas periodā</w:t>
            </w:r>
            <w:r w:rsidR="006613D6">
              <w:rPr>
                <w:b w:val="0"/>
                <w:sz w:val="24"/>
                <w:szCs w:val="24"/>
              </w:rPr>
              <w:t>,</w:t>
            </w:r>
            <w:r w:rsidR="00A15EE4" w:rsidRPr="00BD19AE">
              <w:rPr>
                <w:b w:val="0"/>
                <w:sz w:val="24"/>
                <w:szCs w:val="24"/>
              </w:rPr>
              <w:t xml:space="preserve"> ir noteikt</w:t>
            </w:r>
            <w:r w:rsidR="00CD7CF0" w:rsidRPr="00BD19AE">
              <w:rPr>
                <w:b w:val="0"/>
                <w:sz w:val="24"/>
                <w:szCs w:val="24"/>
              </w:rPr>
              <w:t xml:space="preserve"> kārtību, kādā</w:t>
            </w:r>
            <w:r w:rsidR="00E92466" w:rsidRPr="00BD19AE">
              <w:rPr>
                <w:b w:val="0"/>
                <w:sz w:val="24"/>
                <w:szCs w:val="24"/>
              </w:rPr>
              <w:t xml:space="preserve"> tiek ieviest</w:t>
            </w:r>
            <w:r w:rsidR="009943F6" w:rsidRPr="00BD19AE">
              <w:rPr>
                <w:b w:val="0"/>
                <w:sz w:val="24"/>
                <w:szCs w:val="24"/>
              </w:rPr>
              <w:t>i</w:t>
            </w:r>
            <w:r w:rsidR="00E92466" w:rsidRPr="00BD19AE">
              <w:rPr>
                <w:b w:val="0"/>
                <w:sz w:val="24"/>
                <w:szCs w:val="24"/>
              </w:rPr>
              <w:t xml:space="preserve"> </w:t>
            </w:r>
            <w:r w:rsidR="00F571BA" w:rsidRPr="00BD19AE">
              <w:rPr>
                <w:b w:val="0"/>
                <w:sz w:val="24"/>
                <w:szCs w:val="24"/>
              </w:rPr>
              <w:t xml:space="preserve">ES fondu </w:t>
            </w:r>
            <w:r w:rsidR="00E92466" w:rsidRPr="00BD19AE">
              <w:rPr>
                <w:b w:val="0"/>
                <w:sz w:val="24"/>
                <w:szCs w:val="24"/>
              </w:rPr>
              <w:t xml:space="preserve">tehniskās palīdzības specifiskie atbalsta mērķi. </w:t>
            </w:r>
          </w:p>
          <w:p w14:paraId="33AAA95B" w14:textId="1BF52EA3" w:rsidR="004C731E" w:rsidRPr="00BD19AE" w:rsidRDefault="004F6F09"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BD19AE">
              <w:rPr>
                <w:b w:val="0"/>
                <w:sz w:val="24"/>
                <w:szCs w:val="24"/>
              </w:rPr>
              <w:t>Lai novērstu iespējamu normu interpretāciju attiecībā uz attiecināmajiem izdevumiem, n</w:t>
            </w:r>
            <w:r w:rsidR="005159BC" w:rsidRPr="00BD19AE">
              <w:rPr>
                <w:b w:val="0"/>
                <w:sz w:val="24"/>
                <w:szCs w:val="24"/>
              </w:rPr>
              <w:t xml:space="preserve">oteikumu projektā ir skaidri nodalītas </w:t>
            </w:r>
            <w:r w:rsidR="00E92466" w:rsidRPr="00BD19AE">
              <w:rPr>
                <w:b w:val="0"/>
                <w:sz w:val="24"/>
                <w:szCs w:val="24"/>
              </w:rPr>
              <w:t>atbalstāmās darbības no katra ES fonda.</w:t>
            </w:r>
            <w:r w:rsidR="007F45CD" w:rsidRPr="00BD19AE">
              <w:rPr>
                <w:b w:val="0"/>
                <w:sz w:val="24"/>
                <w:szCs w:val="24"/>
              </w:rPr>
              <w:t xml:space="preserve"> </w:t>
            </w:r>
            <w:r w:rsidR="008E261C" w:rsidRPr="00BD19AE">
              <w:rPr>
                <w:b w:val="0"/>
                <w:sz w:val="24"/>
                <w:szCs w:val="24"/>
              </w:rPr>
              <w:t>Tāpat ir</w:t>
            </w:r>
            <w:r w:rsidR="005159BC" w:rsidRPr="00BD19AE">
              <w:rPr>
                <w:b w:val="0"/>
                <w:sz w:val="24"/>
                <w:szCs w:val="24"/>
              </w:rPr>
              <w:t xml:space="preserve"> noteikta</w:t>
            </w:r>
            <w:r w:rsidR="007F45CD" w:rsidRPr="00BD19AE">
              <w:rPr>
                <w:b w:val="0"/>
                <w:sz w:val="24"/>
                <w:szCs w:val="24"/>
              </w:rPr>
              <w:t>s institūcijas</w:t>
            </w:r>
            <w:r w:rsidR="00E92466" w:rsidRPr="00BD19AE">
              <w:rPr>
                <w:b w:val="0"/>
                <w:sz w:val="24"/>
                <w:szCs w:val="24"/>
              </w:rPr>
              <w:t>, kuras sa</w:t>
            </w:r>
            <w:r w:rsidR="007F45CD" w:rsidRPr="00BD19AE">
              <w:rPr>
                <w:b w:val="0"/>
                <w:sz w:val="24"/>
                <w:szCs w:val="24"/>
              </w:rPr>
              <w:t>ņem atbalstu no konkr</w:t>
            </w:r>
            <w:r w:rsidR="00E600EC">
              <w:rPr>
                <w:b w:val="0"/>
                <w:sz w:val="24"/>
                <w:szCs w:val="24"/>
              </w:rPr>
              <w:t>ē</w:t>
            </w:r>
            <w:r w:rsidR="00E57CC3">
              <w:rPr>
                <w:b w:val="0"/>
                <w:sz w:val="24"/>
                <w:szCs w:val="24"/>
              </w:rPr>
              <w:t>ta</w:t>
            </w:r>
            <w:r w:rsidR="007F45CD" w:rsidRPr="00BD19AE">
              <w:rPr>
                <w:b w:val="0"/>
                <w:sz w:val="24"/>
                <w:szCs w:val="24"/>
              </w:rPr>
              <w:t xml:space="preserve"> ES fonda.</w:t>
            </w:r>
          </w:p>
          <w:p w14:paraId="50D9161B" w14:textId="33E9679B" w:rsidR="004C731E" w:rsidRPr="00BD19AE" w:rsidRDefault="005159BC"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BD19AE">
              <w:rPr>
                <w:b w:val="0"/>
                <w:sz w:val="24"/>
                <w:szCs w:val="24"/>
              </w:rPr>
              <w:t xml:space="preserve">Atšķirībā no ES fondu 2007.-2013.gada plānošanas perioda, jaunajā plānošanas periodā </w:t>
            </w:r>
            <w:r w:rsidR="00887E4B" w:rsidRPr="00BD19AE">
              <w:rPr>
                <w:b w:val="0"/>
                <w:sz w:val="24"/>
                <w:szCs w:val="24"/>
              </w:rPr>
              <w:t>atbalstāmās darbības un attiecināmās izmaksas tiek noteiktas katram ES fondam atsevišķi</w:t>
            </w:r>
            <w:r w:rsidR="004C731E" w:rsidRPr="00BD19AE">
              <w:rPr>
                <w:b w:val="0"/>
                <w:sz w:val="24"/>
                <w:szCs w:val="24"/>
              </w:rPr>
              <w:t xml:space="preserve"> (ka</w:t>
            </w:r>
            <w:r w:rsidR="00DB4C9E" w:rsidRPr="00BD19AE">
              <w:rPr>
                <w:b w:val="0"/>
                <w:sz w:val="24"/>
                <w:szCs w:val="24"/>
              </w:rPr>
              <w:t>tram specifiskajam atbalsta mērķ</w:t>
            </w:r>
            <w:r w:rsidR="004C731E" w:rsidRPr="00BD19AE">
              <w:rPr>
                <w:b w:val="0"/>
                <w:sz w:val="24"/>
                <w:szCs w:val="24"/>
              </w:rPr>
              <w:t>im)</w:t>
            </w:r>
            <w:r w:rsidR="00887E4B" w:rsidRPr="00BD19AE">
              <w:rPr>
                <w:b w:val="0"/>
                <w:sz w:val="24"/>
                <w:szCs w:val="24"/>
              </w:rPr>
              <w:t>, tādejādi norādot</w:t>
            </w:r>
            <w:r w:rsidR="00C433BB">
              <w:rPr>
                <w:b w:val="0"/>
                <w:sz w:val="24"/>
                <w:szCs w:val="24"/>
              </w:rPr>
              <w:t>,</w:t>
            </w:r>
            <w:r w:rsidR="00887E4B" w:rsidRPr="00BD19AE">
              <w:rPr>
                <w:b w:val="0"/>
                <w:sz w:val="24"/>
                <w:szCs w:val="24"/>
              </w:rPr>
              <w:t xml:space="preserve"> kādas funkcijas atba</w:t>
            </w:r>
            <w:r w:rsidR="004C731E" w:rsidRPr="00BD19AE">
              <w:rPr>
                <w:b w:val="0"/>
                <w:sz w:val="24"/>
                <w:szCs w:val="24"/>
              </w:rPr>
              <w:t>l</w:t>
            </w:r>
            <w:r w:rsidR="00887E4B" w:rsidRPr="00BD19AE">
              <w:rPr>
                <w:b w:val="0"/>
                <w:sz w:val="24"/>
                <w:szCs w:val="24"/>
              </w:rPr>
              <w:t>sta katrs ES fonds.</w:t>
            </w:r>
          </w:p>
          <w:p w14:paraId="16B7217C" w14:textId="6A932B33" w:rsidR="002B37D6" w:rsidRDefault="00684C8D"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BD19AE">
              <w:rPr>
                <w:b w:val="0"/>
                <w:sz w:val="24"/>
                <w:szCs w:val="24"/>
              </w:rPr>
              <w:t>Finanšu ministrija kā revīzijas iestāde gatavo savu</w:t>
            </w:r>
            <w:r w:rsidR="002B37D6" w:rsidRPr="00BD19AE">
              <w:rPr>
                <w:b w:val="0"/>
                <w:sz w:val="24"/>
                <w:szCs w:val="24"/>
              </w:rPr>
              <w:t xml:space="preserve"> atsevišķu</w:t>
            </w:r>
            <w:r w:rsidRPr="00BD19AE">
              <w:rPr>
                <w:b w:val="0"/>
                <w:sz w:val="24"/>
                <w:szCs w:val="24"/>
              </w:rPr>
              <w:t xml:space="preserve"> tehniskās palīdzības projekta iesniegumu.  </w:t>
            </w:r>
          </w:p>
          <w:p w14:paraId="280AD5CB" w14:textId="57DCFD47" w:rsidR="00E57CC3" w:rsidRPr="00BD19AE" w:rsidRDefault="00E57CC3"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A55400">
              <w:rPr>
                <w:b w:val="0"/>
                <w:sz w:val="24"/>
                <w:szCs w:val="24"/>
              </w:rPr>
              <w:t xml:space="preserve">Finanšu ministrija </w:t>
            </w:r>
            <w:r w:rsidR="00233D8E">
              <w:rPr>
                <w:b w:val="0"/>
                <w:sz w:val="24"/>
                <w:szCs w:val="24"/>
              </w:rPr>
              <w:t xml:space="preserve">kā vadošā iestāde </w:t>
            </w:r>
            <w:r w:rsidRPr="00A55400">
              <w:rPr>
                <w:b w:val="0"/>
                <w:sz w:val="24"/>
                <w:szCs w:val="24"/>
              </w:rPr>
              <w:t>gatavo</w:t>
            </w:r>
            <w:r>
              <w:rPr>
                <w:b w:val="0"/>
                <w:sz w:val="24"/>
                <w:szCs w:val="24"/>
              </w:rPr>
              <w:t xml:space="preserve"> savu atsevišķu tehniskās palīdzības projekta iesniegumu.</w:t>
            </w:r>
          </w:p>
          <w:p w14:paraId="766418A7" w14:textId="1A8E1EB1" w:rsidR="00684C8D" w:rsidRDefault="00684C8D"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016E0A">
              <w:rPr>
                <w:b w:val="0"/>
                <w:sz w:val="24"/>
                <w:szCs w:val="24"/>
              </w:rPr>
              <w:t>Finanšu ministrija kā vienīgais finansējuma saņēmējs Eiropas Sociālā fonda ietv</w:t>
            </w:r>
            <w:r w:rsidR="00222807">
              <w:rPr>
                <w:b w:val="0"/>
                <w:sz w:val="24"/>
                <w:szCs w:val="24"/>
              </w:rPr>
              <w:t>a</w:t>
            </w:r>
            <w:r w:rsidRPr="00016E0A">
              <w:rPr>
                <w:b w:val="0"/>
                <w:sz w:val="24"/>
                <w:szCs w:val="24"/>
              </w:rPr>
              <w:t>ros gatavo tehniskās palīdzības projekta iesniegumu 10.1.1. atbalsta mērķa „Palielināt K</w:t>
            </w:r>
            <w:r w:rsidR="00E600EC">
              <w:rPr>
                <w:b w:val="0"/>
                <w:sz w:val="24"/>
                <w:szCs w:val="24"/>
              </w:rPr>
              <w:t>ohēzijas politikas</w:t>
            </w:r>
            <w:r w:rsidRPr="00016E0A">
              <w:rPr>
                <w:b w:val="0"/>
                <w:sz w:val="24"/>
                <w:szCs w:val="24"/>
              </w:rPr>
              <w:t xml:space="preserve"> fondu izvērtēšanas kapacitāti”</w:t>
            </w:r>
            <w:r w:rsidR="00177133">
              <w:rPr>
                <w:b w:val="0"/>
                <w:sz w:val="24"/>
                <w:szCs w:val="24"/>
              </w:rPr>
              <w:t xml:space="preserve"> ietvaros. </w:t>
            </w:r>
            <w:r w:rsidRPr="00016E0A">
              <w:rPr>
                <w:b w:val="0"/>
                <w:sz w:val="24"/>
                <w:szCs w:val="24"/>
              </w:rPr>
              <w:t xml:space="preserve"> </w:t>
            </w:r>
          </w:p>
          <w:p w14:paraId="4153A42A" w14:textId="74D7ED3A" w:rsidR="009C0B2C" w:rsidRPr="00016E0A" w:rsidRDefault="001F4044"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016E0A">
              <w:rPr>
                <w:b w:val="0"/>
                <w:sz w:val="24"/>
                <w:szCs w:val="24"/>
              </w:rPr>
              <w:lastRenderedPageBreak/>
              <w:t>10.1.1. atbalsta mērķa „Palielināt K</w:t>
            </w:r>
            <w:r>
              <w:rPr>
                <w:b w:val="0"/>
                <w:sz w:val="24"/>
                <w:szCs w:val="24"/>
              </w:rPr>
              <w:t xml:space="preserve">ohēzijas </w:t>
            </w:r>
            <w:r w:rsidRPr="00A55400">
              <w:rPr>
                <w:b w:val="0"/>
                <w:sz w:val="24"/>
                <w:szCs w:val="24"/>
              </w:rPr>
              <w:t xml:space="preserve">politikas fondu izvērtēšanas kapacitāti” </w:t>
            </w:r>
            <w:r w:rsidR="00F152F9" w:rsidRPr="00A55400">
              <w:rPr>
                <w:b w:val="0"/>
                <w:sz w:val="24"/>
                <w:szCs w:val="24"/>
              </w:rPr>
              <w:t>projektā tik</w:t>
            </w:r>
            <w:r w:rsidR="007F487E" w:rsidRPr="00A55400">
              <w:rPr>
                <w:b w:val="0"/>
                <w:sz w:val="24"/>
                <w:szCs w:val="24"/>
              </w:rPr>
              <w:t>s</w:t>
            </w:r>
            <w:r w:rsidR="00F152F9" w:rsidRPr="00A55400">
              <w:rPr>
                <w:b w:val="0"/>
                <w:sz w:val="24"/>
                <w:szCs w:val="24"/>
              </w:rPr>
              <w:t xml:space="preserve"> iekļautas atbalstāmās darbības, lai nodrošinātu ES fondu izvērtēšanas organizēšanu atbilstoši M</w:t>
            </w:r>
            <w:r w:rsidR="00ED556C">
              <w:rPr>
                <w:b w:val="0"/>
                <w:sz w:val="24"/>
                <w:szCs w:val="24"/>
              </w:rPr>
              <w:t>inistru kabineta</w:t>
            </w:r>
            <w:r w:rsidR="00F152F9" w:rsidRPr="00A55400">
              <w:rPr>
                <w:b w:val="0"/>
                <w:sz w:val="24"/>
                <w:szCs w:val="24"/>
              </w:rPr>
              <w:t xml:space="preserve"> noteikumos</w:t>
            </w:r>
            <w:r w:rsidR="00ED556C">
              <w:rPr>
                <w:b w:val="0"/>
                <w:sz w:val="24"/>
                <w:szCs w:val="24"/>
              </w:rPr>
              <w:t xml:space="preserve"> Nr.108</w:t>
            </w:r>
            <w:r w:rsidR="00F152F9" w:rsidRPr="00A55400">
              <w:rPr>
                <w:rStyle w:val="FootnoteReference"/>
                <w:b w:val="0"/>
                <w:sz w:val="24"/>
                <w:szCs w:val="24"/>
              </w:rPr>
              <w:footnoteReference w:id="3"/>
            </w:r>
            <w:r w:rsidR="00F152F9" w:rsidRPr="00A55400">
              <w:rPr>
                <w:b w:val="0"/>
                <w:sz w:val="24"/>
                <w:szCs w:val="24"/>
              </w:rPr>
              <w:t xml:space="preserve"> </w:t>
            </w:r>
            <w:r w:rsidR="00975321" w:rsidRPr="00A55400">
              <w:rPr>
                <w:b w:val="0"/>
                <w:sz w:val="24"/>
                <w:szCs w:val="24"/>
              </w:rPr>
              <w:t xml:space="preserve">un </w:t>
            </w:r>
            <w:r w:rsidR="00F152F9" w:rsidRPr="00A55400">
              <w:rPr>
                <w:b w:val="0"/>
                <w:sz w:val="24"/>
                <w:szCs w:val="24"/>
              </w:rPr>
              <w:t>ES fondu</w:t>
            </w:r>
            <w:r w:rsidR="009C190D">
              <w:rPr>
                <w:b w:val="0"/>
                <w:sz w:val="24"/>
                <w:szCs w:val="24"/>
              </w:rPr>
              <w:t xml:space="preserve"> Izvērtēšanas plānā 2014.–2020.</w:t>
            </w:r>
            <w:r w:rsidR="00F152F9" w:rsidRPr="00A55400">
              <w:rPr>
                <w:b w:val="0"/>
                <w:sz w:val="24"/>
                <w:szCs w:val="24"/>
              </w:rPr>
              <w:t xml:space="preserve">gadam </w:t>
            </w:r>
            <w:r w:rsidR="00975321" w:rsidRPr="00A55400">
              <w:rPr>
                <w:b w:val="0"/>
                <w:sz w:val="24"/>
                <w:szCs w:val="24"/>
              </w:rPr>
              <w:t xml:space="preserve">un ikgadējos izvērtēšanas plānos </w:t>
            </w:r>
            <w:r w:rsidRPr="00A55400">
              <w:rPr>
                <w:b w:val="0"/>
                <w:sz w:val="24"/>
                <w:szCs w:val="24"/>
              </w:rPr>
              <w:t xml:space="preserve">noteiktajam. </w:t>
            </w:r>
            <w:r w:rsidR="00975321" w:rsidRPr="00A55400">
              <w:rPr>
                <w:b w:val="0"/>
                <w:sz w:val="24"/>
                <w:szCs w:val="24"/>
              </w:rPr>
              <w:t>Finanšu ministrija</w:t>
            </w:r>
            <w:r w:rsidRPr="00A55400">
              <w:rPr>
                <w:b w:val="0"/>
                <w:sz w:val="24"/>
                <w:szCs w:val="24"/>
              </w:rPr>
              <w:t>,  ievērojot Publisko iepirkumu likuma prasības,</w:t>
            </w:r>
            <w:r w:rsidR="00975321" w:rsidRPr="00A55400">
              <w:rPr>
                <w:b w:val="0"/>
                <w:sz w:val="24"/>
                <w:szCs w:val="24"/>
              </w:rPr>
              <w:t xml:space="preserve"> organizē</w:t>
            </w:r>
            <w:r w:rsidR="007F487E" w:rsidRPr="00A55400">
              <w:rPr>
                <w:b w:val="0"/>
                <w:sz w:val="24"/>
                <w:szCs w:val="24"/>
              </w:rPr>
              <w:t>s</w:t>
            </w:r>
            <w:r w:rsidR="00975321" w:rsidRPr="00A55400">
              <w:rPr>
                <w:b w:val="0"/>
                <w:sz w:val="24"/>
                <w:szCs w:val="24"/>
              </w:rPr>
              <w:t xml:space="preserve"> nepieciešamo iepirkumu veikšanu  izvērtēšanas nodrošināšanai</w:t>
            </w:r>
            <w:r w:rsidRPr="00A55400">
              <w:rPr>
                <w:b w:val="0"/>
                <w:sz w:val="24"/>
                <w:szCs w:val="24"/>
              </w:rPr>
              <w:t>.</w:t>
            </w:r>
          </w:p>
          <w:p w14:paraId="4C08AC7B" w14:textId="1AB4BB5D" w:rsidR="008A41D2" w:rsidRDefault="002B37D6" w:rsidP="008A41D2">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64586E">
              <w:rPr>
                <w:b w:val="0"/>
                <w:sz w:val="24"/>
                <w:szCs w:val="24"/>
              </w:rPr>
              <w:t xml:space="preserve">Kohēzijas </w:t>
            </w:r>
            <w:r w:rsidR="00F530C7" w:rsidRPr="0064586E">
              <w:rPr>
                <w:b w:val="0"/>
                <w:sz w:val="24"/>
                <w:szCs w:val="24"/>
              </w:rPr>
              <w:t>politikas</w:t>
            </w:r>
            <w:r w:rsidR="00ED556C">
              <w:rPr>
                <w:b w:val="0"/>
                <w:sz w:val="24"/>
                <w:szCs w:val="24"/>
              </w:rPr>
              <w:t xml:space="preserve"> fondu</w:t>
            </w:r>
            <w:r w:rsidR="00F530C7" w:rsidRPr="0064586E">
              <w:rPr>
                <w:b w:val="0"/>
                <w:sz w:val="24"/>
                <w:szCs w:val="24"/>
              </w:rPr>
              <w:t xml:space="preserve"> </w:t>
            </w:r>
            <w:r w:rsidR="00DF2501">
              <w:rPr>
                <w:b w:val="0"/>
                <w:sz w:val="24"/>
                <w:szCs w:val="24"/>
              </w:rPr>
              <w:t>v</w:t>
            </w:r>
            <w:r w:rsidRPr="0064586E">
              <w:rPr>
                <w:b w:val="0"/>
                <w:sz w:val="24"/>
                <w:szCs w:val="24"/>
              </w:rPr>
              <w:t>ad</w:t>
            </w:r>
            <w:r w:rsidR="00F530C7" w:rsidRPr="0064586E">
              <w:rPr>
                <w:b w:val="0"/>
                <w:sz w:val="24"/>
                <w:szCs w:val="24"/>
              </w:rPr>
              <w:t>ības informāc</w:t>
            </w:r>
            <w:r w:rsidRPr="0064586E">
              <w:rPr>
                <w:b w:val="0"/>
                <w:sz w:val="24"/>
                <w:szCs w:val="24"/>
              </w:rPr>
              <w:t>ijas sistēmas</w:t>
            </w:r>
            <w:r w:rsidR="00E600EC">
              <w:rPr>
                <w:b w:val="0"/>
                <w:sz w:val="24"/>
                <w:szCs w:val="24"/>
              </w:rPr>
              <w:t xml:space="preserve"> 2014.-2020.gadam</w:t>
            </w:r>
            <w:r w:rsidRPr="0064586E">
              <w:rPr>
                <w:b w:val="0"/>
                <w:sz w:val="24"/>
                <w:szCs w:val="24"/>
              </w:rPr>
              <w:t xml:space="preserve"> izmaksas savā tehniskās palīdzības projektā plāno tikai Finanšu ministrija kā vado</w:t>
            </w:r>
            <w:r w:rsidR="001E35DD">
              <w:rPr>
                <w:b w:val="0"/>
                <w:sz w:val="24"/>
                <w:szCs w:val="24"/>
              </w:rPr>
              <w:t>š</w:t>
            </w:r>
            <w:r w:rsidR="00F530C7" w:rsidRPr="0064586E">
              <w:rPr>
                <w:b w:val="0"/>
                <w:sz w:val="24"/>
                <w:szCs w:val="24"/>
              </w:rPr>
              <w:t>ā iestā</w:t>
            </w:r>
            <w:r w:rsidRPr="0064586E">
              <w:rPr>
                <w:b w:val="0"/>
                <w:sz w:val="24"/>
                <w:szCs w:val="24"/>
              </w:rPr>
              <w:t>de un Centrālā finanšu un līgumu aģentūra kā sadarb</w:t>
            </w:r>
            <w:r w:rsidR="00F530C7" w:rsidRPr="0064586E">
              <w:rPr>
                <w:b w:val="0"/>
                <w:sz w:val="24"/>
                <w:szCs w:val="24"/>
              </w:rPr>
              <w:t>ības iestā</w:t>
            </w:r>
            <w:r w:rsidRPr="0064586E">
              <w:rPr>
                <w:b w:val="0"/>
                <w:sz w:val="24"/>
                <w:szCs w:val="24"/>
              </w:rPr>
              <w:t>de.</w:t>
            </w:r>
            <w:r w:rsidR="00F530C7" w:rsidRPr="0064586E">
              <w:rPr>
                <w:b w:val="0"/>
                <w:sz w:val="24"/>
                <w:szCs w:val="24"/>
              </w:rPr>
              <w:t xml:space="preserve"> </w:t>
            </w:r>
            <w:r w:rsidRPr="0064586E">
              <w:rPr>
                <w:b w:val="0"/>
                <w:sz w:val="24"/>
                <w:szCs w:val="24"/>
              </w:rPr>
              <w:t xml:space="preserve"> </w:t>
            </w:r>
          </w:p>
          <w:p w14:paraId="7F46A7F6" w14:textId="03CDC5A7" w:rsidR="004278E2" w:rsidRPr="008A41D2" w:rsidRDefault="004278E2" w:rsidP="00E4726D">
            <w:pPr>
              <w:pStyle w:val="Heading3"/>
              <w:numPr>
                <w:ilvl w:val="0"/>
                <w:numId w:val="3"/>
              </w:numPr>
              <w:shd w:val="clear" w:color="auto" w:fill="FFFFFF"/>
              <w:tabs>
                <w:tab w:val="left" w:pos="469"/>
              </w:tabs>
              <w:spacing w:before="120" w:beforeAutospacing="0" w:after="0" w:afterAutospacing="0"/>
              <w:ind w:left="427" w:right="57"/>
              <w:jc w:val="both"/>
              <w:rPr>
                <w:b w:val="0"/>
                <w:sz w:val="24"/>
                <w:szCs w:val="24"/>
              </w:rPr>
            </w:pPr>
            <w:r w:rsidRPr="008A41D2">
              <w:rPr>
                <w:b w:val="0"/>
                <w:sz w:val="24"/>
                <w:szCs w:val="24"/>
              </w:rPr>
              <w:t>Ministru kabineta noteikumu projekts nosaka:</w:t>
            </w:r>
          </w:p>
          <w:p w14:paraId="70FEE756" w14:textId="2284AAD7" w:rsidR="00E4726D" w:rsidRDefault="004278E2" w:rsidP="00E4726D">
            <w:pPr>
              <w:pStyle w:val="ListParagraph"/>
              <w:numPr>
                <w:ilvl w:val="0"/>
                <w:numId w:val="4"/>
              </w:numPr>
              <w:spacing w:after="0" w:line="240" w:lineRule="auto"/>
              <w:ind w:left="427" w:hanging="284"/>
              <w:jc w:val="both"/>
              <w:rPr>
                <w:rFonts w:ascii="Times New Roman" w:hAnsi="Times New Roman" w:cs="Times New Roman"/>
                <w:sz w:val="24"/>
                <w:szCs w:val="24"/>
              </w:rPr>
            </w:pPr>
            <w:r w:rsidRPr="0064586E">
              <w:rPr>
                <w:rFonts w:ascii="Times New Roman" w:hAnsi="Times New Roman" w:cs="Times New Roman"/>
                <w:sz w:val="24"/>
                <w:szCs w:val="24"/>
              </w:rPr>
              <w:t>tehniskās palīdzības projektu īstenošanas nos</w:t>
            </w:r>
            <w:r w:rsidR="00DB4C9E" w:rsidRPr="0064586E">
              <w:rPr>
                <w:rFonts w:ascii="Times New Roman" w:hAnsi="Times New Roman" w:cs="Times New Roman"/>
                <w:sz w:val="24"/>
                <w:szCs w:val="24"/>
              </w:rPr>
              <w:t>acījumus (finansējuma saņēmējus</w:t>
            </w:r>
            <w:r w:rsidR="00FE59CF" w:rsidRPr="0064586E">
              <w:rPr>
                <w:rFonts w:ascii="Times New Roman" w:hAnsi="Times New Roman" w:cs="Times New Roman"/>
                <w:sz w:val="24"/>
                <w:szCs w:val="24"/>
              </w:rPr>
              <w:t>,</w:t>
            </w:r>
            <w:r w:rsidR="0028042E">
              <w:rPr>
                <w:rFonts w:ascii="Times New Roman" w:hAnsi="Times New Roman" w:cs="Times New Roman"/>
                <w:sz w:val="24"/>
                <w:szCs w:val="24"/>
              </w:rPr>
              <w:t xml:space="preserve"> attiecināmo</w:t>
            </w:r>
            <w:r w:rsidR="004C731E" w:rsidRPr="0064586E">
              <w:rPr>
                <w:rFonts w:ascii="Times New Roman" w:hAnsi="Times New Roman" w:cs="Times New Roman"/>
                <w:sz w:val="24"/>
                <w:szCs w:val="24"/>
              </w:rPr>
              <w:t xml:space="preserve"> izmaksu pozīcijas</w:t>
            </w:r>
            <w:r w:rsidRPr="0064586E">
              <w:rPr>
                <w:rFonts w:ascii="Times New Roman" w:hAnsi="Times New Roman" w:cs="Times New Roman"/>
                <w:sz w:val="24"/>
                <w:szCs w:val="24"/>
              </w:rPr>
              <w:t xml:space="preserve">, </w:t>
            </w:r>
            <w:r w:rsidR="004C731E" w:rsidRPr="0064586E">
              <w:rPr>
                <w:rFonts w:ascii="Times New Roman" w:hAnsi="Times New Roman" w:cs="Times New Roman"/>
                <w:sz w:val="24"/>
                <w:szCs w:val="24"/>
              </w:rPr>
              <w:t>specifisko atbalsta mērķu</w:t>
            </w:r>
            <w:r w:rsidRPr="0064586E">
              <w:rPr>
                <w:rFonts w:ascii="Times New Roman" w:hAnsi="Times New Roman" w:cs="Times New Roman"/>
                <w:sz w:val="24"/>
                <w:szCs w:val="24"/>
              </w:rPr>
              <w:t xml:space="preserve"> īstenošanas periodu u.c. jautājumus); </w:t>
            </w:r>
          </w:p>
          <w:p w14:paraId="052780C0" w14:textId="77777777" w:rsidR="00E4726D" w:rsidRDefault="004278E2" w:rsidP="00E4726D">
            <w:pPr>
              <w:pStyle w:val="ListParagraph"/>
              <w:numPr>
                <w:ilvl w:val="0"/>
                <w:numId w:val="4"/>
              </w:numPr>
              <w:spacing w:after="0" w:line="240" w:lineRule="auto"/>
              <w:ind w:left="427" w:hanging="284"/>
              <w:jc w:val="both"/>
              <w:rPr>
                <w:rFonts w:ascii="Times New Roman" w:hAnsi="Times New Roman" w:cs="Times New Roman"/>
                <w:sz w:val="24"/>
                <w:szCs w:val="24"/>
              </w:rPr>
            </w:pPr>
            <w:r w:rsidRPr="00E4726D">
              <w:rPr>
                <w:rFonts w:ascii="Times New Roman" w:hAnsi="Times New Roman" w:cs="Times New Roman"/>
                <w:sz w:val="24"/>
                <w:szCs w:val="24"/>
              </w:rPr>
              <w:t>pieejamo tehniskās palīdzības finansējumu</w:t>
            </w:r>
            <w:r w:rsidR="00B23443" w:rsidRPr="00E4726D">
              <w:rPr>
                <w:rFonts w:ascii="Times New Roman" w:hAnsi="Times New Roman" w:cs="Times New Roman"/>
                <w:sz w:val="24"/>
                <w:szCs w:val="24"/>
              </w:rPr>
              <w:t>;</w:t>
            </w:r>
          </w:p>
          <w:p w14:paraId="228406F1" w14:textId="77777777" w:rsidR="00E4726D" w:rsidRPr="00E4726D" w:rsidRDefault="00580BB3" w:rsidP="00E4726D">
            <w:pPr>
              <w:pStyle w:val="ListParagraph"/>
              <w:numPr>
                <w:ilvl w:val="0"/>
                <w:numId w:val="4"/>
              </w:numPr>
              <w:spacing w:after="0" w:line="240" w:lineRule="auto"/>
              <w:ind w:left="427" w:hanging="284"/>
              <w:jc w:val="both"/>
              <w:rPr>
                <w:rFonts w:ascii="Times New Roman" w:hAnsi="Times New Roman" w:cs="Times New Roman"/>
                <w:sz w:val="24"/>
                <w:szCs w:val="24"/>
              </w:rPr>
            </w:pPr>
            <w:r w:rsidRPr="00E4726D">
              <w:rPr>
                <w:rFonts w:ascii="Times New Roman" w:eastAsia="Times New Roman" w:hAnsi="Times New Roman" w:cs="Times New Roman"/>
                <w:sz w:val="24"/>
                <w:szCs w:val="24"/>
              </w:rPr>
              <w:t>atbalsta mērķus un mērķa grupas;</w:t>
            </w:r>
          </w:p>
          <w:p w14:paraId="31BD1801" w14:textId="3552C3F2" w:rsidR="00E4726D" w:rsidRDefault="0076207F" w:rsidP="00E4726D">
            <w:pPr>
              <w:pStyle w:val="ListParagraph"/>
              <w:numPr>
                <w:ilvl w:val="0"/>
                <w:numId w:val="4"/>
              </w:numPr>
              <w:spacing w:after="0" w:line="240" w:lineRule="auto"/>
              <w:ind w:left="427" w:hanging="284"/>
              <w:jc w:val="both"/>
              <w:rPr>
                <w:rFonts w:ascii="Times New Roman" w:hAnsi="Times New Roman" w:cs="Times New Roman"/>
                <w:sz w:val="24"/>
                <w:szCs w:val="24"/>
              </w:rPr>
            </w:pPr>
            <w:r w:rsidRPr="00E4726D">
              <w:rPr>
                <w:rFonts w:ascii="Times New Roman" w:hAnsi="Times New Roman" w:cs="Times New Roman"/>
                <w:sz w:val="24"/>
                <w:szCs w:val="24"/>
              </w:rPr>
              <w:t>ES fondu</w:t>
            </w:r>
            <w:r w:rsidRPr="00E4726D">
              <w:rPr>
                <w:rFonts w:ascii="Times New Roman" w:hAnsi="Times New Roman" w:cs="Times New Roman"/>
                <w:b/>
                <w:sz w:val="24"/>
                <w:szCs w:val="24"/>
              </w:rPr>
              <w:t xml:space="preserve"> </w:t>
            </w:r>
            <w:r w:rsidR="009C190D">
              <w:rPr>
                <w:rFonts w:ascii="Times New Roman" w:hAnsi="Times New Roman" w:cs="Times New Roman"/>
                <w:sz w:val="24"/>
                <w:szCs w:val="24"/>
              </w:rPr>
              <w:t>2007.-2013.</w:t>
            </w:r>
            <w:r w:rsidR="00CE16BB" w:rsidRPr="00E4726D">
              <w:rPr>
                <w:rFonts w:ascii="Times New Roman" w:hAnsi="Times New Roman" w:cs="Times New Roman"/>
                <w:sz w:val="24"/>
                <w:szCs w:val="24"/>
              </w:rPr>
              <w:t xml:space="preserve">gada plānošanas perioda </w:t>
            </w:r>
            <w:r w:rsidR="00E66391" w:rsidRPr="00E4726D">
              <w:rPr>
                <w:rFonts w:ascii="Times New Roman" w:hAnsi="Times New Roman" w:cs="Times New Roman"/>
                <w:sz w:val="24"/>
                <w:szCs w:val="24"/>
              </w:rPr>
              <w:t>slēgšanas nodrošināšanai</w:t>
            </w:r>
            <w:r w:rsidR="00DB4C9E" w:rsidRPr="00E4726D">
              <w:rPr>
                <w:rFonts w:ascii="Times New Roman" w:hAnsi="Times New Roman" w:cs="Times New Roman"/>
                <w:sz w:val="24"/>
                <w:szCs w:val="24"/>
              </w:rPr>
              <w:t xml:space="preserve"> nep</w:t>
            </w:r>
            <w:r w:rsidR="00CE16BB" w:rsidRPr="00E4726D">
              <w:rPr>
                <w:rFonts w:ascii="Times New Roman" w:hAnsi="Times New Roman" w:cs="Times New Roman"/>
                <w:sz w:val="24"/>
                <w:szCs w:val="24"/>
              </w:rPr>
              <w:t>i</w:t>
            </w:r>
            <w:r w:rsidR="00DB4C9E" w:rsidRPr="00E4726D">
              <w:rPr>
                <w:rFonts w:ascii="Times New Roman" w:hAnsi="Times New Roman" w:cs="Times New Roman"/>
                <w:sz w:val="24"/>
                <w:szCs w:val="24"/>
              </w:rPr>
              <w:t>e</w:t>
            </w:r>
            <w:r w:rsidR="00E66391" w:rsidRPr="00E4726D">
              <w:rPr>
                <w:rFonts w:ascii="Times New Roman" w:hAnsi="Times New Roman" w:cs="Times New Roman"/>
                <w:sz w:val="24"/>
                <w:szCs w:val="24"/>
              </w:rPr>
              <w:t>ciešamos</w:t>
            </w:r>
            <w:r w:rsidR="00CE16BB" w:rsidRPr="00E4726D">
              <w:rPr>
                <w:rFonts w:ascii="Times New Roman" w:hAnsi="Times New Roman" w:cs="Times New Roman"/>
                <w:sz w:val="24"/>
                <w:szCs w:val="24"/>
              </w:rPr>
              <w:t xml:space="preserve"> tehniskās palīdzības </w:t>
            </w:r>
            <w:r w:rsidR="00E66391" w:rsidRPr="00E4726D">
              <w:rPr>
                <w:rFonts w:ascii="Times New Roman" w:hAnsi="Times New Roman" w:cs="Times New Roman"/>
                <w:sz w:val="24"/>
                <w:szCs w:val="24"/>
              </w:rPr>
              <w:t>līdzekļus</w:t>
            </w:r>
            <w:r w:rsidR="00DB4C9E" w:rsidRPr="00E4726D">
              <w:rPr>
                <w:rFonts w:ascii="Times New Roman" w:hAnsi="Times New Roman" w:cs="Times New Roman"/>
                <w:sz w:val="24"/>
                <w:szCs w:val="24"/>
              </w:rPr>
              <w:t xml:space="preserve">, nosakot </w:t>
            </w:r>
            <w:r w:rsidR="00CE16BB" w:rsidRPr="00E4726D">
              <w:rPr>
                <w:rFonts w:ascii="Times New Roman" w:hAnsi="Times New Roman" w:cs="Times New Roman"/>
                <w:sz w:val="24"/>
                <w:szCs w:val="24"/>
              </w:rPr>
              <w:t>atbilstošu</w:t>
            </w:r>
            <w:r w:rsidR="0064586E" w:rsidRPr="00E4726D">
              <w:rPr>
                <w:rFonts w:ascii="Times New Roman" w:hAnsi="Times New Roman" w:cs="Times New Roman"/>
                <w:sz w:val="24"/>
                <w:szCs w:val="24"/>
              </w:rPr>
              <w:t xml:space="preserve">s </w:t>
            </w:r>
            <w:proofErr w:type="spellStart"/>
            <w:r w:rsidR="0064586E" w:rsidRPr="00E4726D">
              <w:rPr>
                <w:rFonts w:ascii="Times New Roman" w:hAnsi="Times New Roman" w:cs="Times New Roman"/>
                <w:sz w:val="24"/>
                <w:szCs w:val="24"/>
              </w:rPr>
              <w:t>attiecināmības</w:t>
            </w:r>
            <w:proofErr w:type="spellEnd"/>
            <w:r w:rsidR="0064586E" w:rsidRPr="00E4726D">
              <w:rPr>
                <w:rFonts w:ascii="Times New Roman" w:hAnsi="Times New Roman" w:cs="Times New Roman"/>
                <w:sz w:val="24"/>
                <w:szCs w:val="24"/>
              </w:rPr>
              <w:t xml:space="preserve"> pamatprincipus;</w:t>
            </w:r>
          </w:p>
          <w:p w14:paraId="0BE65E00" w14:textId="57FC586F" w:rsidR="0028042E" w:rsidRPr="00ED01C8" w:rsidRDefault="005F464D" w:rsidP="00ED01C8">
            <w:pPr>
              <w:pStyle w:val="ListParagraph"/>
              <w:numPr>
                <w:ilvl w:val="0"/>
                <w:numId w:val="4"/>
              </w:numPr>
              <w:spacing w:after="0" w:line="240" w:lineRule="auto"/>
              <w:ind w:left="427" w:hanging="284"/>
              <w:jc w:val="both"/>
              <w:rPr>
                <w:rFonts w:ascii="Times New Roman" w:hAnsi="Times New Roman" w:cs="Times New Roman"/>
                <w:sz w:val="24"/>
                <w:szCs w:val="24"/>
              </w:rPr>
            </w:pPr>
            <w:proofErr w:type="spellStart"/>
            <w:r w:rsidRPr="00E4726D">
              <w:rPr>
                <w:rFonts w:ascii="Times New Roman" w:hAnsi="Times New Roman" w:cs="Times New Roman"/>
                <w:sz w:val="24"/>
                <w:szCs w:val="24"/>
              </w:rPr>
              <w:t>d</w:t>
            </w:r>
            <w:r w:rsidR="00757A25" w:rsidRPr="00E4726D">
              <w:rPr>
                <w:rFonts w:ascii="Times New Roman" w:hAnsi="Times New Roman" w:cs="Times New Roman"/>
                <w:sz w:val="24"/>
                <w:szCs w:val="24"/>
              </w:rPr>
              <w:t>aļlaika</w:t>
            </w:r>
            <w:proofErr w:type="spellEnd"/>
            <w:r w:rsidR="00757A25" w:rsidRPr="00E4726D">
              <w:rPr>
                <w:rFonts w:ascii="Times New Roman" w:hAnsi="Times New Roman" w:cs="Times New Roman"/>
                <w:sz w:val="24"/>
                <w:szCs w:val="24"/>
              </w:rPr>
              <w:t xml:space="preserve"> noslodzes principu piemērošanu, nosakot atbilstošus </w:t>
            </w:r>
            <w:proofErr w:type="spellStart"/>
            <w:r w:rsidR="00757A25" w:rsidRPr="00E4726D">
              <w:rPr>
                <w:rFonts w:ascii="Times New Roman" w:hAnsi="Times New Roman" w:cs="Times New Roman"/>
                <w:sz w:val="24"/>
                <w:szCs w:val="24"/>
              </w:rPr>
              <w:t>attiecināmības</w:t>
            </w:r>
            <w:proofErr w:type="spellEnd"/>
            <w:r w:rsidR="00757A25" w:rsidRPr="00E4726D">
              <w:rPr>
                <w:rFonts w:ascii="Times New Roman" w:hAnsi="Times New Roman" w:cs="Times New Roman"/>
                <w:sz w:val="24"/>
                <w:szCs w:val="24"/>
              </w:rPr>
              <w:t xml:space="preserve"> pamatprincipus.</w:t>
            </w:r>
          </w:p>
          <w:p w14:paraId="1EA1081D" w14:textId="0C3595F8" w:rsidR="009C190D" w:rsidRPr="00ED01C8" w:rsidRDefault="00184AED" w:rsidP="00ED01C8">
            <w:pPr>
              <w:pStyle w:val="ListParagraph"/>
              <w:numPr>
                <w:ilvl w:val="0"/>
                <w:numId w:val="3"/>
              </w:numPr>
              <w:spacing w:after="0" w:line="240" w:lineRule="auto"/>
              <w:ind w:left="427" w:hanging="425"/>
              <w:jc w:val="both"/>
              <w:rPr>
                <w:rFonts w:ascii="Times New Roman" w:hAnsi="Times New Roman" w:cs="Times New Roman"/>
                <w:sz w:val="24"/>
                <w:szCs w:val="24"/>
              </w:rPr>
            </w:pPr>
            <w:r w:rsidRPr="0028042E">
              <w:rPr>
                <w:rFonts w:ascii="Times New Roman" w:hAnsi="Times New Roman" w:cs="Times New Roman"/>
                <w:sz w:val="24"/>
                <w:szCs w:val="24"/>
              </w:rPr>
              <w:t xml:space="preserve">Tiesiskā regulējuma mērķis ir nodrošināt </w:t>
            </w:r>
            <w:r w:rsidR="0012464B" w:rsidRPr="0028042E">
              <w:rPr>
                <w:rFonts w:ascii="Times New Roman" w:hAnsi="Times New Roman" w:cs="Times New Roman"/>
                <w:sz w:val="24"/>
                <w:szCs w:val="24"/>
              </w:rPr>
              <w:t>ES</w:t>
            </w:r>
            <w:r w:rsidRPr="0028042E">
              <w:rPr>
                <w:rFonts w:ascii="Times New Roman" w:hAnsi="Times New Roman" w:cs="Times New Roman"/>
                <w:sz w:val="24"/>
                <w:szCs w:val="24"/>
              </w:rPr>
              <w:t xml:space="preserve"> fondu tehniskās palīdzības specifisko atbalsta mērķu īstenošanu laika posmā no 201</w:t>
            </w:r>
            <w:r w:rsidR="000D4D06" w:rsidRPr="0028042E">
              <w:rPr>
                <w:rFonts w:ascii="Times New Roman" w:hAnsi="Times New Roman" w:cs="Times New Roman"/>
                <w:sz w:val="24"/>
                <w:szCs w:val="24"/>
              </w:rPr>
              <w:t>5</w:t>
            </w:r>
            <w:r w:rsidRPr="0028042E">
              <w:rPr>
                <w:rFonts w:ascii="Times New Roman" w:hAnsi="Times New Roman" w:cs="Times New Roman"/>
                <w:sz w:val="24"/>
                <w:szCs w:val="24"/>
              </w:rPr>
              <w:t>.gada 1.</w:t>
            </w:r>
            <w:r w:rsidR="003D3C00" w:rsidRPr="0028042E">
              <w:rPr>
                <w:rFonts w:ascii="Times New Roman" w:hAnsi="Times New Roman" w:cs="Times New Roman"/>
                <w:sz w:val="24"/>
                <w:szCs w:val="24"/>
              </w:rPr>
              <w:t>janvāra līdz 2018</w:t>
            </w:r>
            <w:r w:rsidR="00DB4C9E" w:rsidRPr="0028042E">
              <w:rPr>
                <w:rFonts w:ascii="Times New Roman" w:hAnsi="Times New Roman" w:cs="Times New Roman"/>
                <w:sz w:val="24"/>
                <w:szCs w:val="24"/>
              </w:rPr>
              <w:t>.gada 31.</w:t>
            </w:r>
            <w:r w:rsidR="003D3C00" w:rsidRPr="0028042E">
              <w:rPr>
                <w:rFonts w:ascii="Times New Roman" w:hAnsi="Times New Roman" w:cs="Times New Roman"/>
                <w:sz w:val="24"/>
                <w:szCs w:val="24"/>
              </w:rPr>
              <w:t>decembrim</w:t>
            </w:r>
            <w:r w:rsidRPr="0028042E">
              <w:rPr>
                <w:rFonts w:ascii="Times New Roman" w:hAnsi="Times New Roman" w:cs="Times New Roman"/>
                <w:sz w:val="24"/>
                <w:szCs w:val="24"/>
              </w:rPr>
              <w:t>.</w:t>
            </w:r>
          </w:p>
          <w:p w14:paraId="22C0F5D0" w14:textId="32B69542" w:rsidR="009C190D" w:rsidRPr="00ED01C8" w:rsidRDefault="00BC6C97" w:rsidP="00ED01C8">
            <w:pPr>
              <w:pStyle w:val="ListParagraph"/>
              <w:numPr>
                <w:ilvl w:val="0"/>
                <w:numId w:val="3"/>
              </w:numPr>
              <w:spacing w:after="0" w:line="240" w:lineRule="auto"/>
              <w:ind w:left="427" w:hanging="425"/>
              <w:jc w:val="both"/>
              <w:rPr>
                <w:rFonts w:ascii="Times New Roman" w:hAnsi="Times New Roman" w:cs="Times New Roman"/>
                <w:sz w:val="24"/>
                <w:szCs w:val="24"/>
              </w:rPr>
            </w:pPr>
            <w:r w:rsidRPr="0028042E">
              <w:rPr>
                <w:rFonts w:ascii="Times New Roman" w:hAnsi="Times New Roman" w:cs="Times New Roman"/>
                <w:sz w:val="24"/>
                <w:szCs w:val="24"/>
              </w:rPr>
              <w:t>Projektu iesniegumu vērtēšanas kritēriji un projekta iesniegumu veidlapa būs pieejama tehniskās palīdzības specifisko atbalsta mērķu projektu iesniegumu atlases nolikumā, ko izstrādā sadarbības iestāde.</w:t>
            </w:r>
            <w:r w:rsidR="00567E5D" w:rsidRPr="0028042E">
              <w:rPr>
                <w:rFonts w:ascii="Times New Roman" w:hAnsi="Times New Roman" w:cs="Times New Roman"/>
                <w:sz w:val="24"/>
                <w:szCs w:val="24"/>
              </w:rPr>
              <w:t xml:space="preserve"> Projektu ie</w:t>
            </w:r>
            <w:r w:rsidR="00E600EC" w:rsidRPr="0028042E">
              <w:rPr>
                <w:rFonts w:ascii="Times New Roman" w:hAnsi="Times New Roman" w:cs="Times New Roman"/>
                <w:sz w:val="24"/>
                <w:szCs w:val="24"/>
              </w:rPr>
              <w:t>s</w:t>
            </w:r>
            <w:r w:rsidR="00567E5D" w:rsidRPr="0028042E">
              <w:rPr>
                <w:rFonts w:ascii="Times New Roman" w:hAnsi="Times New Roman" w:cs="Times New Roman"/>
                <w:sz w:val="24"/>
                <w:szCs w:val="24"/>
              </w:rPr>
              <w:t>niegumu atlase katram specifiskajam atbalsta mērķim būs sava.</w:t>
            </w:r>
          </w:p>
          <w:p w14:paraId="12074D76" w14:textId="702D9880" w:rsidR="009C190D" w:rsidRPr="00ED01C8" w:rsidRDefault="00BC6C97" w:rsidP="00ED01C8">
            <w:pPr>
              <w:pStyle w:val="ListParagraph"/>
              <w:numPr>
                <w:ilvl w:val="0"/>
                <w:numId w:val="3"/>
              </w:numPr>
              <w:spacing w:after="0" w:line="240" w:lineRule="auto"/>
              <w:ind w:left="427" w:hanging="425"/>
              <w:jc w:val="both"/>
              <w:rPr>
                <w:rFonts w:ascii="Times New Roman" w:hAnsi="Times New Roman" w:cs="Times New Roman"/>
                <w:sz w:val="24"/>
                <w:szCs w:val="24"/>
              </w:rPr>
            </w:pPr>
            <w:r w:rsidRPr="0028042E">
              <w:rPr>
                <w:rFonts w:ascii="Times New Roman" w:hAnsi="Times New Roman" w:cs="Times New Roman"/>
                <w:sz w:val="24"/>
                <w:szCs w:val="24"/>
              </w:rPr>
              <w:t>Izstrādājot projektu iesniegumu atlases nolikumu</w:t>
            </w:r>
            <w:r w:rsidR="009C190D">
              <w:rPr>
                <w:rFonts w:ascii="Times New Roman" w:hAnsi="Times New Roman" w:cs="Times New Roman"/>
                <w:sz w:val="24"/>
                <w:szCs w:val="24"/>
              </w:rPr>
              <w:t>,</w:t>
            </w:r>
            <w:r w:rsidR="00D00066" w:rsidRPr="0028042E">
              <w:rPr>
                <w:rFonts w:ascii="Times New Roman" w:hAnsi="Times New Roman" w:cs="Times New Roman"/>
                <w:sz w:val="24"/>
                <w:szCs w:val="24"/>
              </w:rPr>
              <w:t xml:space="preserve"> tajā</w:t>
            </w:r>
            <w:r w:rsidRPr="0028042E">
              <w:rPr>
                <w:rFonts w:ascii="Times New Roman" w:hAnsi="Times New Roman" w:cs="Times New Roman"/>
                <w:sz w:val="24"/>
                <w:szCs w:val="24"/>
              </w:rPr>
              <w:t xml:space="preserve"> tiks iekļauti katram specifiskajam atbalsta mērķim savi i</w:t>
            </w:r>
            <w:r w:rsidR="00105804" w:rsidRPr="0028042E">
              <w:rPr>
                <w:rFonts w:ascii="Times New Roman" w:hAnsi="Times New Roman" w:cs="Times New Roman"/>
                <w:sz w:val="24"/>
                <w:szCs w:val="24"/>
              </w:rPr>
              <w:t>esniegumu vērtēšanas kritēriji.</w:t>
            </w:r>
          </w:p>
          <w:p w14:paraId="49015E30" w14:textId="2B2151C6" w:rsidR="007B74D7" w:rsidRPr="00ED01C8" w:rsidRDefault="0076207F" w:rsidP="007B74D7">
            <w:pPr>
              <w:pStyle w:val="ListParagraph"/>
              <w:numPr>
                <w:ilvl w:val="0"/>
                <w:numId w:val="3"/>
              </w:numPr>
              <w:spacing w:after="0" w:line="240" w:lineRule="auto"/>
              <w:ind w:left="427" w:hanging="425"/>
              <w:jc w:val="both"/>
              <w:rPr>
                <w:rFonts w:ascii="Times New Roman" w:hAnsi="Times New Roman" w:cs="Times New Roman"/>
                <w:sz w:val="24"/>
                <w:szCs w:val="24"/>
              </w:rPr>
            </w:pPr>
            <w:r w:rsidRPr="0028042E">
              <w:rPr>
                <w:rFonts w:ascii="Times New Roman" w:hAnsi="Times New Roman" w:cs="Times New Roman"/>
                <w:sz w:val="24"/>
                <w:szCs w:val="24"/>
              </w:rPr>
              <w:t>ES fondu</w:t>
            </w:r>
            <w:r w:rsidRPr="0028042E">
              <w:rPr>
                <w:rFonts w:ascii="Times New Roman" w:hAnsi="Times New Roman" w:cs="Times New Roman"/>
                <w:b/>
                <w:sz w:val="24"/>
                <w:szCs w:val="24"/>
              </w:rPr>
              <w:t xml:space="preserve"> </w:t>
            </w:r>
            <w:r w:rsidR="009C190D">
              <w:rPr>
                <w:rFonts w:ascii="Times New Roman" w:hAnsi="Times New Roman" w:cs="Times New Roman"/>
                <w:sz w:val="24"/>
                <w:szCs w:val="24"/>
              </w:rPr>
              <w:t>2007.-2013.</w:t>
            </w:r>
            <w:r w:rsidR="00135FC5" w:rsidRPr="0028042E">
              <w:rPr>
                <w:rFonts w:ascii="Times New Roman" w:hAnsi="Times New Roman" w:cs="Times New Roman"/>
                <w:sz w:val="24"/>
                <w:szCs w:val="24"/>
              </w:rPr>
              <w:t xml:space="preserve">gada plānošanas periodā </w:t>
            </w:r>
            <w:r w:rsidR="00943368" w:rsidRPr="0028042E">
              <w:rPr>
                <w:rFonts w:ascii="Times New Roman" w:hAnsi="Times New Roman" w:cs="Times New Roman"/>
                <w:sz w:val="24"/>
                <w:szCs w:val="24"/>
              </w:rPr>
              <w:t xml:space="preserve">publicitātes un informācijas sniegšanu iedzīvotāju grupām Rīgā un ārpus Rīgas attiecībā uz ES </w:t>
            </w:r>
            <w:r w:rsidR="00943368" w:rsidRPr="0028042E">
              <w:rPr>
                <w:rFonts w:ascii="Times New Roman" w:hAnsi="Times New Roman" w:cs="Times New Roman"/>
                <w:sz w:val="24"/>
                <w:szCs w:val="24"/>
              </w:rPr>
              <w:lastRenderedPageBreak/>
              <w:t xml:space="preserve">struktūrfondiem </w:t>
            </w:r>
            <w:r w:rsidR="00411E32" w:rsidRPr="0028042E">
              <w:rPr>
                <w:rFonts w:ascii="Times New Roman" w:hAnsi="Times New Roman" w:cs="Times New Roman"/>
                <w:sz w:val="24"/>
                <w:szCs w:val="24"/>
              </w:rPr>
              <w:t xml:space="preserve">veic </w:t>
            </w:r>
            <w:r w:rsidR="00943368" w:rsidRPr="0028042E">
              <w:rPr>
                <w:rFonts w:ascii="Times New Roman" w:hAnsi="Times New Roman" w:cs="Times New Roman"/>
                <w:sz w:val="24"/>
                <w:szCs w:val="24"/>
              </w:rPr>
              <w:t>plānošanas reģioni, kuru kapacitātes nodrošināšanai ir pieejami tehniskās palīdzības līdzekļi. Lai nodrošinātu turpmāk iedzīvotāju ekonomisko aktivitāti un reģionu vienmērīgu attīstību</w:t>
            </w:r>
            <w:r w:rsidRPr="0028042E">
              <w:rPr>
                <w:rFonts w:ascii="Times New Roman" w:hAnsi="Times New Roman" w:cs="Times New Roman"/>
                <w:sz w:val="24"/>
                <w:szCs w:val="24"/>
              </w:rPr>
              <w:t xml:space="preserve"> ES fondu </w:t>
            </w:r>
            <w:r w:rsidR="009C190D">
              <w:rPr>
                <w:rFonts w:ascii="Times New Roman" w:hAnsi="Times New Roman" w:cs="Times New Roman"/>
                <w:sz w:val="24"/>
                <w:szCs w:val="24"/>
              </w:rPr>
              <w:t>2014.-2020.</w:t>
            </w:r>
            <w:r w:rsidR="00943368" w:rsidRPr="0028042E">
              <w:rPr>
                <w:rFonts w:ascii="Times New Roman" w:hAnsi="Times New Roman" w:cs="Times New Roman"/>
                <w:sz w:val="24"/>
                <w:szCs w:val="24"/>
              </w:rPr>
              <w:t xml:space="preserve">gada plānošanas periodā plānošanas reģionu </w:t>
            </w:r>
            <w:r w:rsidR="0028042E">
              <w:rPr>
                <w:rFonts w:ascii="Times New Roman" w:hAnsi="Times New Roman" w:cs="Times New Roman"/>
                <w:sz w:val="24"/>
                <w:szCs w:val="24"/>
              </w:rPr>
              <w:t>funkciju</w:t>
            </w:r>
            <w:r w:rsidR="000D4D06" w:rsidRPr="0028042E">
              <w:rPr>
                <w:rFonts w:ascii="Times New Roman" w:hAnsi="Times New Roman" w:cs="Times New Roman"/>
                <w:sz w:val="24"/>
                <w:szCs w:val="24"/>
              </w:rPr>
              <w:t xml:space="preserve"> attiecībā uz sabiedrības informēšanu par E</w:t>
            </w:r>
            <w:r w:rsidR="001F6648" w:rsidRPr="0028042E">
              <w:rPr>
                <w:rFonts w:ascii="Times New Roman" w:hAnsi="Times New Roman" w:cs="Times New Roman"/>
                <w:sz w:val="24"/>
                <w:szCs w:val="24"/>
              </w:rPr>
              <w:t xml:space="preserve">iropas </w:t>
            </w:r>
            <w:r w:rsidR="000D4D06" w:rsidRPr="0028042E">
              <w:rPr>
                <w:rFonts w:ascii="Times New Roman" w:hAnsi="Times New Roman" w:cs="Times New Roman"/>
                <w:sz w:val="24"/>
                <w:szCs w:val="24"/>
              </w:rPr>
              <w:t>R</w:t>
            </w:r>
            <w:r w:rsidR="001F6648" w:rsidRPr="0028042E">
              <w:rPr>
                <w:rFonts w:ascii="Times New Roman" w:hAnsi="Times New Roman" w:cs="Times New Roman"/>
                <w:sz w:val="24"/>
                <w:szCs w:val="24"/>
              </w:rPr>
              <w:t>eģionālā attīstības fond</w:t>
            </w:r>
            <w:r w:rsidR="00ED556C">
              <w:rPr>
                <w:rFonts w:ascii="Times New Roman" w:hAnsi="Times New Roman" w:cs="Times New Roman"/>
                <w:sz w:val="24"/>
                <w:szCs w:val="24"/>
              </w:rPr>
              <w:t>u</w:t>
            </w:r>
            <w:r w:rsidR="000D4D06" w:rsidRPr="0028042E">
              <w:rPr>
                <w:rFonts w:ascii="Times New Roman" w:hAnsi="Times New Roman" w:cs="Times New Roman"/>
                <w:sz w:val="24"/>
                <w:szCs w:val="24"/>
              </w:rPr>
              <w:t>, E</w:t>
            </w:r>
            <w:r w:rsidR="001F6648" w:rsidRPr="0028042E">
              <w:rPr>
                <w:rFonts w:ascii="Times New Roman" w:hAnsi="Times New Roman" w:cs="Times New Roman"/>
                <w:sz w:val="24"/>
                <w:szCs w:val="24"/>
              </w:rPr>
              <w:t xml:space="preserve">iropas </w:t>
            </w:r>
            <w:r w:rsidR="000D4D06" w:rsidRPr="0028042E">
              <w:rPr>
                <w:rFonts w:ascii="Times New Roman" w:hAnsi="Times New Roman" w:cs="Times New Roman"/>
                <w:sz w:val="24"/>
                <w:szCs w:val="24"/>
              </w:rPr>
              <w:t>S</w:t>
            </w:r>
            <w:r w:rsidR="001F6648" w:rsidRPr="0028042E">
              <w:rPr>
                <w:rFonts w:ascii="Times New Roman" w:hAnsi="Times New Roman" w:cs="Times New Roman"/>
                <w:sz w:val="24"/>
                <w:szCs w:val="24"/>
              </w:rPr>
              <w:t>ociālā fond</w:t>
            </w:r>
            <w:r w:rsidR="00ED556C">
              <w:rPr>
                <w:rFonts w:ascii="Times New Roman" w:hAnsi="Times New Roman" w:cs="Times New Roman"/>
                <w:sz w:val="24"/>
                <w:szCs w:val="24"/>
              </w:rPr>
              <w:t>u</w:t>
            </w:r>
            <w:r w:rsidR="001F6648" w:rsidRPr="0028042E">
              <w:rPr>
                <w:rFonts w:ascii="Times New Roman" w:hAnsi="Times New Roman" w:cs="Times New Roman"/>
                <w:sz w:val="24"/>
                <w:szCs w:val="24"/>
              </w:rPr>
              <w:t xml:space="preserve"> </w:t>
            </w:r>
            <w:r w:rsidR="000D4D06" w:rsidRPr="0028042E">
              <w:rPr>
                <w:rFonts w:ascii="Times New Roman" w:hAnsi="Times New Roman" w:cs="Times New Roman"/>
                <w:sz w:val="24"/>
                <w:szCs w:val="24"/>
              </w:rPr>
              <w:t xml:space="preserve"> un K</w:t>
            </w:r>
            <w:r w:rsidR="001F6648" w:rsidRPr="0028042E">
              <w:rPr>
                <w:rFonts w:ascii="Times New Roman" w:hAnsi="Times New Roman" w:cs="Times New Roman"/>
                <w:sz w:val="24"/>
                <w:szCs w:val="24"/>
              </w:rPr>
              <w:t>ohēzijas fond</w:t>
            </w:r>
            <w:r w:rsidR="00ED556C">
              <w:rPr>
                <w:rFonts w:ascii="Times New Roman" w:hAnsi="Times New Roman" w:cs="Times New Roman"/>
                <w:sz w:val="24"/>
                <w:szCs w:val="24"/>
              </w:rPr>
              <w:t>u</w:t>
            </w:r>
            <w:r w:rsidR="000D4D06" w:rsidRPr="0028042E">
              <w:rPr>
                <w:rFonts w:ascii="Times New Roman" w:hAnsi="Times New Roman" w:cs="Times New Roman"/>
                <w:sz w:val="24"/>
                <w:szCs w:val="24"/>
              </w:rPr>
              <w:t xml:space="preserve"> </w:t>
            </w:r>
            <w:r w:rsidR="00943368" w:rsidRPr="0028042E">
              <w:rPr>
                <w:rFonts w:ascii="Times New Roman" w:hAnsi="Times New Roman" w:cs="Times New Roman"/>
                <w:sz w:val="24"/>
                <w:szCs w:val="24"/>
              </w:rPr>
              <w:t xml:space="preserve">veiks sadarbības iestāde – Centrālā </w:t>
            </w:r>
            <w:r w:rsidR="00E600EC" w:rsidRPr="0028042E">
              <w:rPr>
                <w:rFonts w:ascii="Times New Roman" w:hAnsi="Times New Roman" w:cs="Times New Roman"/>
                <w:sz w:val="24"/>
                <w:szCs w:val="24"/>
              </w:rPr>
              <w:t xml:space="preserve">finanšu </w:t>
            </w:r>
            <w:r w:rsidR="00943368" w:rsidRPr="0028042E">
              <w:rPr>
                <w:rFonts w:ascii="Times New Roman" w:hAnsi="Times New Roman" w:cs="Times New Roman"/>
                <w:sz w:val="24"/>
                <w:szCs w:val="24"/>
              </w:rPr>
              <w:t>un līgumu aģentūra</w:t>
            </w:r>
            <w:r w:rsidR="0028042E">
              <w:rPr>
                <w:rFonts w:ascii="Times New Roman" w:hAnsi="Times New Roman" w:cs="Times New Roman"/>
                <w:sz w:val="24"/>
                <w:szCs w:val="24"/>
              </w:rPr>
              <w:t xml:space="preserve"> (turpmāk – CFLA)</w:t>
            </w:r>
            <w:r w:rsidR="00943368" w:rsidRPr="0028042E">
              <w:rPr>
                <w:rFonts w:ascii="Times New Roman" w:hAnsi="Times New Roman" w:cs="Times New Roman"/>
                <w:sz w:val="24"/>
                <w:szCs w:val="24"/>
              </w:rPr>
              <w:t>, kas nodrošinās sabiedrību ar informāciju par ES struktūrfondu iespējām</w:t>
            </w:r>
            <w:r w:rsidRPr="0028042E">
              <w:rPr>
                <w:rFonts w:ascii="Times New Roman" w:hAnsi="Times New Roman" w:cs="Times New Roman"/>
                <w:sz w:val="24"/>
                <w:szCs w:val="24"/>
              </w:rPr>
              <w:t xml:space="preserve"> ES fondu </w:t>
            </w:r>
            <w:r w:rsidR="00943368" w:rsidRPr="0028042E">
              <w:rPr>
                <w:rFonts w:ascii="Times New Roman" w:hAnsi="Times New Roman" w:cs="Times New Roman"/>
                <w:sz w:val="24"/>
                <w:szCs w:val="24"/>
              </w:rPr>
              <w:t>2014.-2020.gada plānošanas periodā, tai skaitā nodrošinot publicitāti un atbalstu komunikācijas jautājumos, kas saistīti ar projektu īstenošanu</w:t>
            </w:r>
            <w:r w:rsidR="002E0392" w:rsidRPr="0028042E">
              <w:rPr>
                <w:rFonts w:ascii="Times New Roman" w:hAnsi="Times New Roman" w:cs="Times New Roman"/>
                <w:sz w:val="24"/>
                <w:szCs w:val="24"/>
              </w:rPr>
              <w:t>.</w:t>
            </w:r>
            <w:r w:rsidR="00943368" w:rsidRPr="0028042E">
              <w:rPr>
                <w:rFonts w:ascii="Times New Roman" w:hAnsi="Times New Roman" w:cs="Times New Roman"/>
                <w:sz w:val="24"/>
                <w:szCs w:val="24"/>
              </w:rPr>
              <w:t xml:space="preserve"> </w:t>
            </w:r>
          </w:p>
          <w:p w14:paraId="2771B081" w14:textId="3815D066" w:rsidR="0068178A" w:rsidRPr="0068178A" w:rsidRDefault="00933528" w:rsidP="0068178A">
            <w:pPr>
              <w:pStyle w:val="ListParagraph"/>
              <w:numPr>
                <w:ilvl w:val="0"/>
                <w:numId w:val="3"/>
              </w:numPr>
              <w:spacing w:after="0" w:line="240" w:lineRule="auto"/>
              <w:ind w:left="427" w:hanging="425"/>
              <w:jc w:val="both"/>
              <w:rPr>
                <w:rFonts w:ascii="Times New Roman" w:hAnsi="Times New Roman" w:cs="Times New Roman"/>
                <w:sz w:val="24"/>
                <w:szCs w:val="24"/>
              </w:rPr>
            </w:pPr>
            <w:r w:rsidRPr="0068178A">
              <w:rPr>
                <w:rFonts w:ascii="Times New Roman" w:hAnsi="Times New Roman" w:cs="Times New Roman"/>
                <w:sz w:val="24"/>
                <w:szCs w:val="24"/>
              </w:rPr>
              <w:t xml:space="preserve">Horizontālās politikas koordinēšana tiks finansēta tikai no Kohēzijas fonda 12.1.1. specifiskā atbalsta mērķa „Uzlabot Kohēzijas politikas fondu plānošanu, ieviešanu, uzraudzību, kontroli, revīziju, un atbalstīt </w:t>
            </w:r>
            <w:r w:rsidR="007B74D7">
              <w:rPr>
                <w:rFonts w:ascii="Times New Roman" w:hAnsi="Times New Roman" w:cs="Times New Roman"/>
                <w:sz w:val="24"/>
                <w:szCs w:val="24"/>
              </w:rPr>
              <w:t xml:space="preserve">                    </w:t>
            </w:r>
            <w:r w:rsidRPr="0068178A">
              <w:rPr>
                <w:rFonts w:ascii="Times New Roman" w:hAnsi="Times New Roman" w:cs="Times New Roman"/>
                <w:sz w:val="24"/>
                <w:szCs w:val="24"/>
              </w:rPr>
              <w:t>e-kohēziju”</w:t>
            </w:r>
            <w:r w:rsidR="007B74D7">
              <w:rPr>
                <w:rFonts w:ascii="Times New Roman" w:hAnsi="Times New Roman" w:cs="Times New Roman"/>
                <w:sz w:val="24"/>
                <w:szCs w:val="24"/>
              </w:rPr>
              <w:t>,</w:t>
            </w:r>
            <w:r w:rsidRPr="0068178A">
              <w:rPr>
                <w:rFonts w:ascii="Times New Roman" w:hAnsi="Times New Roman" w:cs="Times New Roman"/>
                <w:sz w:val="24"/>
                <w:szCs w:val="24"/>
              </w:rPr>
              <w:t xml:space="preserve"> paredzot tam Ministru kabineta noteikumos atsevišķi pieejamo finansējumu.</w:t>
            </w:r>
            <w:r w:rsidR="0068178A">
              <w:t xml:space="preserve"> </w:t>
            </w:r>
            <w:r w:rsidR="00A45D99">
              <w:rPr>
                <w:rFonts w:ascii="Times New Roman" w:hAnsi="Times New Roman" w:cs="Times New Roman"/>
                <w:sz w:val="24"/>
                <w:szCs w:val="24"/>
              </w:rPr>
              <w:t>Horiz</w:t>
            </w:r>
            <w:r w:rsidR="0068178A">
              <w:rPr>
                <w:rFonts w:ascii="Times New Roman" w:hAnsi="Times New Roman" w:cs="Times New Roman"/>
                <w:sz w:val="24"/>
                <w:szCs w:val="24"/>
              </w:rPr>
              <w:t>ontālās</w:t>
            </w:r>
            <w:r w:rsidR="007B74D7">
              <w:rPr>
                <w:rFonts w:ascii="Times New Roman" w:hAnsi="Times New Roman" w:cs="Times New Roman"/>
                <w:sz w:val="24"/>
                <w:szCs w:val="24"/>
              </w:rPr>
              <w:t xml:space="preserve"> politikas koordinējošās institūc</w:t>
            </w:r>
            <w:r w:rsidR="0068178A">
              <w:rPr>
                <w:rFonts w:ascii="Times New Roman" w:hAnsi="Times New Roman" w:cs="Times New Roman"/>
                <w:sz w:val="24"/>
                <w:szCs w:val="24"/>
              </w:rPr>
              <w:t xml:space="preserve">ijas </w:t>
            </w:r>
            <w:r w:rsidR="00ED01C8">
              <w:rPr>
                <w:rFonts w:ascii="Times New Roman" w:hAnsi="Times New Roman" w:cs="Times New Roman"/>
                <w:sz w:val="24"/>
                <w:szCs w:val="24"/>
              </w:rPr>
              <w:t>gatavo</w:t>
            </w:r>
            <w:r w:rsidR="0068178A">
              <w:rPr>
                <w:rFonts w:ascii="Times New Roman" w:hAnsi="Times New Roman" w:cs="Times New Roman"/>
                <w:sz w:val="24"/>
                <w:szCs w:val="24"/>
              </w:rPr>
              <w:t xml:space="preserve"> </w:t>
            </w:r>
            <w:r w:rsidR="0068178A" w:rsidRPr="0068178A">
              <w:rPr>
                <w:rFonts w:ascii="Times New Roman" w:hAnsi="Times New Roman" w:cs="Times New Roman"/>
                <w:sz w:val="24"/>
                <w:szCs w:val="24"/>
              </w:rPr>
              <w:t>atsevišķu tehniskās palīdzības projekta iesniegumu.</w:t>
            </w:r>
          </w:p>
          <w:p w14:paraId="6AE5E09F" w14:textId="77777777" w:rsidR="008F5EE6" w:rsidRPr="0068178A" w:rsidRDefault="008F5EE6" w:rsidP="0068178A">
            <w:pPr>
              <w:spacing w:after="0" w:line="240" w:lineRule="auto"/>
              <w:jc w:val="both"/>
              <w:rPr>
                <w:rFonts w:ascii="Times New Roman" w:hAnsi="Times New Roman" w:cs="Times New Roman"/>
                <w:sz w:val="24"/>
                <w:szCs w:val="24"/>
              </w:rPr>
            </w:pPr>
          </w:p>
          <w:p w14:paraId="18B9D6A7" w14:textId="22939125" w:rsidR="00FE4001" w:rsidRPr="00BD19AE" w:rsidRDefault="00FE4001" w:rsidP="007B74D7">
            <w:pPr>
              <w:spacing w:after="120" w:line="240" w:lineRule="auto"/>
              <w:ind w:left="427"/>
              <w:jc w:val="both"/>
              <w:rPr>
                <w:rFonts w:ascii="Times New Roman" w:hAnsi="Times New Roman" w:cs="Times New Roman"/>
                <w:sz w:val="24"/>
                <w:szCs w:val="24"/>
              </w:rPr>
            </w:pPr>
            <w:r w:rsidRPr="00BD19AE">
              <w:rPr>
                <w:rFonts w:ascii="Times New Roman" w:hAnsi="Times New Roman" w:cs="Times New Roman"/>
                <w:sz w:val="24"/>
                <w:szCs w:val="24"/>
              </w:rPr>
              <w:t>MK noteikumu proj</w:t>
            </w:r>
            <w:r w:rsidR="0012464B" w:rsidRPr="00BD19AE">
              <w:rPr>
                <w:rFonts w:ascii="Times New Roman" w:hAnsi="Times New Roman" w:cs="Times New Roman"/>
                <w:sz w:val="24"/>
                <w:szCs w:val="24"/>
              </w:rPr>
              <w:t>e</w:t>
            </w:r>
            <w:r w:rsidRPr="00BD19AE">
              <w:rPr>
                <w:rFonts w:ascii="Times New Roman" w:hAnsi="Times New Roman" w:cs="Times New Roman"/>
                <w:sz w:val="24"/>
                <w:szCs w:val="24"/>
              </w:rPr>
              <w:t xml:space="preserve">kta būtiskākās atšķirības no spēkā esošā regulējuma </w:t>
            </w:r>
            <w:r w:rsidR="0076207F" w:rsidRPr="00BD19AE">
              <w:rPr>
                <w:rFonts w:ascii="Times New Roman" w:hAnsi="Times New Roman" w:cs="Times New Roman"/>
                <w:sz w:val="24"/>
                <w:szCs w:val="24"/>
              </w:rPr>
              <w:t xml:space="preserve">ES fondu </w:t>
            </w:r>
            <w:r w:rsidRPr="00BD19AE">
              <w:rPr>
                <w:rFonts w:ascii="Times New Roman" w:hAnsi="Times New Roman" w:cs="Times New Roman"/>
                <w:sz w:val="24"/>
                <w:szCs w:val="24"/>
              </w:rPr>
              <w:t>2007.-2013.gada plāno</w:t>
            </w:r>
            <w:r w:rsidR="00857099" w:rsidRPr="00BD19AE">
              <w:rPr>
                <w:rFonts w:ascii="Times New Roman" w:hAnsi="Times New Roman" w:cs="Times New Roman"/>
                <w:sz w:val="24"/>
                <w:szCs w:val="24"/>
              </w:rPr>
              <w:t>ša</w:t>
            </w:r>
            <w:r w:rsidRPr="00BD19AE">
              <w:rPr>
                <w:rFonts w:ascii="Times New Roman" w:hAnsi="Times New Roman" w:cs="Times New Roman"/>
                <w:sz w:val="24"/>
                <w:szCs w:val="24"/>
              </w:rPr>
              <w:t>nas periodā:</w:t>
            </w:r>
          </w:p>
          <w:p w14:paraId="1AB891DF" w14:textId="1233FE5A" w:rsidR="008F5EE6" w:rsidRDefault="00FE4001" w:rsidP="008F5EE6">
            <w:pPr>
              <w:pStyle w:val="ListParagraph"/>
              <w:numPr>
                <w:ilvl w:val="0"/>
                <w:numId w:val="5"/>
              </w:numPr>
              <w:spacing w:after="120" w:line="240" w:lineRule="auto"/>
              <w:ind w:left="427" w:hanging="284"/>
              <w:jc w:val="both"/>
              <w:rPr>
                <w:rFonts w:ascii="Times New Roman" w:hAnsi="Times New Roman" w:cs="Times New Roman"/>
                <w:sz w:val="24"/>
                <w:szCs w:val="24"/>
              </w:rPr>
            </w:pPr>
            <w:r w:rsidRPr="0064586E">
              <w:rPr>
                <w:rFonts w:ascii="Times New Roman" w:hAnsi="Times New Roman" w:cs="Times New Roman"/>
                <w:sz w:val="24"/>
                <w:szCs w:val="24"/>
              </w:rPr>
              <w:t>Precizēts ES fondu tehniskās palīdzības finansējuma saņē</w:t>
            </w:r>
            <w:r w:rsidR="007F487E">
              <w:rPr>
                <w:rFonts w:ascii="Times New Roman" w:hAnsi="Times New Roman" w:cs="Times New Roman"/>
                <w:sz w:val="24"/>
                <w:szCs w:val="24"/>
              </w:rPr>
              <w:t>mē</w:t>
            </w:r>
            <w:r w:rsidRPr="0064586E">
              <w:rPr>
                <w:rFonts w:ascii="Times New Roman" w:hAnsi="Times New Roman" w:cs="Times New Roman"/>
                <w:sz w:val="24"/>
                <w:szCs w:val="24"/>
              </w:rPr>
              <w:t>ju loks (sadarbības iestādes funkcijas veiks tikai viena sadarbības iestāde, katrā Eiropas Savienības fondā – specifiskajā atbalsta mērķ</w:t>
            </w:r>
            <w:r w:rsidR="001943F4" w:rsidRPr="0064586E">
              <w:rPr>
                <w:rFonts w:ascii="Times New Roman" w:hAnsi="Times New Roman" w:cs="Times New Roman"/>
                <w:sz w:val="24"/>
                <w:szCs w:val="24"/>
              </w:rPr>
              <w:t>ī</w:t>
            </w:r>
            <w:r w:rsidRPr="0064586E">
              <w:rPr>
                <w:rFonts w:ascii="Times New Roman" w:hAnsi="Times New Roman" w:cs="Times New Roman"/>
                <w:sz w:val="24"/>
                <w:szCs w:val="24"/>
              </w:rPr>
              <w:t xml:space="preserve"> noteikti konkrēti finansējuma saņēmēji</w:t>
            </w:r>
            <w:r w:rsidR="00D66CB9">
              <w:rPr>
                <w:rFonts w:ascii="Times New Roman" w:hAnsi="Times New Roman" w:cs="Times New Roman"/>
                <w:sz w:val="24"/>
                <w:szCs w:val="24"/>
              </w:rPr>
              <w:t>)</w:t>
            </w:r>
            <w:r w:rsidR="001943F4" w:rsidRPr="0064586E">
              <w:rPr>
                <w:rFonts w:ascii="Times New Roman" w:hAnsi="Times New Roman" w:cs="Times New Roman"/>
                <w:sz w:val="24"/>
                <w:szCs w:val="24"/>
              </w:rPr>
              <w:t>;</w:t>
            </w:r>
          </w:p>
          <w:p w14:paraId="03DF5D25" w14:textId="6FB1883A" w:rsidR="008F5EE6" w:rsidRDefault="00FE4001" w:rsidP="008F5EE6">
            <w:pPr>
              <w:pStyle w:val="ListParagraph"/>
              <w:numPr>
                <w:ilvl w:val="0"/>
                <w:numId w:val="5"/>
              </w:numPr>
              <w:spacing w:after="120" w:line="240" w:lineRule="auto"/>
              <w:ind w:left="427" w:hanging="284"/>
              <w:jc w:val="both"/>
              <w:rPr>
                <w:rFonts w:ascii="Times New Roman" w:hAnsi="Times New Roman" w:cs="Times New Roman"/>
                <w:sz w:val="24"/>
                <w:szCs w:val="24"/>
              </w:rPr>
            </w:pPr>
            <w:r w:rsidRPr="008F5EE6">
              <w:rPr>
                <w:rFonts w:ascii="Times New Roman" w:hAnsi="Times New Roman" w:cs="Times New Roman"/>
                <w:sz w:val="24"/>
                <w:szCs w:val="24"/>
              </w:rPr>
              <w:t xml:space="preserve">Eiropas Sociālā fonda </w:t>
            </w:r>
            <w:r w:rsidR="00A51A4F" w:rsidRPr="008F5EE6">
              <w:rPr>
                <w:rFonts w:ascii="Times New Roman" w:hAnsi="Times New Roman" w:cs="Times New Roman"/>
                <w:sz w:val="24"/>
                <w:szCs w:val="24"/>
              </w:rPr>
              <w:t>10.1.1. specifiskā atbalsta mērķa ietvaros</w:t>
            </w:r>
            <w:r w:rsidR="00A42881" w:rsidRPr="008F5EE6">
              <w:rPr>
                <w:rFonts w:ascii="Times New Roman" w:hAnsi="Times New Roman" w:cs="Times New Roman"/>
                <w:sz w:val="24"/>
                <w:szCs w:val="24"/>
              </w:rPr>
              <w:t xml:space="preserve"> finansējuma saņēmējs būs tikai Finanšu ministrija, kura veiks nepieciešamās </w:t>
            </w:r>
            <w:r w:rsidR="00975321" w:rsidRPr="008F5EE6">
              <w:rPr>
                <w:rFonts w:ascii="Times New Roman" w:hAnsi="Times New Roman" w:cs="Times New Roman"/>
                <w:sz w:val="24"/>
                <w:szCs w:val="24"/>
              </w:rPr>
              <w:t>darbības</w:t>
            </w:r>
            <w:r w:rsidR="00A42881" w:rsidRPr="008F5EE6">
              <w:rPr>
                <w:rFonts w:ascii="Times New Roman" w:hAnsi="Times New Roman" w:cs="Times New Roman"/>
                <w:sz w:val="24"/>
                <w:szCs w:val="24"/>
              </w:rPr>
              <w:t xml:space="preserve">, </w:t>
            </w:r>
            <w:r w:rsidR="00975321" w:rsidRPr="008F5EE6">
              <w:rPr>
                <w:rFonts w:ascii="Times New Roman" w:hAnsi="Times New Roman" w:cs="Times New Roman"/>
                <w:sz w:val="24"/>
                <w:szCs w:val="24"/>
              </w:rPr>
              <w:t xml:space="preserve">lai </w:t>
            </w:r>
            <w:r w:rsidR="00A42881" w:rsidRPr="008F5EE6">
              <w:rPr>
                <w:rFonts w:ascii="Times New Roman" w:hAnsi="Times New Roman" w:cs="Times New Roman"/>
                <w:sz w:val="24"/>
                <w:szCs w:val="24"/>
              </w:rPr>
              <w:t>nodrošin</w:t>
            </w:r>
            <w:r w:rsidR="00975321" w:rsidRPr="008F5EE6">
              <w:rPr>
                <w:rFonts w:ascii="Times New Roman" w:hAnsi="Times New Roman" w:cs="Times New Roman"/>
                <w:sz w:val="24"/>
                <w:szCs w:val="24"/>
              </w:rPr>
              <w:t>ā</w:t>
            </w:r>
            <w:r w:rsidR="00A42881" w:rsidRPr="008F5EE6">
              <w:rPr>
                <w:rFonts w:ascii="Times New Roman" w:hAnsi="Times New Roman" w:cs="Times New Roman"/>
                <w:sz w:val="24"/>
                <w:szCs w:val="24"/>
              </w:rPr>
              <w:t>t</w:t>
            </w:r>
            <w:r w:rsidR="00975321" w:rsidRPr="008F5EE6">
              <w:rPr>
                <w:rFonts w:ascii="Times New Roman" w:hAnsi="Times New Roman" w:cs="Times New Roman"/>
                <w:sz w:val="24"/>
                <w:szCs w:val="24"/>
              </w:rPr>
              <w:t>u</w:t>
            </w:r>
            <w:r w:rsidR="007B74D7">
              <w:rPr>
                <w:rFonts w:ascii="Times New Roman" w:hAnsi="Times New Roman" w:cs="Times New Roman"/>
                <w:sz w:val="24"/>
                <w:szCs w:val="24"/>
              </w:rPr>
              <w:t>,</w:t>
            </w:r>
            <w:r w:rsidR="00A42881" w:rsidRPr="008F5EE6">
              <w:rPr>
                <w:rFonts w:ascii="Times New Roman" w:hAnsi="Times New Roman" w:cs="Times New Roman"/>
                <w:sz w:val="24"/>
                <w:szCs w:val="24"/>
              </w:rPr>
              <w:t xml:space="preserve"> </w:t>
            </w:r>
            <w:r w:rsidR="007F487E" w:rsidRPr="008F5EE6">
              <w:rPr>
                <w:rFonts w:ascii="Times New Roman" w:hAnsi="Times New Roman" w:cs="Times New Roman"/>
                <w:sz w:val="24"/>
                <w:szCs w:val="24"/>
              </w:rPr>
              <w:t xml:space="preserve">koordinētu </w:t>
            </w:r>
            <w:r w:rsidR="00975321" w:rsidRPr="008F5EE6">
              <w:rPr>
                <w:rFonts w:ascii="Times New Roman" w:hAnsi="Times New Roman" w:cs="Times New Roman"/>
                <w:sz w:val="24"/>
                <w:szCs w:val="24"/>
              </w:rPr>
              <w:t>ES fondu izvērtēšanas organizēšanu, tai skaitā, atbilstoši ES fo</w:t>
            </w:r>
            <w:r w:rsidR="007B74D7">
              <w:rPr>
                <w:rFonts w:ascii="Times New Roman" w:hAnsi="Times New Roman" w:cs="Times New Roman"/>
                <w:sz w:val="24"/>
                <w:szCs w:val="24"/>
              </w:rPr>
              <w:t>ndu Izvērtēšanas plānam 2014.-2020.</w:t>
            </w:r>
            <w:r w:rsidR="00975321" w:rsidRPr="008F5EE6">
              <w:rPr>
                <w:rFonts w:ascii="Times New Roman" w:hAnsi="Times New Roman" w:cs="Times New Roman"/>
                <w:sz w:val="24"/>
                <w:szCs w:val="24"/>
              </w:rPr>
              <w:t xml:space="preserve">gadam nodrošinātu </w:t>
            </w:r>
            <w:r w:rsidR="00A42881" w:rsidRPr="008F5EE6">
              <w:rPr>
                <w:rFonts w:ascii="Times New Roman" w:hAnsi="Times New Roman" w:cs="Times New Roman"/>
                <w:sz w:val="24"/>
                <w:szCs w:val="24"/>
              </w:rPr>
              <w:t xml:space="preserve">nepieciešamos </w:t>
            </w:r>
            <w:r w:rsidR="00AA1969" w:rsidRPr="008F5EE6">
              <w:rPr>
                <w:rFonts w:ascii="Times New Roman" w:hAnsi="Times New Roman" w:cs="Times New Roman"/>
                <w:sz w:val="24"/>
                <w:szCs w:val="24"/>
              </w:rPr>
              <w:t>izvērtējamus</w:t>
            </w:r>
            <w:r w:rsidR="00975321" w:rsidRPr="008F5EE6">
              <w:rPr>
                <w:rFonts w:ascii="Times New Roman" w:hAnsi="Times New Roman" w:cs="Times New Roman"/>
                <w:sz w:val="24"/>
                <w:szCs w:val="24"/>
              </w:rPr>
              <w:t xml:space="preserve">, </w:t>
            </w:r>
            <w:r w:rsidR="00AA1969" w:rsidRPr="008F5EE6">
              <w:rPr>
                <w:rFonts w:ascii="Times New Roman" w:hAnsi="Times New Roman" w:cs="Times New Roman"/>
                <w:sz w:val="24"/>
                <w:szCs w:val="24"/>
              </w:rPr>
              <w:t>izvērtējamos</w:t>
            </w:r>
            <w:r w:rsidR="00975321" w:rsidRPr="008F5EE6">
              <w:rPr>
                <w:rFonts w:ascii="Times New Roman" w:hAnsi="Times New Roman" w:cs="Times New Roman"/>
                <w:sz w:val="24"/>
                <w:szCs w:val="24"/>
              </w:rPr>
              <w:t xml:space="preserve"> izteikto ieteikumu ieviešanas uzraudzības </w:t>
            </w:r>
            <w:r w:rsidR="007F487E" w:rsidRPr="008F5EE6">
              <w:rPr>
                <w:rFonts w:ascii="Times New Roman" w:hAnsi="Times New Roman" w:cs="Times New Roman"/>
                <w:sz w:val="24"/>
                <w:szCs w:val="24"/>
              </w:rPr>
              <w:t xml:space="preserve">pasākumus </w:t>
            </w:r>
            <w:r w:rsidR="00975321" w:rsidRPr="008F5EE6">
              <w:rPr>
                <w:rFonts w:ascii="Times New Roman" w:hAnsi="Times New Roman" w:cs="Times New Roman"/>
                <w:sz w:val="24"/>
                <w:szCs w:val="24"/>
              </w:rPr>
              <w:t xml:space="preserve">un kapacitātes paaugstināšanas </w:t>
            </w:r>
            <w:r w:rsidR="00A42881" w:rsidRPr="008F5EE6">
              <w:rPr>
                <w:rFonts w:ascii="Times New Roman" w:hAnsi="Times New Roman" w:cs="Times New Roman"/>
                <w:sz w:val="24"/>
                <w:szCs w:val="24"/>
              </w:rPr>
              <w:t>pasākumus</w:t>
            </w:r>
            <w:r w:rsidRPr="008F5EE6">
              <w:rPr>
                <w:rFonts w:ascii="Times New Roman" w:hAnsi="Times New Roman" w:cs="Times New Roman"/>
                <w:sz w:val="24"/>
                <w:szCs w:val="24"/>
              </w:rPr>
              <w:t>;</w:t>
            </w:r>
          </w:p>
          <w:p w14:paraId="198EEE65" w14:textId="77777777" w:rsidR="008F5EE6" w:rsidRDefault="00FE4001" w:rsidP="008F5EE6">
            <w:pPr>
              <w:pStyle w:val="ListParagraph"/>
              <w:numPr>
                <w:ilvl w:val="0"/>
                <w:numId w:val="5"/>
              </w:numPr>
              <w:spacing w:after="120" w:line="240" w:lineRule="auto"/>
              <w:ind w:left="427" w:hanging="284"/>
              <w:jc w:val="both"/>
              <w:rPr>
                <w:rFonts w:ascii="Times New Roman" w:hAnsi="Times New Roman" w:cs="Times New Roman"/>
                <w:sz w:val="24"/>
                <w:szCs w:val="24"/>
              </w:rPr>
            </w:pPr>
            <w:r w:rsidRPr="008F5EE6">
              <w:rPr>
                <w:rFonts w:ascii="Times New Roman" w:hAnsi="Times New Roman" w:cs="Times New Roman"/>
                <w:sz w:val="24"/>
                <w:szCs w:val="24"/>
              </w:rPr>
              <w:t xml:space="preserve">Atbalstāmās darbības un izmaksu pozīcijas katram </w:t>
            </w:r>
            <w:r w:rsidR="00392B74" w:rsidRPr="008F5EE6">
              <w:rPr>
                <w:rFonts w:ascii="Times New Roman" w:hAnsi="Times New Roman" w:cs="Times New Roman"/>
                <w:sz w:val="24"/>
                <w:szCs w:val="24"/>
              </w:rPr>
              <w:t>ES</w:t>
            </w:r>
            <w:r w:rsidRPr="008F5EE6">
              <w:rPr>
                <w:rFonts w:ascii="Times New Roman" w:hAnsi="Times New Roman" w:cs="Times New Roman"/>
                <w:sz w:val="24"/>
                <w:szCs w:val="24"/>
              </w:rPr>
              <w:t xml:space="preserve"> fondam noteiktas atsevišķi;</w:t>
            </w:r>
          </w:p>
          <w:p w14:paraId="00622845" w14:textId="08C4087E" w:rsidR="008F5EE6" w:rsidRDefault="007F487E" w:rsidP="008F5EE6">
            <w:pPr>
              <w:pStyle w:val="ListParagraph"/>
              <w:numPr>
                <w:ilvl w:val="0"/>
                <w:numId w:val="5"/>
              </w:numPr>
              <w:spacing w:after="120" w:line="240" w:lineRule="auto"/>
              <w:ind w:left="427" w:hanging="284"/>
              <w:jc w:val="both"/>
              <w:rPr>
                <w:rFonts w:ascii="Times New Roman" w:hAnsi="Times New Roman" w:cs="Times New Roman"/>
                <w:sz w:val="24"/>
                <w:szCs w:val="24"/>
              </w:rPr>
            </w:pPr>
            <w:r w:rsidRPr="008F5EE6">
              <w:rPr>
                <w:rFonts w:ascii="Times New Roman" w:hAnsi="Times New Roman" w:cs="Times New Roman"/>
                <w:sz w:val="24"/>
                <w:szCs w:val="24"/>
              </w:rPr>
              <w:t>Projekti tiek veidoti konkrētam fondam, nevis rēķinātas proporcijas, tādējādi vienkāršojot administrēšanu un uzskaiti;</w:t>
            </w:r>
          </w:p>
          <w:p w14:paraId="25ABD7E9" w14:textId="77777777" w:rsidR="008F5EE6" w:rsidRDefault="00FE4001" w:rsidP="008F5EE6">
            <w:pPr>
              <w:pStyle w:val="ListParagraph"/>
              <w:numPr>
                <w:ilvl w:val="0"/>
                <w:numId w:val="5"/>
              </w:numPr>
              <w:spacing w:after="120" w:line="240" w:lineRule="auto"/>
              <w:ind w:left="427" w:hanging="284"/>
              <w:jc w:val="both"/>
              <w:rPr>
                <w:rFonts w:ascii="Times New Roman" w:hAnsi="Times New Roman" w:cs="Times New Roman"/>
                <w:sz w:val="24"/>
                <w:szCs w:val="24"/>
              </w:rPr>
            </w:pPr>
            <w:r w:rsidRPr="008F5EE6">
              <w:rPr>
                <w:rFonts w:ascii="Times New Roman" w:hAnsi="Times New Roman" w:cs="Times New Roman"/>
                <w:sz w:val="24"/>
                <w:szCs w:val="24"/>
              </w:rPr>
              <w:lastRenderedPageBreak/>
              <w:t>Paredzēta</w:t>
            </w:r>
            <w:r w:rsidR="00A42881" w:rsidRPr="008F5EE6">
              <w:rPr>
                <w:rFonts w:ascii="Times New Roman" w:hAnsi="Times New Roman" w:cs="Times New Roman"/>
                <w:sz w:val="24"/>
                <w:szCs w:val="24"/>
              </w:rPr>
              <w:t xml:space="preserve"> iespēja piemērot </w:t>
            </w:r>
            <w:proofErr w:type="spellStart"/>
            <w:r w:rsidR="00A42881" w:rsidRPr="008F5EE6">
              <w:rPr>
                <w:rFonts w:ascii="Times New Roman" w:hAnsi="Times New Roman" w:cs="Times New Roman"/>
                <w:sz w:val="24"/>
                <w:szCs w:val="24"/>
              </w:rPr>
              <w:t>daļlaika</w:t>
            </w:r>
            <w:proofErr w:type="spellEnd"/>
            <w:r w:rsidR="00A42881" w:rsidRPr="008F5EE6">
              <w:rPr>
                <w:rFonts w:ascii="Times New Roman" w:hAnsi="Times New Roman" w:cs="Times New Roman"/>
                <w:sz w:val="24"/>
                <w:szCs w:val="24"/>
              </w:rPr>
              <w:t xml:space="preserve"> att</w:t>
            </w:r>
            <w:r w:rsidRPr="008F5EE6">
              <w:rPr>
                <w:rFonts w:ascii="Times New Roman" w:hAnsi="Times New Roman" w:cs="Times New Roman"/>
                <w:sz w:val="24"/>
                <w:szCs w:val="24"/>
              </w:rPr>
              <w:t>i</w:t>
            </w:r>
            <w:r w:rsidR="00A42881" w:rsidRPr="008F5EE6">
              <w:rPr>
                <w:rFonts w:ascii="Times New Roman" w:hAnsi="Times New Roman" w:cs="Times New Roman"/>
                <w:sz w:val="24"/>
                <w:szCs w:val="24"/>
              </w:rPr>
              <w:t>e</w:t>
            </w:r>
            <w:r w:rsidRPr="008F5EE6">
              <w:rPr>
                <w:rFonts w:ascii="Times New Roman" w:hAnsi="Times New Roman" w:cs="Times New Roman"/>
                <w:sz w:val="24"/>
                <w:szCs w:val="24"/>
              </w:rPr>
              <w:t>cināšanas principus atlīdzībai un aprīkojuma izmaksām;</w:t>
            </w:r>
          </w:p>
          <w:p w14:paraId="630D3AF1" w14:textId="3A154B33" w:rsidR="008F5EE6" w:rsidRDefault="00FE4001" w:rsidP="008F5EE6">
            <w:pPr>
              <w:pStyle w:val="ListParagraph"/>
              <w:numPr>
                <w:ilvl w:val="0"/>
                <w:numId w:val="5"/>
              </w:numPr>
              <w:spacing w:after="120" w:line="240" w:lineRule="auto"/>
              <w:ind w:left="427" w:hanging="284"/>
              <w:jc w:val="both"/>
              <w:rPr>
                <w:rFonts w:ascii="Times New Roman" w:hAnsi="Times New Roman" w:cs="Times New Roman"/>
                <w:sz w:val="24"/>
                <w:szCs w:val="24"/>
              </w:rPr>
            </w:pPr>
            <w:r w:rsidRPr="008F5EE6">
              <w:rPr>
                <w:rFonts w:ascii="Times New Roman" w:hAnsi="Times New Roman" w:cs="Times New Roman"/>
                <w:sz w:val="24"/>
                <w:szCs w:val="24"/>
              </w:rPr>
              <w:t xml:space="preserve">Finanšu līdzekļus </w:t>
            </w:r>
            <w:r w:rsidR="00D421CB" w:rsidRPr="008F5EE6">
              <w:rPr>
                <w:rFonts w:ascii="Times New Roman" w:hAnsi="Times New Roman" w:cs="Times New Roman"/>
                <w:sz w:val="24"/>
                <w:szCs w:val="24"/>
              </w:rPr>
              <w:t xml:space="preserve">Kohēzijas politikas </w:t>
            </w:r>
            <w:r w:rsidR="00DF2501" w:rsidRPr="008F5EE6">
              <w:rPr>
                <w:rFonts w:ascii="Times New Roman" w:hAnsi="Times New Roman" w:cs="Times New Roman"/>
                <w:sz w:val="24"/>
                <w:szCs w:val="24"/>
              </w:rPr>
              <w:t>v</w:t>
            </w:r>
            <w:r w:rsidR="00D421CB" w:rsidRPr="008F5EE6">
              <w:rPr>
                <w:rFonts w:ascii="Times New Roman" w:hAnsi="Times New Roman" w:cs="Times New Roman"/>
                <w:sz w:val="24"/>
                <w:szCs w:val="24"/>
              </w:rPr>
              <w:t>adības</w:t>
            </w:r>
            <w:r w:rsidR="00D421CB" w:rsidRPr="008F5EE6" w:rsidDel="00D421CB">
              <w:rPr>
                <w:rFonts w:ascii="Times New Roman" w:hAnsi="Times New Roman" w:cs="Times New Roman"/>
                <w:sz w:val="24"/>
                <w:szCs w:val="24"/>
              </w:rPr>
              <w:t xml:space="preserve"> </w:t>
            </w:r>
            <w:r w:rsidRPr="008F5EE6">
              <w:rPr>
                <w:rFonts w:ascii="Times New Roman" w:hAnsi="Times New Roman" w:cs="Times New Roman"/>
                <w:sz w:val="24"/>
                <w:szCs w:val="24"/>
              </w:rPr>
              <w:t xml:space="preserve"> informācijas sistēmas nodrošināšanai var p</w:t>
            </w:r>
            <w:r w:rsidR="00BC1250" w:rsidRPr="008F5EE6">
              <w:rPr>
                <w:rFonts w:ascii="Times New Roman" w:hAnsi="Times New Roman" w:cs="Times New Roman"/>
                <w:sz w:val="24"/>
                <w:szCs w:val="24"/>
              </w:rPr>
              <w:t xml:space="preserve">lānot tikai </w:t>
            </w:r>
            <w:r w:rsidR="008E6B46" w:rsidRPr="008F5EE6">
              <w:rPr>
                <w:rFonts w:ascii="Times New Roman" w:hAnsi="Times New Roman" w:cs="Times New Roman"/>
                <w:sz w:val="24"/>
                <w:szCs w:val="24"/>
              </w:rPr>
              <w:t xml:space="preserve">Finanšu ministrija kā vadošā iestāde un </w:t>
            </w:r>
            <w:r w:rsidR="008F5EE6">
              <w:rPr>
                <w:rFonts w:ascii="Times New Roman" w:hAnsi="Times New Roman" w:cs="Times New Roman"/>
                <w:sz w:val="24"/>
                <w:szCs w:val="24"/>
              </w:rPr>
              <w:t>CFLA</w:t>
            </w:r>
            <w:r w:rsidR="005F3F1F" w:rsidRPr="008F5EE6">
              <w:rPr>
                <w:rFonts w:ascii="Times New Roman" w:hAnsi="Times New Roman" w:cs="Times New Roman"/>
                <w:sz w:val="24"/>
                <w:szCs w:val="24"/>
              </w:rPr>
              <w:t xml:space="preserve"> kā </w:t>
            </w:r>
            <w:r w:rsidR="00BC1250" w:rsidRPr="008F5EE6">
              <w:rPr>
                <w:rFonts w:ascii="Times New Roman" w:hAnsi="Times New Roman" w:cs="Times New Roman"/>
                <w:sz w:val="24"/>
                <w:szCs w:val="24"/>
              </w:rPr>
              <w:t>sadarbības iestāde</w:t>
            </w:r>
            <w:r w:rsidR="008F5EE6">
              <w:rPr>
                <w:rFonts w:ascii="Times New Roman" w:hAnsi="Times New Roman" w:cs="Times New Roman"/>
                <w:sz w:val="24"/>
                <w:szCs w:val="24"/>
              </w:rPr>
              <w:t>;</w:t>
            </w:r>
          </w:p>
          <w:p w14:paraId="5EDF1DA6" w14:textId="5DF2A670" w:rsidR="00BC1250" w:rsidRPr="008F5EE6" w:rsidRDefault="00186BBF" w:rsidP="008F5EE6">
            <w:pPr>
              <w:pStyle w:val="ListParagraph"/>
              <w:numPr>
                <w:ilvl w:val="0"/>
                <w:numId w:val="5"/>
              </w:numPr>
              <w:spacing w:after="120" w:line="240" w:lineRule="auto"/>
              <w:ind w:left="427" w:hanging="284"/>
              <w:jc w:val="both"/>
              <w:rPr>
                <w:rFonts w:ascii="Times New Roman" w:hAnsi="Times New Roman" w:cs="Times New Roman"/>
                <w:sz w:val="24"/>
                <w:szCs w:val="24"/>
              </w:rPr>
            </w:pPr>
            <w:r w:rsidRPr="008F5EE6">
              <w:rPr>
                <w:rFonts w:ascii="Times New Roman" w:hAnsi="Times New Roman" w:cs="Times New Roman"/>
                <w:sz w:val="24"/>
                <w:szCs w:val="24"/>
              </w:rPr>
              <w:t>TP ietvaros ir paredzētas netiešās attiecināmās izmaksas saskaņā ar vienoto izmaksu likmi</w:t>
            </w:r>
            <w:r w:rsidR="007F487E" w:rsidRPr="008F5EE6">
              <w:rPr>
                <w:rFonts w:ascii="Times New Roman" w:hAnsi="Times New Roman" w:cs="Times New Roman"/>
                <w:sz w:val="24"/>
                <w:szCs w:val="24"/>
              </w:rPr>
              <w:t>,</w:t>
            </w:r>
            <w:r w:rsidRPr="008F5EE6">
              <w:rPr>
                <w:rFonts w:ascii="Times New Roman" w:hAnsi="Times New Roman" w:cs="Times New Roman"/>
                <w:sz w:val="24"/>
                <w:szCs w:val="24"/>
              </w:rPr>
              <w:t xml:space="preserve"> ko plāno  kā vienu izmaksu pozīciju 15% apmērā no tiešajām personāla izmaksām (atlīdzība)</w:t>
            </w:r>
            <w:r w:rsidR="00FD2671" w:rsidRPr="008F5EE6">
              <w:rPr>
                <w:rFonts w:ascii="Times New Roman" w:hAnsi="Times New Roman" w:cs="Times New Roman"/>
                <w:sz w:val="24"/>
                <w:szCs w:val="24"/>
              </w:rPr>
              <w:t>.</w:t>
            </w:r>
          </w:p>
        </w:tc>
      </w:tr>
      <w:tr w:rsidR="00DA6C86" w:rsidRPr="00BD19AE" w14:paraId="5EDF1DAB" w14:textId="77777777" w:rsidTr="00115F3C">
        <w:trPr>
          <w:trHeight w:val="476"/>
        </w:trPr>
        <w:tc>
          <w:tcPr>
            <w:tcW w:w="222" w:type="pct"/>
          </w:tcPr>
          <w:p w14:paraId="5EDF1DA8" w14:textId="569F6A7B" w:rsidR="00DA6C86" w:rsidRPr="00BD19AE" w:rsidRDefault="00DA6C86" w:rsidP="00176CB2">
            <w:pPr>
              <w:pStyle w:val="naiskr"/>
              <w:spacing w:before="0" w:beforeAutospacing="0" w:after="0" w:afterAutospacing="0"/>
              <w:ind w:right="57"/>
              <w:jc w:val="center"/>
            </w:pPr>
            <w:r w:rsidRPr="00BD19AE">
              <w:lastRenderedPageBreak/>
              <w:t>3.</w:t>
            </w:r>
          </w:p>
        </w:tc>
        <w:tc>
          <w:tcPr>
            <w:tcW w:w="1791" w:type="pct"/>
          </w:tcPr>
          <w:p w14:paraId="5EDF1DA9" w14:textId="77777777" w:rsidR="00DA6C86" w:rsidRPr="00BD19AE" w:rsidRDefault="00DA6C86" w:rsidP="00F57E68">
            <w:pPr>
              <w:pStyle w:val="naiskr"/>
              <w:spacing w:before="0" w:beforeAutospacing="0" w:after="0" w:afterAutospacing="0"/>
              <w:ind w:left="57" w:right="57"/>
            </w:pPr>
            <w:r w:rsidRPr="00BD19AE">
              <w:t>Projekta izstrādē iesaistītās institūcijas</w:t>
            </w:r>
          </w:p>
        </w:tc>
        <w:tc>
          <w:tcPr>
            <w:tcW w:w="2987" w:type="pct"/>
          </w:tcPr>
          <w:p w14:paraId="5EDF1DAA" w14:textId="4117C978" w:rsidR="00DA6C86" w:rsidRPr="00BD19AE" w:rsidRDefault="001F0072" w:rsidP="007A4902">
            <w:pPr>
              <w:spacing w:before="120" w:after="120" w:line="240" w:lineRule="auto"/>
              <w:ind w:left="57" w:right="57"/>
              <w:jc w:val="both"/>
              <w:rPr>
                <w:rFonts w:ascii="Times New Roman" w:hAnsi="Times New Roman" w:cs="Times New Roman"/>
                <w:sz w:val="24"/>
                <w:szCs w:val="24"/>
              </w:rPr>
            </w:pPr>
            <w:r w:rsidRPr="00BD19AE">
              <w:rPr>
                <w:rFonts w:ascii="Times New Roman" w:hAnsi="Times New Roman" w:cs="Times New Roman"/>
                <w:sz w:val="24"/>
                <w:szCs w:val="24"/>
              </w:rPr>
              <w:t>Finanšu</w:t>
            </w:r>
            <w:r w:rsidR="007A4902" w:rsidRPr="00BD19AE">
              <w:rPr>
                <w:rFonts w:ascii="Times New Roman" w:hAnsi="Times New Roman" w:cs="Times New Roman"/>
                <w:sz w:val="24"/>
                <w:szCs w:val="24"/>
              </w:rPr>
              <w:t xml:space="preserve"> ministrija</w:t>
            </w:r>
          </w:p>
        </w:tc>
      </w:tr>
      <w:tr w:rsidR="00DA6C86" w:rsidRPr="00A14165" w14:paraId="5EDF1DB0" w14:textId="77777777" w:rsidTr="00115F3C">
        <w:tc>
          <w:tcPr>
            <w:tcW w:w="222" w:type="pct"/>
          </w:tcPr>
          <w:p w14:paraId="5EDF1DAC" w14:textId="77777777" w:rsidR="00DA6C86" w:rsidRPr="00950A46" w:rsidRDefault="00DA6C86" w:rsidP="00176CB2">
            <w:pPr>
              <w:pStyle w:val="naiskr"/>
              <w:spacing w:before="0" w:beforeAutospacing="0" w:after="0" w:afterAutospacing="0"/>
              <w:ind w:right="57"/>
              <w:jc w:val="center"/>
              <w:rPr>
                <w:sz w:val="22"/>
                <w:szCs w:val="22"/>
              </w:rPr>
            </w:pPr>
            <w:r w:rsidRPr="00950A46">
              <w:rPr>
                <w:sz w:val="22"/>
                <w:szCs w:val="22"/>
              </w:rPr>
              <w:t>4.</w:t>
            </w:r>
          </w:p>
        </w:tc>
        <w:tc>
          <w:tcPr>
            <w:tcW w:w="1791" w:type="pct"/>
          </w:tcPr>
          <w:p w14:paraId="5EDF1DAD" w14:textId="77777777" w:rsidR="00DA6C86" w:rsidRPr="00950A46" w:rsidRDefault="00DA6C86" w:rsidP="00F57E68">
            <w:pPr>
              <w:pStyle w:val="naiskr"/>
              <w:spacing w:before="0" w:beforeAutospacing="0" w:after="0" w:afterAutospacing="0"/>
              <w:ind w:left="57" w:right="57"/>
              <w:rPr>
                <w:sz w:val="22"/>
                <w:szCs w:val="22"/>
              </w:rPr>
            </w:pPr>
            <w:r w:rsidRPr="00950A46">
              <w:rPr>
                <w:sz w:val="22"/>
                <w:szCs w:val="22"/>
              </w:rPr>
              <w:t>Cita informācija</w:t>
            </w:r>
          </w:p>
        </w:tc>
        <w:tc>
          <w:tcPr>
            <w:tcW w:w="2987" w:type="pct"/>
          </w:tcPr>
          <w:p w14:paraId="29556CD2" w14:textId="7EB5E66B" w:rsidR="006E5856" w:rsidRPr="00FD2671" w:rsidRDefault="006E5856" w:rsidP="003F74A9">
            <w:pPr>
              <w:pStyle w:val="naiskr"/>
              <w:numPr>
                <w:ilvl w:val="0"/>
                <w:numId w:val="2"/>
              </w:numPr>
              <w:spacing w:after="120"/>
              <w:ind w:right="57"/>
              <w:jc w:val="both"/>
            </w:pPr>
            <w:r w:rsidRPr="00FD2671">
              <w:t>Uzraudzības komitejas apstiprinātajā ES f</w:t>
            </w:r>
            <w:r w:rsidR="007B74D7">
              <w:t>ondu izvērtēšanas plānā 2014.-2020.</w:t>
            </w:r>
            <w:r w:rsidRPr="00FD2671">
              <w:t>gadam analizēta līdzšinējā pieredze ES fondu izvērtēšanā un konstatēt</w:t>
            </w:r>
            <w:r w:rsidR="007B74D7">
              <w:t>i</w:t>
            </w:r>
            <w:r w:rsidRPr="00FD2671">
              <w:t xml:space="preserve"> būtiskākie sistēmas izaicinājumi:</w:t>
            </w:r>
          </w:p>
          <w:p w14:paraId="2C59F652" w14:textId="19028868" w:rsidR="00AD5EBC" w:rsidRDefault="002C3B8C" w:rsidP="00AD5EBC">
            <w:pPr>
              <w:pStyle w:val="naiskr"/>
              <w:numPr>
                <w:ilvl w:val="0"/>
                <w:numId w:val="4"/>
              </w:numPr>
              <w:spacing w:after="120"/>
              <w:ind w:left="285" w:right="57" w:hanging="142"/>
              <w:jc w:val="both"/>
            </w:pPr>
            <w:r>
              <w:t>V</w:t>
            </w:r>
            <w:r w:rsidR="006E5856" w:rsidRPr="00FD2671">
              <w:t>iena no būtiskām problēmām ir saglabājusies salīdzinoši zemā izvērtēšanas kapacitāte valsts pārvaldē. Šo problēmu veicina gan institucionālie faktori (liela darbinieku mainība), gan sistēmiski faktori (funkcionāls pienākumu sadalījums). Specializācijas trūkums izvērtēšanas jautājumos ir minams kā galvenais zemās kapacitātes iemesls, ko daļēji ietekmējis arī pienākumu sadalījums individuāliem darbiniekiem. Amatu aprakstos izvērtēšanas funkcija bieži tiek kombinēta ar uzraudzību vai programmu ieviešanu, kas traucē specializēties ar izvērtēšanu saistītos jautājumos. Aplūkojot ES fon</w:t>
            </w:r>
            <w:r w:rsidR="007B74D7">
              <w:t>du                                 2007.-2013.</w:t>
            </w:r>
            <w:r w:rsidR="006E5856" w:rsidRPr="00FD2671">
              <w:t>gada plānošanas perioda ieviešanā iesaistīto atbildīgo iestāžu institucionālo sistēmu, var secināt, ka nevienā no nozaru ministrijām nav atsevišķas struktūrvienības, kas specializējas izvērtēšanas jautājumos. Izvērtēšanas funkcija bieži ir integrēta ar aktivitāšu uzraudzību vai plānošanu saistītās struktūrvienībās. Vienlaikus jāatzīmē, ka ierobežoto resursu ietvaros atsevišķu struktūrvienību izveide būtu attaisnojama tikai gadījumos, ja tajās tiktu integrēta arī nozares politikas izvērtēšana.</w:t>
            </w:r>
          </w:p>
          <w:p w14:paraId="1CC78ECD" w14:textId="40E7F865" w:rsidR="00AD5EBC" w:rsidRDefault="006E5856" w:rsidP="00AD5EBC">
            <w:pPr>
              <w:pStyle w:val="naiskr"/>
              <w:numPr>
                <w:ilvl w:val="0"/>
                <w:numId w:val="4"/>
              </w:numPr>
              <w:spacing w:after="120"/>
              <w:ind w:left="285" w:right="57" w:hanging="142"/>
              <w:jc w:val="both"/>
            </w:pPr>
            <w:r w:rsidRPr="00FD2671">
              <w:t xml:space="preserve">Salīdzinoši zemā izvērtēšanas kapacitāte un specializācijas trūkums atspoguļojas arī </w:t>
            </w:r>
            <w:proofErr w:type="spellStart"/>
            <w:r w:rsidRPr="00FD2671">
              <w:t>izvērtējumu</w:t>
            </w:r>
            <w:proofErr w:type="spellEnd"/>
            <w:r w:rsidRPr="00FD2671">
              <w:t xml:space="preserve"> uzdevumu formulēšanā un tehnisko specifikāciju izstrādē. Vadošā</w:t>
            </w:r>
            <w:r w:rsidR="00453A34">
              <w:t>s iestādes veiktā aptauja                            2013.gada 19.</w:t>
            </w:r>
            <w:r w:rsidRPr="00FD2671">
              <w:t xml:space="preserve">novembra Tematiskās izvērtēšanas konsultatīvās darba grupas (turpmāk tekstā – TIKDG) sanāksmē ļauj secināt, ka TIKDG dalībnieki savā ikdienas darbā ar izvērtēšanas organizēšanu ir saistīti ļoti reti. Izrietoši no TIKDG funkcijām ir būtiski </w:t>
            </w:r>
            <w:r w:rsidRPr="00FD2671">
              <w:lastRenderedPageBreak/>
              <w:t xml:space="preserve">nodrošināt, ka darba grupas sastāvā darbojas pārstāvji, kuri ir tieši un regulāri iesaistīti izvērtēšanas procesā, labi orientējas nozares specifikā, vispārējā pētniecības metodoloģijā un spēj pēc būtības iesaistīties </w:t>
            </w:r>
            <w:proofErr w:type="spellStart"/>
            <w:r w:rsidRPr="00FD2671">
              <w:t>izvērtējumu</w:t>
            </w:r>
            <w:proofErr w:type="spellEnd"/>
            <w:r w:rsidRPr="00FD2671">
              <w:t xml:space="preserve"> kvalitātes nodrošināšanā. Ņemot vērā esošo situāciju, būtiska ir vispārējas izpratnes un padziļinātu zināšanu par izvērtēšanas jautājumiem nodrošināšana izvērt</w:t>
            </w:r>
            <w:r w:rsidR="00453A34">
              <w:t>ēšanā iesaistītajiem ekspertiem</w:t>
            </w:r>
            <w:r w:rsidRPr="00FD2671">
              <w:t xml:space="preserve">. </w:t>
            </w:r>
          </w:p>
          <w:p w14:paraId="103FF61D" w14:textId="77777777" w:rsidR="00AD5EBC" w:rsidRDefault="006E5856" w:rsidP="00AD5EBC">
            <w:pPr>
              <w:pStyle w:val="naiskr"/>
              <w:numPr>
                <w:ilvl w:val="0"/>
                <w:numId w:val="4"/>
              </w:numPr>
              <w:spacing w:after="120"/>
              <w:ind w:left="285" w:right="57" w:hanging="142"/>
              <w:jc w:val="both"/>
            </w:pPr>
            <w:r w:rsidRPr="00FD2671">
              <w:t xml:space="preserve">Neskatoties uz to, ka Latvija ir viena no retajām ES dalībvalstīm, kurās ir reglamentēts process </w:t>
            </w:r>
            <w:proofErr w:type="spellStart"/>
            <w:r w:rsidRPr="00FD2671">
              <w:t>izvērtējumos</w:t>
            </w:r>
            <w:proofErr w:type="spellEnd"/>
            <w:r w:rsidRPr="00FD2671">
              <w:t xml:space="preserve"> izteikto rekomendāciju ieviešanai, tā funkcionalitātei ir traucējusi zema </w:t>
            </w:r>
            <w:proofErr w:type="spellStart"/>
            <w:r w:rsidRPr="00FD2671">
              <w:t>izvērtējumu</w:t>
            </w:r>
            <w:proofErr w:type="spellEnd"/>
            <w:r w:rsidRPr="00FD2671">
              <w:t xml:space="preserve"> rekomendāciju kvalitāte. Zemās rekomendāciju kvalitātes pamatā ir bijusi gan sliktā </w:t>
            </w:r>
            <w:proofErr w:type="spellStart"/>
            <w:r w:rsidRPr="00FD2671">
              <w:t>izvērtējumu</w:t>
            </w:r>
            <w:proofErr w:type="spellEnd"/>
            <w:r w:rsidRPr="00FD2671">
              <w:t xml:space="preserve"> tēmu un darba uzdevumu formulēšana, gan </w:t>
            </w:r>
            <w:proofErr w:type="spellStart"/>
            <w:r w:rsidRPr="00FD2671">
              <w:t>izvērtējuma</w:t>
            </w:r>
            <w:proofErr w:type="spellEnd"/>
            <w:r w:rsidRPr="00FD2671">
              <w:t xml:space="preserve"> sagatavotāju kompetence. Ņemot vērā mazo Latvijas tirgu, uzņēmumu skaits, kuri specializējas ES fondu izvērtēšanā un kuriem ir specifiskas zināšanas attiecīgajā politikas jomā, ir ierobežots. Iepirkuma ietvaros nereti uzvar zemākās cenas piedāvājumi, kas vairumā gadījumu nenodrošina nepieciešamo ekspertīzi </w:t>
            </w:r>
            <w:proofErr w:type="spellStart"/>
            <w:r w:rsidRPr="00FD2671">
              <w:t>izvērtējuma</w:t>
            </w:r>
            <w:proofErr w:type="spellEnd"/>
            <w:r w:rsidRPr="00FD2671">
              <w:t xml:space="preserve"> veikšanai. Tā rezultātā izteiktās rekomendācijas nereti ir vispārīgas, bieži neatbilst ES regulējumam, sarežģīti ieviešamas un tām ir grūti nodrošināt tālāku ieviešanas uzraudzību.</w:t>
            </w:r>
          </w:p>
          <w:p w14:paraId="05F03688" w14:textId="1E310F23" w:rsidR="00AD5EBC" w:rsidRDefault="006E5856" w:rsidP="00AD5EBC">
            <w:pPr>
              <w:pStyle w:val="naiskr"/>
              <w:numPr>
                <w:ilvl w:val="0"/>
                <w:numId w:val="4"/>
              </w:numPr>
              <w:spacing w:after="120"/>
              <w:ind w:left="285" w:right="57" w:hanging="142"/>
              <w:jc w:val="both"/>
            </w:pPr>
            <w:r w:rsidRPr="00FD2671">
              <w:t xml:space="preserve">Papildus ierobežojošais faktors rekomendāciju ieviešanai ir bijusi ES fondu uzraudzības komitejas (turpmāk – UK) formālā iesaiste rekomendāciju ieviešanas uzraudzībā. UK ir tikusi informēta par </w:t>
            </w:r>
            <w:proofErr w:type="spellStart"/>
            <w:r w:rsidRPr="00FD2671">
              <w:t>izvērtējumu</w:t>
            </w:r>
            <w:proofErr w:type="spellEnd"/>
            <w:r w:rsidRPr="00FD2671">
              <w:t xml:space="preserve"> rekomendācijām, vienlaikus tā pēc būtības nav tieši iesaistīta rekomendāciju ieviešanas uzraudzībā. Tas ir radījis situācijas, kad institūcijas rekomendāciju izpildi īsteno formāli, pēc būtības nerisinot </w:t>
            </w:r>
            <w:proofErr w:type="spellStart"/>
            <w:r w:rsidRPr="00FD2671">
              <w:t>izvērtējumā</w:t>
            </w:r>
            <w:proofErr w:type="spellEnd"/>
            <w:r w:rsidRPr="00FD2671">
              <w:t xml:space="preserve"> konstatēto problēmu.</w:t>
            </w:r>
          </w:p>
          <w:p w14:paraId="6FECD550" w14:textId="5ABA435F" w:rsidR="00AD5EBC" w:rsidRDefault="006E5856" w:rsidP="00AD5EBC">
            <w:pPr>
              <w:pStyle w:val="naiskr"/>
              <w:numPr>
                <w:ilvl w:val="0"/>
                <w:numId w:val="4"/>
              </w:numPr>
              <w:spacing w:after="120"/>
              <w:ind w:left="285" w:right="57" w:hanging="142"/>
              <w:jc w:val="both"/>
            </w:pPr>
            <w:r w:rsidRPr="00FD2671">
              <w:t xml:space="preserve">Būtisks kavēklis metodoloģiski pamatotu </w:t>
            </w:r>
            <w:proofErr w:type="spellStart"/>
            <w:r w:rsidRPr="00FD2671">
              <w:t>izvērtējumu</w:t>
            </w:r>
            <w:proofErr w:type="spellEnd"/>
            <w:r w:rsidRPr="00FD2671">
              <w:t xml:space="preserve"> veikšanai ir bijis </w:t>
            </w:r>
            <w:proofErr w:type="spellStart"/>
            <w:r w:rsidRPr="00FD2671">
              <w:t>izvērtējumiem</w:t>
            </w:r>
            <w:proofErr w:type="spellEnd"/>
            <w:r w:rsidRPr="00FD2671">
              <w:t xml:space="preserve"> nepieciešamo datu trūkums, t.i., </w:t>
            </w:r>
            <w:proofErr w:type="spellStart"/>
            <w:r w:rsidRPr="00FD2671">
              <w:t>izvērtējumiem</w:t>
            </w:r>
            <w:proofErr w:type="spellEnd"/>
            <w:r w:rsidRPr="00FD2671">
              <w:t xml:space="preserve"> nepieciešamie dati nereti nav pieejami atbilstošā detalizācijas pakāpē</w:t>
            </w:r>
            <w:r w:rsidR="00453A34">
              <w:t xml:space="preserve">, griezumā vai kvalitātē. </w:t>
            </w:r>
            <w:r w:rsidR="00ED556C">
              <w:t>E</w:t>
            </w:r>
            <w:r w:rsidR="00E563A4">
              <w:t>S</w:t>
            </w:r>
            <w:r w:rsidR="00ED556C">
              <w:t xml:space="preserve"> fondu </w:t>
            </w:r>
            <w:r w:rsidR="00453A34">
              <w:t>2007.</w:t>
            </w:r>
            <w:r w:rsidRPr="00FD2671">
              <w:t>-</w:t>
            </w:r>
            <w:r w:rsidR="00453A34">
              <w:t>2013.</w:t>
            </w:r>
            <w:r w:rsidRPr="00FD2671">
              <w:t xml:space="preserve">gada plānošanas periodā veiktie </w:t>
            </w:r>
            <w:proofErr w:type="spellStart"/>
            <w:r w:rsidRPr="00FD2671">
              <w:t>izvērtējumi</w:t>
            </w:r>
            <w:proofErr w:type="spellEnd"/>
            <w:r w:rsidRPr="00FD2671">
              <w:t xml:space="preserve"> norāda uz nepilnībām datu uzkrāšanā, līdz ar to ir būtiski savlaicīgi apzināt pieejamos un nepieciešamos datus kvalitatīvas izvērtēšanas nodrošināšanai.</w:t>
            </w:r>
          </w:p>
          <w:p w14:paraId="65D6567E" w14:textId="23CE53A9" w:rsidR="00AD5EBC" w:rsidRDefault="006E5856" w:rsidP="00AD5EBC">
            <w:pPr>
              <w:pStyle w:val="naiskr"/>
              <w:numPr>
                <w:ilvl w:val="0"/>
                <w:numId w:val="4"/>
              </w:numPr>
              <w:spacing w:after="120"/>
              <w:ind w:left="285" w:right="57" w:hanging="142"/>
              <w:jc w:val="both"/>
            </w:pPr>
            <w:r w:rsidRPr="00FD2671">
              <w:t xml:space="preserve">Ne mazāk svarīga mācība no </w:t>
            </w:r>
            <w:r w:rsidR="00ED556C">
              <w:t xml:space="preserve">ES fondu </w:t>
            </w:r>
            <w:r w:rsidRPr="00FD2671">
              <w:t xml:space="preserve">2007.-2013.gada plānošanas perioda ir nepieciešamība sasaistīt izvērtēšanu ar uzraudzības un plānošanas ciklu. </w:t>
            </w:r>
            <w:r w:rsidR="00304533">
              <w:t xml:space="preserve">                      </w:t>
            </w:r>
            <w:r w:rsidR="00ED556C" w:rsidRPr="00FD2671">
              <w:t xml:space="preserve"> ES fondu </w:t>
            </w:r>
            <w:r w:rsidR="00304533">
              <w:t>2007.</w:t>
            </w:r>
            <w:r w:rsidRPr="00FD2671">
              <w:t>-</w:t>
            </w:r>
            <w:r w:rsidR="00304533">
              <w:t>2013.</w:t>
            </w:r>
            <w:r w:rsidRPr="00FD2671">
              <w:t xml:space="preserve">gada izvērtēšanas plāna laika grafiks un veiktie </w:t>
            </w:r>
            <w:r w:rsidR="00AA1969" w:rsidRPr="00FD2671">
              <w:t>izvērtējami</w:t>
            </w:r>
            <w:r w:rsidRPr="00FD2671">
              <w:t xml:space="preserve"> ir nodrošinājuši ļoti </w:t>
            </w:r>
            <w:r w:rsidRPr="00FD2671">
              <w:lastRenderedPageBreak/>
              <w:t xml:space="preserve">ierobežotu pierādījumu bāzi, uz kuru pamata veidot </w:t>
            </w:r>
            <w:r w:rsidR="00ED556C" w:rsidRPr="00FD2671">
              <w:t xml:space="preserve">ES fondu </w:t>
            </w:r>
            <w:r w:rsidRPr="00FD2671">
              <w:t xml:space="preserve">2014.-2020.gada darbības programmas. Mazais ietekmes </w:t>
            </w:r>
            <w:proofErr w:type="spellStart"/>
            <w:r w:rsidRPr="00FD2671">
              <w:t>izvērtējumu</w:t>
            </w:r>
            <w:proofErr w:type="spellEnd"/>
            <w:r w:rsidRPr="00FD2671">
              <w:t xml:space="preserve"> skaits un to tematiskais tvērums neļauj mācīties no pieļautajām kļūdām un uzskatāmi demonstrēt ieguldīju</w:t>
            </w:r>
            <w:r w:rsidR="00304533">
              <w:t xml:space="preserve">mu sasniegumus. Attiecīgi </w:t>
            </w:r>
            <w:r w:rsidR="00ED556C">
              <w:t xml:space="preserve">ES fondu </w:t>
            </w:r>
            <w:r w:rsidR="00304533">
              <w:t>2014.</w:t>
            </w:r>
            <w:r w:rsidRPr="00FD2671">
              <w:t>-2020.gada plānošanas periodā daudz lielāku uzmanību plānots veltīt izvērtēšanas procesa papildinātībai ar pārējiem ES fondu ieguldījumu īstenošanas cikla posmiem (ieviešanu, uzraudzību, plānošanu).</w:t>
            </w:r>
          </w:p>
          <w:p w14:paraId="738689BE" w14:textId="3F16A501" w:rsidR="006E5856" w:rsidRPr="00FD2671" w:rsidRDefault="006E5856" w:rsidP="00AD5EBC">
            <w:pPr>
              <w:pStyle w:val="naiskr"/>
              <w:numPr>
                <w:ilvl w:val="0"/>
                <w:numId w:val="4"/>
              </w:numPr>
              <w:spacing w:after="120"/>
              <w:ind w:left="285" w:right="57" w:hanging="142"/>
              <w:jc w:val="both"/>
            </w:pPr>
            <w:r w:rsidRPr="00FD2671">
              <w:t>Līdzšinējā ES fondu ieguldījumu izvērtēšana lielākoties nav bijusi saistīta ar nozaru politikas ietekmes izvērtēšanu lielā mērā tāpēc, ka nozaru politikas ietekmes izvērtēšana nav plaši izplatīta.</w:t>
            </w:r>
            <w:r w:rsidR="006B0A7D">
              <w:t xml:space="preserve"> Ņ</w:t>
            </w:r>
            <w:r w:rsidRPr="00FD2671">
              <w:t xml:space="preserve">emot vērā, ka ES fondu ieguldījumi un nozares politikas finansējums nacionālā līmenī balstīti uz vienotām valsts mēroga politikas plānošanas dokumentos noteiktām nozares attīstības prioritātēm un ir savstarpēji papildinoši kopējās nozares politikas mērķu sasniegšanai, lietderīga ir kopējās nozares politikas plānošanas dokumentu ietekmes izvērtēšana, tā ļaujot efektīvāk plānot valstij pieejamos resursus. </w:t>
            </w:r>
            <w:r w:rsidR="00304533">
              <w:t xml:space="preserve">                           </w:t>
            </w:r>
            <w:r w:rsidR="00ED556C">
              <w:t xml:space="preserve">ES fondu </w:t>
            </w:r>
            <w:r w:rsidR="00304533">
              <w:t>2014.-</w:t>
            </w:r>
            <w:r w:rsidRPr="00FD2671">
              <w:t>2020.gada plānošanas periodā līdz ar to nodrošināma atsevišķu tautsaimniecības nozaru politikas plānošanas dokumentu ietekmes izvērtēšana gadījumos, kad ES fondu ieguldījumi būtiski papildina nozares finansējumu nacionālā līmenī, it īpaši gadījumos, kad nozares politikas plānošanu ietekmē Eiropas Komisijas noteiktās ES fondu ieguldījumu priekšnosacījumu (</w:t>
            </w:r>
            <w:proofErr w:type="spellStart"/>
            <w:r w:rsidRPr="00FD2671">
              <w:t>ex-ante</w:t>
            </w:r>
            <w:proofErr w:type="spellEnd"/>
            <w:r w:rsidRPr="00FD2671">
              <w:t xml:space="preserve"> nosacījumu) izpildes prasības.</w:t>
            </w:r>
          </w:p>
          <w:p w14:paraId="7FA7DC8D" w14:textId="07A98B05" w:rsidR="002D13E4" w:rsidRDefault="00DB0A96" w:rsidP="002D13E4">
            <w:pPr>
              <w:pStyle w:val="naiskr"/>
              <w:numPr>
                <w:ilvl w:val="0"/>
                <w:numId w:val="2"/>
              </w:numPr>
              <w:spacing w:before="0" w:beforeAutospacing="0" w:after="120" w:afterAutospacing="0"/>
              <w:ind w:left="414" w:right="57" w:hanging="357"/>
              <w:jc w:val="both"/>
            </w:pPr>
            <w:r w:rsidRPr="00FD2671">
              <w:t>ES</w:t>
            </w:r>
            <w:r w:rsidR="0076207F" w:rsidRPr="00FD2671">
              <w:t xml:space="preserve"> fondu </w:t>
            </w:r>
            <w:r w:rsidR="00304533">
              <w:t>2014.-2020.</w:t>
            </w:r>
            <w:r w:rsidR="00B62F93" w:rsidRPr="00FD2671">
              <w:t>gada plānošanas periodā</w:t>
            </w:r>
            <w:r w:rsidR="000B4579" w:rsidRPr="00FD2671">
              <w:t>:</w:t>
            </w:r>
          </w:p>
          <w:p w14:paraId="7EFAB1A3" w14:textId="77777777" w:rsidR="00E50FC9" w:rsidRDefault="00B62F93" w:rsidP="00E50FC9">
            <w:pPr>
              <w:pStyle w:val="naiskr"/>
              <w:numPr>
                <w:ilvl w:val="0"/>
                <w:numId w:val="4"/>
              </w:numPr>
              <w:spacing w:before="0" w:beforeAutospacing="0" w:after="120" w:afterAutospacing="0"/>
              <w:ind w:left="285" w:right="57" w:hanging="142"/>
              <w:jc w:val="both"/>
            </w:pPr>
            <w:r w:rsidRPr="00FD2671">
              <w:t>pārvērtēti uzraudzības rādītāji specifisko atbalsta mērķu sasniegšanas mērīšanai, nodrošinot</w:t>
            </w:r>
            <w:r w:rsidR="009D781E" w:rsidRPr="00FD2671">
              <w:t>, ka</w:t>
            </w:r>
            <w:r w:rsidRPr="00FD2671">
              <w:t xml:space="preserve"> tie atspoguļo sasniegtos darba rezultātus</w:t>
            </w:r>
            <w:r w:rsidR="009D781E" w:rsidRPr="00FD2671">
              <w:t>, kā arī atbilstoši tam paredz rezultatīvo rād</w:t>
            </w:r>
            <w:r w:rsidR="008A1B18" w:rsidRPr="00FD2671">
              <w:t>ī</w:t>
            </w:r>
            <w:r w:rsidR="009D781E" w:rsidRPr="00FD2671">
              <w:t>tāju noteikšanu finansējuma saņēmējiem katrā tehniskās palīdzības projektā</w:t>
            </w:r>
            <w:r w:rsidR="00935E93" w:rsidRPr="00FD2671">
              <w:t>;</w:t>
            </w:r>
          </w:p>
          <w:p w14:paraId="4C207951" w14:textId="2ADD5BA6" w:rsidR="00E50FC9" w:rsidRDefault="000B4579" w:rsidP="00E50FC9">
            <w:pPr>
              <w:pStyle w:val="naiskr"/>
              <w:numPr>
                <w:ilvl w:val="0"/>
                <w:numId w:val="4"/>
              </w:numPr>
              <w:spacing w:before="0" w:beforeAutospacing="0" w:after="120" w:afterAutospacing="0"/>
              <w:ind w:left="285" w:right="57" w:hanging="142"/>
              <w:jc w:val="both"/>
            </w:pPr>
            <w:r w:rsidRPr="00FD2671">
              <w:t>p</w:t>
            </w:r>
            <w:r w:rsidR="009D781E" w:rsidRPr="00FD2671">
              <w:t>ārvērtēta ES fondu admin</w:t>
            </w:r>
            <w:r w:rsidR="008A1B18" w:rsidRPr="00FD2671">
              <w:t>i</w:t>
            </w:r>
            <w:r w:rsidR="009D781E" w:rsidRPr="00FD2671">
              <w:t xml:space="preserve">strēšanas sistēma, kompetence un kapacitāte, tostarp  </w:t>
            </w:r>
            <w:r w:rsidRPr="00FD2671">
              <w:t xml:space="preserve">samazināts iesaistīto institūciju loks, nodrošinot to, ka sadarbības iestādes funkcijas veiks </w:t>
            </w:r>
            <w:r w:rsidR="00E50FC9">
              <w:t>CFLA</w:t>
            </w:r>
            <w:r w:rsidRPr="00FD2671">
              <w:t>, tādējādi nodrošinot efektīvāko līdzekļu izlietojumu</w:t>
            </w:r>
            <w:r w:rsidR="00935E93" w:rsidRPr="00FD2671">
              <w:t>;</w:t>
            </w:r>
          </w:p>
          <w:p w14:paraId="21D85B74" w14:textId="77777777" w:rsidR="00E50FC9" w:rsidRDefault="00C12D4E" w:rsidP="00E50FC9">
            <w:pPr>
              <w:pStyle w:val="naiskr"/>
              <w:numPr>
                <w:ilvl w:val="0"/>
                <w:numId w:val="4"/>
              </w:numPr>
              <w:spacing w:before="0" w:beforeAutospacing="0" w:after="120" w:afterAutospacing="0"/>
              <w:ind w:left="285" w:right="57" w:hanging="142"/>
              <w:jc w:val="both"/>
            </w:pPr>
            <w:r w:rsidRPr="00FD2671">
              <w:t>n</w:t>
            </w:r>
            <w:r w:rsidR="00ED5C3F" w:rsidRPr="00FD2671">
              <w:t>av plānotas neattiecināmās izmaksas</w:t>
            </w:r>
            <w:r w:rsidR="00935E93" w:rsidRPr="00FD2671">
              <w:t>;</w:t>
            </w:r>
          </w:p>
          <w:p w14:paraId="12FDFFB5" w14:textId="68E4322C" w:rsidR="00E50FC9" w:rsidRDefault="00C12D4E" w:rsidP="00E50FC9">
            <w:pPr>
              <w:pStyle w:val="naiskr"/>
              <w:numPr>
                <w:ilvl w:val="0"/>
                <w:numId w:val="4"/>
              </w:numPr>
              <w:spacing w:before="0" w:beforeAutospacing="0" w:after="120" w:afterAutospacing="0"/>
              <w:ind w:left="285" w:right="57" w:hanging="142"/>
              <w:jc w:val="both"/>
            </w:pPr>
            <w:r w:rsidRPr="00FD2671">
              <w:t>a</w:t>
            </w:r>
            <w:r w:rsidR="000457FC" w:rsidRPr="00FD2671">
              <w:t xml:space="preserve">ttiecībā uz </w:t>
            </w:r>
            <w:r w:rsidR="007C7FF8" w:rsidRPr="00FD2671">
              <w:t>informāciju tehn</w:t>
            </w:r>
            <w:r w:rsidR="00E600EC" w:rsidRPr="00FD2671">
              <w:t>o</w:t>
            </w:r>
            <w:r w:rsidR="007C7FF8" w:rsidRPr="00FD2671">
              <w:t xml:space="preserve">loģiju </w:t>
            </w:r>
            <w:r w:rsidR="000457FC" w:rsidRPr="00FD2671">
              <w:t>sistēmu un to uzturē</w:t>
            </w:r>
            <w:r w:rsidR="00C44706" w:rsidRPr="00FD2671">
              <w:t xml:space="preserve">šanu </w:t>
            </w:r>
            <w:r w:rsidR="00CC1E89" w:rsidRPr="00FD2671">
              <w:t xml:space="preserve">ES fondu </w:t>
            </w:r>
            <w:r w:rsidR="00D555E6">
              <w:t>2014.-2020.</w:t>
            </w:r>
            <w:r w:rsidR="0017274F" w:rsidRPr="00FD2671">
              <w:t xml:space="preserve">gada plānošanas periodā </w:t>
            </w:r>
            <w:r w:rsidR="00C44706" w:rsidRPr="00FD2671">
              <w:t xml:space="preserve">noteikts, ka šādas izmaksas var plānot savā </w:t>
            </w:r>
            <w:r w:rsidR="00C44706" w:rsidRPr="00FD2671">
              <w:lastRenderedPageBreak/>
              <w:t xml:space="preserve">tehniskās palīdzības projektā tikai </w:t>
            </w:r>
            <w:r w:rsidR="00EE5156" w:rsidRPr="00FD2671">
              <w:t xml:space="preserve">Finanšu ministrija kā vadošā iestāde un </w:t>
            </w:r>
            <w:r w:rsidR="00E50FC9">
              <w:t>CFLA</w:t>
            </w:r>
            <w:r w:rsidR="00EE5156" w:rsidRPr="00FD2671">
              <w:t xml:space="preserve"> kā </w:t>
            </w:r>
            <w:r w:rsidR="00C44706" w:rsidRPr="00FD2671">
              <w:t>sadarbības iestāde</w:t>
            </w:r>
            <w:r w:rsidR="007C7FF8" w:rsidRPr="00FD2671">
              <w:t>.</w:t>
            </w:r>
            <w:r w:rsidR="00C44706" w:rsidRPr="00FD2671">
              <w:t xml:space="preserve"> Kohēzijas politikas fondu vadības informācijas sistēmu </w:t>
            </w:r>
            <w:r w:rsidR="0076207F" w:rsidRPr="00FD2671">
              <w:t xml:space="preserve">ES fondu </w:t>
            </w:r>
            <w:r w:rsidR="00D555E6">
              <w:t>2014.-2020.</w:t>
            </w:r>
            <w:r w:rsidR="00C44706" w:rsidRPr="00FD2671">
              <w:t>gada</w:t>
            </w:r>
            <w:r w:rsidR="0076207F" w:rsidRPr="00FD2671">
              <w:t xml:space="preserve"> plānošanas periodam</w:t>
            </w:r>
            <w:r w:rsidR="00C44706" w:rsidRPr="00FD2671">
              <w:t xml:space="preserve"> attīsta tikai </w:t>
            </w:r>
            <w:r w:rsidR="00E50FC9">
              <w:t>CFLA</w:t>
            </w:r>
            <w:r w:rsidR="00C44706" w:rsidRPr="00FD2671">
              <w:t xml:space="preserve">, </w:t>
            </w:r>
            <w:r w:rsidR="007C7FF8" w:rsidRPr="00FD2671">
              <w:t>un Kohēzijas politikas fondu vadības informācijas sistēma</w:t>
            </w:r>
            <w:r w:rsidR="007C7FF8" w:rsidRPr="00FD2671" w:rsidDel="007C7FF8">
              <w:t xml:space="preserve"> </w:t>
            </w:r>
            <w:r w:rsidR="00E600EC" w:rsidRPr="00FD2671">
              <w:t xml:space="preserve">2014.-2020.gadam </w:t>
            </w:r>
            <w:r w:rsidR="007C7FF8" w:rsidRPr="00FD2671">
              <w:t xml:space="preserve">būs </w:t>
            </w:r>
            <w:r w:rsidR="00C44706" w:rsidRPr="00FD2671">
              <w:t>pieejama visām ES fondu vadībā iesaistītajām institūcijām.</w:t>
            </w:r>
            <w:r w:rsidR="0017274F" w:rsidRPr="00FD2671">
              <w:t xml:space="preserve"> </w:t>
            </w:r>
            <w:r w:rsidR="004F6068" w:rsidRPr="00FD2671">
              <w:t xml:space="preserve">ES fondu </w:t>
            </w:r>
            <w:r w:rsidR="00D555E6">
              <w:t>2007.-2013.</w:t>
            </w:r>
            <w:r w:rsidR="0017274F" w:rsidRPr="00FD2671">
              <w:t xml:space="preserve">gada plānošanas perioda ietvaros izmaksas ir attiecināmas tikai  ar </w:t>
            </w:r>
            <w:r w:rsidR="00380F8B" w:rsidRPr="00FD2671">
              <w:t>ES</w:t>
            </w:r>
            <w:r w:rsidR="0017274F" w:rsidRPr="00FD2671">
              <w:t xml:space="preserve"> struktūrfondu un Kohēzijas fonda vadības informācijas sistēmu tieši saistītu esošu </w:t>
            </w:r>
            <w:r w:rsidR="00337461" w:rsidRPr="00FD2671">
              <w:t>ES</w:t>
            </w:r>
            <w:r w:rsidR="0017274F" w:rsidRPr="00FD2671">
              <w:t xml:space="preserve"> fondu projektu uzraudzības informācijas sistēmu uzturēšana un drošības pasākumu nodrošināšana</w:t>
            </w:r>
            <w:r w:rsidR="00935E93" w:rsidRPr="00FD2671">
              <w:t>;</w:t>
            </w:r>
          </w:p>
          <w:p w14:paraId="4F742F42" w14:textId="1565AC76" w:rsidR="00E50FC9" w:rsidRDefault="00D10A8A" w:rsidP="00E50FC9">
            <w:pPr>
              <w:pStyle w:val="naiskr"/>
              <w:numPr>
                <w:ilvl w:val="0"/>
                <w:numId w:val="4"/>
              </w:numPr>
              <w:spacing w:before="0" w:beforeAutospacing="0" w:after="120" w:afterAutospacing="0"/>
              <w:ind w:left="285" w:right="57" w:hanging="142"/>
              <w:jc w:val="both"/>
            </w:pPr>
            <w:r w:rsidRPr="00FD2671">
              <w:t>Apmācības ES fondu vadībā</w:t>
            </w:r>
            <w:r w:rsidR="00A55400" w:rsidRPr="00FD2671">
              <w:t>, plānošanā, ieviešanā, uzraudzībā, izvērtēšanā</w:t>
            </w:r>
            <w:r w:rsidRPr="00FD2671">
              <w:t xml:space="preserve"> iesa</w:t>
            </w:r>
            <w:r w:rsidR="00711057" w:rsidRPr="00FD2671">
              <w:t>i</w:t>
            </w:r>
            <w:r w:rsidRPr="00FD2671">
              <w:t>stītajām institūcijām tiks  n</w:t>
            </w:r>
            <w:r w:rsidR="00E50FC9">
              <w:t>odrošinātas Valsts kancelejas tehniskās palīdzības</w:t>
            </w:r>
            <w:r w:rsidRPr="00FD2671">
              <w:t xml:space="preserve"> projekta ietvaros. Ja darbinieka, kas strādā ar ES fondu jautājumiem</w:t>
            </w:r>
            <w:r w:rsidR="007F487E" w:rsidRPr="00FD2671">
              <w:t>,</w:t>
            </w:r>
            <w:r w:rsidRPr="00FD2671">
              <w:t xml:space="preserve"> amata pienākumu veikšanai ir nepieciešamas horizontālas apmācības</w:t>
            </w:r>
            <w:r w:rsidR="003F6A64" w:rsidRPr="00FD2671">
              <w:t>, t.sk. apmācības, kas skar darbinieka vispārējās prasmes</w:t>
            </w:r>
            <w:r w:rsidRPr="00FD2671">
              <w:t>, specifiski kursi, pieredzes apm</w:t>
            </w:r>
            <w:r w:rsidR="00711057" w:rsidRPr="00FD2671">
              <w:t>a</w:t>
            </w:r>
            <w:r w:rsidRPr="00FD2671">
              <w:t>iņas pasākumi, lai darbinieks spētu kvalitatīvāk pildīt savus darba pienākumus, tad tās apmācības ir uzskatāmas par saistītām ar ES fondiem un i</w:t>
            </w:r>
            <w:r w:rsidR="00E50FC9">
              <w:t>r attiecināmas finansēšanai no tehniskās palīdzības</w:t>
            </w:r>
            <w:r w:rsidRPr="00FD2671">
              <w:t xml:space="preserve"> līdzekļiem.</w:t>
            </w:r>
          </w:p>
          <w:p w14:paraId="79480E2A" w14:textId="43550963" w:rsidR="005F11AC" w:rsidRDefault="00935E93" w:rsidP="005F11AC">
            <w:pPr>
              <w:pStyle w:val="naiskr"/>
              <w:numPr>
                <w:ilvl w:val="0"/>
                <w:numId w:val="4"/>
              </w:numPr>
              <w:spacing w:before="0" w:beforeAutospacing="0" w:after="120" w:afterAutospacing="0"/>
              <w:ind w:left="285" w:right="57" w:hanging="142"/>
              <w:jc w:val="both"/>
            </w:pPr>
            <w:r w:rsidRPr="00E50FC9">
              <w:rPr>
                <w:bCs/>
              </w:rPr>
              <w:t>n</w:t>
            </w:r>
            <w:r w:rsidR="00B70264" w:rsidRPr="00E50FC9">
              <w:rPr>
                <w:bCs/>
              </w:rPr>
              <w:t>o Kohēzijas fonda tehniskās palīdzības 12.1.1. specifiskā atbalsta mērķa „Uzlabot K</w:t>
            </w:r>
            <w:r w:rsidR="00E600EC" w:rsidRPr="00E50FC9">
              <w:rPr>
                <w:bCs/>
              </w:rPr>
              <w:t>ohēzijas politikas</w:t>
            </w:r>
            <w:r w:rsidR="00B70264" w:rsidRPr="00E50FC9">
              <w:rPr>
                <w:bCs/>
              </w:rPr>
              <w:t xml:space="preserve"> fondu plānošanu, ieviešanu, uzraudzību, kontroli, revīziju, un atbalstīt e-kohēziju” attiecināmām izmaksām ir attiecināmas </w:t>
            </w:r>
            <w:r w:rsidR="00B70264" w:rsidRPr="00FD2671">
              <w:t>atlīdzības izmaksas, ja tās saistītas ar Eiropas Sociālā fonda</w:t>
            </w:r>
            <w:r w:rsidR="00B70264" w:rsidRPr="00E50FC9">
              <w:rPr>
                <w:bCs/>
              </w:rPr>
              <w:t xml:space="preserve"> tehniskās palīdzības 10.1.1. specifiskā atbalsta mērķa „Palielināt K</w:t>
            </w:r>
            <w:r w:rsidR="00E600EC" w:rsidRPr="00E50FC9">
              <w:rPr>
                <w:bCs/>
              </w:rPr>
              <w:t>ohēzijas politikas</w:t>
            </w:r>
            <w:r w:rsidR="00B70264" w:rsidRPr="00E50FC9">
              <w:rPr>
                <w:bCs/>
              </w:rPr>
              <w:t xml:space="preserve"> fondu izvērtēšanas kapacitāti” īstenošanu.</w:t>
            </w:r>
          </w:p>
          <w:p w14:paraId="5BF1E34A" w14:textId="5C54504D" w:rsidR="008D1A24" w:rsidRDefault="004E16A6" w:rsidP="005F11AC">
            <w:pPr>
              <w:pStyle w:val="naiskr"/>
              <w:numPr>
                <w:ilvl w:val="0"/>
                <w:numId w:val="4"/>
              </w:numPr>
              <w:spacing w:before="0" w:beforeAutospacing="0" w:after="120" w:afterAutospacing="0"/>
              <w:ind w:left="285" w:right="57" w:hanging="142"/>
              <w:jc w:val="both"/>
            </w:pPr>
            <w:r w:rsidRPr="005F11AC">
              <w:rPr>
                <w:bCs/>
              </w:rPr>
              <w:t xml:space="preserve">Tehniskās palīdzības </w:t>
            </w:r>
            <w:r w:rsidR="00941AA6" w:rsidRPr="005F11AC">
              <w:rPr>
                <w:bCs/>
              </w:rPr>
              <w:t xml:space="preserve">10.1.2.  specifiskā atbalsta mērķa „Paaugstināt informētību par Kohēzijas politikas fondiem, sniedzot atbalstu informācijas un komunikācijas pasākumiem”, </w:t>
            </w:r>
            <w:r w:rsidRPr="005F11AC">
              <w:rPr>
                <w:bCs/>
              </w:rPr>
              <w:t>12.1.1. specifiskā atbalsta mērķa „Uzlabot Kohēzijas politikas fondu plānošanu, ieviešanu,</w:t>
            </w:r>
            <w:r w:rsidR="00AC687B" w:rsidRPr="005F11AC">
              <w:rPr>
                <w:bCs/>
              </w:rPr>
              <w:t xml:space="preserve"> uzraudzību, kontroli, revīziju</w:t>
            </w:r>
            <w:r w:rsidRPr="005F11AC">
              <w:rPr>
                <w:bCs/>
              </w:rPr>
              <w:t xml:space="preserve"> un atbalstīt </w:t>
            </w:r>
            <w:r w:rsidR="00AC687B" w:rsidRPr="005F11AC">
              <w:rPr>
                <w:bCs/>
              </w:rPr>
              <w:t xml:space="preserve">                  </w:t>
            </w:r>
            <w:r w:rsidRPr="005F11AC">
              <w:rPr>
                <w:bCs/>
              </w:rPr>
              <w:t>e-kohēziju” un 11.1.1. specifiskā atbalsta mērķa „Atbalstīt un pilnveidot Kohēzijas politikas fondu plānošanu, ieviešanu, uzraudzību un  kontroli”</w:t>
            </w:r>
            <w:r w:rsidR="00064268" w:rsidRPr="005F11AC">
              <w:rPr>
                <w:bCs/>
              </w:rPr>
              <w:t xml:space="preserve"> ietvaros projekta vadības izmaksās var plānot ne vairāk kā divas amata vietas (</w:t>
            </w:r>
            <w:r w:rsidR="00064268" w:rsidRPr="00FD2671">
              <w:t xml:space="preserve">projekta vadības personāls ne lielāks kā </w:t>
            </w:r>
            <w:r w:rsidR="002E5350" w:rsidRPr="00FD2671">
              <w:t>divas projektā nepieciešamo iesaistīto personu skaits ar 100% noslodzi</w:t>
            </w:r>
            <w:r w:rsidR="003D2E6B" w:rsidRPr="00FD2671">
              <w:t>).</w:t>
            </w:r>
            <w:r w:rsidR="00C0265D" w:rsidRPr="00FD2671">
              <w:t xml:space="preserve"> </w:t>
            </w:r>
          </w:p>
          <w:p w14:paraId="403E353C" w14:textId="31901BB2" w:rsidR="006472DA" w:rsidRPr="00FD2671" w:rsidRDefault="006472DA" w:rsidP="008D1A24">
            <w:pPr>
              <w:pStyle w:val="naiskr"/>
              <w:numPr>
                <w:ilvl w:val="0"/>
                <w:numId w:val="2"/>
              </w:numPr>
              <w:spacing w:before="0" w:beforeAutospacing="0" w:after="120" w:afterAutospacing="0"/>
              <w:ind w:right="57"/>
              <w:jc w:val="both"/>
            </w:pPr>
            <w:r w:rsidRPr="00FD2671">
              <w:lastRenderedPageBreak/>
              <w:t>Finansējuma aprēķinu pieņēmumi laika</w:t>
            </w:r>
            <w:r w:rsidR="00711057" w:rsidRPr="00FD2671">
              <w:t xml:space="preserve"> </w:t>
            </w:r>
            <w:r w:rsidRPr="00FD2671">
              <w:t>posma</w:t>
            </w:r>
            <w:r w:rsidR="0095372D" w:rsidRPr="00FD2671">
              <w:t>m</w:t>
            </w:r>
            <w:r w:rsidR="00AC687B">
              <w:t xml:space="preserve"> no 2015.gada 1.</w:t>
            </w:r>
            <w:r w:rsidRPr="00FD2671">
              <w:t>janvāra līdz 2018.</w:t>
            </w:r>
            <w:r w:rsidR="00AC687B">
              <w:t>gada 31.</w:t>
            </w:r>
            <w:r w:rsidRPr="00FD2671">
              <w:t>decembrim:</w:t>
            </w:r>
          </w:p>
          <w:p w14:paraId="3C0A3A13" w14:textId="56FDF6EF" w:rsidR="00D11600" w:rsidRDefault="006472DA" w:rsidP="00D11600">
            <w:pPr>
              <w:pStyle w:val="naiskr"/>
              <w:numPr>
                <w:ilvl w:val="0"/>
                <w:numId w:val="4"/>
              </w:numPr>
              <w:spacing w:before="0" w:beforeAutospacing="0" w:after="0" w:afterAutospacing="0"/>
              <w:ind w:left="285" w:right="57" w:hanging="142"/>
              <w:jc w:val="both"/>
            </w:pPr>
            <w:r w:rsidRPr="00FD2671">
              <w:t xml:space="preserve">Finansējuma rezerve, kura pieejama </w:t>
            </w:r>
            <w:r w:rsidR="0012627C">
              <w:t>tehniskās palīdzības</w:t>
            </w:r>
            <w:r w:rsidRPr="00FD2671">
              <w:t xml:space="preserve"> finansējuma saņēmējiem</w:t>
            </w:r>
            <w:r w:rsidR="00AC687B">
              <w:t>, sākot ar                      2017.gada 1.</w:t>
            </w:r>
            <w:r w:rsidRPr="00FD2671">
              <w:t>janvāri</w:t>
            </w:r>
            <w:r w:rsidR="00AC687B">
              <w:t>,</w:t>
            </w:r>
            <w:r w:rsidRPr="00FD2671">
              <w:t xml:space="preserve"> ir noteikta </w:t>
            </w:r>
            <w:r w:rsidR="00BB2807">
              <w:t>2 021 801</w:t>
            </w:r>
            <w:r w:rsidRPr="00FD2671">
              <w:t xml:space="preserve"> </w:t>
            </w:r>
            <w:proofErr w:type="spellStart"/>
            <w:r w:rsidRPr="00210649">
              <w:rPr>
                <w:i/>
              </w:rPr>
              <w:t>euro</w:t>
            </w:r>
            <w:proofErr w:type="spellEnd"/>
            <w:r w:rsidRPr="00FD2671">
              <w:t xml:space="preserve"> apmērā (</w:t>
            </w:r>
            <w:r w:rsidR="00FD2671">
              <w:t xml:space="preserve">vidēji </w:t>
            </w:r>
            <w:r w:rsidRPr="00FD2671">
              <w:t>3</w:t>
            </w:r>
            <w:r w:rsidR="002023FA">
              <w:t>,</w:t>
            </w:r>
            <w:r w:rsidR="00BB2807">
              <w:t>7</w:t>
            </w:r>
            <w:r w:rsidRPr="00FD2671">
              <w:t>% no TP 1.kārtai</w:t>
            </w:r>
            <w:r w:rsidR="00CB3C7E">
              <w:t xml:space="preserve"> kopā</w:t>
            </w:r>
            <w:r w:rsidRPr="00FD2671">
              <w:t xml:space="preserve"> pieej</w:t>
            </w:r>
            <w:r w:rsidR="00711057" w:rsidRPr="00FD2671">
              <w:t>a</w:t>
            </w:r>
            <w:r w:rsidRPr="00FD2671">
              <w:t>mā finansējuma</w:t>
            </w:r>
            <w:r w:rsidR="001D02BD">
              <w:t xml:space="preserve"> apmēra</w:t>
            </w:r>
            <w:r w:rsidRPr="00FD2671">
              <w:t>).</w:t>
            </w:r>
          </w:p>
          <w:p w14:paraId="6E99FB4D" w14:textId="0EC7438E" w:rsidR="00D11600" w:rsidRDefault="00ED556C" w:rsidP="00D11600">
            <w:pPr>
              <w:pStyle w:val="naiskr"/>
              <w:numPr>
                <w:ilvl w:val="0"/>
                <w:numId w:val="4"/>
              </w:numPr>
              <w:spacing w:before="0" w:beforeAutospacing="0" w:after="0" w:afterAutospacing="0"/>
              <w:ind w:left="285" w:right="57" w:hanging="142"/>
              <w:jc w:val="both"/>
            </w:pPr>
            <w:r>
              <w:t xml:space="preserve">ES fondu </w:t>
            </w:r>
            <w:r w:rsidR="00AC687B">
              <w:t>2007.-2013.</w:t>
            </w:r>
            <w:r w:rsidR="006472DA" w:rsidRPr="00FD2671">
              <w:t xml:space="preserve">gada </w:t>
            </w:r>
            <w:r w:rsidR="00F01085" w:rsidRPr="00FD2671">
              <w:t xml:space="preserve">plānošanas </w:t>
            </w:r>
            <w:r w:rsidR="006472DA" w:rsidRPr="00FD2671">
              <w:t xml:space="preserve">perioda </w:t>
            </w:r>
            <w:proofErr w:type="spellStart"/>
            <w:r w:rsidR="006472DA" w:rsidRPr="00FD2671">
              <w:t>pēcuzraudzības</w:t>
            </w:r>
            <w:proofErr w:type="spellEnd"/>
            <w:r w:rsidR="006472DA" w:rsidRPr="00FD2671">
              <w:t xml:space="preserve"> nodrošināšanai kopējais finansējums ir </w:t>
            </w:r>
            <w:r w:rsidR="00FD2671">
              <w:t>7 538 666</w:t>
            </w:r>
            <w:r w:rsidR="006472DA" w:rsidRPr="00FD2671">
              <w:t xml:space="preserve"> </w:t>
            </w:r>
            <w:proofErr w:type="spellStart"/>
            <w:r w:rsidR="006472DA" w:rsidRPr="00210649">
              <w:rPr>
                <w:i/>
              </w:rPr>
              <w:t>euro</w:t>
            </w:r>
            <w:proofErr w:type="spellEnd"/>
            <w:r w:rsidR="006472DA" w:rsidRPr="00FD2671">
              <w:t>. Finans</w:t>
            </w:r>
            <w:r w:rsidR="00F01085" w:rsidRPr="00FD2671">
              <w:t>ējuma</w:t>
            </w:r>
            <w:r w:rsidR="006472DA" w:rsidRPr="00FD2671">
              <w:t xml:space="preserve"> aprēķin</w:t>
            </w:r>
            <w:r w:rsidR="00734405" w:rsidRPr="00FD2671">
              <w:t>s balstīts</w:t>
            </w:r>
            <w:r w:rsidR="006472DA" w:rsidRPr="00FD2671">
              <w:t xml:space="preserve"> uz vienas slodzes izmaksām, kura ir 22 000 </w:t>
            </w:r>
            <w:proofErr w:type="spellStart"/>
            <w:r w:rsidR="006472DA" w:rsidRPr="00210649">
              <w:rPr>
                <w:i/>
              </w:rPr>
              <w:t>euro</w:t>
            </w:r>
            <w:proofErr w:type="spellEnd"/>
            <w:r w:rsidR="00734405" w:rsidRPr="00FD2671">
              <w:t xml:space="preserve"> (ņemot vērā maksimālo vec</w:t>
            </w:r>
            <w:r w:rsidR="00711057" w:rsidRPr="00FD2671">
              <w:t>ā</w:t>
            </w:r>
            <w:r w:rsidR="00734405" w:rsidRPr="00FD2671">
              <w:t>k</w:t>
            </w:r>
            <w:r w:rsidR="007E673B">
              <w:t>ā</w:t>
            </w:r>
            <w:r w:rsidR="00734405" w:rsidRPr="00FD2671">
              <w:t xml:space="preserve"> </w:t>
            </w:r>
            <w:r w:rsidR="00741D88" w:rsidRPr="00FD2671">
              <w:t>eksperta</w:t>
            </w:r>
            <w:r w:rsidR="00734405" w:rsidRPr="00FD2671">
              <w:t xml:space="preserve"> amata mēnešalgas grupu un kategoriju)</w:t>
            </w:r>
            <w:r w:rsidR="006472DA" w:rsidRPr="00FD2671">
              <w:t>.</w:t>
            </w:r>
            <w:r w:rsidR="0036259D" w:rsidRPr="00FD2671">
              <w:t xml:space="preserve"> Institūcijām aprēķinātais finansējuma apmērs balstīts uz slodzes skaitu reizināts ar 1 slodzes izmaksām.</w:t>
            </w:r>
            <w:r w:rsidR="00C20EE2" w:rsidRPr="00FD2671">
              <w:t xml:space="preserve"> Nepieciešamais slodzes apmērs balstīts uz katras institūcijas sniegto informāciju par </w:t>
            </w:r>
            <w:proofErr w:type="spellStart"/>
            <w:r w:rsidR="00C20EE2" w:rsidRPr="00FD2671">
              <w:t>pēcuzraudzībā</w:t>
            </w:r>
            <w:proofErr w:type="spellEnd"/>
            <w:r w:rsidR="00C20EE2" w:rsidRPr="00FD2671">
              <w:t xml:space="preserve"> nepi</w:t>
            </w:r>
            <w:r w:rsidR="00711057" w:rsidRPr="00FD2671">
              <w:t>e</w:t>
            </w:r>
            <w:r w:rsidR="00C20EE2" w:rsidRPr="00FD2671">
              <w:t xml:space="preserve">ciešamo cilvēkresursu skaitu. Ja finansējums gada ietvaros tika pieprasīts mazāk nekā bāzes summa (22 000 </w:t>
            </w:r>
            <w:proofErr w:type="spellStart"/>
            <w:r w:rsidR="00C20EE2" w:rsidRPr="00210649">
              <w:rPr>
                <w:i/>
              </w:rPr>
              <w:t>euro</w:t>
            </w:r>
            <w:proofErr w:type="spellEnd"/>
            <w:r w:rsidR="00C20EE2" w:rsidRPr="00FD2671">
              <w:t>), tad institūcijai piešķirtais finans</w:t>
            </w:r>
            <w:r w:rsidR="00711057" w:rsidRPr="00FD2671">
              <w:t>ē</w:t>
            </w:r>
            <w:r w:rsidR="00C20EE2" w:rsidRPr="00FD2671">
              <w:t>jums norādīts zem bāzes summas</w:t>
            </w:r>
            <w:r w:rsidR="0036773F" w:rsidRPr="00FD2671">
              <w:t xml:space="preserve"> (Kultūras ministrija, Veselības ministrija un Sabiedrības integrācijas fonds)</w:t>
            </w:r>
            <w:r w:rsidR="00C20EE2" w:rsidRPr="00FD2671">
              <w:t>.</w:t>
            </w:r>
            <w:r w:rsidR="00D41028" w:rsidRPr="00FD2671">
              <w:t xml:space="preserve"> </w:t>
            </w:r>
          </w:p>
          <w:tbl>
            <w:tblPr>
              <w:tblW w:w="5380" w:type="dxa"/>
              <w:tblLayout w:type="fixed"/>
              <w:tblLook w:val="04A0" w:firstRow="1" w:lastRow="0" w:firstColumn="1" w:lastColumn="0" w:noHBand="0" w:noVBand="1"/>
            </w:tblPr>
            <w:tblGrid>
              <w:gridCol w:w="980"/>
              <w:gridCol w:w="600"/>
              <w:gridCol w:w="860"/>
              <w:gridCol w:w="580"/>
              <w:gridCol w:w="840"/>
              <w:gridCol w:w="640"/>
              <w:gridCol w:w="880"/>
            </w:tblGrid>
            <w:tr w:rsidR="00636CEA" w:rsidRPr="00636CEA" w14:paraId="31F49D2A" w14:textId="77777777" w:rsidTr="00DF3429">
              <w:trPr>
                <w:trHeight w:val="495"/>
              </w:trPr>
              <w:tc>
                <w:tcPr>
                  <w:tcW w:w="980" w:type="dxa"/>
                  <w:tcBorders>
                    <w:top w:val="nil"/>
                    <w:left w:val="nil"/>
                    <w:bottom w:val="nil"/>
                    <w:right w:val="nil"/>
                  </w:tcBorders>
                  <w:shd w:val="clear" w:color="auto" w:fill="auto"/>
                  <w:noWrap/>
                  <w:vAlign w:val="bottom"/>
                  <w:hideMark/>
                </w:tcPr>
                <w:p w14:paraId="1798CCA9"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sz w:val="24"/>
                      <w:szCs w:val="24"/>
                    </w:rPr>
                  </w:pPr>
                </w:p>
              </w:tc>
              <w:tc>
                <w:tcPr>
                  <w:tcW w:w="146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BF038BF" w14:textId="77777777" w:rsidR="00636CEA" w:rsidRPr="00636CEA" w:rsidRDefault="00636CEA" w:rsidP="00123970">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636CEA">
                    <w:rPr>
                      <w:rFonts w:ascii="Times New Roman" w:eastAsia="Times New Roman" w:hAnsi="Times New Roman" w:cs="Times New Roman"/>
                      <w:b/>
                      <w:bCs/>
                      <w:sz w:val="16"/>
                      <w:szCs w:val="16"/>
                    </w:rPr>
                    <w:t>2016. gads</w:t>
                  </w:r>
                </w:p>
              </w:tc>
              <w:tc>
                <w:tcPr>
                  <w:tcW w:w="1420" w:type="dxa"/>
                  <w:gridSpan w:val="2"/>
                  <w:tcBorders>
                    <w:top w:val="single" w:sz="8" w:space="0" w:color="auto"/>
                    <w:left w:val="nil"/>
                    <w:bottom w:val="single" w:sz="4" w:space="0" w:color="auto"/>
                    <w:right w:val="nil"/>
                  </w:tcBorders>
                  <w:shd w:val="clear" w:color="auto" w:fill="auto"/>
                  <w:vAlign w:val="center"/>
                  <w:hideMark/>
                </w:tcPr>
                <w:p w14:paraId="29BDF0EC" w14:textId="77777777" w:rsidR="00636CEA" w:rsidRPr="00636CEA" w:rsidRDefault="00636CEA" w:rsidP="00123970">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636CEA">
                    <w:rPr>
                      <w:rFonts w:ascii="Times New Roman" w:eastAsia="Times New Roman" w:hAnsi="Times New Roman" w:cs="Times New Roman"/>
                      <w:b/>
                      <w:bCs/>
                      <w:sz w:val="16"/>
                      <w:szCs w:val="16"/>
                    </w:rPr>
                    <w:t>2017. gads</w:t>
                  </w:r>
                </w:p>
              </w:tc>
              <w:tc>
                <w:tcPr>
                  <w:tcW w:w="152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6D05909" w14:textId="77777777" w:rsidR="00636CEA" w:rsidRPr="00636CEA" w:rsidRDefault="00636CEA" w:rsidP="00123970">
                  <w:pPr>
                    <w:framePr w:hSpace="180" w:wrap="around" w:vAnchor="text" w:hAnchor="margin" w:xAlign="center" w:y="149"/>
                    <w:spacing w:after="0" w:line="240" w:lineRule="auto"/>
                    <w:jc w:val="center"/>
                    <w:rPr>
                      <w:rFonts w:ascii="Times New Roman" w:eastAsia="Times New Roman" w:hAnsi="Times New Roman" w:cs="Times New Roman"/>
                      <w:b/>
                      <w:bCs/>
                      <w:color w:val="000000"/>
                      <w:sz w:val="16"/>
                      <w:szCs w:val="16"/>
                    </w:rPr>
                  </w:pPr>
                  <w:r w:rsidRPr="00636CEA">
                    <w:rPr>
                      <w:rFonts w:ascii="Times New Roman" w:eastAsia="Times New Roman" w:hAnsi="Times New Roman" w:cs="Times New Roman"/>
                      <w:b/>
                      <w:bCs/>
                      <w:color w:val="000000"/>
                      <w:sz w:val="16"/>
                      <w:szCs w:val="16"/>
                    </w:rPr>
                    <w:t>2018. gads</w:t>
                  </w:r>
                </w:p>
              </w:tc>
            </w:tr>
            <w:tr w:rsidR="00636CEA" w:rsidRPr="00636CEA" w14:paraId="1F603B3A" w14:textId="77777777" w:rsidTr="00DF3429">
              <w:trPr>
                <w:trHeight w:val="615"/>
              </w:trPr>
              <w:tc>
                <w:tcPr>
                  <w:tcW w:w="980" w:type="dxa"/>
                  <w:tcBorders>
                    <w:top w:val="nil"/>
                    <w:left w:val="nil"/>
                    <w:bottom w:val="nil"/>
                    <w:right w:val="nil"/>
                  </w:tcBorders>
                  <w:shd w:val="clear" w:color="auto" w:fill="auto"/>
                  <w:noWrap/>
                  <w:vAlign w:val="bottom"/>
                  <w:hideMark/>
                </w:tcPr>
                <w:p w14:paraId="103E2782" w14:textId="77777777" w:rsidR="00636CEA" w:rsidRPr="00636CEA" w:rsidRDefault="00636CEA" w:rsidP="00123970">
                  <w:pPr>
                    <w:framePr w:hSpace="180" w:wrap="around" w:vAnchor="text" w:hAnchor="margin" w:xAlign="center" w:y="149"/>
                    <w:spacing w:after="0" w:line="240" w:lineRule="auto"/>
                    <w:jc w:val="center"/>
                    <w:rPr>
                      <w:rFonts w:ascii="Times New Roman" w:eastAsia="Times New Roman" w:hAnsi="Times New Roman" w:cs="Times New Roman"/>
                      <w:b/>
                      <w:bCs/>
                      <w:color w:val="000000"/>
                      <w:sz w:val="16"/>
                      <w:szCs w:val="16"/>
                    </w:rPr>
                  </w:pPr>
                </w:p>
              </w:tc>
              <w:tc>
                <w:tcPr>
                  <w:tcW w:w="600" w:type="dxa"/>
                  <w:tcBorders>
                    <w:top w:val="nil"/>
                    <w:left w:val="single" w:sz="8" w:space="0" w:color="auto"/>
                    <w:bottom w:val="single" w:sz="8" w:space="0" w:color="auto"/>
                    <w:right w:val="single" w:sz="4" w:space="0" w:color="auto"/>
                  </w:tcBorders>
                  <w:shd w:val="clear" w:color="auto" w:fill="auto"/>
                  <w:vAlign w:val="center"/>
                  <w:hideMark/>
                </w:tcPr>
                <w:p w14:paraId="3B7E5223"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b/>
                      <w:bCs/>
                      <w:sz w:val="16"/>
                      <w:szCs w:val="16"/>
                    </w:rPr>
                  </w:pPr>
                  <w:proofErr w:type="spellStart"/>
                  <w:r w:rsidRPr="00636CEA">
                    <w:rPr>
                      <w:rFonts w:ascii="Times New Roman" w:eastAsia="Times New Roman" w:hAnsi="Times New Roman" w:cs="Times New Roman"/>
                      <w:b/>
                      <w:bCs/>
                      <w:sz w:val="16"/>
                      <w:szCs w:val="16"/>
                    </w:rPr>
                    <w:t>Slodz</w:t>
                  </w:r>
                  <w:proofErr w:type="spellEnd"/>
                  <w:r w:rsidRPr="00636CEA">
                    <w:rPr>
                      <w:rFonts w:ascii="Times New Roman" w:eastAsia="Times New Roman" w:hAnsi="Times New Roman" w:cs="Times New Roman"/>
                      <w:b/>
                      <w:bCs/>
                      <w:sz w:val="16"/>
                      <w:szCs w:val="16"/>
                    </w:rPr>
                    <w:t>.</w:t>
                  </w:r>
                </w:p>
              </w:tc>
              <w:tc>
                <w:tcPr>
                  <w:tcW w:w="860" w:type="dxa"/>
                  <w:tcBorders>
                    <w:top w:val="nil"/>
                    <w:left w:val="nil"/>
                    <w:bottom w:val="single" w:sz="8" w:space="0" w:color="auto"/>
                    <w:right w:val="single" w:sz="8" w:space="0" w:color="auto"/>
                  </w:tcBorders>
                  <w:shd w:val="clear" w:color="auto" w:fill="auto"/>
                  <w:vAlign w:val="center"/>
                  <w:hideMark/>
                </w:tcPr>
                <w:p w14:paraId="7821CD1F"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b/>
                      <w:bCs/>
                      <w:sz w:val="16"/>
                      <w:szCs w:val="16"/>
                    </w:rPr>
                  </w:pPr>
                  <w:r w:rsidRPr="00636CEA">
                    <w:rPr>
                      <w:rFonts w:ascii="Times New Roman" w:eastAsia="Times New Roman" w:hAnsi="Times New Roman" w:cs="Times New Roman"/>
                      <w:b/>
                      <w:bCs/>
                      <w:sz w:val="16"/>
                      <w:szCs w:val="16"/>
                    </w:rPr>
                    <w:t>Summa</w:t>
                  </w:r>
                </w:p>
              </w:tc>
              <w:tc>
                <w:tcPr>
                  <w:tcW w:w="580" w:type="dxa"/>
                  <w:tcBorders>
                    <w:top w:val="nil"/>
                    <w:left w:val="nil"/>
                    <w:bottom w:val="single" w:sz="8" w:space="0" w:color="auto"/>
                    <w:right w:val="single" w:sz="4" w:space="0" w:color="auto"/>
                  </w:tcBorders>
                  <w:shd w:val="clear" w:color="auto" w:fill="auto"/>
                  <w:vAlign w:val="center"/>
                  <w:hideMark/>
                </w:tcPr>
                <w:p w14:paraId="43C7183F"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b/>
                      <w:bCs/>
                      <w:sz w:val="16"/>
                      <w:szCs w:val="16"/>
                    </w:rPr>
                  </w:pPr>
                  <w:proofErr w:type="spellStart"/>
                  <w:r w:rsidRPr="00636CEA">
                    <w:rPr>
                      <w:rFonts w:ascii="Times New Roman" w:eastAsia="Times New Roman" w:hAnsi="Times New Roman" w:cs="Times New Roman"/>
                      <w:b/>
                      <w:bCs/>
                      <w:sz w:val="16"/>
                      <w:szCs w:val="16"/>
                    </w:rPr>
                    <w:t>Slodz</w:t>
                  </w:r>
                  <w:proofErr w:type="spellEnd"/>
                  <w:r w:rsidRPr="00636CEA">
                    <w:rPr>
                      <w:rFonts w:ascii="Times New Roman" w:eastAsia="Times New Roman" w:hAnsi="Times New Roman" w:cs="Times New Roman"/>
                      <w:b/>
                      <w:bCs/>
                      <w:sz w:val="16"/>
                      <w:szCs w:val="16"/>
                    </w:rPr>
                    <w:t>.</w:t>
                  </w:r>
                </w:p>
              </w:tc>
              <w:tc>
                <w:tcPr>
                  <w:tcW w:w="840" w:type="dxa"/>
                  <w:tcBorders>
                    <w:top w:val="nil"/>
                    <w:left w:val="nil"/>
                    <w:bottom w:val="single" w:sz="8" w:space="0" w:color="auto"/>
                    <w:right w:val="nil"/>
                  </w:tcBorders>
                  <w:shd w:val="clear" w:color="auto" w:fill="auto"/>
                  <w:vAlign w:val="center"/>
                  <w:hideMark/>
                </w:tcPr>
                <w:p w14:paraId="47F9F7A3"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b/>
                      <w:bCs/>
                      <w:sz w:val="16"/>
                      <w:szCs w:val="16"/>
                    </w:rPr>
                  </w:pPr>
                  <w:r w:rsidRPr="00636CEA">
                    <w:rPr>
                      <w:rFonts w:ascii="Times New Roman" w:eastAsia="Times New Roman" w:hAnsi="Times New Roman" w:cs="Times New Roman"/>
                      <w:b/>
                      <w:bCs/>
                      <w:sz w:val="16"/>
                      <w:szCs w:val="16"/>
                    </w:rPr>
                    <w:t>Summa</w:t>
                  </w:r>
                </w:p>
              </w:tc>
              <w:tc>
                <w:tcPr>
                  <w:tcW w:w="640" w:type="dxa"/>
                  <w:tcBorders>
                    <w:top w:val="nil"/>
                    <w:left w:val="single" w:sz="8" w:space="0" w:color="auto"/>
                    <w:bottom w:val="single" w:sz="8" w:space="0" w:color="auto"/>
                    <w:right w:val="single" w:sz="4" w:space="0" w:color="auto"/>
                  </w:tcBorders>
                  <w:shd w:val="clear" w:color="auto" w:fill="auto"/>
                  <w:vAlign w:val="center"/>
                  <w:hideMark/>
                </w:tcPr>
                <w:p w14:paraId="5B9DFE62"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b/>
                      <w:bCs/>
                      <w:sz w:val="16"/>
                      <w:szCs w:val="16"/>
                    </w:rPr>
                  </w:pPr>
                  <w:proofErr w:type="spellStart"/>
                  <w:r w:rsidRPr="00636CEA">
                    <w:rPr>
                      <w:rFonts w:ascii="Times New Roman" w:eastAsia="Times New Roman" w:hAnsi="Times New Roman" w:cs="Times New Roman"/>
                      <w:b/>
                      <w:bCs/>
                      <w:sz w:val="16"/>
                      <w:szCs w:val="16"/>
                    </w:rPr>
                    <w:t>Slodz</w:t>
                  </w:r>
                  <w:proofErr w:type="spellEnd"/>
                  <w:r w:rsidRPr="00636CEA">
                    <w:rPr>
                      <w:rFonts w:ascii="Times New Roman" w:eastAsia="Times New Roman" w:hAnsi="Times New Roman" w:cs="Times New Roman"/>
                      <w:b/>
                      <w:bCs/>
                      <w:sz w:val="16"/>
                      <w:szCs w:val="16"/>
                    </w:rPr>
                    <w:t>.</w:t>
                  </w:r>
                </w:p>
              </w:tc>
              <w:tc>
                <w:tcPr>
                  <w:tcW w:w="880" w:type="dxa"/>
                  <w:tcBorders>
                    <w:top w:val="nil"/>
                    <w:left w:val="nil"/>
                    <w:bottom w:val="single" w:sz="8" w:space="0" w:color="auto"/>
                    <w:right w:val="single" w:sz="8" w:space="0" w:color="auto"/>
                  </w:tcBorders>
                  <w:shd w:val="clear" w:color="auto" w:fill="auto"/>
                  <w:vAlign w:val="center"/>
                  <w:hideMark/>
                </w:tcPr>
                <w:p w14:paraId="5734CB18"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b/>
                      <w:bCs/>
                      <w:sz w:val="16"/>
                      <w:szCs w:val="16"/>
                    </w:rPr>
                  </w:pPr>
                  <w:r w:rsidRPr="00636CEA">
                    <w:rPr>
                      <w:rFonts w:ascii="Times New Roman" w:eastAsia="Times New Roman" w:hAnsi="Times New Roman" w:cs="Times New Roman"/>
                      <w:b/>
                      <w:bCs/>
                      <w:sz w:val="16"/>
                      <w:szCs w:val="16"/>
                    </w:rPr>
                    <w:t>Summa</w:t>
                  </w:r>
                </w:p>
              </w:tc>
            </w:tr>
            <w:tr w:rsidR="00636CEA" w:rsidRPr="00636CEA" w14:paraId="25E16348" w14:textId="77777777" w:rsidTr="00DF3429">
              <w:trPr>
                <w:trHeight w:val="375"/>
              </w:trPr>
              <w:tc>
                <w:tcPr>
                  <w:tcW w:w="980" w:type="dxa"/>
                  <w:tcBorders>
                    <w:top w:val="single" w:sz="8" w:space="0" w:color="auto"/>
                    <w:left w:val="single" w:sz="8" w:space="0" w:color="auto"/>
                    <w:bottom w:val="single" w:sz="4" w:space="0" w:color="auto"/>
                    <w:right w:val="nil"/>
                  </w:tcBorders>
                  <w:shd w:val="clear" w:color="auto" w:fill="auto"/>
                  <w:noWrap/>
                  <w:vAlign w:val="bottom"/>
                  <w:hideMark/>
                </w:tcPr>
                <w:p w14:paraId="49CCDBF0"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KM</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531E650C"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w:t>
                  </w:r>
                </w:p>
              </w:tc>
              <w:tc>
                <w:tcPr>
                  <w:tcW w:w="860" w:type="dxa"/>
                  <w:tcBorders>
                    <w:top w:val="nil"/>
                    <w:left w:val="nil"/>
                    <w:bottom w:val="single" w:sz="4" w:space="0" w:color="auto"/>
                    <w:right w:val="single" w:sz="8" w:space="0" w:color="auto"/>
                  </w:tcBorders>
                  <w:shd w:val="clear" w:color="auto" w:fill="auto"/>
                  <w:vAlign w:val="center"/>
                  <w:hideMark/>
                </w:tcPr>
                <w:p w14:paraId="5017558D"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20 000</w:t>
                  </w:r>
                </w:p>
              </w:tc>
              <w:tc>
                <w:tcPr>
                  <w:tcW w:w="580" w:type="dxa"/>
                  <w:tcBorders>
                    <w:top w:val="nil"/>
                    <w:left w:val="nil"/>
                    <w:bottom w:val="single" w:sz="4" w:space="0" w:color="auto"/>
                    <w:right w:val="single" w:sz="4" w:space="0" w:color="auto"/>
                  </w:tcBorders>
                  <w:shd w:val="clear" w:color="auto" w:fill="auto"/>
                  <w:vAlign w:val="center"/>
                  <w:hideMark/>
                </w:tcPr>
                <w:p w14:paraId="2A39D40C"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w:t>
                  </w:r>
                </w:p>
              </w:tc>
              <w:tc>
                <w:tcPr>
                  <w:tcW w:w="840" w:type="dxa"/>
                  <w:tcBorders>
                    <w:top w:val="nil"/>
                    <w:left w:val="nil"/>
                    <w:bottom w:val="single" w:sz="4" w:space="0" w:color="auto"/>
                    <w:right w:val="nil"/>
                  </w:tcBorders>
                  <w:shd w:val="clear" w:color="auto" w:fill="auto"/>
                  <w:vAlign w:val="center"/>
                  <w:hideMark/>
                </w:tcPr>
                <w:p w14:paraId="07889153"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20 000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1D3BE323"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w:t>
                  </w:r>
                </w:p>
              </w:tc>
              <w:tc>
                <w:tcPr>
                  <w:tcW w:w="880" w:type="dxa"/>
                  <w:tcBorders>
                    <w:top w:val="nil"/>
                    <w:left w:val="nil"/>
                    <w:bottom w:val="single" w:sz="4" w:space="0" w:color="auto"/>
                    <w:right w:val="single" w:sz="8" w:space="0" w:color="auto"/>
                  </w:tcBorders>
                  <w:shd w:val="clear" w:color="auto" w:fill="auto"/>
                  <w:noWrap/>
                  <w:vAlign w:val="center"/>
                  <w:hideMark/>
                </w:tcPr>
                <w:p w14:paraId="1D858238"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20 000</w:t>
                  </w:r>
                </w:p>
              </w:tc>
            </w:tr>
            <w:tr w:rsidR="00636CEA" w:rsidRPr="00636CEA" w14:paraId="70F867C1" w14:textId="77777777" w:rsidTr="00DF3429">
              <w:trPr>
                <w:trHeight w:val="270"/>
              </w:trPr>
              <w:tc>
                <w:tcPr>
                  <w:tcW w:w="980" w:type="dxa"/>
                  <w:tcBorders>
                    <w:top w:val="nil"/>
                    <w:left w:val="single" w:sz="8" w:space="0" w:color="auto"/>
                    <w:bottom w:val="single" w:sz="4" w:space="0" w:color="auto"/>
                    <w:right w:val="nil"/>
                  </w:tcBorders>
                  <w:shd w:val="clear" w:color="auto" w:fill="auto"/>
                  <w:noWrap/>
                  <w:vAlign w:val="bottom"/>
                  <w:hideMark/>
                </w:tcPr>
                <w:p w14:paraId="52AA78D4"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VM</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70EA3547"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w:t>
                  </w:r>
                </w:p>
              </w:tc>
              <w:tc>
                <w:tcPr>
                  <w:tcW w:w="860" w:type="dxa"/>
                  <w:tcBorders>
                    <w:top w:val="nil"/>
                    <w:left w:val="nil"/>
                    <w:bottom w:val="single" w:sz="4" w:space="0" w:color="auto"/>
                    <w:right w:val="single" w:sz="8" w:space="0" w:color="auto"/>
                  </w:tcBorders>
                  <w:shd w:val="clear" w:color="auto" w:fill="auto"/>
                  <w:vAlign w:val="center"/>
                  <w:hideMark/>
                </w:tcPr>
                <w:p w14:paraId="640AE3F2"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14 792</w:t>
                  </w:r>
                </w:p>
              </w:tc>
              <w:tc>
                <w:tcPr>
                  <w:tcW w:w="580" w:type="dxa"/>
                  <w:tcBorders>
                    <w:top w:val="nil"/>
                    <w:left w:val="nil"/>
                    <w:bottom w:val="single" w:sz="4" w:space="0" w:color="auto"/>
                    <w:right w:val="single" w:sz="4" w:space="0" w:color="auto"/>
                  </w:tcBorders>
                  <w:shd w:val="clear" w:color="auto" w:fill="auto"/>
                  <w:vAlign w:val="center"/>
                  <w:hideMark/>
                </w:tcPr>
                <w:p w14:paraId="10D79E32"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w:t>
                  </w:r>
                </w:p>
              </w:tc>
              <w:tc>
                <w:tcPr>
                  <w:tcW w:w="840" w:type="dxa"/>
                  <w:tcBorders>
                    <w:top w:val="nil"/>
                    <w:left w:val="nil"/>
                    <w:bottom w:val="single" w:sz="4" w:space="0" w:color="auto"/>
                    <w:right w:val="nil"/>
                  </w:tcBorders>
                  <w:shd w:val="clear" w:color="auto" w:fill="auto"/>
                  <w:vAlign w:val="center"/>
                  <w:hideMark/>
                </w:tcPr>
                <w:p w14:paraId="3ADCB17E"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11 076</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3F91F3A2"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5D3C64EB"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775A1A8C" w14:textId="77777777" w:rsidTr="00DF3429">
              <w:trPr>
                <w:trHeight w:val="300"/>
              </w:trPr>
              <w:tc>
                <w:tcPr>
                  <w:tcW w:w="980" w:type="dxa"/>
                  <w:tcBorders>
                    <w:top w:val="nil"/>
                    <w:left w:val="single" w:sz="8" w:space="0" w:color="auto"/>
                    <w:bottom w:val="single" w:sz="4" w:space="0" w:color="auto"/>
                    <w:right w:val="nil"/>
                  </w:tcBorders>
                  <w:shd w:val="clear" w:color="auto" w:fill="auto"/>
                  <w:noWrap/>
                  <w:vAlign w:val="bottom"/>
                  <w:hideMark/>
                </w:tcPr>
                <w:p w14:paraId="04B155E5"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IZM</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2238F28F"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6</w:t>
                  </w:r>
                </w:p>
              </w:tc>
              <w:tc>
                <w:tcPr>
                  <w:tcW w:w="860" w:type="dxa"/>
                  <w:tcBorders>
                    <w:top w:val="nil"/>
                    <w:left w:val="nil"/>
                    <w:bottom w:val="single" w:sz="4" w:space="0" w:color="auto"/>
                    <w:right w:val="single" w:sz="8" w:space="0" w:color="auto"/>
                  </w:tcBorders>
                  <w:shd w:val="clear" w:color="auto" w:fill="auto"/>
                  <w:vAlign w:val="center"/>
                  <w:hideMark/>
                </w:tcPr>
                <w:p w14:paraId="7DBE0C8C"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132 000</w:t>
                  </w:r>
                </w:p>
              </w:tc>
              <w:tc>
                <w:tcPr>
                  <w:tcW w:w="580" w:type="dxa"/>
                  <w:tcBorders>
                    <w:top w:val="nil"/>
                    <w:left w:val="nil"/>
                    <w:bottom w:val="single" w:sz="4" w:space="0" w:color="auto"/>
                    <w:right w:val="single" w:sz="4" w:space="0" w:color="auto"/>
                  </w:tcBorders>
                  <w:shd w:val="clear" w:color="auto" w:fill="auto"/>
                  <w:vAlign w:val="center"/>
                  <w:hideMark/>
                </w:tcPr>
                <w:p w14:paraId="7EF44453"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0</w:t>
                  </w:r>
                </w:p>
              </w:tc>
              <w:tc>
                <w:tcPr>
                  <w:tcW w:w="840" w:type="dxa"/>
                  <w:tcBorders>
                    <w:top w:val="nil"/>
                    <w:left w:val="nil"/>
                    <w:bottom w:val="single" w:sz="4" w:space="0" w:color="auto"/>
                    <w:right w:val="nil"/>
                  </w:tcBorders>
                  <w:shd w:val="clear" w:color="auto" w:fill="auto"/>
                  <w:vAlign w:val="center"/>
                  <w:hideMark/>
                </w:tcPr>
                <w:p w14:paraId="7BEE32E3"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7C232FB6"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6CEA660E"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4611BD69" w14:textId="77777777" w:rsidTr="00DF3429">
              <w:trPr>
                <w:trHeight w:val="315"/>
              </w:trPr>
              <w:tc>
                <w:tcPr>
                  <w:tcW w:w="980" w:type="dxa"/>
                  <w:tcBorders>
                    <w:top w:val="nil"/>
                    <w:left w:val="single" w:sz="8" w:space="0" w:color="auto"/>
                    <w:bottom w:val="single" w:sz="4" w:space="0" w:color="auto"/>
                    <w:right w:val="nil"/>
                  </w:tcBorders>
                  <w:shd w:val="clear" w:color="auto" w:fill="auto"/>
                  <w:noWrap/>
                  <w:vAlign w:val="bottom"/>
                  <w:hideMark/>
                </w:tcPr>
                <w:p w14:paraId="56B9699D"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VARAM</w:t>
                  </w:r>
                </w:p>
              </w:tc>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22159683"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8" w:space="0" w:color="auto"/>
                  </w:tcBorders>
                  <w:shd w:val="clear" w:color="auto" w:fill="auto"/>
                  <w:vAlign w:val="center"/>
                  <w:hideMark/>
                </w:tcPr>
                <w:p w14:paraId="313BD756"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286 000</w:t>
                  </w:r>
                </w:p>
              </w:tc>
              <w:tc>
                <w:tcPr>
                  <w:tcW w:w="580" w:type="dxa"/>
                  <w:tcBorders>
                    <w:top w:val="nil"/>
                    <w:left w:val="nil"/>
                    <w:bottom w:val="single" w:sz="4" w:space="0" w:color="auto"/>
                    <w:right w:val="single" w:sz="4" w:space="0" w:color="auto"/>
                  </w:tcBorders>
                  <w:shd w:val="clear" w:color="auto" w:fill="auto"/>
                  <w:noWrap/>
                  <w:vAlign w:val="center"/>
                  <w:hideMark/>
                </w:tcPr>
                <w:p w14:paraId="5FC0DD79"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13</w:t>
                  </w:r>
                </w:p>
              </w:tc>
              <w:tc>
                <w:tcPr>
                  <w:tcW w:w="840" w:type="dxa"/>
                  <w:tcBorders>
                    <w:top w:val="nil"/>
                    <w:left w:val="nil"/>
                    <w:bottom w:val="single" w:sz="4" w:space="0" w:color="auto"/>
                    <w:right w:val="nil"/>
                  </w:tcBorders>
                  <w:shd w:val="clear" w:color="auto" w:fill="auto"/>
                  <w:vAlign w:val="center"/>
                  <w:hideMark/>
                </w:tcPr>
                <w:p w14:paraId="04FD65FE"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286 000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83E7E7E"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12</w:t>
                  </w:r>
                </w:p>
              </w:tc>
              <w:tc>
                <w:tcPr>
                  <w:tcW w:w="880" w:type="dxa"/>
                  <w:tcBorders>
                    <w:top w:val="nil"/>
                    <w:left w:val="nil"/>
                    <w:bottom w:val="single" w:sz="4" w:space="0" w:color="auto"/>
                    <w:right w:val="single" w:sz="8" w:space="0" w:color="auto"/>
                  </w:tcBorders>
                  <w:shd w:val="clear" w:color="auto" w:fill="auto"/>
                  <w:noWrap/>
                  <w:vAlign w:val="center"/>
                  <w:hideMark/>
                </w:tcPr>
                <w:p w14:paraId="60876A9C"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264 000</w:t>
                  </w:r>
                </w:p>
              </w:tc>
            </w:tr>
            <w:tr w:rsidR="00636CEA" w:rsidRPr="00636CEA" w14:paraId="0126A064" w14:textId="77777777" w:rsidTr="00DF3429">
              <w:trPr>
                <w:trHeight w:val="375"/>
              </w:trPr>
              <w:tc>
                <w:tcPr>
                  <w:tcW w:w="980" w:type="dxa"/>
                  <w:tcBorders>
                    <w:top w:val="nil"/>
                    <w:left w:val="single" w:sz="8" w:space="0" w:color="auto"/>
                    <w:bottom w:val="single" w:sz="4" w:space="0" w:color="auto"/>
                    <w:right w:val="nil"/>
                  </w:tcBorders>
                  <w:shd w:val="clear" w:color="auto" w:fill="auto"/>
                  <w:noWrap/>
                  <w:vAlign w:val="bottom"/>
                  <w:hideMark/>
                </w:tcPr>
                <w:p w14:paraId="319C3DB6"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VRAA</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51F83D6B"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9</w:t>
                  </w:r>
                </w:p>
              </w:tc>
              <w:tc>
                <w:tcPr>
                  <w:tcW w:w="860" w:type="dxa"/>
                  <w:tcBorders>
                    <w:top w:val="nil"/>
                    <w:left w:val="nil"/>
                    <w:bottom w:val="single" w:sz="4" w:space="0" w:color="auto"/>
                    <w:right w:val="single" w:sz="8" w:space="0" w:color="auto"/>
                  </w:tcBorders>
                  <w:shd w:val="clear" w:color="auto" w:fill="auto"/>
                  <w:vAlign w:val="center"/>
                  <w:hideMark/>
                </w:tcPr>
                <w:p w14:paraId="3B590498"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198 000</w:t>
                  </w:r>
                </w:p>
              </w:tc>
              <w:tc>
                <w:tcPr>
                  <w:tcW w:w="580" w:type="dxa"/>
                  <w:tcBorders>
                    <w:top w:val="nil"/>
                    <w:left w:val="nil"/>
                    <w:bottom w:val="single" w:sz="4" w:space="0" w:color="auto"/>
                    <w:right w:val="single" w:sz="4" w:space="0" w:color="auto"/>
                  </w:tcBorders>
                  <w:shd w:val="clear" w:color="auto" w:fill="auto"/>
                  <w:vAlign w:val="center"/>
                  <w:hideMark/>
                </w:tcPr>
                <w:p w14:paraId="61120313"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9</w:t>
                  </w:r>
                </w:p>
              </w:tc>
              <w:tc>
                <w:tcPr>
                  <w:tcW w:w="840" w:type="dxa"/>
                  <w:tcBorders>
                    <w:top w:val="nil"/>
                    <w:left w:val="nil"/>
                    <w:bottom w:val="single" w:sz="4" w:space="0" w:color="auto"/>
                    <w:right w:val="nil"/>
                  </w:tcBorders>
                  <w:shd w:val="clear" w:color="auto" w:fill="auto"/>
                  <w:vAlign w:val="center"/>
                  <w:hideMark/>
                </w:tcPr>
                <w:p w14:paraId="0B0CD12A"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198 000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5C0E2E5"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8</w:t>
                  </w:r>
                </w:p>
              </w:tc>
              <w:tc>
                <w:tcPr>
                  <w:tcW w:w="880" w:type="dxa"/>
                  <w:tcBorders>
                    <w:top w:val="nil"/>
                    <w:left w:val="nil"/>
                    <w:bottom w:val="single" w:sz="4" w:space="0" w:color="auto"/>
                    <w:right w:val="single" w:sz="8" w:space="0" w:color="auto"/>
                  </w:tcBorders>
                  <w:shd w:val="clear" w:color="auto" w:fill="auto"/>
                  <w:noWrap/>
                  <w:vAlign w:val="center"/>
                  <w:hideMark/>
                </w:tcPr>
                <w:p w14:paraId="53CD2C3A"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176 000</w:t>
                  </w:r>
                </w:p>
              </w:tc>
            </w:tr>
            <w:tr w:rsidR="00636CEA" w:rsidRPr="00636CEA" w14:paraId="679A64E8" w14:textId="77777777" w:rsidTr="00DF3429">
              <w:trPr>
                <w:trHeight w:val="330"/>
              </w:trPr>
              <w:tc>
                <w:tcPr>
                  <w:tcW w:w="980" w:type="dxa"/>
                  <w:tcBorders>
                    <w:top w:val="nil"/>
                    <w:left w:val="single" w:sz="8" w:space="0" w:color="auto"/>
                    <w:bottom w:val="single" w:sz="4" w:space="0" w:color="auto"/>
                    <w:right w:val="nil"/>
                  </w:tcBorders>
                  <w:shd w:val="clear" w:color="auto" w:fill="auto"/>
                  <w:noWrap/>
                  <w:vAlign w:val="bottom"/>
                  <w:hideMark/>
                </w:tcPr>
                <w:p w14:paraId="41E3BE59" w14:textId="1B316D23"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V</w:t>
                  </w:r>
                  <w:r w:rsidR="009C51AD">
                    <w:rPr>
                      <w:rFonts w:ascii="Times New Roman" w:eastAsia="Times New Roman" w:hAnsi="Times New Roman" w:cs="Times New Roman"/>
                      <w:color w:val="000000"/>
                      <w:sz w:val="20"/>
                      <w:szCs w:val="20"/>
                    </w:rPr>
                    <w:t xml:space="preserve">alsts </w:t>
                  </w:r>
                  <w:r w:rsidRPr="00636CEA">
                    <w:rPr>
                      <w:rFonts w:ascii="Times New Roman" w:eastAsia="Times New Roman" w:hAnsi="Times New Roman" w:cs="Times New Roman"/>
                      <w:color w:val="000000"/>
                      <w:sz w:val="20"/>
                      <w:szCs w:val="20"/>
                    </w:rPr>
                    <w:t>kanceleja</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590A21A4"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2</w:t>
                  </w:r>
                </w:p>
              </w:tc>
              <w:tc>
                <w:tcPr>
                  <w:tcW w:w="860" w:type="dxa"/>
                  <w:tcBorders>
                    <w:top w:val="nil"/>
                    <w:left w:val="nil"/>
                    <w:bottom w:val="single" w:sz="4" w:space="0" w:color="auto"/>
                    <w:right w:val="single" w:sz="8" w:space="0" w:color="auto"/>
                  </w:tcBorders>
                  <w:shd w:val="clear" w:color="auto" w:fill="auto"/>
                  <w:vAlign w:val="center"/>
                  <w:hideMark/>
                </w:tcPr>
                <w:p w14:paraId="74B9768D"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33 000</w:t>
                  </w:r>
                </w:p>
              </w:tc>
              <w:tc>
                <w:tcPr>
                  <w:tcW w:w="580" w:type="dxa"/>
                  <w:tcBorders>
                    <w:top w:val="nil"/>
                    <w:left w:val="nil"/>
                    <w:bottom w:val="single" w:sz="4" w:space="0" w:color="auto"/>
                    <w:right w:val="single" w:sz="4" w:space="0" w:color="auto"/>
                  </w:tcBorders>
                  <w:shd w:val="clear" w:color="auto" w:fill="auto"/>
                  <w:vAlign w:val="center"/>
                  <w:hideMark/>
                </w:tcPr>
                <w:p w14:paraId="0A060799"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w:t>
                  </w:r>
                </w:p>
              </w:tc>
              <w:tc>
                <w:tcPr>
                  <w:tcW w:w="840" w:type="dxa"/>
                  <w:tcBorders>
                    <w:top w:val="nil"/>
                    <w:left w:val="nil"/>
                    <w:bottom w:val="single" w:sz="4" w:space="0" w:color="auto"/>
                    <w:right w:val="nil"/>
                  </w:tcBorders>
                  <w:shd w:val="clear" w:color="auto" w:fill="auto"/>
                  <w:vAlign w:val="center"/>
                  <w:hideMark/>
                </w:tcPr>
                <w:p w14:paraId="245E1C2D"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22 000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496BA88A"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422D86D5"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172DDEA1" w14:textId="77777777" w:rsidTr="00DF3429">
              <w:trPr>
                <w:trHeight w:val="375"/>
              </w:trPr>
              <w:tc>
                <w:tcPr>
                  <w:tcW w:w="980" w:type="dxa"/>
                  <w:tcBorders>
                    <w:top w:val="nil"/>
                    <w:left w:val="single" w:sz="8" w:space="0" w:color="auto"/>
                    <w:bottom w:val="single" w:sz="4" w:space="0" w:color="auto"/>
                    <w:right w:val="nil"/>
                  </w:tcBorders>
                  <w:shd w:val="clear" w:color="auto" w:fill="auto"/>
                  <w:noWrap/>
                  <w:vAlign w:val="bottom"/>
                  <w:hideMark/>
                </w:tcPr>
                <w:p w14:paraId="291DF5B8"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SIF</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7D685AB9"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0,2</w:t>
                  </w:r>
                </w:p>
              </w:tc>
              <w:tc>
                <w:tcPr>
                  <w:tcW w:w="860" w:type="dxa"/>
                  <w:tcBorders>
                    <w:top w:val="nil"/>
                    <w:left w:val="nil"/>
                    <w:bottom w:val="single" w:sz="4" w:space="0" w:color="auto"/>
                    <w:right w:val="single" w:sz="8" w:space="0" w:color="auto"/>
                  </w:tcBorders>
                  <w:shd w:val="clear" w:color="auto" w:fill="auto"/>
                  <w:vAlign w:val="center"/>
                  <w:hideMark/>
                </w:tcPr>
                <w:p w14:paraId="276D64F8"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4 400</w:t>
                  </w:r>
                </w:p>
              </w:tc>
              <w:tc>
                <w:tcPr>
                  <w:tcW w:w="580" w:type="dxa"/>
                  <w:tcBorders>
                    <w:top w:val="nil"/>
                    <w:left w:val="nil"/>
                    <w:bottom w:val="single" w:sz="4" w:space="0" w:color="auto"/>
                    <w:right w:val="single" w:sz="4" w:space="0" w:color="auto"/>
                  </w:tcBorders>
                  <w:shd w:val="clear" w:color="auto" w:fill="auto"/>
                  <w:vAlign w:val="center"/>
                  <w:hideMark/>
                </w:tcPr>
                <w:p w14:paraId="2AC73804"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0,2</w:t>
                  </w:r>
                </w:p>
              </w:tc>
              <w:tc>
                <w:tcPr>
                  <w:tcW w:w="840" w:type="dxa"/>
                  <w:tcBorders>
                    <w:top w:val="nil"/>
                    <w:left w:val="nil"/>
                    <w:bottom w:val="single" w:sz="4" w:space="0" w:color="auto"/>
                    <w:right w:val="nil"/>
                  </w:tcBorders>
                  <w:shd w:val="clear" w:color="auto" w:fill="auto"/>
                  <w:vAlign w:val="center"/>
                  <w:hideMark/>
                </w:tcPr>
                <w:p w14:paraId="37BCB497"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4 400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5D68D51A"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19C434E4"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1834FE61" w14:textId="77777777" w:rsidTr="00DF3429">
              <w:trPr>
                <w:trHeight w:val="255"/>
              </w:trPr>
              <w:tc>
                <w:tcPr>
                  <w:tcW w:w="980" w:type="dxa"/>
                  <w:tcBorders>
                    <w:top w:val="nil"/>
                    <w:left w:val="single" w:sz="8" w:space="0" w:color="auto"/>
                    <w:bottom w:val="single" w:sz="4" w:space="0" w:color="auto"/>
                    <w:right w:val="nil"/>
                  </w:tcBorders>
                  <w:shd w:val="clear" w:color="auto" w:fill="auto"/>
                  <w:noWrap/>
                  <w:vAlign w:val="bottom"/>
                  <w:hideMark/>
                </w:tcPr>
                <w:p w14:paraId="55C28B1F"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LM</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23600CCA"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7</w:t>
                  </w:r>
                </w:p>
              </w:tc>
              <w:tc>
                <w:tcPr>
                  <w:tcW w:w="860" w:type="dxa"/>
                  <w:tcBorders>
                    <w:top w:val="nil"/>
                    <w:left w:val="nil"/>
                    <w:bottom w:val="single" w:sz="4" w:space="0" w:color="auto"/>
                    <w:right w:val="single" w:sz="8" w:space="0" w:color="auto"/>
                  </w:tcBorders>
                  <w:shd w:val="clear" w:color="auto" w:fill="auto"/>
                  <w:vAlign w:val="center"/>
                  <w:hideMark/>
                </w:tcPr>
                <w:p w14:paraId="36D763C5"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149 658</w:t>
                  </w:r>
                </w:p>
              </w:tc>
              <w:tc>
                <w:tcPr>
                  <w:tcW w:w="580" w:type="dxa"/>
                  <w:tcBorders>
                    <w:top w:val="nil"/>
                    <w:left w:val="nil"/>
                    <w:bottom w:val="single" w:sz="4" w:space="0" w:color="auto"/>
                    <w:right w:val="single" w:sz="4" w:space="0" w:color="auto"/>
                  </w:tcBorders>
                  <w:shd w:val="clear" w:color="auto" w:fill="auto"/>
                  <w:vAlign w:val="center"/>
                  <w:hideMark/>
                </w:tcPr>
                <w:p w14:paraId="001B53DD"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40" w:type="dxa"/>
                  <w:tcBorders>
                    <w:top w:val="nil"/>
                    <w:left w:val="nil"/>
                    <w:bottom w:val="single" w:sz="4" w:space="0" w:color="auto"/>
                    <w:right w:val="nil"/>
                  </w:tcBorders>
                  <w:shd w:val="clear" w:color="auto" w:fill="auto"/>
                  <w:vAlign w:val="center"/>
                  <w:hideMark/>
                </w:tcPr>
                <w:p w14:paraId="336CE9DA"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74541C3F"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59CC931F"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44124146" w14:textId="77777777" w:rsidTr="00DF3429">
              <w:trPr>
                <w:trHeight w:val="255"/>
              </w:trPr>
              <w:tc>
                <w:tcPr>
                  <w:tcW w:w="980" w:type="dxa"/>
                  <w:tcBorders>
                    <w:top w:val="nil"/>
                    <w:left w:val="single" w:sz="8" w:space="0" w:color="auto"/>
                    <w:bottom w:val="single" w:sz="4" w:space="0" w:color="auto"/>
                    <w:right w:val="nil"/>
                  </w:tcBorders>
                  <w:shd w:val="clear" w:color="auto" w:fill="auto"/>
                  <w:noWrap/>
                  <w:vAlign w:val="bottom"/>
                  <w:hideMark/>
                </w:tcPr>
                <w:p w14:paraId="440F9B37"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NVA</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25C26DDD"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7</w:t>
                  </w:r>
                </w:p>
              </w:tc>
              <w:tc>
                <w:tcPr>
                  <w:tcW w:w="860" w:type="dxa"/>
                  <w:tcBorders>
                    <w:top w:val="nil"/>
                    <w:left w:val="nil"/>
                    <w:bottom w:val="single" w:sz="4" w:space="0" w:color="auto"/>
                    <w:right w:val="single" w:sz="8" w:space="0" w:color="auto"/>
                  </w:tcBorders>
                  <w:shd w:val="clear" w:color="auto" w:fill="auto"/>
                  <w:vAlign w:val="center"/>
                  <w:hideMark/>
                </w:tcPr>
                <w:p w14:paraId="2EFD8BCE"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154 000</w:t>
                  </w:r>
                </w:p>
              </w:tc>
              <w:tc>
                <w:tcPr>
                  <w:tcW w:w="580" w:type="dxa"/>
                  <w:tcBorders>
                    <w:top w:val="nil"/>
                    <w:left w:val="nil"/>
                    <w:bottom w:val="single" w:sz="4" w:space="0" w:color="auto"/>
                    <w:right w:val="single" w:sz="4" w:space="0" w:color="auto"/>
                  </w:tcBorders>
                  <w:shd w:val="clear" w:color="auto" w:fill="auto"/>
                  <w:vAlign w:val="center"/>
                  <w:hideMark/>
                </w:tcPr>
                <w:p w14:paraId="4FE9337A"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40" w:type="dxa"/>
                  <w:tcBorders>
                    <w:top w:val="nil"/>
                    <w:left w:val="nil"/>
                    <w:bottom w:val="single" w:sz="4" w:space="0" w:color="auto"/>
                    <w:right w:val="nil"/>
                  </w:tcBorders>
                  <w:shd w:val="clear" w:color="auto" w:fill="auto"/>
                  <w:vAlign w:val="center"/>
                  <w:hideMark/>
                </w:tcPr>
                <w:p w14:paraId="4068C0C3"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0DB7D2D5"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601FEE9F"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768CDB17" w14:textId="77777777" w:rsidTr="00DF3429">
              <w:trPr>
                <w:trHeight w:val="315"/>
              </w:trPr>
              <w:tc>
                <w:tcPr>
                  <w:tcW w:w="980" w:type="dxa"/>
                  <w:tcBorders>
                    <w:top w:val="nil"/>
                    <w:left w:val="single" w:sz="8" w:space="0" w:color="auto"/>
                    <w:bottom w:val="single" w:sz="4" w:space="0" w:color="auto"/>
                    <w:right w:val="nil"/>
                  </w:tcBorders>
                  <w:shd w:val="clear" w:color="auto" w:fill="auto"/>
                  <w:hideMark/>
                </w:tcPr>
                <w:p w14:paraId="0B5EE968"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EM</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532CFF7D"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10</w:t>
                  </w:r>
                </w:p>
              </w:tc>
              <w:tc>
                <w:tcPr>
                  <w:tcW w:w="860" w:type="dxa"/>
                  <w:tcBorders>
                    <w:top w:val="nil"/>
                    <w:left w:val="nil"/>
                    <w:bottom w:val="single" w:sz="4" w:space="0" w:color="auto"/>
                    <w:right w:val="single" w:sz="8" w:space="0" w:color="auto"/>
                  </w:tcBorders>
                  <w:shd w:val="clear" w:color="auto" w:fill="auto"/>
                  <w:vAlign w:val="center"/>
                  <w:hideMark/>
                </w:tcPr>
                <w:p w14:paraId="00524DE8"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220 000</w:t>
                  </w:r>
                </w:p>
              </w:tc>
              <w:tc>
                <w:tcPr>
                  <w:tcW w:w="580" w:type="dxa"/>
                  <w:tcBorders>
                    <w:top w:val="nil"/>
                    <w:left w:val="nil"/>
                    <w:bottom w:val="single" w:sz="4" w:space="0" w:color="auto"/>
                    <w:right w:val="single" w:sz="4" w:space="0" w:color="auto"/>
                  </w:tcBorders>
                  <w:shd w:val="clear" w:color="auto" w:fill="auto"/>
                  <w:vAlign w:val="center"/>
                  <w:hideMark/>
                </w:tcPr>
                <w:p w14:paraId="70837B8B"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6</w:t>
                  </w:r>
                </w:p>
              </w:tc>
              <w:tc>
                <w:tcPr>
                  <w:tcW w:w="840" w:type="dxa"/>
                  <w:tcBorders>
                    <w:top w:val="nil"/>
                    <w:left w:val="nil"/>
                    <w:bottom w:val="single" w:sz="4" w:space="0" w:color="auto"/>
                    <w:right w:val="nil"/>
                  </w:tcBorders>
                  <w:shd w:val="clear" w:color="auto" w:fill="auto"/>
                  <w:vAlign w:val="center"/>
                  <w:hideMark/>
                </w:tcPr>
                <w:p w14:paraId="7F278186"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132 000</w:t>
                  </w:r>
                </w:p>
              </w:tc>
              <w:tc>
                <w:tcPr>
                  <w:tcW w:w="640" w:type="dxa"/>
                  <w:tcBorders>
                    <w:top w:val="nil"/>
                    <w:left w:val="single" w:sz="8" w:space="0" w:color="auto"/>
                    <w:bottom w:val="single" w:sz="4" w:space="0" w:color="auto"/>
                    <w:right w:val="single" w:sz="4" w:space="0" w:color="auto"/>
                  </w:tcBorders>
                  <w:shd w:val="clear" w:color="auto" w:fill="auto"/>
                  <w:noWrap/>
                  <w:vAlign w:val="center"/>
                  <w:hideMark/>
                </w:tcPr>
                <w:p w14:paraId="29A0EDD6"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1DD103D6"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3B8BCCD5" w14:textId="77777777" w:rsidTr="00DF3429">
              <w:trPr>
                <w:trHeight w:val="315"/>
              </w:trPr>
              <w:tc>
                <w:tcPr>
                  <w:tcW w:w="980" w:type="dxa"/>
                  <w:tcBorders>
                    <w:top w:val="nil"/>
                    <w:left w:val="single" w:sz="8" w:space="0" w:color="auto"/>
                    <w:bottom w:val="single" w:sz="4" w:space="0" w:color="auto"/>
                    <w:right w:val="nil"/>
                  </w:tcBorders>
                  <w:shd w:val="clear" w:color="auto" w:fill="auto"/>
                  <w:hideMark/>
                </w:tcPr>
                <w:p w14:paraId="14BE03F5"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LIAA</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58AA988E"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54</w:t>
                  </w:r>
                </w:p>
              </w:tc>
              <w:tc>
                <w:tcPr>
                  <w:tcW w:w="860" w:type="dxa"/>
                  <w:tcBorders>
                    <w:top w:val="nil"/>
                    <w:left w:val="nil"/>
                    <w:bottom w:val="single" w:sz="4" w:space="0" w:color="auto"/>
                    <w:right w:val="single" w:sz="8" w:space="0" w:color="auto"/>
                  </w:tcBorders>
                  <w:shd w:val="clear" w:color="auto" w:fill="auto"/>
                  <w:vAlign w:val="center"/>
                  <w:hideMark/>
                </w:tcPr>
                <w:p w14:paraId="23AB7586"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1 062 619</w:t>
                  </w:r>
                </w:p>
              </w:tc>
              <w:tc>
                <w:tcPr>
                  <w:tcW w:w="580" w:type="dxa"/>
                  <w:tcBorders>
                    <w:top w:val="nil"/>
                    <w:left w:val="nil"/>
                    <w:bottom w:val="single" w:sz="4" w:space="0" w:color="auto"/>
                    <w:right w:val="single" w:sz="4" w:space="0" w:color="auto"/>
                  </w:tcBorders>
                  <w:shd w:val="clear" w:color="auto" w:fill="auto"/>
                  <w:vAlign w:val="center"/>
                  <w:hideMark/>
                </w:tcPr>
                <w:p w14:paraId="03C86BC7"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36</w:t>
                  </w:r>
                </w:p>
              </w:tc>
              <w:tc>
                <w:tcPr>
                  <w:tcW w:w="840" w:type="dxa"/>
                  <w:tcBorders>
                    <w:top w:val="nil"/>
                    <w:left w:val="nil"/>
                    <w:bottom w:val="single" w:sz="4" w:space="0" w:color="auto"/>
                    <w:right w:val="nil"/>
                  </w:tcBorders>
                  <w:shd w:val="clear" w:color="auto" w:fill="auto"/>
                  <w:vAlign w:val="center"/>
                  <w:hideMark/>
                </w:tcPr>
                <w:p w14:paraId="3ADB5975"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668 721</w:t>
                  </w:r>
                </w:p>
              </w:tc>
              <w:tc>
                <w:tcPr>
                  <w:tcW w:w="640" w:type="dxa"/>
                  <w:tcBorders>
                    <w:top w:val="nil"/>
                    <w:left w:val="single" w:sz="8" w:space="0" w:color="auto"/>
                    <w:bottom w:val="single" w:sz="4" w:space="0" w:color="auto"/>
                    <w:right w:val="single" w:sz="4" w:space="0" w:color="auto"/>
                  </w:tcBorders>
                  <w:shd w:val="clear" w:color="auto" w:fill="auto"/>
                  <w:vAlign w:val="center"/>
                  <w:hideMark/>
                </w:tcPr>
                <w:p w14:paraId="0C039EC5"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01EEA710"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0CEF918E" w14:textId="77777777" w:rsidTr="00DF3429">
              <w:trPr>
                <w:trHeight w:val="225"/>
              </w:trPr>
              <w:tc>
                <w:tcPr>
                  <w:tcW w:w="980" w:type="dxa"/>
                  <w:tcBorders>
                    <w:top w:val="nil"/>
                    <w:left w:val="single" w:sz="8" w:space="0" w:color="auto"/>
                    <w:bottom w:val="single" w:sz="4" w:space="0" w:color="auto"/>
                    <w:right w:val="nil"/>
                  </w:tcBorders>
                  <w:shd w:val="clear" w:color="auto" w:fill="auto"/>
                  <w:noWrap/>
                  <w:vAlign w:val="bottom"/>
                  <w:hideMark/>
                </w:tcPr>
                <w:p w14:paraId="7D3DCDCF"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VIAA</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470D8B84"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51</w:t>
                  </w:r>
                </w:p>
              </w:tc>
              <w:tc>
                <w:tcPr>
                  <w:tcW w:w="860" w:type="dxa"/>
                  <w:tcBorders>
                    <w:top w:val="nil"/>
                    <w:left w:val="nil"/>
                    <w:bottom w:val="single" w:sz="4" w:space="0" w:color="auto"/>
                    <w:right w:val="single" w:sz="8" w:space="0" w:color="auto"/>
                  </w:tcBorders>
                  <w:shd w:val="clear" w:color="auto" w:fill="auto"/>
                  <w:vAlign w:val="center"/>
                  <w:hideMark/>
                </w:tcPr>
                <w:p w14:paraId="6DAE109B"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1 122 000</w:t>
                  </w:r>
                </w:p>
              </w:tc>
              <w:tc>
                <w:tcPr>
                  <w:tcW w:w="580" w:type="dxa"/>
                  <w:tcBorders>
                    <w:top w:val="nil"/>
                    <w:left w:val="nil"/>
                    <w:bottom w:val="single" w:sz="4" w:space="0" w:color="auto"/>
                    <w:right w:val="single" w:sz="4" w:space="0" w:color="auto"/>
                  </w:tcBorders>
                  <w:shd w:val="clear" w:color="auto" w:fill="auto"/>
                  <w:vAlign w:val="center"/>
                  <w:hideMark/>
                </w:tcPr>
                <w:p w14:paraId="49BFF95A"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35</w:t>
                  </w:r>
                </w:p>
              </w:tc>
              <w:tc>
                <w:tcPr>
                  <w:tcW w:w="840" w:type="dxa"/>
                  <w:tcBorders>
                    <w:top w:val="nil"/>
                    <w:left w:val="nil"/>
                    <w:bottom w:val="single" w:sz="4" w:space="0" w:color="auto"/>
                    <w:right w:val="nil"/>
                  </w:tcBorders>
                  <w:shd w:val="clear" w:color="auto" w:fill="auto"/>
                  <w:vAlign w:val="center"/>
                  <w:hideMark/>
                </w:tcPr>
                <w:p w14:paraId="64CDD306"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770 000</w:t>
                  </w:r>
                </w:p>
              </w:tc>
              <w:tc>
                <w:tcPr>
                  <w:tcW w:w="640" w:type="dxa"/>
                  <w:tcBorders>
                    <w:top w:val="nil"/>
                    <w:left w:val="single" w:sz="8" w:space="0" w:color="auto"/>
                    <w:bottom w:val="single" w:sz="4" w:space="0" w:color="auto"/>
                    <w:right w:val="single" w:sz="4" w:space="0" w:color="auto"/>
                  </w:tcBorders>
                  <w:shd w:val="clear" w:color="auto" w:fill="auto"/>
                  <w:vAlign w:val="center"/>
                  <w:hideMark/>
                </w:tcPr>
                <w:p w14:paraId="47258B82"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31</w:t>
                  </w:r>
                </w:p>
              </w:tc>
              <w:tc>
                <w:tcPr>
                  <w:tcW w:w="880" w:type="dxa"/>
                  <w:tcBorders>
                    <w:top w:val="nil"/>
                    <w:left w:val="nil"/>
                    <w:bottom w:val="single" w:sz="4" w:space="0" w:color="auto"/>
                    <w:right w:val="single" w:sz="8" w:space="0" w:color="auto"/>
                  </w:tcBorders>
                  <w:shd w:val="clear" w:color="auto" w:fill="auto"/>
                  <w:noWrap/>
                  <w:vAlign w:val="center"/>
                  <w:hideMark/>
                </w:tcPr>
                <w:p w14:paraId="0665DD83"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682 000</w:t>
                  </w:r>
                </w:p>
              </w:tc>
            </w:tr>
            <w:tr w:rsidR="00636CEA" w:rsidRPr="00636CEA" w14:paraId="5C6A9CF4" w14:textId="77777777" w:rsidTr="00DF3429">
              <w:trPr>
                <w:trHeight w:val="300"/>
              </w:trPr>
              <w:tc>
                <w:tcPr>
                  <w:tcW w:w="980" w:type="dxa"/>
                  <w:tcBorders>
                    <w:top w:val="nil"/>
                    <w:left w:val="single" w:sz="8" w:space="0" w:color="auto"/>
                    <w:bottom w:val="single" w:sz="8" w:space="0" w:color="auto"/>
                    <w:right w:val="nil"/>
                  </w:tcBorders>
                  <w:shd w:val="clear" w:color="auto" w:fill="auto"/>
                  <w:noWrap/>
                  <w:vAlign w:val="bottom"/>
                  <w:hideMark/>
                </w:tcPr>
                <w:p w14:paraId="5DAFB972"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SM</w:t>
                  </w:r>
                </w:p>
              </w:tc>
              <w:tc>
                <w:tcPr>
                  <w:tcW w:w="600" w:type="dxa"/>
                  <w:tcBorders>
                    <w:top w:val="nil"/>
                    <w:left w:val="single" w:sz="8" w:space="0" w:color="auto"/>
                    <w:bottom w:val="single" w:sz="4" w:space="0" w:color="auto"/>
                    <w:right w:val="single" w:sz="4" w:space="0" w:color="auto"/>
                  </w:tcBorders>
                  <w:shd w:val="clear" w:color="auto" w:fill="auto"/>
                  <w:vAlign w:val="center"/>
                  <w:hideMark/>
                </w:tcPr>
                <w:p w14:paraId="396A217B"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10</w:t>
                  </w:r>
                </w:p>
              </w:tc>
              <w:tc>
                <w:tcPr>
                  <w:tcW w:w="860" w:type="dxa"/>
                  <w:tcBorders>
                    <w:top w:val="nil"/>
                    <w:left w:val="nil"/>
                    <w:bottom w:val="single" w:sz="4" w:space="0" w:color="auto"/>
                    <w:right w:val="single" w:sz="8" w:space="0" w:color="auto"/>
                  </w:tcBorders>
                  <w:shd w:val="clear" w:color="auto" w:fill="auto"/>
                  <w:vAlign w:val="center"/>
                  <w:hideMark/>
                </w:tcPr>
                <w:p w14:paraId="37934812"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152 000</w:t>
                  </w:r>
                </w:p>
              </w:tc>
              <w:tc>
                <w:tcPr>
                  <w:tcW w:w="580" w:type="dxa"/>
                  <w:tcBorders>
                    <w:top w:val="nil"/>
                    <w:left w:val="nil"/>
                    <w:bottom w:val="single" w:sz="4" w:space="0" w:color="auto"/>
                    <w:right w:val="single" w:sz="4" w:space="0" w:color="auto"/>
                  </w:tcBorders>
                  <w:shd w:val="clear" w:color="auto" w:fill="auto"/>
                  <w:vAlign w:val="center"/>
                  <w:hideMark/>
                </w:tcPr>
                <w:p w14:paraId="2840B2F5"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5</w:t>
                  </w:r>
                </w:p>
              </w:tc>
              <w:tc>
                <w:tcPr>
                  <w:tcW w:w="840" w:type="dxa"/>
                  <w:tcBorders>
                    <w:top w:val="nil"/>
                    <w:left w:val="nil"/>
                    <w:bottom w:val="single" w:sz="4" w:space="0" w:color="auto"/>
                    <w:right w:val="single" w:sz="4" w:space="0" w:color="auto"/>
                  </w:tcBorders>
                  <w:shd w:val="clear" w:color="auto" w:fill="auto"/>
                  <w:vAlign w:val="center"/>
                  <w:hideMark/>
                </w:tcPr>
                <w:p w14:paraId="551E215E"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76 000</w:t>
                  </w:r>
                </w:p>
              </w:tc>
              <w:tc>
                <w:tcPr>
                  <w:tcW w:w="640" w:type="dxa"/>
                  <w:tcBorders>
                    <w:top w:val="nil"/>
                    <w:left w:val="nil"/>
                    <w:bottom w:val="single" w:sz="4" w:space="0" w:color="auto"/>
                    <w:right w:val="single" w:sz="4" w:space="0" w:color="auto"/>
                  </w:tcBorders>
                  <w:shd w:val="clear" w:color="auto" w:fill="auto"/>
                  <w:noWrap/>
                  <w:vAlign w:val="center"/>
                  <w:hideMark/>
                </w:tcPr>
                <w:p w14:paraId="7FF2EE1C"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c>
                <w:tcPr>
                  <w:tcW w:w="880" w:type="dxa"/>
                  <w:tcBorders>
                    <w:top w:val="nil"/>
                    <w:left w:val="nil"/>
                    <w:bottom w:val="single" w:sz="4" w:space="0" w:color="auto"/>
                    <w:right w:val="single" w:sz="8" w:space="0" w:color="auto"/>
                  </w:tcBorders>
                  <w:shd w:val="clear" w:color="auto" w:fill="auto"/>
                  <w:noWrap/>
                  <w:vAlign w:val="center"/>
                  <w:hideMark/>
                </w:tcPr>
                <w:p w14:paraId="25A595A5"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0</w:t>
                  </w:r>
                </w:p>
              </w:tc>
            </w:tr>
            <w:tr w:rsidR="00636CEA" w:rsidRPr="00636CEA" w14:paraId="60935152" w14:textId="77777777" w:rsidTr="00DF3429">
              <w:trPr>
                <w:trHeight w:val="300"/>
              </w:trPr>
              <w:tc>
                <w:tcPr>
                  <w:tcW w:w="980" w:type="dxa"/>
                  <w:tcBorders>
                    <w:top w:val="nil"/>
                    <w:left w:val="single" w:sz="8" w:space="0" w:color="auto"/>
                    <w:bottom w:val="single" w:sz="8" w:space="0" w:color="auto"/>
                    <w:right w:val="nil"/>
                  </w:tcBorders>
                  <w:shd w:val="clear" w:color="auto" w:fill="auto"/>
                  <w:noWrap/>
                  <w:vAlign w:val="bottom"/>
                  <w:hideMark/>
                </w:tcPr>
                <w:p w14:paraId="01141775" w14:textId="77777777" w:rsidR="00636CEA" w:rsidRPr="00636CEA" w:rsidRDefault="00636CEA" w:rsidP="00123970">
                  <w:pPr>
                    <w:framePr w:hSpace="180" w:wrap="around" w:vAnchor="text" w:hAnchor="margin" w:xAlign="center" w:y="149"/>
                    <w:spacing w:after="0" w:line="240" w:lineRule="auto"/>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lastRenderedPageBreak/>
                    <w:t>CFLA</w:t>
                  </w:r>
                </w:p>
              </w:tc>
              <w:tc>
                <w:tcPr>
                  <w:tcW w:w="600" w:type="dxa"/>
                  <w:tcBorders>
                    <w:top w:val="nil"/>
                    <w:left w:val="single" w:sz="8" w:space="0" w:color="auto"/>
                    <w:bottom w:val="single" w:sz="8" w:space="0" w:color="auto"/>
                    <w:right w:val="single" w:sz="4" w:space="0" w:color="auto"/>
                  </w:tcBorders>
                  <w:shd w:val="clear" w:color="auto" w:fill="auto"/>
                  <w:vAlign w:val="center"/>
                  <w:hideMark/>
                </w:tcPr>
                <w:p w14:paraId="7AD49CAC"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12</w:t>
                  </w:r>
                </w:p>
              </w:tc>
              <w:tc>
                <w:tcPr>
                  <w:tcW w:w="860" w:type="dxa"/>
                  <w:tcBorders>
                    <w:top w:val="nil"/>
                    <w:left w:val="nil"/>
                    <w:bottom w:val="single" w:sz="8" w:space="0" w:color="auto"/>
                    <w:right w:val="single" w:sz="8" w:space="0" w:color="auto"/>
                  </w:tcBorders>
                  <w:shd w:val="clear" w:color="auto" w:fill="auto"/>
                  <w:vAlign w:val="center"/>
                  <w:hideMark/>
                </w:tcPr>
                <w:p w14:paraId="498B6307"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264 000</w:t>
                  </w:r>
                </w:p>
              </w:tc>
              <w:tc>
                <w:tcPr>
                  <w:tcW w:w="580" w:type="dxa"/>
                  <w:tcBorders>
                    <w:top w:val="nil"/>
                    <w:left w:val="nil"/>
                    <w:bottom w:val="single" w:sz="8" w:space="0" w:color="auto"/>
                    <w:right w:val="single" w:sz="4" w:space="0" w:color="auto"/>
                  </w:tcBorders>
                  <w:shd w:val="clear" w:color="auto" w:fill="auto"/>
                  <w:vAlign w:val="center"/>
                  <w:hideMark/>
                </w:tcPr>
                <w:p w14:paraId="0362E22E"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10</w:t>
                  </w:r>
                </w:p>
              </w:tc>
              <w:tc>
                <w:tcPr>
                  <w:tcW w:w="840" w:type="dxa"/>
                  <w:tcBorders>
                    <w:top w:val="nil"/>
                    <w:left w:val="nil"/>
                    <w:bottom w:val="single" w:sz="8" w:space="0" w:color="auto"/>
                    <w:right w:val="single" w:sz="4" w:space="0" w:color="auto"/>
                  </w:tcBorders>
                  <w:shd w:val="clear" w:color="auto" w:fill="auto"/>
                  <w:vAlign w:val="center"/>
                  <w:hideMark/>
                </w:tcPr>
                <w:p w14:paraId="038BC200"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sz w:val="20"/>
                      <w:szCs w:val="20"/>
                    </w:rPr>
                  </w:pPr>
                  <w:r w:rsidRPr="00636CEA">
                    <w:rPr>
                      <w:rFonts w:ascii="Times New Roman" w:eastAsia="Times New Roman" w:hAnsi="Times New Roman" w:cs="Times New Roman"/>
                      <w:sz w:val="20"/>
                      <w:szCs w:val="20"/>
                    </w:rPr>
                    <w:t>220 000</w:t>
                  </w:r>
                </w:p>
              </w:tc>
              <w:tc>
                <w:tcPr>
                  <w:tcW w:w="640" w:type="dxa"/>
                  <w:tcBorders>
                    <w:top w:val="nil"/>
                    <w:left w:val="nil"/>
                    <w:bottom w:val="single" w:sz="8" w:space="0" w:color="auto"/>
                    <w:right w:val="single" w:sz="4" w:space="0" w:color="auto"/>
                  </w:tcBorders>
                  <w:shd w:val="clear" w:color="auto" w:fill="auto"/>
                  <w:noWrap/>
                  <w:vAlign w:val="center"/>
                  <w:hideMark/>
                </w:tcPr>
                <w:p w14:paraId="239E31D3"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8</w:t>
                  </w:r>
                </w:p>
              </w:tc>
              <w:tc>
                <w:tcPr>
                  <w:tcW w:w="880" w:type="dxa"/>
                  <w:tcBorders>
                    <w:top w:val="nil"/>
                    <w:left w:val="nil"/>
                    <w:bottom w:val="single" w:sz="8" w:space="0" w:color="auto"/>
                    <w:right w:val="single" w:sz="8" w:space="0" w:color="auto"/>
                  </w:tcBorders>
                  <w:shd w:val="clear" w:color="auto" w:fill="auto"/>
                  <w:noWrap/>
                  <w:vAlign w:val="center"/>
                  <w:hideMark/>
                </w:tcPr>
                <w:p w14:paraId="06EA2B7F"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r w:rsidRPr="00636CEA">
                    <w:rPr>
                      <w:rFonts w:ascii="Times New Roman" w:eastAsia="Times New Roman" w:hAnsi="Times New Roman" w:cs="Times New Roman"/>
                      <w:color w:val="000000"/>
                      <w:sz w:val="20"/>
                      <w:szCs w:val="20"/>
                    </w:rPr>
                    <w:t>176 000</w:t>
                  </w:r>
                </w:p>
              </w:tc>
            </w:tr>
            <w:tr w:rsidR="00636CEA" w:rsidRPr="00636CEA" w14:paraId="35C0EA3C" w14:textId="77777777" w:rsidTr="00DF3429">
              <w:trPr>
                <w:trHeight w:val="300"/>
              </w:trPr>
              <w:tc>
                <w:tcPr>
                  <w:tcW w:w="980" w:type="dxa"/>
                  <w:tcBorders>
                    <w:top w:val="nil"/>
                    <w:left w:val="nil"/>
                    <w:bottom w:val="nil"/>
                    <w:right w:val="nil"/>
                  </w:tcBorders>
                  <w:shd w:val="clear" w:color="auto" w:fill="auto"/>
                  <w:noWrap/>
                  <w:vAlign w:val="bottom"/>
                  <w:hideMark/>
                </w:tcPr>
                <w:p w14:paraId="0EA39ABF"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color w:val="000000"/>
                      <w:sz w:val="20"/>
                      <w:szCs w:val="20"/>
                    </w:rPr>
                  </w:pPr>
                </w:p>
              </w:tc>
              <w:tc>
                <w:tcPr>
                  <w:tcW w:w="600" w:type="dxa"/>
                  <w:tcBorders>
                    <w:top w:val="nil"/>
                    <w:left w:val="single" w:sz="8" w:space="0" w:color="auto"/>
                    <w:bottom w:val="single" w:sz="8" w:space="0" w:color="auto"/>
                    <w:right w:val="single" w:sz="4" w:space="0" w:color="auto"/>
                  </w:tcBorders>
                  <w:shd w:val="clear" w:color="auto" w:fill="auto"/>
                  <w:vAlign w:val="center"/>
                  <w:hideMark/>
                </w:tcPr>
                <w:p w14:paraId="357450B4"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b/>
                      <w:bCs/>
                      <w:color w:val="000000"/>
                      <w:sz w:val="18"/>
                      <w:szCs w:val="18"/>
                    </w:rPr>
                  </w:pPr>
                  <w:r w:rsidRPr="00636CEA">
                    <w:rPr>
                      <w:rFonts w:ascii="Times New Roman" w:eastAsia="Times New Roman" w:hAnsi="Times New Roman" w:cs="Times New Roman"/>
                      <w:b/>
                      <w:bCs/>
                      <w:color w:val="000000"/>
                      <w:sz w:val="18"/>
                      <w:szCs w:val="18"/>
                    </w:rPr>
                    <w:t>184</w:t>
                  </w:r>
                </w:p>
              </w:tc>
              <w:tc>
                <w:tcPr>
                  <w:tcW w:w="860" w:type="dxa"/>
                  <w:tcBorders>
                    <w:top w:val="nil"/>
                    <w:left w:val="single" w:sz="8" w:space="0" w:color="auto"/>
                    <w:bottom w:val="single" w:sz="8" w:space="0" w:color="auto"/>
                    <w:right w:val="single" w:sz="4" w:space="0" w:color="auto"/>
                  </w:tcBorders>
                  <w:shd w:val="clear" w:color="auto" w:fill="auto"/>
                  <w:vAlign w:val="center"/>
                  <w:hideMark/>
                </w:tcPr>
                <w:p w14:paraId="4A48CF86"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b/>
                      <w:bCs/>
                      <w:color w:val="000000"/>
                      <w:sz w:val="18"/>
                      <w:szCs w:val="18"/>
                    </w:rPr>
                  </w:pPr>
                  <w:r w:rsidRPr="00636CEA">
                    <w:rPr>
                      <w:rFonts w:ascii="Times New Roman" w:eastAsia="Times New Roman" w:hAnsi="Times New Roman" w:cs="Times New Roman"/>
                      <w:b/>
                      <w:bCs/>
                      <w:color w:val="000000"/>
                      <w:sz w:val="18"/>
                      <w:szCs w:val="18"/>
                    </w:rPr>
                    <w:t>3 812 469</w:t>
                  </w:r>
                </w:p>
              </w:tc>
              <w:tc>
                <w:tcPr>
                  <w:tcW w:w="580" w:type="dxa"/>
                  <w:tcBorders>
                    <w:top w:val="nil"/>
                    <w:left w:val="single" w:sz="8" w:space="0" w:color="auto"/>
                    <w:bottom w:val="single" w:sz="8" w:space="0" w:color="auto"/>
                    <w:right w:val="single" w:sz="4" w:space="0" w:color="auto"/>
                  </w:tcBorders>
                  <w:shd w:val="clear" w:color="auto" w:fill="auto"/>
                  <w:vAlign w:val="center"/>
                  <w:hideMark/>
                </w:tcPr>
                <w:p w14:paraId="664E221E"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b/>
                      <w:bCs/>
                      <w:color w:val="000000"/>
                      <w:sz w:val="18"/>
                      <w:szCs w:val="18"/>
                    </w:rPr>
                  </w:pPr>
                  <w:r w:rsidRPr="00636CEA">
                    <w:rPr>
                      <w:rFonts w:ascii="Times New Roman" w:eastAsia="Times New Roman" w:hAnsi="Times New Roman" w:cs="Times New Roman"/>
                      <w:b/>
                      <w:bCs/>
                      <w:color w:val="000000"/>
                      <w:sz w:val="18"/>
                      <w:szCs w:val="18"/>
                    </w:rPr>
                    <w:t>118</w:t>
                  </w:r>
                </w:p>
              </w:tc>
              <w:tc>
                <w:tcPr>
                  <w:tcW w:w="840" w:type="dxa"/>
                  <w:tcBorders>
                    <w:top w:val="nil"/>
                    <w:left w:val="single" w:sz="8" w:space="0" w:color="auto"/>
                    <w:bottom w:val="single" w:sz="8" w:space="0" w:color="auto"/>
                    <w:right w:val="single" w:sz="4" w:space="0" w:color="auto"/>
                  </w:tcBorders>
                  <w:shd w:val="clear" w:color="auto" w:fill="auto"/>
                  <w:vAlign w:val="center"/>
                  <w:hideMark/>
                </w:tcPr>
                <w:p w14:paraId="5E7FBBF4"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b/>
                      <w:bCs/>
                      <w:color w:val="000000"/>
                      <w:sz w:val="18"/>
                      <w:szCs w:val="18"/>
                    </w:rPr>
                  </w:pPr>
                  <w:r w:rsidRPr="00636CEA">
                    <w:rPr>
                      <w:rFonts w:ascii="Times New Roman" w:eastAsia="Times New Roman" w:hAnsi="Times New Roman" w:cs="Times New Roman"/>
                      <w:b/>
                      <w:bCs/>
                      <w:color w:val="000000"/>
                      <w:sz w:val="18"/>
                      <w:szCs w:val="18"/>
                    </w:rPr>
                    <w:t>2 408 197</w:t>
                  </w:r>
                </w:p>
              </w:tc>
              <w:tc>
                <w:tcPr>
                  <w:tcW w:w="640" w:type="dxa"/>
                  <w:tcBorders>
                    <w:top w:val="nil"/>
                    <w:left w:val="single" w:sz="8" w:space="0" w:color="auto"/>
                    <w:bottom w:val="single" w:sz="8" w:space="0" w:color="auto"/>
                    <w:right w:val="single" w:sz="4" w:space="0" w:color="auto"/>
                  </w:tcBorders>
                  <w:shd w:val="clear" w:color="auto" w:fill="auto"/>
                  <w:vAlign w:val="center"/>
                  <w:hideMark/>
                </w:tcPr>
                <w:p w14:paraId="655A5E6C"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b/>
                      <w:bCs/>
                      <w:color w:val="000000"/>
                      <w:sz w:val="18"/>
                      <w:szCs w:val="18"/>
                    </w:rPr>
                  </w:pPr>
                  <w:r w:rsidRPr="00636CEA">
                    <w:rPr>
                      <w:rFonts w:ascii="Times New Roman" w:eastAsia="Times New Roman" w:hAnsi="Times New Roman" w:cs="Times New Roman"/>
                      <w:b/>
                      <w:bCs/>
                      <w:color w:val="000000"/>
                      <w:sz w:val="18"/>
                      <w:szCs w:val="18"/>
                    </w:rPr>
                    <w:t>60</w:t>
                  </w:r>
                </w:p>
              </w:tc>
              <w:tc>
                <w:tcPr>
                  <w:tcW w:w="880" w:type="dxa"/>
                  <w:tcBorders>
                    <w:top w:val="nil"/>
                    <w:left w:val="single" w:sz="8" w:space="0" w:color="auto"/>
                    <w:bottom w:val="single" w:sz="8" w:space="0" w:color="auto"/>
                    <w:right w:val="single" w:sz="4" w:space="0" w:color="auto"/>
                  </w:tcBorders>
                  <w:shd w:val="clear" w:color="auto" w:fill="auto"/>
                  <w:vAlign w:val="center"/>
                  <w:hideMark/>
                </w:tcPr>
                <w:p w14:paraId="56E54CD2" w14:textId="77777777" w:rsidR="00636CEA" w:rsidRPr="00636CEA" w:rsidRDefault="00636CEA" w:rsidP="00123970">
                  <w:pPr>
                    <w:framePr w:hSpace="180" w:wrap="around" w:vAnchor="text" w:hAnchor="margin" w:xAlign="center" w:y="149"/>
                    <w:spacing w:after="0" w:line="240" w:lineRule="auto"/>
                    <w:jc w:val="right"/>
                    <w:rPr>
                      <w:rFonts w:ascii="Times New Roman" w:eastAsia="Times New Roman" w:hAnsi="Times New Roman" w:cs="Times New Roman"/>
                      <w:b/>
                      <w:bCs/>
                      <w:color w:val="000000"/>
                      <w:sz w:val="18"/>
                      <w:szCs w:val="18"/>
                    </w:rPr>
                  </w:pPr>
                  <w:r w:rsidRPr="00636CEA">
                    <w:rPr>
                      <w:rFonts w:ascii="Times New Roman" w:eastAsia="Times New Roman" w:hAnsi="Times New Roman" w:cs="Times New Roman"/>
                      <w:b/>
                      <w:bCs/>
                      <w:color w:val="000000"/>
                      <w:sz w:val="18"/>
                      <w:szCs w:val="18"/>
                    </w:rPr>
                    <w:t>1 318 000</w:t>
                  </w:r>
                </w:p>
              </w:tc>
            </w:tr>
          </w:tbl>
          <w:p w14:paraId="3E309E9F" w14:textId="77777777" w:rsidR="00282C29" w:rsidRPr="00282C29" w:rsidRDefault="00282C29" w:rsidP="00282C29">
            <w:pPr>
              <w:pStyle w:val="naiskr"/>
              <w:spacing w:before="0" w:beforeAutospacing="0" w:after="0" w:afterAutospacing="0"/>
              <w:ind w:right="57"/>
              <w:jc w:val="both"/>
            </w:pPr>
          </w:p>
          <w:p w14:paraId="665AFC5F" w14:textId="77777777" w:rsidR="00846103" w:rsidRDefault="00282C29" w:rsidP="00846103">
            <w:pPr>
              <w:pStyle w:val="naiskr"/>
              <w:numPr>
                <w:ilvl w:val="0"/>
                <w:numId w:val="4"/>
              </w:numPr>
              <w:spacing w:before="0" w:beforeAutospacing="0" w:after="0" w:afterAutospacing="0"/>
              <w:ind w:left="143" w:right="57" w:hanging="10"/>
              <w:jc w:val="both"/>
            </w:pPr>
            <w:r w:rsidRPr="00282C29">
              <w:t>Gadījumā, ja ES fondu ilgtermiņa programmu (tādu kā Kompetenču centru, Klasteru specifiskie atbalsta mērķi) stratēģiskās pārvaldības / politikas veidošanas funkcijas īstenošanai netiek rasta iespēja EM saņemt attiecīgo finansējumu,  FM sadarbībā ar EM atsāk sarunas par risinājuma rašanu, t.sk. izskatot dažādas finansēšanas un ilgtermiņa programmu (tādu kā Kompetenču centru, Klasteru specifiskie atbalsta mērķi) stratēģiskās pārvaldības funkcijas izpildes iespējas, tāpat izskatot nepieciešamā papildus finansējuma EM/LIAA jautājumu, lemjot par kopējo finansējuma rezerves sadalījumu un, veicot sarunas par TP 2.kārtas finansējuma sadali.</w:t>
            </w:r>
          </w:p>
          <w:p w14:paraId="2C2F54E7" w14:textId="77777777" w:rsidR="00D37992" w:rsidRDefault="00ED556C" w:rsidP="00D37992">
            <w:pPr>
              <w:pStyle w:val="naiskr"/>
              <w:numPr>
                <w:ilvl w:val="0"/>
                <w:numId w:val="4"/>
              </w:numPr>
              <w:spacing w:before="0" w:beforeAutospacing="0" w:after="0" w:afterAutospacing="0"/>
              <w:ind w:left="143" w:right="57" w:hanging="10"/>
              <w:jc w:val="both"/>
            </w:pPr>
            <w:r>
              <w:t xml:space="preserve">ES fondu </w:t>
            </w:r>
            <w:r w:rsidR="00AC687B">
              <w:t>2014.-2020.</w:t>
            </w:r>
            <w:r w:rsidR="00F01085" w:rsidRPr="00FD2671">
              <w:t>gada plānošanas perioda funkciju nodrošināšanai</w:t>
            </w:r>
            <w:r w:rsidR="00AC687B">
              <w:t>,</w:t>
            </w:r>
            <w:r w:rsidR="00F01085" w:rsidRPr="00FD2671">
              <w:t xml:space="preserve"> izņemot publicit</w:t>
            </w:r>
            <w:r w:rsidR="00415E3D" w:rsidRPr="00FD2671">
              <w:t>ātes</w:t>
            </w:r>
            <w:r w:rsidR="00F01085" w:rsidRPr="00FD2671">
              <w:t xml:space="preserve"> un izvērtē</w:t>
            </w:r>
            <w:r w:rsidR="00415E3D" w:rsidRPr="00FD2671">
              <w:t>šanas funkcijas</w:t>
            </w:r>
            <w:r w:rsidR="00AC687B">
              <w:t>,</w:t>
            </w:r>
            <w:r w:rsidR="00F01085" w:rsidRPr="00FD2671">
              <w:t xml:space="preserve"> ir pieejami </w:t>
            </w:r>
            <w:r w:rsidR="00947872">
              <w:t>37</w:t>
            </w:r>
            <w:r w:rsidR="00282C29">
              <w:t> 990 000</w:t>
            </w:r>
            <w:r w:rsidR="00F01085" w:rsidRPr="00FD2671">
              <w:t xml:space="preserve"> </w:t>
            </w:r>
            <w:proofErr w:type="spellStart"/>
            <w:r w:rsidR="00F01085" w:rsidRPr="00846103">
              <w:rPr>
                <w:i/>
              </w:rPr>
              <w:t>euro</w:t>
            </w:r>
            <w:proofErr w:type="spellEnd"/>
            <w:r w:rsidR="00F01085" w:rsidRPr="00FD2671">
              <w:t>. Finansējuma aprēķins balstīts uz v</w:t>
            </w:r>
            <w:r w:rsidR="004A57B8">
              <w:t xml:space="preserve">ienas slodzes izmaksām, kura ir </w:t>
            </w:r>
            <w:r w:rsidR="00F01085" w:rsidRPr="00FD2671">
              <w:t>70</w:t>
            </w:r>
            <w:r w:rsidR="00415E3D" w:rsidRPr="00FD2671">
              <w:t xml:space="preserve"> 000 </w:t>
            </w:r>
            <w:proofErr w:type="spellStart"/>
            <w:r w:rsidR="006C67D7" w:rsidRPr="00846103">
              <w:rPr>
                <w:i/>
              </w:rPr>
              <w:t>eu</w:t>
            </w:r>
            <w:r w:rsidR="00AA1969" w:rsidRPr="00846103">
              <w:rPr>
                <w:i/>
              </w:rPr>
              <w:t>ro</w:t>
            </w:r>
            <w:proofErr w:type="spellEnd"/>
            <w:r w:rsidR="00AC687B">
              <w:t>,</w:t>
            </w:r>
            <w:r w:rsidR="00415E3D" w:rsidRPr="00FD2671">
              <w:t xml:space="preserve"> iekļaujot visa</w:t>
            </w:r>
            <w:r w:rsidR="00AC687B">
              <w:t>s izmaksas 1 slodzei līdz 2018.gada 31.</w:t>
            </w:r>
            <w:r w:rsidR="00415E3D" w:rsidRPr="00FD2671">
              <w:t>decembrim. Vidēji uz 1 specifisko atbalst</w:t>
            </w:r>
            <w:r w:rsidR="006B5F4D" w:rsidRPr="00FD2671">
              <w:t xml:space="preserve">a </w:t>
            </w:r>
            <w:r w:rsidR="00711057" w:rsidRPr="00FD2671">
              <w:t>mērķi</w:t>
            </w:r>
            <w:r w:rsidR="00415E3D" w:rsidRPr="00FD2671">
              <w:t xml:space="preserve"> tiek rēķinātas</w:t>
            </w:r>
            <w:r w:rsidR="0008256D" w:rsidRPr="00FD2671">
              <w:t xml:space="preserve"> </w:t>
            </w:r>
            <w:r w:rsidR="00415E3D" w:rsidRPr="00FD2671">
              <w:t>1-2 slodzes atkarībā no specifiska atbalsta mērķa finans</w:t>
            </w:r>
            <w:r w:rsidR="006B5F4D" w:rsidRPr="00FD2671">
              <w:t>ējuma apj</w:t>
            </w:r>
            <w:r w:rsidR="00415E3D" w:rsidRPr="00FD2671">
              <w:t>omu. Papildus slodzes pieš</w:t>
            </w:r>
            <w:r w:rsidR="006B5F4D" w:rsidRPr="00FD2671">
              <w:t>ķirtas, ja iestā</w:t>
            </w:r>
            <w:r w:rsidR="00415E3D" w:rsidRPr="00FD2671">
              <w:t>dei jānodrošina papildus funkcijas.</w:t>
            </w:r>
            <w:r w:rsidR="002C58C2" w:rsidRPr="00FD2671">
              <w:t xml:space="preserve"> </w:t>
            </w:r>
          </w:p>
          <w:p w14:paraId="4A1CE3C0" w14:textId="4DE84A42" w:rsidR="00D37992" w:rsidRDefault="00D37992" w:rsidP="00D37992">
            <w:pPr>
              <w:pStyle w:val="naiskr"/>
              <w:numPr>
                <w:ilvl w:val="0"/>
                <w:numId w:val="4"/>
              </w:numPr>
              <w:spacing w:before="0" w:beforeAutospacing="0" w:after="0" w:afterAutospacing="0"/>
              <w:ind w:left="143" w:right="57" w:hanging="10"/>
              <w:jc w:val="both"/>
            </w:pPr>
            <w:r>
              <w:t>Specifiskā</w:t>
            </w:r>
            <w:r w:rsidRPr="00D37992">
              <w:t xml:space="preserve"> atbalsta mērķa</w:t>
            </w:r>
            <w:r>
              <w:t xml:space="preserve"> ietvaros slodžu sadalījumu nosaka pati institūcija, kura nodrošina konkrētā</w:t>
            </w:r>
            <w:r>
              <w:tab/>
              <w:t>s</w:t>
            </w:r>
            <w:r w:rsidRPr="00D37992">
              <w:t>pecifiskā atbalsta mērķa</w:t>
            </w:r>
            <w:r>
              <w:t xml:space="preserve"> ieviešanu.</w:t>
            </w:r>
          </w:p>
          <w:p w14:paraId="6F511E0C" w14:textId="1CB85303" w:rsidR="00D11600" w:rsidRDefault="005E2F3F" w:rsidP="00846103">
            <w:pPr>
              <w:pStyle w:val="naiskr"/>
              <w:numPr>
                <w:ilvl w:val="0"/>
                <w:numId w:val="4"/>
              </w:numPr>
              <w:spacing w:before="0" w:beforeAutospacing="0" w:after="0" w:afterAutospacing="0"/>
              <w:ind w:left="143" w:right="57" w:hanging="10"/>
              <w:jc w:val="both"/>
            </w:pPr>
            <w:r>
              <w:t xml:space="preserve">Latvijas Lielo pilsētu pašvaldībām </w:t>
            </w:r>
            <w:r w:rsidR="00282EDB" w:rsidRPr="00FD2671">
              <w:t xml:space="preserve"> piešķirtas 6 pilnas slodzes pret vienas slodzes izmaksām, kas ir </w:t>
            </w:r>
            <w:r w:rsidR="00AC687B">
              <w:t xml:space="preserve">                         </w:t>
            </w:r>
            <w:r w:rsidR="00282EDB" w:rsidRPr="00FD2671">
              <w:t xml:space="preserve">70 000 </w:t>
            </w:r>
            <w:proofErr w:type="spellStart"/>
            <w:r w:rsidR="00282EDB" w:rsidRPr="00846103">
              <w:rPr>
                <w:i/>
              </w:rPr>
              <w:t>euro</w:t>
            </w:r>
            <w:proofErr w:type="spellEnd"/>
            <w:r w:rsidR="00282EDB" w:rsidRPr="00FD2671">
              <w:t xml:space="preserve">. Ņemot vērā, ka katrai </w:t>
            </w:r>
            <w:r w:rsidR="00711057" w:rsidRPr="00FD2671">
              <w:t>pašvaldībai</w:t>
            </w:r>
            <w:r w:rsidR="00282EDB" w:rsidRPr="00FD2671">
              <w:t xml:space="preserve"> ir iesniedzams savs projekta iesniegums</w:t>
            </w:r>
            <w:r w:rsidR="00AC687B">
              <w:t>,</w:t>
            </w:r>
            <w:r w:rsidR="00282EDB" w:rsidRPr="00FD2671">
              <w:t xml:space="preserve"> piešķirtais finansējums noteikts - kopējais pieejamais finansējums 6 slodzēm dalīts ar 9 pašvaldībām.</w:t>
            </w:r>
            <w:r w:rsidR="008F09CE" w:rsidRPr="00FD2671">
              <w:t xml:space="preserve"> </w:t>
            </w:r>
            <w:r w:rsidR="00AF3EC9">
              <w:t xml:space="preserve">Attiecībā par specifisko iznākuma rādītāju “darbinieku skaits, kuru algas līdzfinansē tehniskā palīdzība – plānotā vērtība 2018. gada 31. decembrī – 225 pilna laika slodzes” Latvijas Lielo pilsētu pašvaldībām darbinieku atalgojuma </w:t>
            </w:r>
            <w:proofErr w:type="spellStart"/>
            <w:r w:rsidR="00AF3EC9">
              <w:t>finansēšnai</w:t>
            </w:r>
            <w:proofErr w:type="spellEnd"/>
            <w:r w:rsidR="00AF3EC9">
              <w:t xml:space="preserve"> nav jābūt pilnai slodzei un tā var būt mazāka</w:t>
            </w:r>
            <w:r w:rsidR="00C54FF3">
              <w:t xml:space="preserve"> (piemēram 0,6 slodzes apmērā pie pieņēmuma, ka 6 slodzes dalīts uz 9 pašvaldībām).</w:t>
            </w:r>
          </w:p>
          <w:p w14:paraId="39A1C7C4" w14:textId="3D8233E3" w:rsidR="00DC46D8" w:rsidRDefault="00DC46D8" w:rsidP="00846103">
            <w:pPr>
              <w:pStyle w:val="naiskr"/>
              <w:numPr>
                <w:ilvl w:val="0"/>
                <w:numId w:val="4"/>
              </w:numPr>
              <w:spacing w:before="0" w:beforeAutospacing="0" w:after="0" w:afterAutospacing="0"/>
              <w:ind w:left="143" w:right="57" w:hanging="10"/>
              <w:jc w:val="both"/>
            </w:pPr>
            <w:r>
              <w:t>Finansējuma un slodžu sadalījums kopumā šāds:</w:t>
            </w:r>
          </w:p>
          <w:tbl>
            <w:tblPr>
              <w:tblW w:w="5280" w:type="dxa"/>
              <w:tblLayout w:type="fixed"/>
              <w:tblLook w:val="04A0" w:firstRow="1" w:lastRow="0" w:firstColumn="1" w:lastColumn="0" w:noHBand="0" w:noVBand="1"/>
            </w:tblPr>
            <w:tblGrid>
              <w:gridCol w:w="1399"/>
              <w:gridCol w:w="831"/>
              <w:gridCol w:w="956"/>
              <w:gridCol w:w="777"/>
              <w:gridCol w:w="1317"/>
            </w:tblGrid>
            <w:tr w:rsidR="00DF3429" w:rsidRPr="00DF3429" w14:paraId="0B850F27" w14:textId="77777777" w:rsidTr="00DF3429">
              <w:trPr>
                <w:trHeight w:val="555"/>
              </w:trPr>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19FE8"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DF3429">
                    <w:rPr>
                      <w:rFonts w:ascii="Times New Roman" w:eastAsia="Times New Roman" w:hAnsi="Times New Roman" w:cs="Times New Roman"/>
                      <w:b/>
                      <w:bCs/>
                      <w:sz w:val="16"/>
                      <w:szCs w:val="16"/>
                    </w:rPr>
                    <w:t>TP finansējuma saņēmējs</w:t>
                  </w:r>
                </w:p>
              </w:tc>
              <w:tc>
                <w:tcPr>
                  <w:tcW w:w="3881" w:type="dxa"/>
                  <w:gridSpan w:val="4"/>
                  <w:tcBorders>
                    <w:top w:val="single" w:sz="4" w:space="0" w:color="auto"/>
                    <w:left w:val="nil"/>
                    <w:bottom w:val="single" w:sz="4" w:space="0" w:color="auto"/>
                    <w:right w:val="single" w:sz="4" w:space="0" w:color="auto"/>
                  </w:tcBorders>
                  <w:shd w:val="clear" w:color="auto" w:fill="auto"/>
                  <w:vAlign w:val="bottom"/>
                  <w:hideMark/>
                </w:tcPr>
                <w:p w14:paraId="4F8063E4"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DF3429">
                    <w:rPr>
                      <w:rFonts w:ascii="Times New Roman" w:eastAsia="Times New Roman" w:hAnsi="Times New Roman" w:cs="Times New Roman"/>
                      <w:b/>
                      <w:bCs/>
                      <w:sz w:val="16"/>
                      <w:szCs w:val="16"/>
                    </w:rPr>
                    <w:t>2014-2020. gada plānošanas periods</w:t>
                  </w:r>
                </w:p>
              </w:tc>
            </w:tr>
            <w:tr w:rsidR="00DF3429" w:rsidRPr="00DF3429" w14:paraId="17624E3F" w14:textId="77777777" w:rsidTr="00DF3429">
              <w:trPr>
                <w:trHeight w:val="495"/>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0AA2FF2C"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831" w:type="dxa"/>
                  <w:vMerge w:val="restart"/>
                  <w:tcBorders>
                    <w:top w:val="nil"/>
                    <w:left w:val="single" w:sz="4" w:space="0" w:color="auto"/>
                    <w:bottom w:val="single" w:sz="4" w:space="0" w:color="000000"/>
                    <w:right w:val="nil"/>
                  </w:tcBorders>
                  <w:shd w:val="clear" w:color="auto" w:fill="auto"/>
                  <w:vAlign w:val="center"/>
                  <w:hideMark/>
                </w:tcPr>
                <w:p w14:paraId="2A23F0B6"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DF3429">
                    <w:rPr>
                      <w:rFonts w:ascii="Times New Roman" w:eastAsia="Times New Roman" w:hAnsi="Times New Roman" w:cs="Times New Roman"/>
                      <w:b/>
                      <w:bCs/>
                      <w:sz w:val="16"/>
                      <w:szCs w:val="16"/>
                    </w:rPr>
                    <w:t xml:space="preserve">Specifiskais </w:t>
                  </w:r>
                  <w:r w:rsidRPr="00DF3429">
                    <w:rPr>
                      <w:rFonts w:ascii="Times New Roman" w:eastAsia="Times New Roman" w:hAnsi="Times New Roman" w:cs="Times New Roman"/>
                      <w:b/>
                      <w:bCs/>
                      <w:sz w:val="16"/>
                      <w:szCs w:val="16"/>
                    </w:rPr>
                    <w:lastRenderedPageBreak/>
                    <w:t>atbalsta mērķis (SAM)</w:t>
                  </w:r>
                </w:p>
              </w:tc>
              <w:tc>
                <w:tcPr>
                  <w:tcW w:w="3050" w:type="dxa"/>
                  <w:gridSpan w:val="3"/>
                  <w:tcBorders>
                    <w:top w:val="single" w:sz="4" w:space="0" w:color="auto"/>
                    <w:left w:val="nil"/>
                    <w:bottom w:val="single" w:sz="4" w:space="0" w:color="auto"/>
                    <w:right w:val="single" w:sz="4" w:space="0" w:color="auto"/>
                  </w:tcBorders>
                  <w:shd w:val="clear" w:color="auto" w:fill="auto"/>
                  <w:vAlign w:val="bottom"/>
                  <w:hideMark/>
                </w:tcPr>
                <w:p w14:paraId="3FD632A9"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DF3429">
                    <w:rPr>
                      <w:rFonts w:ascii="Times New Roman" w:eastAsia="Times New Roman" w:hAnsi="Times New Roman" w:cs="Times New Roman"/>
                      <w:b/>
                      <w:bCs/>
                      <w:sz w:val="16"/>
                      <w:szCs w:val="16"/>
                    </w:rPr>
                    <w:lastRenderedPageBreak/>
                    <w:t xml:space="preserve">Nepieciešamie resursi </w:t>
                  </w:r>
                </w:p>
              </w:tc>
            </w:tr>
            <w:tr w:rsidR="00DF3429" w:rsidRPr="00DF3429" w14:paraId="524F6AC7" w14:textId="77777777" w:rsidTr="00DF3429">
              <w:trPr>
                <w:trHeight w:val="615"/>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316079FD"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831" w:type="dxa"/>
                  <w:vMerge/>
                  <w:tcBorders>
                    <w:top w:val="nil"/>
                    <w:left w:val="single" w:sz="4" w:space="0" w:color="auto"/>
                    <w:bottom w:val="single" w:sz="4" w:space="0" w:color="000000"/>
                    <w:right w:val="nil"/>
                  </w:tcBorders>
                  <w:vAlign w:val="center"/>
                  <w:hideMark/>
                </w:tcPr>
                <w:p w14:paraId="5D34B41A"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1733" w:type="dxa"/>
                  <w:gridSpan w:val="2"/>
                  <w:tcBorders>
                    <w:top w:val="single" w:sz="4" w:space="0" w:color="auto"/>
                    <w:left w:val="nil"/>
                    <w:bottom w:val="single" w:sz="4" w:space="0" w:color="auto"/>
                    <w:right w:val="single" w:sz="4" w:space="0" w:color="auto"/>
                  </w:tcBorders>
                  <w:shd w:val="clear" w:color="auto" w:fill="auto"/>
                  <w:vAlign w:val="bottom"/>
                  <w:hideMark/>
                </w:tcPr>
                <w:p w14:paraId="49EE3771"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DF3429">
                    <w:rPr>
                      <w:rFonts w:ascii="Times New Roman" w:eastAsia="Times New Roman" w:hAnsi="Times New Roman" w:cs="Times New Roman"/>
                      <w:b/>
                      <w:bCs/>
                      <w:sz w:val="16"/>
                      <w:szCs w:val="16"/>
                    </w:rPr>
                    <w:t xml:space="preserve">  Cilvēkresursi - </w:t>
                  </w:r>
                </w:p>
              </w:tc>
              <w:tc>
                <w:tcPr>
                  <w:tcW w:w="1317" w:type="dxa"/>
                  <w:tcBorders>
                    <w:top w:val="nil"/>
                    <w:left w:val="nil"/>
                    <w:bottom w:val="single" w:sz="4" w:space="0" w:color="auto"/>
                    <w:right w:val="single" w:sz="4" w:space="0" w:color="auto"/>
                  </w:tcBorders>
                  <w:shd w:val="clear" w:color="auto" w:fill="auto"/>
                  <w:vAlign w:val="bottom"/>
                  <w:hideMark/>
                </w:tcPr>
                <w:p w14:paraId="52D1B667"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color w:val="000000"/>
                      <w:sz w:val="16"/>
                      <w:szCs w:val="16"/>
                    </w:rPr>
                  </w:pPr>
                  <w:r w:rsidRPr="00DF3429">
                    <w:rPr>
                      <w:rFonts w:ascii="Times New Roman" w:eastAsia="Times New Roman" w:hAnsi="Times New Roman" w:cs="Times New Roman"/>
                      <w:b/>
                      <w:bCs/>
                      <w:color w:val="000000"/>
                      <w:sz w:val="16"/>
                      <w:szCs w:val="16"/>
                    </w:rPr>
                    <w:t>TP finansējums</w:t>
                  </w:r>
                </w:p>
              </w:tc>
            </w:tr>
            <w:tr w:rsidR="00DF3429" w:rsidRPr="00DF3429" w14:paraId="0F9304F4" w14:textId="77777777" w:rsidTr="00DF3429">
              <w:trPr>
                <w:trHeight w:val="375"/>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4BC03A92"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831" w:type="dxa"/>
                  <w:vMerge/>
                  <w:tcBorders>
                    <w:top w:val="nil"/>
                    <w:left w:val="single" w:sz="4" w:space="0" w:color="auto"/>
                    <w:bottom w:val="single" w:sz="4" w:space="0" w:color="000000"/>
                    <w:right w:val="nil"/>
                  </w:tcBorders>
                  <w:vAlign w:val="center"/>
                  <w:hideMark/>
                </w:tcPr>
                <w:p w14:paraId="2893CA8F"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956" w:type="dxa"/>
                  <w:vMerge w:val="restart"/>
                  <w:tcBorders>
                    <w:top w:val="nil"/>
                    <w:left w:val="single" w:sz="4" w:space="0" w:color="auto"/>
                    <w:bottom w:val="single" w:sz="4" w:space="0" w:color="auto"/>
                    <w:right w:val="single" w:sz="4" w:space="0" w:color="auto"/>
                  </w:tcBorders>
                  <w:shd w:val="clear" w:color="auto" w:fill="auto"/>
                  <w:vAlign w:val="bottom"/>
                  <w:hideMark/>
                </w:tcPr>
                <w:p w14:paraId="48CE896B"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DF3429">
                    <w:rPr>
                      <w:rFonts w:ascii="Times New Roman" w:eastAsia="Times New Roman" w:hAnsi="Times New Roman" w:cs="Times New Roman"/>
                      <w:b/>
                      <w:bCs/>
                      <w:sz w:val="16"/>
                      <w:szCs w:val="16"/>
                    </w:rPr>
                    <w:t xml:space="preserve">pilnas slodzes </w:t>
                  </w:r>
                </w:p>
              </w:tc>
              <w:tc>
                <w:tcPr>
                  <w:tcW w:w="777" w:type="dxa"/>
                  <w:vMerge w:val="restart"/>
                  <w:tcBorders>
                    <w:top w:val="nil"/>
                    <w:left w:val="single" w:sz="4" w:space="0" w:color="auto"/>
                    <w:bottom w:val="single" w:sz="4" w:space="0" w:color="auto"/>
                    <w:right w:val="single" w:sz="4" w:space="0" w:color="auto"/>
                  </w:tcBorders>
                  <w:shd w:val="clear" w:color="auto" w:fill="auto"/>
                  <w:vAlign w:val="bottom"/>
                  <w:hideMark/>
                </w:tcPr>
                <w:p w14:paraId="367AB3ED"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16"/>
                      <w:szCs w:val="16"/>
                    </w:rPr>
                  </w:pPr>
                  <w:r w:rsidRPr="00DF3429">
                    <w:rPr>
                      <w:rFonts w:ascii="Times New Roman" w:eastAsia="Times New Roman" w:hAnsi="Times New Roman" w:cs="Times New Roman"/>
                      <w:b/>
                      <w:bCs/>
                      <w:sz w:val="16"/>
                      <w:szCs w:val="16"/>
                    </w:rPr>
                    <w:t>Vidēji uz 1 SAM</w:t>
                  </w:r>
                </w:p>
              </w:tc>
              <w:tc>
                <w:tcPr>
                  <w:tcW w:w="1317" w:type="dxa"/>
                  <w:tcBorders>
                    <w:top w:val="nil"/>
                    <w:left w:val="nil"/>
                    <w:bottom w:val="single" w:sz="4" w:space="0" w:color="auto"/>
                    <w:right w:val="single" w:sz="4" w:space="0" w:color="auto"/>
                  </w:tcBorders>
                  <w:shd w:val="clear" w:color="auto" w:fill="auto"/>
                  <w:noWrap/>
                  <w:vAlign w:val="center"/>
                  <w:hideMark/>
                </w:tcPr>
                <w:p w14:paraId="1C554DB6"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color w:val="000000"/>
                      <w:sz w:val="16"/>
                      <w:szCs w:val="16"/>
                    </w:rPr>
                  </w:pPr>
                  <w:r w:rsidRPr="00DF3429">
                    <w:rPr>
                      <w:rFonts w:ascii="Times New Roman" w:eastAsia="Times New Roman" w:hAnsi="Times New Roman" w:cs="Times New Roman"/>
                      <w:b/>
                      <w:bCs/>
                      <w:color w:val="000000"/>
                      <w:sz w:val="16"/>
                      <w:szCs w:val="16"/>
                    </w:rPr>
                    <w:t>ERAF/KF</w:t>
                  </w:r>
                </w:p>
              </w:tc>
            </w:tr>
            <w:tr w:rsidR="00DF3429" w:rsidRPr="00DF3429" w14:paraId="0A1C1EEF" w14:textId="77777777" w:rsidTr="00DF3429">
              <w:trPr>
                <w:trHeight w:val="270"/>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1631C335"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831" w:type="dxa"/>
                  <w:vMerge/>
                  <w:tcBorders>
                    <w:top w:val="nil"/>
                    <w:left w:val="single" w:sz="4" w:space="0" w:color="auto"/>
                    <w:bottom w:val="single" w:sz="4" w:space="0" w:color="000000"/>
                    <w:right w:val="nil"/>
                  </w:tcBorders>
                  <w:vAlign w:val="center"/>
                  <w:hideMark/>
                </w:tcPr>
                <w:p w14:paraId="0E1A956F"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956" w:type="dxa"/>
                  <w:vMerge/>
                  <w:tcBorders>
                    <w:top w:val="nil"/>
                    <w:left w:val="single" w:sz="4" w:space="0" w:color="auto"/>
                    <w:bottom w:val="single" w:sz="4" w:space="0" w:color="auto"/>
                    <w:right w:val="single" w:sz="4" w:space="0" w:color="auto"/>
                  </w:tcBorders>
                  <w:vAlign w:val="center"/>
                  <w:hideMark/>
                </w:tcPr>
                <w:p w14:paraId="2CE37A40"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777" w:type="dxa"/>
                  <w:vMerge/>
                  <w:tcBorders>
                    <w:top w:val="nil"/>
                    <w:left w:val="single" w:sz="4" w:space="0" w:color="auto"/>
                    <w:bottom w:val="single" w:sz="4" w:space="0" w:color="auto"/>
                    <w:right w:val="single" w:sz="4" w:space="0" w:color="auto"/>
                  </w:tcBorders>
                  <w:vAlign w:val="center"/>
                  <w:hideMark/>
                </w:tcPr>
                <w:p w14:paraId="2DD5A232"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b/>
                      <w:bCs/>
                      <w:sz w:val="16"/>
                      <w:szCs w:val="16"/>
                    </w:rPr>
                  </w:pPr>
                </w:p>
              </w:tc>
              <w:tc>
                <w:tcPr>
                  <w:tcW w:w="1317" w:type="dxa"/>
                  <w:tcBorders>
                    <w:top w:val="nil"/>
                    <w:left w:val="nil"/>
                    <w:bottom w:val="single" w:sz="4" w:space="0" w:color="auto"/>
                    <w:right w:val="single" w:sz="4" w:space="0" w:color="auto"/>
                  </w:tcBorders>
                  <w:shd w:val="clear" w:color="auto" w:fill="auto"/>
                  <w:noWrap/>
                  <w:vAlign w:val="center"/>
                  <w:hideMark/>
                </w:tcPr>
                <w:p w14:paraId="77BC33CC"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color w:val="000000"/>
                      <w:sz w:val="16"/>
                      <w:szCs w:val="16"/>
                    </w:rPr>
                  </w:pPr>
                  <w:r w:rsidRPr="00DF3429">
                    <w:rPr>
                      <w:rFonts w:ascii="Times New Roman" w:eastAsia="Times New Roman" w:hAnsi="Times New Roman" w:cs="Times New Roman"/>
                      <w:color w:val="000000"/>
                      <w:sz w:val="16"/>
                      <w:szCs w:val="16"/>
                    </w:rPr>
                    <w:t>Summa</w:t>
                  </w:r>
                </w:p>
              </w:tc>
            </w:tr>
            <w:tr w:rsidR="00DF3429" w:rsidRPr="00DF3429" w14:paraId="0A31B2AE" w14:textId="77777777" w:rsidTr="00DF3429">
              <w:trPr>
                <w:trHeight w:val="375"/>
              </w:trPr>
              <w:tc>
                <w:tcPr>
                  <w:tcW w:w="1399" w:type="dxa"/>
                  <w:tcBorders>
                    <w:top w:val="nil"/>
                    <w:left w:val="nil"/>
                    <w:bottom w:val="single" w:sz="4" w:space="0" w:color="auto"/>
                    <w:right w:val="single" w:sz="4" w:space="0" w:color="auto"/>
                  </w:tcBorders>
                  <w:shd w:val="clear" w:color="auto" w:fill="auto"/>
                  <w:vAlign w:val="center"/>
                  <w:hideMark/>
                </w:tcPr>
                <w:p w14:paraId="73DB7A2F"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KM</w:t>
                  </w:r>
                </w:p>
              </w:tc>
              <w:tc>
                <w:tcPr>
                  <w:tcW w:w="831" w:type="dxa"/>
                  <w:tcBorders>
                    <w:top w:val="nil"/>
                    <w:left w:val="nil"/>
                    <w:bottom w:val="single" w:sz="4" w:space="0" w:color="auto"/>
                    <w:right w:val="single" w:sz="4" w:space="0" w:color="auto"/>
                  </w:tcBorders>
                  <w:shd w:val="clear" w:color="auto" w:fill="auto"/>
                  <w:vAlign w:val="center"/>
                  <w:hideMark/>
                </w:tcPr>
                <w:p w14:paraId="45EB423A"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6D588D4D"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4</w:t>
                  </w:r>
                </w:p>
              </w:tc>
              <w:tc>
                <w:tcPr>
                  <w:tcW w:w="777" w:type="dxa"/>
                  <w:tcBorders>
                    <w:top w:val="nil"/>
                    <w:left w:val="nil"/>
                    <w:bottom w:val="single" w:sz="4" w:space="0" w:color="auto"/>
                    <w:right w:val="single" w:sz="4" w:space="0" w:color="auto"/>
                  </w:tcBorders>
                  <w:shd w:val="clear" w:color="auto" w:fill="auto"/>
                  <w:noWrap/>
                  <w:vAlign w:val="center"/>
                  <w:hideMark/>
                </w:tcPr>
                <w:p w14:paraId="7931A1D4"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2,00</w:t>
                  </w:r>
                </w:p>
              </w:tc>
              <w:tc>
                <w:tcPr>
                  <w:tcW w:w="1317" w:type="dxa"/>
                  <w:tcBorders>
                    <w:top w:val="nil"/>
                    <w:left w:val="nil"/>
                    <w:bottom w:val="single" w:sz="4" w:space="0" w:color="auto"/>
                    <w:right w:val="single" w:sz="4" w:space="0" w:color="auto"/>
                  </w:tcBorders>
                  <w:shd w:val="clear" w:color="auto" w:fill="auto"/>
                  <w:noWrap/>
                  <w:vAlign w:val="bottom"/>
                  <w:hideMark/>
                </w:tcPr>
                <w:p w14:paraId="001A40B9"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280 000</w:t>
                  </w:r>
                </w:p>
              </w:tc>
            </w:tr>
            <w:tr w:rsidR="00DF3429" w:rsidRPr="00DF3429" w14:paraId="47BC4CAA" w14:textId="77777777" w:rsidTr="00DF3429">
              <w:trPr>
                <w:trHeight w:val="330"/>
              </w:trPr>
              <w:tc>
                <w:tcPr>
                  <w:tcW w:w="1399" w:type="dxa"/>
                  <w:tcBorders>
                    <w:top w:val="nil"/>
                    <w:left w:val="nil"/>
                    <w:bottom w:val="single" w:sz="4" w:space="0" w:color="auto"/>
                    <w:right w:val="single" w:sz="4" w:space="0" w:color="auto"/>
                  </w:tcBorders>
                  <w:shd w:val="clear" w:color="auto" w:fill="auto"/>
                  <w:hideMark/>
                </w:tcPr>
                <w:p w14:paraId="2FA07CE7"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VM</w:t>
                  </w:r>
                </w:p>
              </w:tc>
              <w:tc>
                <w:tcPr>
                  <w:tcW w:w="831" w:type="dxa"/>
                  <w:tcBorders>
                    <w:top w:val="nil"/>
                    <w:left w:val="nil"/>
                    <w:bottom w:val="single" w:sz="4" w:space="0" w:color="auto"/>
                    <w:right w:val="single" w:sz="4" w:space="0" w:color="auto"/>
                  </w:tcBorders>
                  <w:shd w:val="clear" w:color="auto" w:fill="auto"/>
                  <w:hideMark/>
                </w:tcPr>
                <w:p w14:paraId="3AE47AE8"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5</w:t>
                  </w:r>
                </w:p>
              </w:tc>
              <w:tc>
                <w:tcPr>
                  <w:tcW w:w="956" w:type="dxa"/>
                  <w:tcBorders>
                    <w:top w:val="nil"/>
                    <w:left w:val="nil"/>
                    <w:bottom w:val="single" w:sz="4" w:space="0" w:color="auto"/>
                    <w:right w:val="single" w:sz="4" w:space="0" w:color="auto"/>
                  </w:tcBorders>
                  <w:shd w:val="clear" w:color="auto" w:fill="auto"/>
                  <w:noWrap/>
                  <w:vAlign w:val="bottom"/>
                  <w:hideMark/>
                </w:tcPr>
                <w:p w14:paraId="6A4BEE6F"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9</w:t>
                  </w:r>
                </w:p>
              </w:tc>
              <w:tc>
                <w:tcPr>
                  <w:tcW w:w="777" w:type="dxa"/>
                  <w:tcBorders>
                    <w:top w:val="nil"/>
                    <w:left w:val="nil"/>
                    <w:bottom w:val="single" w:sz="4" w:space="0" w:color="auto"/>
                    <w:right w:val="single" w:sz="4" w:space="0" w:color="auto"/>
                  </w:tcBorders>
                  <w:shd w:val="clear" w:color="auto" w:fill="auto"/>
                  <w:noWrap/>
                  <w:vAlign w:val="center"/>
                  <w:hideMark/>
                </w:tcPr>
                <w:p w14:paraId="7E06F9E1"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1,80</w:t>
                  </w:r>
                </w:p>
              </w:tc>
              <w:tc>
                <w:tcPr>
                  <w:tcW w:w="1317" w:type="dxa"/>
                  <w:tcBorders>
                    <w:top w:val="nil"/>
                    <w:left w:val="nil"/>
                    <w:bottom w:val="single" w:sz="4" w:space="0" w:color="auto"/>
                    <w:right w:val="single" w:sz="4" w:space="0" w:color="auto"/>
                  </w:tcBorders>
                  <w:shd w:val="clear" w:color="auto" w:fill="auto"/>
                  <w:noWrap/>
                  <w:vAlign w:val="bottom"/>
                  <w:hideMark/>
                </w:tcPr>
                <w:p w14:paraId="6CAD199B"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630 000</w:t>
                  </w:r>
                </w:p>
              </w:tc>
            </w:tr>
            <w:tr w:rsidR="00DF3429" w:rsidRPr="00DF3429" w14:paraId="6437B8E4" w14:textId="77777777" w:rsidTr="00DF3429">
              <w:trPr>
                <w:trHeight w:val="375"/>
              </w:trPr>
              <w:tc>
                <w:tcPr>
                  <w:tcW w:w="1399" w:type="dxa"/>
                  <w:tcBorders>
                    <w:top w:val="nil"/>
                    <w:left w:val="nil"/>
                    <w:bottom w:val="single" w:sz="4" w:space="0" w:color="auto"/>
                    <w:right w:val="single" w:sz="4" w:space="0" w:color="auto"/>
                  </w:tcBorders>
                  <w:shd w:val="clear" w:color="auto" w:fill="auto"/>
                  <w:vAlign w:val="center"/>
                  <w:hideMark/>
                </w:tcPr>
                <w:p w14:paraId="1DD5EB41"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IZM</w:t>
                  </w:r>
                </w:p>
              </w:tc>
              <w:tc>
                <w:tcPr>
                  <w:tcW w:w="831" w:type="dxa"/>
                  <w:tcBorders>
                    <w:top w:val="nil"/>
                    <w:left w:val="nil"/>
                    <w:bottom w:val="single" w:sz="4" w:space="0" w:color="auto"/>
                    <w:right w:val="single" w:sz="4" w:space="0" w:color="auto"/>
                  </w:tcBorders>
                  <w:shd w:val="clear" w:color="auto" w:fill="auto"/>
                  <w:vAlign w:val="center"/>
                  <w:hideMark/>
                </w:tcPr>
                <w:p w14:paraId="32AED9C2"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19</w:t>
                  </w:r>
                </w:p>
              </w:tc>
              <w:tc>
                <w:tcPr>
                  <w:tcW w:w="956" w:type="dxa"/>
                  <w:tcBorders>
                    <w:top w:val="nil"/>
                    <w:left w:val="nil"/>
                    <w:bottom w:val="single" w:sz="4" w:space="0" w:color="auto"/>
                    <w:right w:val="single" w:sz="4" w:space="0" w:color="auto"/>
                  </w:tcBorders>
                  <w:shd w:val="clear" w:color="auto" w:fill="auto"/>
                  <w:noWrap/>
                  <w:vAlign w:val="center"/>
                  <w:hideMark/>
                </w:tcPr>
                <w:p w14:paraId="78E4A357"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31</w:t>
                  </w:r>
                </w:p>
              </w:tc>
              <w:tc>
                <w:tcPr>
                  <w:tcW w:w="777" w:type="dxa"/>
                  <w:tcBorders>
                    <w:top w:val="nil"/>
                    <w:left w:val="nil"/>
                    <w:bottom w:val="single" w:sz="4" w:space="0" w:color="auto"/>
                    <w:right w:val="single" w:sz="4" w:space="0" w:color="auto"/>
                  </w:tcBorders>
                  <w:shd w:val="clear" w:color="auto" w:fill="auto"/>
                  <w:noWrap/>
                  <w:vAlign w:val="center"/>
                  <w:hideMark/>
                </w:tcPr>
                <w:p w14:paraId="765B45D3"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1,63</w:t>
                  </w:r>
                </w:p>
              </w:tc>
              <w:tc>
                <w:tcPr>
                  <w:tcW w:w="1317" w:type="dxa"/>
                  <w:tcBorders>
                    <w:top w:val="nil"/>
                    <w:left w:val="nil"/>
                    <w:bottom w:val="single" w:sz="4" w:space="0" w:color="auto"/>
                    <w:right w:val="single" w:sz="4" w:space="0" w:color="auto"/>
                  </w:tcBorders>
                  <w:shd w:val="clear" w:color="auto" w:fill="auto"/>
                  <w:noWrap/>
                  <w:vAlign w:val="bottom"/>
                  <w:hideMark/>
                </w:tcPr>
                <w:p w14:paraId="2692AE5C"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2 170 000</w:t>
                  </w:r>
                </w:p>
              </w:tc>
            </w:tr>
            <w:tr w:rsidR="00DF3429" w:rsidRPr="00DF3429" w14:paraId="66986D10" w14:textId="77777777" w:rsidTr="00DF3429">
              <w:trPr>
                <w:trHeight w:val="255"/>
              </w:trPr>
              <w:tc>
                <w:tcPr>
                  <w:tcW w:w="1399" w:type="dxa"/>
                  <w:tcBorders>
                    <w:top w:val="nil"/>
                    <w:left w:val="nil"/>
                    <w:bottom w:val="single" w:sz="4" w:space="0" w:color="auto"/>
                    <w:right w:val="single" w:sz="4" w:space="0" w:color="auto"/>
                  </w:tcBorders>
                  <w:shd w:val="clear" w:color="auto" w:fill="auto"/>
                  <w:vAlign w:val="center"/>
                  <w:hideMark/>
                </w:tcPr>
                <w:p w14:paraId="48BCE8E1"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VARAM</w:t>
                  </w:r>
                </w:p>
              </w:tc>
              <w:tc>
                <w:tcPr>
                  <w:tcW w:w="831" w:type="dxa"/>
                  <w:tcBorders>
                    <w:top w:val="nil"/>
                    <w:left w:val="nil"/>
                    <w:bottom w:val="single" w:sz="4" w:space="0" w:color="auto"/>
                    <w:right w:val="single" w:sz="4" w:space="0" w:color="auto"/>
                  </w:tcBorders>
                  <w:shd w:val="clear" w:color="auto" w:fill="auto"/>
                  <w:vAlign w:val="center"/>
                  <w:hideMark/>
                </w:tcPr>
                <w:p w14:paraId="123EE8B7"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9</w:t>
                  </w:r>
                </w:p>
              </w:tc>
              <w:tc>
                <w:tcPr>
                  <w:tcW w:w="956" w:type="dxa"/>
                  <w:tcBorders>
                    <w:top w:val="nil"/>
                    <w:left w:val="nil"/>
                    <w:bottom w:val="single" w:sz="4" w:space="0" w:color="auto"/>
                    <w:right w:val="single" w:sz="4" w:space="0" w:color="auto"/>
                  </w:tcBorders>
                  <w:shd w:val="clear" w:color="auto" w:fill="auto"/>
                  <w:vAlign w:val="center"/>
                  <w:hideMark/>
                </w:tcPr>
                <w:p w14:paraId="12727A51"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25</w:t>
                  </w:r>
                </w:p>
              </w:tc>
              <w:tc>
                <w:tcPr>
                  <w:tcW w:w="777" w:type="dxa"/>
                  <w:tcBorders>
                    <w:top w:val="nil"/>
                    <w:left w:val="nil"/>
                    <w:bottom w:val="single" w:sz="4" w:space="0" w:color="auto"/>
                    <w:right w:val="single" w:sz="4" w:space="0" w:color="auto"/>
                  </w:tcBorders>
                  <w:shd w:val="clear" w:color="auto" w:fill="auto"/>
                  <w:vAlign w:val="center"/>
                  <w:hideMark/>
                </w:tcPr>
                <w:p w14:paraId="4CCB33FE"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2,11</w:t>
                  </w:r>
                </w:p>
              </w:tc>
              <w:tc>
                <w:tcPr>
                  <w:tcW w:w="1317" w:type="dxa"/>
                  <w:tcBorders>
                    <w:top w:val="nil"/>
                    <w:left w:val="nil"/>
                    <w:bottom w:val="single" w:sz="4" w:space="0" w:color="auto"/>
                    <w:right w:val="single" w:sz="4" w:space="0" w:color="auto"/>
                  </w:tcBorders>
                  <w:shd w:val="clear" w:color="auto" w:fill="auto"/>
                  <w:vAlign w:val="center"/>
                  <w:hideMark/>
                </w:tcPr>
                <w:p w14:paraId="2A966474"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1 750 000</w:t>
                  </w:r>
                </w:p>
              </w:tc>
            </w:tr>
            <w:tr w:rsidR="00DF3429" w:rsidRPr="00DF3429" w14:paraId="0A930DCF" w14:textId="77777777" w:rsidTr="00DF3429">
              <w:trPr>
                <w:trHeight w:val="300"/>
              </w:trPr>
              <w:tc>
                <w:tcPr>
                  <w:tcW w:w="1399" w:type="dxa"/>
                  <w:tcBorders>
                    <w:top w:val="nil"/>
                    <w:left w:val="nil"/>
                    <w:bottom w:val="single" w:sz="4" w:space="0" w:color="auto"/>
                    <w:right w:val="single" w:sz="4" w:space="0" w:color="auto"/>
                  </w:tcBorders>
                  <w:shd w:val="clear" w:color="auto" w:fill="auto"/>
                  <w:hideMark/>
                </w:tcPr>
                <w:p w14:paraId="009CDE20"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SM</w:t>
                  </w:r>
                </w:p>
              </w:tc>
              <w:tc>
                <w:tcPr>
                  <w:tcW w:w="831" w:type="dxa"/>
                  <w:tcBorders>
                    <w:top w:val="nil"/>
                    <w:left w:val="nil"/>
                    <w:bottom w:val="single" w:sz="4" w:space="0" w:color="auto"/>
                    <w:right w:val="single" w:sz="4" w:space="0" w:color="auto"/>
                  </w:tcBorders>
                  <w:shd w:val="clear" w:color="auto" w:fill="auto"/>
                  <w:hideMark/>
                </w:tcPr>
                <w:p w14:paraId="1D0226E7"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10</w:t>
                  </w:r>
                </w:p>
              </w:tc>
              <w:tc>
                <w:tcPr>
                  <w:tcW w:w="956" w:type="dxa"/>
                  <w:tcBorders>
                    <w:top w:val="nil"/>
                    <w:left w:val="nil"/>
                    <w:bottom w:val="single" w:sz="4" w:space="0" w:color="auto"/>
                    <w:right w:val="single" w:sz="4" w:space="0" w:color="auto"/>
                  </w:tcBorders>
                  <w:shd w:val="clear" w:color="auto" w:fill="auto"/>
                  <w:noWrap/>
                  <w:vAlign w:val="bottom"/>
                  <w:hideMark/>
                </w:tcPr>
                <w:p w14:paraId="769B2503"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15</w:t>
                  </w:r>
                </w:p>
              </w:tc>
              <w:tc>
                <w:tcPr>
                  <w:tcW w:w="777" w:type="dxa"/>
                  <w:tcBorders>
                    <w:top w:val="nil"/>
                    <w:left w:val="nil"/>
                    <w:bottom w:val="single" w:sz="4" w:space="0" w:color="auto"/>
                    <w:right w:val="single" w:sz="4" w:space="0" w:color="auto"/>
                  </w:tcBorders>
                  <w:shd w:val="clear" w:color="auto" w:fill="auto"/>
                  <w:noWrap/>
                  <w:vAlign w:val="center"/>
                  <w:hideMark/>
                </w:tcPr>
                <w:p w14:paraId="38E7D92B"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1,50</w:t>
                  </w:r>
                </w:p>
              </w:tc>
              <w:tc>
                <w:tcPr>
                  <w:tcW w:w="1317" w:type="dxa"/>
                  <w:tcBorders>
                    <w:top w:val="nil"/>
                    <w:left w:val="nil"/>
                    <w:bottom w:val="single" w:sz="4" w:space="0" w:color="auto"/>
                    <w:right w:val="single" w:sz="4" w:space="0" w:color="auto"/>
                  </w:tcBorders>
                  <w:shd w:val="clear" w:color="auto" w:fill="auto"/>
                  <w:noWrap/>
                  <w:vAlign w:val="bottom"/>
                  <w:hideMark/>
                </w:tcPr>
                <w:p w14:paraId="3183063D"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1 050 000</w:t>
                  </w:r>
                </w:p>
              </w:tc>
            </w:tr>
            <w:tr w:rsidR="00DF3429" w:rsidRPr="00DF3429" w14:paraId="6247D5FF" w14:textId="77777777" w:rsidTr="00DF3429">
              <w:trPr>
                <w:trHeight w:val="345"/>
              </w:trPr>
              <w:tc>
                <w:tcPr>
                  <w:tcW w:w="1399" w:type="dxa"/>
                  <w:tcBorders>
                    <w:top w:val="nil"/>
                    <w:left w:val="nil"/>
                    <w:bottom w:val="single" w:sz="4" w:space="0" w:color="auto"/>
                    <w:right w:val="single" w:sz="4" w:space="0" w:color="auto"/>
                  </w:tcBorders>
                  <w:shd w:val="clear" w:color="auto" w:fill="auto"/>
                  <w:hideMark/>
                </w:tcPr>
                <w:p w14:paraId="468561CA"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sz w:val="20"/>
                      <w:szCs w:val="20"/>
                    </w:rPr>
                  </w:pPr>
                  <w:proofErr w:type="spellStart"/>
                  <w:r w:rsidRPr="00DF3429">
                    <w:rPr>
                      <w:rFonts w:ascii="Times New Roman" w:eastAsia="Times New Roman" w:hAnsi="Times New Roman" w:cs="Times New Roman"/>
                      <w:sz w:val="20"/>
                      <w:szCs w:val="20"/>
                    </w:rPr>
                    <w:t>Vkanceleja</w:t>
                  </w:r>
                  <w:proofErr w:type="spellEnd"/>
                  <w:r w:rsidRPr="00DF3429">
                    <w:rPr>
                      <w:rFonts w:ascii="Times New Roman" w:eastAsia="Times New Roman" w:hAnsi="Times New Roman" w:cs="Times New Roman"/>
                      <w:sz w:val="20"/>
                      <w:szCs w:val="20"/>
                    </w:rPr>
                    <w:t xml:space="preserve">  </w:t>
                  </w:r>
                </w:p>
              </w:tc>
              <w:tc>
                <w:tcPr>
                  <w:tcW w:w="831" w:type="dxa"/>
                  <w:tcBorders>
                    <w:top w:val="nil"/>
                    <w:left w:val="nil"/>
                    <w:bottom w:val="single" w:sz="4" w:space="0" w:color="auto"/>
                    <w:right w:val="single" w:sz="4" w:space="0" w:color="auto"/>
                  </w:tcBorders>
                  <w:shd w:val="clear" w:color="auto" w:fill="auto"/>
                  <w:hideMark/>
                </w:tcPr>
                <w:p w14:paraId="060566F1"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w:t>
                  </w:r>
                </w:p>
              </w:tc>
              <w:tc>
                <w:tcPr>
                  <w:tcW w:w="956" w:type="dxa"/>
                  <w:tcBorders>
                    <w:top w:val="nil"/>
                    <w:left w:val="nil"/>
                    <w:bottom w:val="single" w:sz="4" w:space="0" w:color="auto"/>
                    <w:right w:val="single" w:sz="4" w:space="0" w:color="auto"/>
                  </w:tcBorders>
                  <w:shd w:val="clear" w:color="auto" w:fill="auto"/>
                  <w:hideMark/>
                </w:tcPr>
                <w:p w14:paraId="184AD5E3"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4</w:t>
                  </w:r>
                </w:p>
              </w:tc>
              <w:tc>
                <w:tcPr>
                  <w:tcW w:w="777" w:type="dxa"/>
                  <w:tcBorders>
                    <w:top w:val="nil"/>
                    <w:left w:val="nil"/>
                    <w:bottom w:val="single" w:sz="4" w:space="0" w:color="auto"/>
                    <w:right w:val="single" w:sz="4" w:space="0" w:color="auto"/>
                  </w:tcBorders>
                  <w:shd w:val="clear" w:color="auto" w:fill="auto"/>
                  <w:hideMark/>
                </w:tcPr>
                <w:p w14:paraId="09FC30FF"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2,00</w:t>
                  </w:r>
                </w:p>
              </w:tc>
              <w:tc>
                <w:tcPr>
                  <w:tcW w:w="1317" w:type="dxa"/>
                  <w:tcBorders>
                    <w:top w:val="nil"/>
                    <w:left w:val="nil"/>
                    <w:bottom w:val="single" w:sz="4" w:space="0" w:color="auto"/>
                    <w:right w:val="single" w:sz="4" w:space="0" w:color="auto"/>
                  </w:tcBorders>
                  <w:shd w:val="clear" w:color="auto" w:fill="auto"/>
                  <w:hideMark/>
                </w:tcPr>
                <w:p w14:paraId="2AF05DB6"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810 000</w:t>
                  </w:r>
                </w:p>
              </w:tc>
            </w:tr>
            <w:tr w:rsidR="00DF3429" w:rsidRPr="00DF3429" w14:paraId="51E6F118" w14:textId="77777777" w:rsidTr="00DF3429">
              <w:trPr>
                <w:trHeight w:val="330"/>
              </w:trPr>
              <w:tc>
                <w:tcPr>
                  <w:tcW w:w="1399" w:type="dxa"/>
                  <w:tcBorders>
                    <w:top w:val="nil"/>
                    <w:left w:val="nil"/>
                    <w:bottom w:val="single" w:sz="4" w:space="0" w:color="auto"/>
                    <w:right w:val="single" w:sz="4" w:space="0" w:color="auto"/>
                  </w:tcBorders>
                  <w:shd w:val="clear" w:color="auto" w:fill="auto"/>
                  <w:vAlign w:val="center"/>
                  <w:hideMark/>
                </w:tcPr>
                <w:p w14:paraId="78E99164"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sz w:val="18"/>
                      <w:szCs w:val="18"/>
                    </w:rPr>
                  </w:pPr>
                  <w:r w:rsidRPr="00DF3429">
                    <w:rPr>
                      <w:rFonts w:ascii="Times New Roman" w:eastAsia="Times New Roman" w:hAnsi="Times New Roman" w:cs="Times New Roman"/>
                      <w:sz w:val="18"/>
                      <w:szCs w:val="18"/>
                    </w:rPr>
                    <w:t xml:space="preserve">LM </w:t>
                  </w:r>
                </w:p>
              </w:tc>
              <w:tc>
                <w:tcPr>
                  <w:tcW w:w="831" w:type="dxa"/>
                  <w:tcBorders>
                    <w:top w:val="nil"/>
                    <w:left w:val="nil"/>
                    <w:bottom w:val="single" w:sz="4" w:space="0" w:color="auto"/>
                    <w:right w:val="single" w:sz="4" w:space="0" w:color="auto"/>
                  </w:tcBorders>
                  <w:shd w:val="clear" w:color="auto" w:fill="auto"/>
                  <w:vAlign w:val="center"/>
                  <w:hideMark/>
                </w:tcPr>
                <w:p w14:paraId="337BAFE7"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13</w:t>
                  </w:r>
                </w:p>
              </w:tc>
              <w:tc>
                <w:tcPr>
                  <w:tcW w:w="956" w:type="dxa"/>
                  <w:tcBorders>
                    <w:top w:val="nil"/>
                    <w:left w:val="nil"/>
                    <w:bottom w:val="single" w:sz="4" w:space="0" w:color="auto"/>
                    <w:right w:val="single" w:sz="4" w:space="0" w:color="auto"/>
                  </w:tcBorders>
                  <w:shd w:val="clear" w:color="auto" w:fill="auto"/>
                  <w:vAlign w:val="center"/>
                  <w:hideMark/>
                </w:tcPr>
                <w:p w14:paraId="2B17ED16" w14:textId="51249D5C" w:rsidR="00DF3429" w:rsidRPr="00DF3429" w:rsidRDefault="00025D50"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777" w:type="dxa"/>
                  <w:tcBorders>
                    <w:top w:val="nil"/>
                    <w:left w:val="nil"/>
                    <w:bottom w:val="single" w:sz="4" w:space="0" w:color="auto"/>
                    <w:right w:val="single" w:sz="4" w:space="0" w:color="auto"/>
                  </w:tcBorders>
                  <w:shd w:val="clear" w:color="auto" w:fill="auto"/>
                  <w:vAlign w:val="center"/>
                  <w:hideMark/>
                </w:tcPr>
                <w:p w14:paraId="4FEF395C"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1,69</w:t>
                  </w:r>
                </w:p>
              </w:tc>
              <w:tc>
                <w:tcPr>
                  <w:tcW w:w="1317" w:type="dxa"/>
                  <w:tcBorders>
                    <w:top w:val="nil"/>
                    <w:left w:val="nil"/>
                    <w:bottom w:val="single" w:sz="4" w:space="0" w:color="auto"/>
                    <w:right w:val="single" w:sz="4" w:space="0" w:color="auto"/>
                  </w:tcBorders>
                  <w:shd w:val="clear" w:color="auto" w:fill="auto"/>
                  <w:vAlign w:val="center"/>
                  <w:hideMark/>
                </w:tcPr>
                <w:p w14:paraId="27786C7E" w14:textId="2E33F021" w:rsidR="00DF3429" w:rsidRPr="00DF3429" w:rsidRDefault="00456A3A"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1 67</w:t>
                  </w:r>
                  <w:r w:rsidR="00DF3429" w:rsidRPr="00DF3429">
                    <w:rPr>
                      <w:rFonts w:ascii="Times New Roman" w:eastAsia="Times New Roman" w:hAnsi="Times New Roman" w:cs="Times New Roman"/>
                      <w:b/>
                      <w:bCs/>
                      <w:sz w:val="20"/>
                      <w:szCs w:val="20"/>
                    </w:rPr>
                    <w:t>0 000</w:t>
                  </w:r>
                </w:p>
              </w:tc>
            </w:tr>
            <w:tr w:rsidR="00DF3429" w:rsidRPr="00DF3429" w14:paraId="2F5AE308" w14:textId="77777777" w:rsidTr="00DF3429">
              <w:trPr>
                <w:trHeight w:val="345"/>
              </w:trPr>
              <w:tc>
                <w:tcPr>
                  <w:tcW w:w="1399" w:type="dxa"/>
                  <w:tcBorders>
                    <w:top w:val="nil"/>
                    <w:left w:val="nil"/>
                    <w:bottom w:val="single" w:sz="4" w:space="0" w:color="auto"/>
                    <w:right w:val="single" w:sz="4" w:space="0" w:color="auto"/>
                  </w:tcBorders>
                  <w:shd w:val="clear" w:color="auto" w:fill="auto"/>
                  <w:hideMark/>
                </w:tcPr>
                <w:p w14:paraId="23BBFEF6"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EM</w:t>
                  </w:r>
                </w:p>
              </w:tc>
              <w:tc>
                <w:tcPr>
                  <w:tcW w:w="831" w:type="dxa"/>
                  <w:tcBorders>
                    <w:top w:val="nil"/>
                    <w:left w:val="nil"/>
                    <w:bottom w:val="single" w:sz="4" w:space="0" w:color="auto"/>
                    <w:right w:val="single" w:sz="4" w:space="0" w:color="auto"/>
                  </w:tcBorders>
                  <w:shd w:val="clear" w:color="auto" w:fill="auto"/>
                  <w:hideMark/>
                </w:tcPr>
                <w:p w14:paraId="7E30E3A7"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8</w:t>
                  </w:r>
                </w:p>
              </w:tc>
              <w:tc>
                <w:tcPr>
                  <w:tcW w:w="956" w:type="dxa"/>
                  <w:tcBorders>
                    <w:top w:val="nil"/>
                    <w:left w:val="nil"/>
                    <w:bottom w:val="single" w:sz="4" w:space="0" w:color="auto"/>
                    <w:right w:val="single" w:sz="4" w:space="0" w:color="auto"/>
                  </w:tcBorders>
                  <w:shd w:val="clear" w:color="auto" w:fill="auto"/>
                  <w:noWrap/>
                  <w:vAlign w:val="bottom"/>
                  <w:hideMark/>
                </w:tcPr>
                <w:p w14:paraId="349A7807"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16</w:t>
                  </w:r>
                </w:p>
              </w:tc>
              <w:tc>
                <w:tcPr>
                  <w:tcW w:w="777" w:type="dxa"/>
                  <w:tcBorders>
                    <w:top w:val="nil"/>
                    <w:left w:val="nil"/>
                    <w:bottom w:val="single" w:sz="4" w:space="0" w:color="auto"/>
                    <w:right w:val="single" w:sz="4" w:space="0" w:color="auto"/>
                  </w:tcBorders>
                  <w:shd w:val="clear" w:color="auto" w:fill="auto"/>
                  <w:noWrap/>
                  <w:vAlign w:val="center"/>
                  <w:hideMark/>
                </w:tcPr>
                <w:p w14:paraId="24FB6FD9"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2,00</w:t>
                  </w:r>
                </w:p>
              </w:tc>
              <w:tc>
                <w:tcPr>
                  <w:tcW w:w="1317" w:type="dxa"/>
                  <w:tcBorders>
                    <w:top w:val="nil"/>
                    <w:left w:val="nil"/>
                    <w:bottom w:val="single" w:sz="4" w:space="0" w:color="auto"/>
                    <w:right w:val="single" w:sz="4" w:space="0" w:color="auto"/>
                  </w:tcBorders>
                  <w:shd w:val="clear" w:color="auto" w:fill="auto"/>
                  <w:noWrap/>
                  <w:vAlign w:val="bottom"/>
                  <w:hideMark/>
                </w:tcPr>
                <w:p w14:paraId="5CFEA05C"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1 120 000</w:t>
                  </w:r>
                </w:p>
              </w:tc>
            </w:tr>
            <w:tr w:rsidR="00DF3429" w:rsidRPr="00DF3429" w14:paraId="3A83CB47" w14:textId="77777777" w:rsidTr="00DF3429">
              <w:trPr>
                <w:trHeight w:val="270"/>
              </w:trPr>
              <w:tc>
                <w:tcPr>
                  <w:tcW w:w="1399" w:type="dxa"/>
                  <w:tcBorders>
                    <w:top w:val="nil"/>
                    <w:left w:val="nil"/>
                    <w:bottom w:val="single" w:sz="4" w:space="0" w:color="auto"/>
                    <w:right w:val="single" w:sz="4" w:space="0" w:color="auto"/>
                  </w:tcBorders>
                  <w:shd w:val="clear" w:color="auto" w:fill="auto"/>
                  <w:hideMark/>
                </w:tcPr>
                <w:p w14:paraId="4CC47C2D"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 xml:space="preserve">TM </w:t>
                  </w:r>
                </w:p>
              </w:tc>
              <w:tc>
                <w:tcPr>
                  <w:tcW w:w="831" w:type="dxa"/>
                  <w:tcBorders>
                    <w:top w:val="nil"/>
                    <w:left w:val="nil"/>
                    <w:bottom w:val="single" w:sz="4" w:space="0" w:color="auto"/>
                    <w:right w:val="single" w:sz="4" w:space="0" w:color="auto"/>
                  </w:tcBorders>
                  <w:shd w:val="clear" w:color="auto" w:fill="auto"/>
                  <w:hideMark/>
                </w:tcPr>
                <w:p w14:paraId="28DCB51F"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3</w:t>
                  </w:r>
                </w:p>
              </w:tc>
              <w:tc>
                <w:tcPr>
                  <w:tcW w:w="956" w:type="dxa"/>
                  <w:tcBorders>
                    <w:top w:val="nil"/>
                    <w:left w:val="nil"/>
                    <w:bottom w:val="single" w:sz="4" w:space="0" w:color="auto"/>
                    <w:right w:val="single" w:sz="4" w:space="0" w:color="auto"/>
                  </w:tcBorders>
                  <w:shd w:val="clear" w:color="auto" w:fill="auto"/>
                  <w:hideMark/>
                </w:tcPr>
                <w:p w14:paraId="361D39E2"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7</w:t>
                  </w:r>
                </w:p>
              </w:tc>
              <w:tc>
                <w:tcPr>
                  <w:tcW w:w="777" w:type="dxa"/>
                  <w:tcBorders>
                    <w:top w:val="nil"/>
                    <w:left w:val="nil"/>
                    <w:bottom w:val="single" w:sz="4" w:space="0" w:color="auto"/>
                    <w:right w:val="single" w:sz="4" w:space="0" w:color="auto"/>
                  </w:tcBorders>
                  <w:shd w:val="clear" w:color="auto" w:fill="auto"/>
                  <w:hideMark/>
                </w:tcPr>
                <w:p w14:paraId="1A4261DB"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1,67</w:t>
                  </w:r>
                </w:p>
              </w:tc>
              <w:tc>
                <w:tcPr>
                  <w:tcW w:w="1317" w:type="dxa"/>
                  <w:tcBorders>
                    <w:top w:val="nil"/>
                    <w:left w:val="nil"/>
                    <w:bottom w:val="single" w:sz="4" w:space="0" w:color="auto"/>
                    <w:right w:val="single" w:sz="4" w:space="0" w:color="auto"/>
                  </w:tcBorders>
                  <w:shd w:val="clear" w:color="auto" w:fill="auto"/>
                  <w:hideMark/>
                </w:tcPr>
                <w:p w14:paraId="7FB0BE5C"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490 000</w:t>
                  </w:r>
                </w:p>
              </w:tc>
            </w:tr>
            <w:tr w:rsidR="00DF3429" w:rsidRPr="00DF3429" w14:paraId="3F3708D2" w14:textId="77777777" w:rsidTr="00DF3429">
              <w:trPr>
                <w:trHeight w:val="315"/>
              </w:trPr>
              <w:tc>
                <w:tcPr>
                  <w:tcW w:w="1399" w:type="dxa"/>
                  <w:tcBorders>
                    <w:top w:val="nil"/>
                    <w:left w:val="nil"/>
                    <w:bottom w:val="single" w:sz="4" w:space="0" w:color="auto"/>
                    <w:right w:val="single" w:sz="4" w:space="0" w:color="auto"/>
                  </w:tcBorders>
                  <w:shd w:val="clear" w:color="auto" w:fill="auto"/>
                  <w:hideMark/>
                </w:tcPr>
                <w:p w14:paraId="6D1A465F"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ZM</w:t>
                  </w:r>
                </w:p>
              </w:tc>
              <w:tc>
                <w:tcPr>
                  <w:tcW w:w="831" w:type="dxa"/>
                  <w:tcBorders>
                    <w:top w:val="nil"/>
                    <w:left w:val="nil"/>
                    <w:bottom w:val="single" w:sz="4" w:space="0" w:color="auto"/>
                    <w:right w:val="single" w:sz="4" w:space="0" w:color="auto"/>
                  </w:tcBorders>
                  <w:shd w:val="clear" w:color="auto" w:fill="auto"/>
                  <w:hideMark/>
                </w:tcPr>
                <w:p w14:paraId="240A93B7"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w:t>
                  </w:r>
                </w:p>
              </w:tc>
              <w:tc>
                <w:tcPr>
                  <w:tcW w:w="956" w:type="dxa"/>
                  <w:tcBorders>
                    <w:top w:val="nil"/>
                    <w:left w:val="nil"/>
                    <w:bottom w:val="single" w:sz="4" w:space="0" w:color="auto"/>
                    <w:right w:val="single" w:sz="4" w:space="0" w:color="auto"/>
                  </w:tcBorders>
                  <w:shd w:val="clear" w:color="auto" w:fill="auto"/>
                  <w:noWrap/>
                  <w:hideMark/>
                </w:tcPr>
                <w:p w14:paraId="44D187DB"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w:t>
                  </w:r>
                </w:p>
              </w:tc>
              <w:tc>
                <w:tcPr>
                  <w:tcW w:w="777" w:type="dxa"/>
                  <w:tcBorders>
                    <w:top w:val="nil"/>
                    <w:left w:val="nil"/>
                    <w:bottom w:val="single" w:sz="4" w:space="0" w:color="auto"/>
                    <w:right w:val="single" w:sz="4" w:space="0" w:color="auto"/>
                  </w:tcBorders>
                  <w:shd w:val="clear" w:color="auto" w:fill="auto"/>
                  <w:noWrap/>
                  <w:vAlign w:val="center"/>
                  <w:hideMark/>
                </w:tcPr>
                <w:p w14:paraId="3555B520"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1,00</w:t>
                  </w:r>
                </w:p>
              </w:tc>
              <w:tc>
                <w:tcPr>
                  <w:tcW w:w="1317" w:type="dxa"/>
                  <w:tcBorders>
                    <w:top w:val="nil"/>
                    <w:left w:val="nil"/>
                    <w:bottom w:val="single" w:sz="4" w:space="0" w:color="auto"/>
                    <w:right w:val="single" w:sz="4" w:space="0" w:color="auto"/>
                  </w:tcBorders>
                  <w:shd w:val="clear" w:color="auto" w:fill="auto"/>
                  <w:noWrap/>
                  <w:vAlign w:val="bottom"/>
                  <w:hideMark/>
                </w:tcPr>
                <w:p w14:paraId="34125AED"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70 000</w:t>
                  </w:r>
                </w:p>
              </w:tc>
            </w:tr>
            <w:tr w:rsidR="00DF3429" w:rsidRPr="00DF3429" w14:paraId="70234802" w14:textId="77777777" w:rsidTr="00DF3429">
              <w:trPr>
                <w:trHeight w:val="330"/>
              </w:trPr>
              <w:tc>
                <w:tcPr>
                  <w:tcW w:w="1399" w:type="dxa"/>
                  <w:tcBorders>
                    <w:top w:val="nil"/>
                    <w:left w:val="nil"/>
                    <w:bottom w:val="single" w:sz="4" w:space="0" w:color="auto"/>
                    <w:right w:val="single" w:sz="4" w:space="0" w:color="auto"/>
                  </w:tcBorders>
                  <w:shd w:val="clear" w:color="auto" w:fill="auto"/>
                  <w:noWrap/>
                  <w:vAlign w:val="bottom"/>
                  <w:hideMark/>
                </w:tcPr>
                <w:p w14:paraId="3D5A2825"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CFLA</w:t>
                  </w:r>
                </w:p>
              </w:tc>
              <w:tc>
                <w:tcPr>
                  <w:tcW w:w="831" w:type="dxa"/>
                  <w:tcBorders>
                    <w:top w:val="nil"/>
                    <w:left w:val="nil"/>
                    <w:bottom w:val="single" w:sz="4" w:space="0" w:color="auto"/>
                    <w:right w:val="single" w:sz="4" w:space="0" w:color="auto"/>
                  </w:tcBorders>
                  <w:shd w:val="clear" w:color="auto" w:fill="auto"/>
                  <w:noWrap/>
                  <w:vAlign w:val="bottom"/>
                  <w:hideMark/>
                </w:tcPr>
                <w:p w14:paraId="46C2F4B3"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71</w:t>
                  </w:r>
                </w:p>
              </w:tc>
              <w:tc>
                <w:tcPr>
                  <w:tcW w:w="956" w:type="dxa"/>
                  <w:tcBorders>
                    <w:top w:val="nil"/>
                    <w:left w:val="nil"/>
                    <w:bottom w:val="single" w:sz="4" w:space="0" w:color="auto"/>
                    <w:right w:val="single" w:sz="4" w:space="0" w:color="auto"/>
                  </w:tcBorders>
                  <w:shd w:val="clear" w:color="auto" w:fill="auto"/>
                  <w:noWrap/>
                  <w:vAlign w:val="bottom"/>
                  <w:hideMark/>
                </w:tcPr>
                <w:p w14:paraId="40324806"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255</w:t>
                  </w:r>
                </w:p>
              </w:tc>
              <w:tc>
                <w:tcPr>
                  <w:tcW w:w="777" w:type="dxa"/>
                  <w:tcBorders>
                    <w:top w:val="nil"/>
                    <w:left w:val="nil"/>
                    <w:bottom w:val="single" w:sz="4" w:space="0" w:color="auto"/>
                    <w:right w:val="single" w:sz="4" w:space="0" w:color="auto"/>
                  </w:tcBorders>
                  <w:shd w:val="clear" w:color="auto" w:fill="auto"/>
                  <w:noWrap/>
                  <w:vAlign w:val="bottom"/>
                  <w:hideMark/>
                </w:tcPr>
                <w:p w14:paraId="6401F594"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3,59</w:t>
                  </w:r>
                </w:p>
              </w:tc>
              <w:tc>
                <w:tcPr>
                  <w:tcW w:w="1317" w:type="dxa"/>
                  <w:tcBorders>
                    <w:top w:val="nil"/>
                    <w:left w:val="nil"/>
                    <w:bottom w:val="single" w:sz="4" w:space="0" w:color="auto"/>
                    <w:right w:val="single" w:sz="4" w:space="0" w:color="auto"/>
                  </w:tcBorders>
                  <w:shd w:val="clear" w:color="auto" w:fill="auto"/>
                  <w:noWrap/>
                  <w:vAlign w:val="bottom"/>
                  <w:hideMark/>
                </w:tcPr>
                <w:p w14:paraId="3A372215"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17 850 000</w:t>
                  </w:r>
                </w:p>
              </w:tc>
            </w:tr>
            <w:tr w:rsidR="00DF3429" w:rsidRPr="00DF3429" w14:paraId="740E4F6B" w14:textId="77777777" w:rsidTr="00DF3429">
              <w:trPr>
                <w:trHeight w:val="255"/>
              </w:trPr>
              <w:tc>
                <w:tcPr>
                  <w:tcW w:w="1399" w:type="dxa"/>
                  <w:tcBorders>
                    <w:top w:val="nil"/>
                    <w:left w:val="nil"/>
                    <w:bottom w:val="single" w:sz="4" w:space="0" w:color="auto"/>
                    <w:right w:val="single" w:sz="4" w:space="0" w:color="auto"/>
                  </w:tcBorders>
                  <w:shd w:val="clear" w:color="auto" w:fill="auto"/>
                  <w:noWrap/>
                  <w:vAlign w:val="bottom"/>
                  <w:hideMark/>
                </w:tcPr>
                <w:p w14:paraId="148E6067"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KASE</w:t>
                  </w:r>
                </w:p>
              </w:tc>
              <w:tc>
                <w:tcPr>
                  <w:tcW w:w="831" w:type="dxa"/>
                  <w:tcBorders>
                    <w:top w:val="nil"/>
                    <w:left w:val="nil"/>
                    <w:bottom w:val="single" w:sz="4" w:space="0" w:color="auto"/>
                    <w:right w:val="single" w:sz="4" w:space="0" w:color="auto"/>
                  </w:tcBorders>
                  <w:shd w:val="clear" w:color="auto" w:fill="auto"/>
                  <w:noWrap/>
                  <w:vAlign w:val="bottom"/>
                  <w:hideMark/>
                </w:tcPr>
                <w:p w14:paraId="351503A5"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956" w:type="dxa"/>
                  <w:tcBorders>
                    <w:top w:val="nil"/>
                    <w:left w:val="nil"/>
                    <w:bottom w:val="single" w:sz="4" w:space="0" w:color="auto"/>
                    <w:right w:val="single" w:sz="4" w:space="0" w:color="auto"/>
                  </w:tcBorders>
                  <w:shd w:val="clear" w:color="auto" w:fill="auto"/>
                  <w:noWrap/>
                  <w:vAlign w:val="bottom"/>
                  <w:hideMark/>
                </w:tcPr>
                <w:p w14:paraId="02399B93"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7</w:t>
                  </w:r>
                </w:p>
              </w:tc>
              <w:tc>
                <w:tcPr>
                  <w:tcW w:w="777" w:type="dxa"/>
                  <w:tcBorders>
                    <w:top w:val="nil"/>
                    <w:left w:val="nil"/>
                    <w:bottom w:val="single" w:sz="4" w:space="0" w:color="auto"/>
                    <w:right w:val="single" w:sz="4" w:space="0" w:color="auto"/>
                  </w:tcBorders>
                  <w:shd w:val="clear" w:color="auto" w:fill="auto"/>
                  <w:noWrap/>
                  <w:vAlign w:val="bottom"/>
                  <w:hideMark/>
                </w:tcPr>
                <w:p w14:paraId="77120694"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1317" w:type="dxa"/>
                  <w:tcBorders>
                    <w:top w:val="nil"/>
                    <w:left w:val="nil"/>
                    <w:bottom w:val="single" w:sz="4" w:space="0" w:color="auto"/>
                    <w:right w:val="single" w:sz="4" w:space="0" w:color="auto"/>
                  </w:tcBorders>
                  <w:shd w:val="clear" w:color="auto" w:fill="auto"/>
                  <w:noWrap/>
                  <w:vAlign w:val="bottom"/>
                  <w:hideMark/>
                </w:tcPr>
                <w:p w14:paraId="0993541B"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490 000</w:t>
                  </w:r>
                </w:p>
              </w:tc>
            </w:tr>
            <w:tr w:rsidR="00DF3429" w:rsidRPr="00DF3429" w14:paraId="1BF18366" w14:textId="77777777" w:rsidTr="00DF3429">
              <w:trPr>
                <w:trHeight w:val="360"/>
              </w:trPr>
              <w:tc>
                <w:tcPr>
                  <w:tcW w:w="1399" w:type="dxa"/>
                  <w:tcBorders>
                    <w:top w:val="nil"/>
                    <w:left w:val="nil"/>
                    <w:bottom w:val="single" w:sz="4" w:space="0" w:color="auto"/>
                    <w:right w:val="single" w:sz="4" w:space="0" w:color="auto"/>
                  </w:tcBorders>
                  <w:shd w:val="clear" w:color="auto" w:fill="auto"/>
                  <w:noWrap/>
                  <w:vAlign w:val="bottom"/>
                  <w:hideMark/>
                </w:tcPr>
                <w:p w14:paraId="6409C43D"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IUB</w:t>
                  </w:r>
                </w:p>
              </w:tc>
              <w:tc>
                <w:tcPr>
                  <w:tcW w:w="831" w:type="dxa"/>
                  <w:tcBorders>
                    <w:top w:val="nil"/>
                    <w:left w:val="nil"/>
                    <w:bottom w:val="single" w:sz="4" w:space="0" w:color="auto"/>
                    <w:right w:val="single" w:sz="4" w:space="0" w:color="auto"/>
                  </w:tcBorders>
                  <w:shd w:val="clear" w:color="auto" w:fill="auto"/>
                  <w:noWrap/>
                  <w:vAlign w:val="bottom"/>
                  <w:hideMark/>
                </w:tcPr>
                <w:p w14:paraId="65BA487A"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956" w:type="dxa"/>
                  <w:tcBorders>
                    <w:top w:val="nil"/>
                    <w:left w:val="nil"/>
                    <w:bottom w:val="single" w:sz="4" w:space="0" w:color="auto"/>
                    <w:right w:val="single" w:sz="4" w:space="0" w:color="auto"/>
                  </w:tcBorders>
                  <w:shd w:val="clear" w:color="auto" w:fill="auto"/>
                  <w:noWrap/>
                  <w:vAlign w:val="bottom"/>
                  <w:hideMark/>
                </w:tcPr>
                <w:p w14:paraId="367B54E0"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8</w:t>
                  </w:r>
                </w:p>
              </w:tc>
              <w:tc>
                <w:tcPr>
                  <w:tcW w:w="777" w:type="dxa"/>
                  <w:tcBorders>
                    <w:top w:val="nil"/>
                    <w:left w:val="nil"/>
                    <w:bottom w:val="single" w:sz="4" w:space="0" w:color="auto"/>
                    <w:right w:val="single" w:sz="4" w:space="0" w:color="auto"/>
                  </w:tcBorders>
                  <w:shd w:val="clear" w:color="auto" w:fill="auto"/>
                  <w:noWrap/>
                  <w:vAlign w:val="bottom"/>
                  <w:hideMark/>
                </w:tcPr>
                <w:p w14:paraId="3473E613"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1317" w:type="dxa"/>
                  <w:tcBorders>
                    <w:top w:val="nil"/>
                    <w:left w:val="nil"/>
                    <w:bottom w:val="single" w:sz="4" w:space="0" w:color="auto"/>
                    <w:right w:val="single" w:sz="4" w:space="0" w:color="auto"/>
                  </w:tcBorders>
                  <w:shd w:val="clear" w:color="auto" w:fill="auto"/>
                  <w:noWrap/>
                  <w:vAlign w:val="bottom"/>
                  <w:hideMark/>
                </w:tcPr>
                <w:p w14:paraId="5D4E326E"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560 000</w:t>
                  </w:r>
                </w:p>
              </w:tc>
            </w:tr>
            <w:tr w:rsidR="00DF3429" w:rsidRPr="00DF3429" w14:paraId="73A41AD3" w14:textId="77777777" w:rsidTr="00DF3429">
              <w:trPr>
                <w:trHeight w:val="375"/>
              </w:trPr>
              <w:tc>
                <w:tcPr>
                  <w:tcW w:w="1399" w:type="dxa"/>
                  <w:tcBorders>
                    <w:top w:val="nil"/>
                    <w:left w:val="nil"/>
                    <w:bottom w:val="single" w:sz="4" w:space="0" w:color="auto"/>
                    <w:right w:val="single" w:sz="4" w:space="0" w:color="auto"/>
                  </w:tcBorders>
                  <w:shd w:val="clear" w:color="auto" w:fill="auto"/>
                  <w:noWrap/>
                  <w:vAlign w:val="bottom"/>
                  <w:hideMark/>
                </w:tcPr>
                <w:p w14:paraId="1B4AA6F0"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 xml:space="preserve">VI FM </w:t>
                  </w:r>
                </w:p>
              </w:tc>
              <w:tc>
                <w:tcPr>
                  <w:tcW w:w="831" w:type="dxa"/>
                  <w:tcBorders>
                    <w:top w:val="nil"/>
                    <w:left w:val="nil"/>
                    <w:bottom w:val="single" w:sz="4" w:space="0" w:color="auto"/>
                    <w:right w:val="single" w:sz="4" w:space="0" w:color="auto"/>
                  </w:tcBorders>
                  <w:shd w:val="clear" w:color="auto" w:fill="auto"/>
                  <w:noWrap/>
                  <w:vAlign w:val="bottom"/>
                  <w:hideMark/>
                </w:tcPr>
                <w:p w14:paraId="19F31896"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4</w:t>
                  </w:r>
                </w:p>
              </w:tc>
              <w:tc>
                <w:tcPr>
                  <w:tcW w:w="956" w:type="dxa"/>
                  <w:tcBorders>
                    <w:top w:val="nil"/>
                    <w:left w:val="nil"/>
                    <w:bottom w:val="single" w:sz="4" w:space="0" w:color="auto"/>
                    <w:right w:val="single" w:sz="4" w:space="0" w:color="auto"/>
                  </w:tcBorders>
                  <w:shd w:val="clear" w:color="auto" w:fill="auto"/>
                  <w:noWrap/>
                  <w:vAlign w:val="bottom"/>
                  <w:hideMark/>
                </w:tcPr>
                <w:p w14:paraId="1E02EC57"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95</w:t>
                  </w:r>
                </w:p>
              </w:tc>
              <w:tc>
                <w:tcPr>
                  <w:tcW w:w="777" w:type="dxa"/>
                  <w:tcBorders>
                    <w:top w:val="nil"/>
                    <w:left w:val="nil"/>
                    <w:bottom w:val="single" w:sz="4" w:space="0" w:color="auto"/>
                    <w:right w:val="single" w:sz="4" w:space="0" w:color="auto"/>
                  </w:tcBorders>
                  <w:shd w:val="clear" w:color="auto" w:fill="auto"/>
                  <w:noWrap/>
                  <w:vAlign w:val="bottom"/>
                  <w:hideMark/>
                </w:tcPr>
                <w:p w14:paraId="713181C5"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1317" w:type="dxa"/>
                  <w:tcBorders>
                    <w:top w:val="nil"/>
                    <w:left w:val="nil"/>
                    <w:bottom w:val="single" w:sz="4" w:space="0" w:color="auto"/>
                    <w:right w:val="single" w:sz="4" w:space="0" w:color="auto"/>
                  </w:tcBorders>
                  <w:shd w:val="clear" w:color="auto" w:fill="auto"/>
                  <w:noWrap/>
                  <w:vAlign w:val="bottom"/>
                  <w:hideMark/>
                </w:tcPr>
                <w:p w14:paraId="134C5D4D" w14:textId="0C50CCD8" w:rsidR="00DF3429" w:rsidRPr="00DF3429" w:rsidRDefault="005907DB"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6 950 000</w:t>
                  </w:r>
                </w:p>
              </w:tc>
            </w:tr>
            <w:tr w:rsidR="00DF3429" w:rsidRPr="00DF3429" w14:paraId="7EB78C30" w14:textId="77777777" w:rsidTr="00DF3429">
              <w:trPr>
                <w:trHeight w:val="345"/>
              </w:trPr>
              <w:tc>
                <w:tcPr>
                  <w:tcW w:w="1399" w:type="dxa"/>
                  <w:tcBorders>
                    <w:top w:val="nil"/>
                    <w:left w:val="nil"/>
                    <w:bottom w:val="single" w:sz="4" w:space="0" w:color="auto"/>
                    <w:right w:val="single" w:sz="4" w:space="0" w:color="auto"/>
                  </w:tcBorders>
                  <w:shd w:val="clear" w:color="auto" w:fill="auto"/>
                  <w:noWrap/>
                  <w:vAlign w:val="bottom"/>
                  <w:hideMark/>
                </w:tcPr>
                <w:p w14:paraId="79A61845"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FM RI</w:t>
                  </w:r>
                </w:p>
              </w:tc>
              <w:tc>
                <w:tcPr>
                  <w:tcW w:w="831" w:type="dxa"/>
                  <w:tcBorders>
                    <w:top w:val="nil"/>
                    <w:left w:val="nil"/>
                    <w:bottom w:val="single" w:sz="4" w:space="0" w:color="auto"/>
                    <w:right w:val="single" w:sz="4" w:space="0" w:color="auto"/>
                  </w:tcBorders>
                  <w:shd w:val="clear" w:color="auto" w:fill="auto"/>
                  <w:noWrap/>
                  <w:vAlign w:val="bottom"/>
                  <w:hideMark/>
                </w:tcPr>
                <w:p w14:paraId="73FE0693"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956" w:type="dxa"/>
                  <w:tcBorders>
                    <w:top w:val="nil"/>
                    <w:left w:val="nil"/>
                    <w:bottom w:val="single" w:sz="4" w:space="0" w:color="auto"/>
                    <w:right w:val="single" w:sz="4" w:space="0" w:color="auto"/>
                  </w:tcBorders>
                  <w:shd w:val="clear" w:color="auto" w:fill="auto"/>
                  <w:noWrap/>
                  <w:vAlign w:val="bottom"/>
                  <w:hideMark/>
                </w:tcPr>
                <w:p w14:paraId="734F2AD0"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24</w:t>
                  </w:r>
                </w:p>
              </w:tc>
              <w:tc>
                <w:tcPr>
                  <w:tcW w:w="777" w:type="dxa"/>
                  <w:tcBorders>
                    <w:top w:val="nil"/>
                    <w:left w:val="nil"/>
                    <w:bottom w:val="single" w:sz="4" w:space="0" w:color="auto"/>
                    <w:right w:val="single" w:sz="4" w:space="0" w:color="auto"/>
                  </w:tcBorders>
                  <w:shd w:val="clear" w:color="auto" w:fill="auto"/>
                  <w:noWrap/>
                  <w:vAlign w:val="bottom"/>
                  <w:hideMark/>
                </w:tcPr>
                <w:p w14:paraId="3F2A5FAE"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1317" w:type="dxa"/>
                  <w:tcBorders>
                    <w:top w:val="nil"/>
                    <w:left w:val="nil"/>
                    <w:bottom w:val="single" w:sz="4" w:space="0" w:color="auto"/>
                    <w:right w:val="single" w:sz="4" w:space="0" w:color="auto"/>
                  </w:tcBorders>
                  <w:shd w:val="clear" w:color="auto" w:fill="auto"/>
                  <w:noWrap/>
                  <w:vAlign w:val="bottom"/>
                  <w:hideMark/>
                </w:tcPr>
                <w:p w14:paraId="57A56243"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1 680 000</w:t>
                  </w:r>
                </w:p>
              </w:tc>
            </w:tr>
            <w:tr w:rsidR="00DF3429" w:rsidRPr="00DF3429" w14:paraId="46F2EEFD" w14:textId="77777777" w:rsidTr="00DF3429">
              <w:trPr>
                <w:trHeight w:val="360"/>
              </w:trPr>
              <w:tc>
                <w:tcPr>
                  <w:tcW w:w="1399" w:type="dxa"/>
                  <w:tcBorders>
                    <w:top w:val="nil"/>
                    <w:left w:val="nil"/>
                    <w:bottom w:val="single" w:sz="4" w:space="0" w:color="auto"/>
                    <w:right w:val="single" w:sz="4" w:space="0" w:color="auto"/>
                  </w:tcBorders>
                  <w:shd w:val="clear" w:color="auto" w:fill="auto"/>
                  <w:noWrap/>
                  <w:vAlign w:val="bottom"/>
                  <w:hideMark/>
                </w:tcPr>
                <w:p w14:paraId="628A0432" w14:textId="77777777" w:rsidR="00DF3429" w:rsidRPr="00DF3429" w:rsidRDefault="00DF3429" w:rsidP="00123970">
                  <w:pPr>
                    <w:framePr w:hSpace="180" w:wrap="around" w:vAnchor="text" w:hAnchor="margin" w:xAlign="center" w:y="149"/>
                    <w:spacing w:after="0" w:line="240" w:lineRule="auto"/>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 xml:space="preserve">Pašvaldības </w:t>
                  </w:r>
                </w:p>
              </w:tc>
              <w:tc>
                <w:tcPr>
                  <w:tcW w:w="831" w:type="dxa"/>
                  <w:tcBorders>
                    <w:top w:val="nil"/>
                    <w:left w:val="nil"/>
                    <w:bottom w:val="single" w:sz="4" w:space="0" w:color="auto"/>
                    <w:right w:val="single" w:sz="4" w:space="0" w:color="auto"/>
                  </w:tcBorders>
                  <w:shd w:val="clear" w:color="auto" w:fill="auto"/>
                  <w:noWrap/>
                  <w:vAlign w:val="bottom"/>
                  <w:hideMark/>
                </w:tcPr>
                <w:p w14:paraId="63CFEE9E"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956" w:type="dxa"/>
                  <w:tcBorders>
                    <w:top w:val="nil"/>
                    <w:left w:val="nil"/>
                    <w:bottom w:val="single" w:sz="4" w:space="0" w:color="auto"/>
                    <w:right w:val="single" w:sz="4" w:space="0" w:color="auto"/>
                  </w:tcBorders>
                  <w:shd w:val="clear" w:color="auto" w:fill="auto"/>
                  <w:noWrap/>
                  <w:vAlign w:val="bottom"/>
                  <w:hideMark/>
                </w:tcPr>
                <w:p w14:paraId="3B02184A"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6</w:t>
                  </w:r>
                </w:p>
              </w:tc>
              <w:tc>
                <w:tcPr>
                  <w:tcW w:w="777" w:type="dxa"/>
                  <w:tcBorders>
                    <w:top w:val="nil"/>
                    <w:left w:val="nil"/>
                    <w:bottom w:val="single" w:sz="4" w:space="0" w:color="auto"/>
                    <w:right w:val="single" w:sz="4" w:space="0" w:color="auto"/>
                  </w:tcBorders>
                  <w:shd w:val="clear" w:color="auto" w:fill="auto"/>
                  <w:noWrap/>
                  <w:vAlign w:val="bottom"/>
                  <w:hideMark/>
                </w:tcPr>
                <w:p w14:paraId="5A6A9025"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sz w:val="20"/>
                      <w:szCs w:val="20"/>
                    </w:rPr>
                  </w:pPr>
                  <w:r w:rsidRPr="00DF3429">
                    <w:rPr>
                      <w:rFonts w:ascii="Times New Roman" w:eastAsia="Times New Roman" w:hAnsi="Times New Roman" w:cs="Times New Roman"/>
                      <w:sz w:val="20"/>
                      <w:szCs w:val="20"/>
                    </w:rPr>
                    <w:t>0</w:t>
                  </w:r>
                </w:p>
              </w:tc>
              <w:tc>
                <w:tcPr>
                  <w:tcW w:w="1317" w:type="dxa"/>
                  <w:tcBorders>
                    <w:top w:val="nil"/>
                    <w:left w:val="nil"/>
                    <w:bottom w:val="single" w:sz="4" w:space="0" w:color="auto"/>
                    <w:right w:val="single" w:sz="4" w:space="0" w:color="auto"/>
                  </w:tcBorders>
                  <w:shd w:val="clear" w:color="auto" w:fill="auto"/>
                  <w:noWrap/>
                  <w:vAlign w:val="bottom"/>
                  <w:hideMark/>
                </w:tcPr>
                <w:p w14:paraId="4528BD4C"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420 000</w:t>
                  </w:r>
                </w:p>
              </w:tc>
            </w:tr>
            <w:tr w:rsidR="00DF3429" w:rsidRPr="00DF3429" w14:paraId="2511DB4A" w14:textId="77777777" w:rsidTr="00DF3429">
              <w:trPr>
                <w:trHeight w:val="255"/>
              </w:trPr>
              <w:tc>
                <w:tcPr>
                  <w:tcW w:w="1399" w:type="dxa"/>
                  <w:tcBorders>
                    <w:top w:val="nil"/>
                    <w:left w:val="nil"/>
                    <w:bottom w:val="single" w:sz="4" w:space="0" w:color="auto"/>
                    <w:right w:val="single" w:sz="4" w:space="0" w:color="auto"/>
                  </w:tcBorders>
                  <w:shd w:val="clear" w:color="auto" w:fill="auto"/>
                  <w:noWrap/>
                  <w:vAlign w:val="bottom"/>
                  <w:hideMark/>
                </w:tcPr>
                <w:p w14:paraId="70C74CB4"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Pavisam kopā:</w:t>
                  </w:r>
                </w:p>
              </w:tc>
              <w:tc>
                <w:tcPr>
                  <w:tcW w:w="831" w:type="dxa"/>
                  <w:tcBorders>
                    <w:top w:val="nil"/>
                    <w:left w:val="nil"/>
                    <w:bottom w:val="single" w:sz="4" w:space="0" w:color="auto"/>
                    <w:right w:val="single" w:sz="4" w:space="0" w:color="auto"/>
                  </w:tcBorders>
                  <w:shd w:val="clear" w:color="auto" w:fill="auto"/>
                  <w:noWrap/>
                  <w:vAlign w:val="bottom"/>
                  <w:hideMark/>
                </w:tcPr>
                <w:p w14:paraId="28D68BB4"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75</w:t>
                  </w:r>
                </w:p>
              </w:tc>
              <w:tc>
                <w:tcPr>
                  <w:tcW w:w="956" w:type="dxa"/>
                  <w:tcBorders>
                    <w:top w:val="nil"/>
                    <w:left w:val="nil"/>
                    <w:bottom w:val="single" w:sz="4" w:space="0" w:color="auto"/>
                    <w:right w:val="single" w:sz="4" w:space="0" w:color="auto"/>
                  </w:tcBorders>
                  <w:shd w:val="clear" w:color="auto" w:fill="auto"/>
                  <w:noWrap/>
                  <w:vAlign w:val="bottom"/>
                  <w:hideMark/>
                </w:tcPr>
                <w:p w14:paraId="49BA4B09"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530</w:t>
                  </w:r>
                </w:p>
              </w:tc>
              <w:tc>
                <w:tcPr>
                  <w:tcW w:w="777" w:type="dxa"/>
                  <w:tcBorders>
                    <w:top w:val="nil"/>
                    <w:left w:val="nil"/>
                    <w:bottom w:val="single" w:sz="4" w:space="0" w:color="auto"/>
                    <w:right w:val="single" w:sz="4" w:space="0" w:color="auto"/>
                  </w:tcBorders>
                  <w:shd w:val="clear" w:color="auto" w:fill="auto"/>
                  <w:noWrap/>
                  <w:vAlign w:val="bottom"/>
                  <w:hideMark/>
                </w:tcPr>
                <w:p w14:paraId="0ADD7F86" w14:textId="77777777" w:rsidR="00DF3429" w:rsidRPr="00DF3429" w:rsidRDefault="00DF3429" w:rsidP="00123970">
                  <w:pPr>
                    <w:framePr w:hSpace="180" w:wrap="around" w:vAnchor="text" w:hAnchor="margin" w:xAlign="center" w:y="149"/>
                    <w:spacing w:after="0" w:line="240" w:lineRule="auto"/>
                    <w:jc w:val="center"/>
                    <w:rPr>
                      <w:rFonts w:ascii="Times New Roman" w:eastAsia="Times New Roman" w:hAnsi="Times New Roman" w:cs="Times New Roman"/>
                      <w:b/>
                      <w:bCs/>
                      <w:sz w:val="20"/>
                      <w:szCs w:val="20"/>
                    </w:rPr>
                  </w:pPr>
                  <w:r w:rsidRPr="00DF3429">
                    <w:rPr>
                      <w:rFonts w:ascii="Times New Roman" w:eastAsia="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noWrap/>
                  <w:vAlign w:val="bottom"/>
                  <w:hideMark/>
                </w:tcPr>
                <w:p w14:paraId="6E71F6B1" w14:textId="756AB4E7" w:rsidR="00DF3429" w:rsidRPr="00DA3674" w:rsidRDefault="00DF3429" w:rsidP="00123970">
                  <w:pPr>
                    <w:pStyle w:val="ListParagraph"/>
                    <w:framePr w:hSpace="180" w:wrap="around" w:vAnchor="text" w:hAnchor="margin" w:xAlign="center" w:y="149"/>
                    <w:numPr>
                      <w:ilvl w:val="0"/>
                      <w:numId w:val="8"/>
                    </w:numPr>
                    <w:spacing w:after="0" w:line="240" w:lineRule="auto"/>
                    <w:jc w:val="center"/>
                    <w:rPr>
                      <w:rFonts w:ascii="Times New Roman" w:eastAsia="Times New Roman" w:hAnsi="Times New Roman" w:cs="Times New Roman"/>
                      <w:b/>
                      <w:bCs/>
                      <w:sz w:val="20"/>
                      <w:szCs w:val="20"/>
                    </w:rPr>
                  </w:pPr>
                  <w:r w:rsidRPr="00DA3674">
                    <w:rPr>
                      <w:rFonts w:ascii="Times New Roman" w:eastAsia="Times New Roman" w:hAnsi="Times New Roman" w:cs="Times New Roman"/>
                      <w:b/>
                      <w:bCs/>
                      <w:sz w:val="20"/>
                      <w:szCs w:val="20"/>
                    </w:rPr>
                    <w:t>90 000</w:t>
                  </w:r>
                </w:p>
              </w:tc>
            </w:tr>
          </w:tbl>
          <w:p w14:paraId="3DB4C514" w14:textId="3991CF35" w:rsidR="00DA3674" w:rsidRPr="002E0C12" w:rsidRDefault="008106E6" w:rsidP="002E0C12">
            <w:pPr>
              <w:pStyle w:val="NoSpacing"/>
              <w:numPr>
                <w:ilvl w:val="0"/>
                <w:numId w:val="4"/>
              </w:numPr>
              <w:ind w:left="285" w:hanging="142"/>
              <w:jc w:val="both"/>
              <w:rPr>
                <w:rFonts w:ascii="Times New Roman" w:eastAsia="Times New Roman" w:hAnsi="Times New Roman" w:cs="Times New Roman"/>
                <w:sz w:val="24"/>
                <w:szCs w:val="24"/>
              </w:rPr>
            </w:pPr>
            <w:r w:rsidRPr="008106E6">
              <w:rPr>
                <w:rFonts w:ascii="Times New Roman" w:eastAsia="Times New Roman" w:hAnsi="Times New Roman" w:cs="Times New Roman"/>
                <w:sz w:val="24"/>
                <w:szCs w:val="24"/>
              </w:rPr>
              <w:t>Vērtējot slodzes tika ņemts vērā plānoto pasākumu skaits un lielāku slodžu skaitu atbalstījām tām iestādēm, kurām uz plānoti vairāk pasākumi, nepārsniedzot maksimālo slodžu skaitu (2) uz SAM, izņemot CFLA. Tāpat vērtētas iestāžu specifiskās funkcijas, piemēram, kā arī horizontālo prioritāšu aspekts. Vienlaikus iestādēm, kurām ir 1 SAM slodzes plānotas tā, lai būtu iespēja nodrošināt arī aizvietošanu.</w:t>
            </w:r>
            <w:r w:rsidR="002E0C12">
              <w:rPr>
                <w:rFonts w:ascii="Times New Roman" w:eastAsia="Times New Roman" w:hAnsi="Times New Roman" w:cs="Times New Roman"/>
                <w:sz w:val="24"/>
                <w:szCs w:val="24"/>
              </w:rPr>
              <w:t xml:space="preserve"> </w:t>
            </w:r>
            <w:r w:rsidR="00DA3674" w:rsidRPr="002E0C12">
              <w:rPr>
                <w:rFonts w:ascii="Times New Roman" w:eastAsia="Times New Roman" w:hAnsi="Times New Roman" w:cs="Times New Roman"/>
                <w:sz w:val="24"/>
                <w:szCs w:val="24"/>
              </w:rPr>
              <w:t>Pieejamā finansējuma  apjoma pārvērtēšanu plānots veikt 2016. gada vidū.</w:t>
            </w:r>
          </w:p>
          <w:p w14:paraId="6E294E76" w14:textId="39FEF0C4" w:rsidR="005E3EB7" w:rsidRDefault="002E0C12" w:rsidP="00D11600">
            <w:pPr>
              <w:pStyle w:val="naiskr"/>
              <w:numPr>
                <w:ilvl w:val="0"/>
                <w:numId w:val="4"/>
              </w:numPr>
              <w:spacing w:before="0" w:beforeAutospacing="0" w:after="0" w:afterAutospacing="0"/>
              <w:ind w:left="285" w:right="57" w:hanging="142"/>
              <w:jc w:val="both"/>
            </w:pPr>
            <w:r>
              <w:t>1</w:t>
            </w:r>
            <w:r w:rsidR="00FC612C" w:rsidRPr="00FC612C">
              <w:t xml:space="preserve">0.1.2.atbalsta mērķa “Paaugstināt informētību par Kohēzijas politikas fondiem, sniedzot atbalstu informācijas un komunikācijas pasākumiem” ietvaros </w:t>
            </w:r>
            <w:r w:rsidR="00991419">
              <w:t xml:space="preserve">tiek </w:t>
            </w:r>
            <w:r w:rsidR="00FC612C" w:rsidRPr="00FC612C">
              <w:t>finansēt</w:t>
            </w:r>
            <w:r w:rsidR="00991419">
              <w:t>i atlīdzības izdevumi</w:t>
            </w:r>
            <w:r w:rsidR="00FC612C" w:rsidRPr="00FC612C">
              <w:t xml:space="preserve"> darbiniekiem, kas ES fondu 2014.-2020.gada periodā īsteno funkciju</w:t>
            </w:r>
            <w:r w:rsidR="005E3EB7">
              <w:t xml:space="preserve"> - </w:t>
            </w:r>
            <w:r w:rsidR="00FB020F">
              <w:t xml:space="preserve"> nodrošina</w:t>
            </w:r>
            <w:r w:rsidR="00FC612C" w:rsidRPr="00FC612C">
              <w:t xml:space="preserve"> sabiedrību ar informāciju par ES fondu 2014.-2020.gada plānošanas periodu</w:t>
            </w:r>
            <w:r w:rsidR="005E3EB7">
              <w:t xml:space="preserve"> un</w:t>
            </w:r>
            <w:r w:rsidR="00FC612C" w:rsidRPr="00FC612C">
              <w:t xml:space="preserve"> nodrošin</w:t>
            </w:r>
            <w:r w:rsidR="005E3EB7">
              <w:t>a</w:t>
            </w:r>
            <w:r w:rsidR="00FC612C" w:rsidRPr="00FC612C">
              <w:t xml:space="preserve"> publicitāti un atbalstu komunikācijas jautājumos</w:t>
            </w:r>
            <w:r w:rsidR="005E3EB7">
              <w:t xml:space="preserve"> (ir attiecināmi izdevumi visiem 10.1.2. atbalsta mērķa ietvaros esošajiem tehniskās palīdzības finansējuma </w:t>
            </w:r>
            <w:proofErr w:type="spellStart"/>
            <w:r w:rsidR="005E3EB7">
              <w:t>saņēmejiem</w:t>
            </w:r>
            <w:proofErr w:type="spellEnd"/>
            <w:r w:rsidR="005E3EB7">
              <w:t xml:space="preserve">) </w:t>
            </w:r>
            <w:r w:rsidR="00FC612C" w:rsidRPr="00FC612C">
              <w:t xml:space="preserve">, kas </w:t>
            </w:r>
            <w:r w:rsidR="0014085B">
              <w:t>saistīti ar projektu īstenošanu</w:t>
            </w:r>
            <w:r w:rsidR="005E3EB7">
              <w:t>.</w:t>
            </w:r>
            <w:r w:rsidR="0014085B">
              <w:t xml:space="preserve"> </w:t>
            </w:r>
          </w:p>
          <w:p w14:paraId="1E672529" w14:textId="33594576" w:rsidR="00A640B2" w:rsidRDefault="00A640B2" w:rsidP="00D11600">
            <w:pPr>
              <w:pStyle w:val="naiskr"/>
              <w:numPr>
                <w:ilvl w:val="0"/>
                <w:numId w:val="4"/>
              </w:numPr>
              <w:spacing w:before="0" w:beforeAutospacing="0" w:after="0" w:afterAutospacing="0"/>
              <w:ind w:left="285" w:right="57" w:hanging="142"/>
              <w:jc w:val="both"/>
            </w:pPr>
            <w:r>
              <w:lastRenderedPageBreak/>
              <w:t>10.1.2. atbalsta mērķa ietvaros ir attiecināmi arī publicitātes izdevumi, ja tie ir saistīti ar horizontālo prioritāšu īstenošanu.</w:t>
            </w:r>
          </w:p>
          <w:p w14:paraId="4768A709" w14:textId="77777777" w:rsidR="0014085B" w:rsidRPr="00FD2671" w:rsidRDefault="0014085B" w:rsidP="0014085B">
            <w:pPr>
              <w:pStyle w:val="naiskr"/>
              <w:spacing w:before="0" w:beforeAutospacing="0" w:after="0" w:afterAutospacing="0"/>
              <w:ind w:left="777" w:right="57"/>
              <w:jc w:val="both"/>
            </w:pPr>
          </w:p>
          <w:p w14:paraId="5D102707" w14:textId="3FD6E13A" w:rsidR="003F74A9" w:rsidRPr="00FD2671" w:rsidRDefault="00F208BC" w:rsidP="00D11600">
            <w:pPr>
              <w:pStyle w:val="naiskr"/>
              <w:numPr>
                <w:ilvl w:val="0"/>
                <w:numId w:val="2"/>
              </w:numPr>
              <w:spacing w:before="0" w:beforeAutospacing="0" w:after="0" w:afterAutospacing="0"/>
              <w:ind w:left="285" w:right="57" w:hanging="228"/>
              <w:jc w:val="both"/>
            </w:pPr>
            <w:r w:rsidRPr="00FD2671">
              <w:t>Tehniskās palīdzības specifisko atbalsta mērķu sākotnējās ietekmes novērtējuma aspekti</w:t>
            </w:r>
            <w:r w:rsidR="005D3233" w:rsidRPr="00FD2671">
              <w:t>,</w:t>
            </w:r>
            <w:r w:rsidR="001128FC" w:rsidRPr="00FD2671">
              <w:t xml:space="preserve"> negatavojot atsevišķu atbalsta mē</w:t>
            </w:r>
            <w:r w:rsidR="00AC0E03" w:rsidRPr="00FD2671">
              <w:t>r</w:t>
            </w:r>
            <w:r w:rsidR="001128FC" w:rsidRPr="00FD2671">
              <w:t>ķu sākotnējo novērtējumu</w:t>
            </w:r>
            <w:r w:rsidR="005D3233" w:rsidRPr="00FD2671">
              <w:t>,</w:t>
            </w:r>
            <w:r w:rsidRPr="00FD2671">
              <w:t xml:space="preserve"> analizēti pie tehniskās palīdzības M</w:t>
            </w:r>
            <w:r w:rsidR="003C08F2">
              <w:t xml:space="preserve">inistru kabineta </w:t>
            </w:r>
            <w:r w:rsidRPr="00FD2671">
              <w:t xml:space="preserve"> noteikumu  sākotnējās ietekmes novērtējuma ziņojuma </w:t>
            </w:r>
            <w:r w:rsidR="003C08F2">
              <w:t>(anotācija) un Ministru kabineta</w:t>
            </w:r>
            <w:r w:rsidR="001128FC" w:rsidRPr="00FD2671">
              <w:t xml:space="preserve"> noteikumu projekta </w:t>
            </w:r>
            <w:r w:rsidRPr="00FD2671">
              <w:t>sagat</w:t>
            </w:r>
            <w:r w:rsidR="00906A70">
              <w:t>a</w:t>
            </w:r>
            <w:r w:rsidRPr="00FD2671">
              <w:t>vošanas, kas balstīts uz darbības programmā noteiktajiem</w:t>
            </w:r>
            <w:r w:rsidR="00BB3C6E" w:rsidRPr="00FD2671">
              <w:t xml:space="preserve"> principiem,</w:t>
            </w:r>
            <w:r w:rsidRPr="00FD2671">
              <w:t xml:space="preserve"> sasniedzamajie</w:t>
            </w:r>
            <w:r w:rsidR="006E5856" w:rsidRPr="00FD2671">
              <w:t>m mērķiem</w:t>
            </w:r>
            <w:r w:rsidR="00906A70">
              <w:t>,</w:t>
            </w:r>
            <w:r w:rsidR="006E5856" w:rsidRPr="00FD2671">
              <w:t xml:space="preserve"> analizējot ietekmi </w:t>
            </w:r>
            <w:r w:rsidR="003F74A9" w:rsidRPr="00FD2671">
              <w:t>uz:</w:t>
            </w:r>
          </w:p>
          <w:p w14:paraId="5DE713D2" w14:textId="77777777" w:rsidR="003B0C60" w:rsidRPr="00FD2671" w:rsidRDefault="003B0C60" w:rsidP="00F208BC">
            <w:pPr>
              <w:pStyle w:val="naiskr"/>
              <w:spacing w:before="0" w:beforeAutospacing="0" w:after="0" w:afterAutospacing="0"/>
              <w:ind w:right="57"/>
              <w:jc w:val="both"/>
            </w:pPr>
          </w:p>
          <w:p w14:paraId="6F468AB3" w14:textId="47E577AF" w:rsidR="00A14165" w:rsidRPr="00632F0A" w:rsidRDefault="003F74A9" w:rsidP="00632F0A">
            <w:pPr>
              <w:pStyle w:val="NoSpacing"/>
              <w:ind w:left="285"/>
              <w:jc w:val="both"/>
              <w:rPr>
                <w:rFonts w:ascii="Times New Roman" w:hAnsi="Times New Roman" w:cs="Times New Roman"/>
                <w:sz w:val="24"/>
                <w:szCs w:val="24"/>
              </w:rPr>
            </w:pPr>
            <w:r w:rsidRPr="00632F0A">
              <w:rPr>
                <w:rFonts w:ascii="Times New Roman" w:hAnsi="Times New Roman" w:cs="Times New Roman"/>
                <w:b/>
                <w:sz w:val="24"/>
                <w:szCs w:val="24"/>
              </w:rPr>
              <w:t>Makroekonomisko vidi</w:t>
            </w:r>
            <w:r w:rsidRPr="00632F0A">
              <w:rPr>
                <w:rFonts w:ascii="Times New Roman" w:hAnsi="Times New Roman" w:cs="Times New Roman"/>
                <w:sz w:val="24"/>
                <w:szCs w:val="24"/>
              </w:rPr>
              <w:t xml:space="preserve"> </w:t>
            </w:r>
            <w:r w:rsidR="00632F0A">
              <w:rPr>
                <w:rFonts w:ascii="Times New Roman" w:hAnsi="Times New Roman" w:cs="Times New Roman"/>
                <w:sz w:val="24"/>
                <w:szCs w:val="24"/>
              </w:rPr>
              <w:t xml:space="preserve"> - </w:t>
            </w:r>
            <w:r w:rsidR="00ED556C">
              <w:rPr>
                <w:rFonts w:ascii="Times New Roman" w:hAnsi="Times New Roman" w:cs="Times New Roman"/>
                <w:sz w:val="24"/>
                <w:szCs w:val="24"/>
              </w:rPr>
              <w:t xml:space="preserve">ES fondu </w:t>
            </w:r>
            <w:r w:rsidR="00906A70">
              <w:rPr>
                <w:rFonts w:ascii="Times New Roman" w:hAnsi="Times New Roman" w:cs="Times New Roman"/>
                <w:sz w:val="24"/>
                <w:szCs w:val="24"/>
              </w:rPr>
              <w:t>2014.-2020.</w:t>
            </w:r>
            <w:r w:rsidR="00A14165" w:rsidRPr="00632F0A">
              <w:rPr>
                <w:rFonts w:ascii="Times New Roman" w:hAnsi="Times New Roman" w:cs="Times New Roman"/>
                <w:sz w:val="24"/>
                <w:szCs w:val="24"/>
              </w:rPr>
              <w:t>gada plānošanas periodā</w:t>
            </w:r>
            <w:r w:rsidR="00906A70">
              <w:rPr>
                <w:rFonts w:ascii="Times New Roman" w:hAnsi="Times New Roman" w:cs="Times New Roman"/>
                <w:sz w:val="24"/>
                <w:szCs w:val="24"/>
              </w:rPr>
              <w:t>,</w:t>
            </w:r>
            <w:r w:rsidR="007E673B">
              <w:rPr>
                <w:rFonts w:ascii="Times New Roman" w:hAnsi="Times New Roman" w:cs="Times New Roman"/>
                <w:sz w:val="24"/>
                <w:szCs w:val="24"/>
              </w:rPr>
              <w:t xml:space="preserve"> salīdzinot ar esošo plā</w:t>
            </w:r>
            <w:r w:rsidR="00A14165" w:rsidRPr="00632F0A">
              <w:rPr>
                <w:rFonts w:ascii="Times New Roman" w:hAnsi="Times New Roman" w:cs="Times New Roman"/>
                <w:sz w:val="24"/>
                <w:szCs w:val="24"/>
              </w:rPr>
              <w:t>nošanas periodu</w:t>
            </w:r>
            <w:r w:rsidR="00906A70">
              <w:rPr>
                <w:rFonts w:ascii="Times New Roman" w:hAnsi="Times New Roman" w:cs="Times New Roman"/>
                <w:sz w:val="24"/>
                <w:szCs w:val="24"/>
              </w:rPr>
              <w:t>,</w:t>
            </w:r>
            <w:r w:rsidR="00A14165" w:rsidRPr="00632F0A">
              <w:rPr>
                <w:rFonts w:ascii="Times New Roman" w:hAnsi="Times New Roman" w:cs="Times New Roman"/>
                <w:sz w:val="24"/>
                <w:szCs w:val="24"/>
              </w:rPr>
              <w:t xml:space="preserve"> tehniskās palīdzības finansējums ir samazinājies par 0,25% </w:t>
            </w:r>
            <w:r w:rsidR="00632F0A">
              <w:rPr>
                <w:rFonts w:ascii="Times New Roman" w:hAnsi="Times New Roman" w:cs="Times New Roman"/>
                <w:sz w:val="24"/>
                <w:szCs w:val="24"/>
              </w:rPr>
              <w:t>(</w:t>
            </w:r>
            <w:r w:rsidR="00ED556C">
              <w:rPr>
                <w:rFonts w:ascii="Times New Roman" w:hAnsi="Times New Roman" w:cs="Times New Roman"/>
                <w:sz w:val="24"/>
                <w:szCs w:val="24"/>
              </w:rPr>
              <w:t xml:space="preserve">ES fondu </w:t>
            </w:r>
            <w:r w:rsidR="00A14165" w:rsidRPr="00632F0A">
              <w:rPr>
                <w:rFonts w:ascii="Times New Roman" w:hAnsi="Times New Roman" w:cs="Times New Roman"/>
                <w:sz w:val="24"/>
                <w:szCs w:val="24"/>
              </w:rPr>
              <w:t xml:space="preserve">2007.-2013.gada plānošanas periodā tehniskās palīdzības finansējums </w:t>
            </w:r>
            <w:r w:rsidR="005D3233" w:rsidRPr="00632F0A">
              <w:rPr>
                <w:rFonts w:ascii="Times New Roman" w:hAnsi="Times New Roman" w:cs="Times New Roman"/>
                <w:sz w:val="24"/>
                <w:szCs w:val="24"/>
              </w:rPr>
              <w:t xml:space="preserve">bija </w:t>
            </w:r>
            <w:r w:rsidR="00A14165" w:rsidRPr="00632F0A">
              <w:rPr>
                <w:rFonts w:ascii="Times New Roman" w:hAnsi="Times New Roman" w:cs="Times New Roman"/>
                <w:sz w:val="24"/>
                <w:szCs w:val="24"/>
              </w:rPr>
              <w:t>2,5% no kopējā ES fo</w:t>
            </w:r>
            <w:r w:rsidR="00906A70">
              <w:rPr>
                <w:rFonts w:ascii="Times New Roman" w:hAnsi="Times New Roman" w:cs="Times New Roman"/>
                <w:sz w:val="24"/>
                <w:szCs w:val="24"/>
              </w:rPr>
              <w:t xml:space="preserve">ndu piešķīruma, bet </w:t>
            </w:r>
            <w:r w:rsidR="00241207">
              <w:rPr>
                <w:rFonts w:ascii="Times New Roman" w:hAnsi="Times New Roman" w:cs="Times New Roman"/>
                <w:sz w:val="24"/>
                <w:szCs w:val="24"/>
              </w:rPr>
              <w:t xml:space="preserve">ES fondu </w:t>
            </w:r>
            <w:r w:rsidR="00906A70">
              <w:rPr>
                <w:rFonts w:ascii="Times New Roman" w:hAnsi="Times New Roman" w:cs="Times New Roman"/>
                <w:sz w:val="24"/>
                <w:szCs w:val="24"/>
              </w:rPr>
              <w:t>2014.-2020.</w:t>
            </w:r>
            <w:r w:rsidR="00A14165" w:rsidRPr="00632F0A">
              <w:rPr>
                <w:rFonts w:ascii="Times New Roman" w:hAnsi="Times New Roman" w:cs="Times New Roman"/>
                <w:sz w:val="24"/>
                <w:szCs w:val="24"/>
              </w:rPr>
              <w:t xml:space="preserve">gada plānošanas periodā tehniskās palīdzības finansējums </w:t>
            </w:r>
            <w:r w:rsidR="005D3233" w:rsidRPr="00632F0A">
              <w:rPr>
                <w:rFonts w:ascii="Times New Roman" w:hAnsi="Times New Roman" w:cs="Times New Roman"/>
                <w:sz w:val="24"/>
                <w:szCs w:val="24"/>
              </w:rPr>
              <w:t xml:space="preserve">plānots </w:t>
            </w:r>
            <w:r w:rsidR="00A14165" w:rsidRPr="00632F0A">
              <w:rPr>
                <w:rFonts w:ascii="Times New Roman" w:hAnsi="Times New Roman" w:cs="Times New Roman"/>
                <w:sz w:val="24"/>
                <w:szCs w:val="24"/>
              </w:rPr>
              <w:t>2,25% no kopējā ES fondu piešķīruma</w:t>
            </w:r>
            <w:r w:rsidR="00632F0A">
              <w:rPr>
                <w:rFonts w:ascii="Times New Roman" w:hAnsi="Times New Roman" w:cs="Times New Roman"/>
                <w:sz w:val="24"/>
                <w:szCs w:val="24"/>
              </w:rPr>
              <w:t>)</w:t>
            </w:r>
            <w:r w:rsidR="00A14165" w:rsidRPr="00632F0A">
              <w:rPr>
                <w:rFonts w:ascii="Times New Roman" w:hAnsi="Times New Roman" w:cs="Times New Roman"/>
                <w:sz w:val="24"/>
                <w:szCs w:val="24"/>
              </w:rPr>
              <w:t>.</w:t>
            </w:r>
          </w:p>
          <w:p w14:paraId="749CC0FC" w14:textId="492D5947" w:rsidR="00632F0A" w:rsidRDefault="00241207" w:rsidP="00632F0A">
            <w:pPr>
              <w:pStyle w:val="NoSpacing"/>
              <w:ind w:left="285"/>
              <w:jc w:val="both"/>
              <w:rPr>
                <w:rFonts w:ascii="Times New Roman" w:hAnsi="Times New Roman" w:cs="Times New Roman"/>
                <w:sz w:val="24"/>
                <w:szCs w:val="24"/>
              </w:rPr>
            </w:pPr>
            <w:r>
              <w:rPr>
                <w:rFonts w:ascii="Times New Roman" w:hAnsi="Times New Roman" w:cs="Times New Roman"/>
                <w:sz w:val="24"/>
                <w:szCs w:val="24"/>
              </w:rPr>
              <w:t xml:space="preserve">ES fondu </w:t>
            </w:r>
            <w:r w:rsidR="00A14165" w:rsidRPr="00632F0A">
              <w:rPr>
                <w:rFonts w:ascii="Times New Roman" w:hAnsi="Times New Roman" w:cs="Times New Roman"/>
                <w:sz w:val="24"/>
                <w:szCs w:val="24"/>
              </w:rPr>
              <w:t xml:space="preserve">2014.-2020.gada plānošanas perioda vadības un kontroles sistēma veidota, pamatojoties uz Eiropas Savienības Kohēzijas politikas fondu regulu priekšlikumu 2014.–2020.gada plānošanas periodam prasībām, iezīmētajiem virzieniem - uz administratīvā sloga mazināšanu finansējuma saņēmējiem, skaidru funkciju sadalījumu starp ES </w:t>
            </w:r>
            <w:r w:rsidR="00632F0A">
              <w:rPr>
                <w:rFonts w:ascii="Times New Roman" w:hAnsi="Times New Roman" w:cs="Times New Roman"/>
                <w:sz w:val="24"/>
                <w:szCs w:val="24"/>
              </w:rPr>
              <w:t>Kohēzijas</w:t>
            </w:r>
            <w:r w:rsidR="006C67D7">
              <w:rPr>
                <w:rFonts w:ascii="Times New Roman" w:hAnsi="Times New Roman" w:cs="Times New Roman"/>
                <w:sz w:val="24"/>
                <w:szCs w:val="24"/>
              </w:rPr>
              <w:t xml:space="preserve"> politikas (turpmā</w:t>
            </w:r>
            <w:r w:rsidR="00632F0A">
              <w:rPr>
                <w:rFonts w:ascii="Times New Roman" w:hAnsi="Times New Roman" w:cs="Times New Roman"/>
                <w:sz w:val="24"/>
                <w:szCs w:val="24"/>
              </w:rPr>
              <w:t xml:space="preserve">k – KP) </w:t>
            </w:r>
            <w:r w:rsidR="00A14165" w:rsidRPr="00632F0A">
              <w:rPr>
                <w:rFonts w:ascii="Times New Roman" w:hAnsi="Times New Roman" w:cs="Times New Roman"/>
                <w:sz w:val="24"/>
                <w:szCs w:val="24"/>
              </w:rPr>
              <w:t xml:space="preserve">fondu administrēšanā esošajām iestādēm, orientēšanos uz rezultātu, skaidras risku pārvaldības stratēģijas esamību, t.sk. korupcijas apkarošanas pasākumu izvirzīšanu un uz rezultātu balstītu novērtēšanas sistēmu. </w:t>
            </w:r>
          </w:p>
          <w:p w14:paraId="7C9FA32D" w14:textId="6BC6D76D" w:rsidR="00632F0A" w:rsidRDefault="00A14165" w:rsidP="00632F0A">
            <w:pPr>
              <w:pStyle w:val="NoSpacing"/>
              <w:ind w:left="285"/>
              <w:jc w:val="both"/>
              <w:rPr>
                <w:rFonts w:ascii="Times New Roman" w:hAnsi="Times New Roman" w:cs="Times New Roman"/>
                <w:sz w:val="24"/>
                <w:szCs w:val="24"/>
              </w:rPr>
            </w:pPr>
            <w:r w:rsidRPr="00632F0A">
              <w:rPr>
                <w:rFonts w:ascii="Times New Roman" w:hAnsi="Times New Roman" w:cs="Times New Roman"/>
                <w:sz w:val="24"/>
                <w:szCs w:val="24"/>
              </w:rPr>
              <w:t xml:space="preserve">Ņemot vērā, ka </w:t>
            </w:r>
            <w:r w:rsidR="00241207">
              <w:rPr>
                <w:rFonts w:ascii="Times New Roman" w:hAnsi="Times New Roman" w:cs="Times New Roman"/>
                <w:sz w:val="24"/>
                <w:szCs w:val="24"/>
              </w:rPr>
              <w:t xml:space="preserve">ES </w:t>
            </w:r>
            <w:r w:rsidRPr="00632F0A">
              <w:rPr>
                <w:rFonts w:ascii="Times New Roman" w:hAnsi="Times New Roman" w:cs="Times New Roman"/>
                <w:sz w:val="24"/>
                <w:szCs w:val="24"/>
              </w:rPr>
              <w:t xml:space="preserve">2014.–2020.gada plānošanas perioda vadības un kontroles sistēmas mērķis ir panākt koordinētāku un koncentrētāku ES KP fondu plānošanas un ieviešanas ietvaru, t.sk. panākot funkciju nedublēšanos, skaidrāk nodalot plānošanas, ieviešanas un uzraudzības funkcijas, tiek plānots precīzs vadošās iestādes deleģēto funkciju dalījums starp ES KP fondu administrēšanā iesaistītajām institūcijām – vadošo iestādi, atbildīgajām iestādēm un sadarbības iestādi.  </w:t>
            </w:r>
          </w:p>
          <w:p w14:paraId="32300BE7" w14:textId="1343E0B9" w:rsidR="007E376D" w:rsidRPr="00632F0A" w:rsidRDefault="00E62D69" w:rsidP="00632F0A">
            <w:pPr>
              <w:pStyle w:val="NoSpacing"/>
              <w:ind w:left="285"/>
              <w:jc w:val="both"/>
              <w:rPr>
                <w:rFonts w:ascii="Times New Roman" w:hAnsi="Times New Roman" w:cs="Times New Roman"/>
                <w:sz w:val="24"/>
                <w:szCs w:val="24"/>
              </w:rPr>
            </w:pPr>
            <w:r w:rsidRPr="00632F0A">
              <w:rPr>
                <w:rFonts w:ascii="Times New Roman" w:hAnsi="Times New Roman" w:cs="Times New Roman"/>
                <w:sz w:val="24"/>
                <w:szCs w:val="24"/>
              </w:rPr>
              <w:t>ES</w:t>
            </w:r>
            <w:r w:rsidR="007E376D" w:rsidRPr="00632F0A">
              <w:rPr>
                <w:rFonts w:ascii="Times New Roman" w:hAnsi="Times New Roman" w:cs="Times New Roman"/>
                <w:sz w:val="24"/>
                <w:szCs w:val="24"/>
              </w:rPr>
              <w:t xml:space="preserve"> fondu administrēšanu nodrošinās šādas iesaistītās institūcijas:</w:t>
            </w:r>
          </w:p>
          <w:p w14:paraId="078826BE" w14:textId="77777777" w:rsidR="00CC3519" w:rsidRDefault="007E376D" w:rsidP="00CC3519">
            <w:pPr>
              <w:pStyle w:val="NoSpacing"/>
              <w:numPr>
                <w:ilvl w:val="0"/>
                <w:numId w:val="4"/>
              </w:numPr>
              <w:jc w:val="both"/>
              <w:rPr>
                <w:rFonts w:ascii="Times New Roman" w:hAnsi="Times New Roman" w:cs="Times New Roman"/>
                <w:sz w:val="24"/>
                <w:szCs w:val="24"/>
              </w:rPr>
            </w:pPr>
            <w:r w:rsidRPr="00632F0A">
              <w:rPr>
                <w:rFonts w:ascii="Times New Roman" w:hAnsi="Times New Roman" w:cs="Times New Roman"/>
                <w:i/>
                <w:sz w:val="24"/>
                <w:szCs w:val="24"/>
                <w:u w:val="single"/>
              </w:rPr>
              <w:t>vadošā iestāde</w:t>
            </w:r>
            <w:r w:rsidRPr="00632F0A">
              <w:rPr>
                <w:rFonts w:ascii="Times New Roman" w:hAnsi="Times New Roman" w:cs="Times New Roman"/>
                <w:sz w:val="24"/>
                <w:szCs w:val="24"/>
              </w:rPr>
              <w:t>, kuras funkcijas pilda Finanšu ministrija;</w:t>
            </w:r>
          </w:p>
          <w:p w14:paraId="6FA227C2" w14:textId="0DA9A795" w:rsidR="00CC3519" w:rsidRDefault="007E376D" w:rsidP="00632F0A">
            <w:pPr>
              <w:pStyle w:val="NoSpacing"/>
              <w:numPr>
                <w:ilvl w:val="0"/>
                <w:numId w:val="4"/>
              </w:numPr>
              <w:jc w:val="both"/>
              <w:rPr>
                <w:rFonts w:ascii="Times New Roman" w:hAnsi="Times New Roman" w:cs="Times New Roman"/>
                <w:sz w:val="24"/>
                <w:szCs w:val="24"/>
              </w:rPr>
            </w:pPr>
            <w:r w:rsidRPr="00CC3519">
              <w:rPr>
                <w:rFonts w:ascii="Times New Roman" w:hAnsi="Times New Roman" w:cs="Times New Roman"/>
                <w:i/>
                <w:sz w:val="24"/>
                <w:szCs w:val="24"/>
                <w:u w:val="single"/>
              </w:rPr>
              <w:lastRenderedPageBreak/>
              <w:t>atbildīgās iestādes</w:t>
            </w:r>
            <w:r w:rsidRPr="00CC3519">
              <w:rPr>
                <w:rFonts w:ascii="Times New Roman" w:hAnsi="Times New Roman" w:cs="Times New Roman"/>
                <w:sz w:val="24"/>
                <w:szCs w:val="24"/>
              </w:rPr>
              <w:t>, kuru funkcijas veic desmit iestādes, t.i. Ekonomikas ministrija, Izglītības un zinātnes ministrija, Kultūras ministrija, Labklājības ministrija, Satiksmes ministrija, Tieslietu ministrija, Valsts kanceleja, Veselības ministrija, Vides aizsardzības un reģionālās attīstības ministrija un Zemkopības ministrija atbilstoši specifiskajiem atbalsta mērķiem, kuri norādīti ES KP fondu darbības progra</w:t>
            </w:r>
            <w:r w:rsidR="00906A70">
              <w:rPr>
                <w:rFonts w:ascii="Times New Roman" w:hAnsi="Times New Roman" w:cs="Times New Roman"/>
                <w:sz w:val="24"/>
                <w:szCs w:val="24"/>
              </w:rPr>
              <w:t>mmā „Izaugsme un nodarbinātība”</w:t>
            </w:r>
            <w:r w:rsidRPr="00CC3519">
              <w:rPr>
                <w:rFonts w:ascii="Times New Roman" w:hAnsi="Times New Roman" w:cs="Times New Roman"/>
                <w:sz w:val="24"/>
                <w:szCs w:val="24"/>
              </w:rPr>
              <w:t>;</w:t>
            </w:r>
          </w:p>
          <w:p w14:paraId="3584F783" w14:textId="5C9082D0" w:rsidR="00CC3519" w:rsidRDefault="007E376D" w:rsidP="00632F0A">
            <w:pPr>
              <w:pStyle w:val="NoSpacing"/>
              <w:numPr>
                <w:ilvl w:val="0"/>
                <w:numId w:val="4"/>
              </w:numPr>
              <w:jc w:val="both"/>
              <w:rPr>
                <w:rFonts w:ascii="Times New Roman" w:hAnsi="Times New Roman" w:cs="Times New Roman"/>
                <w:sz w:val="24"/>
                <w:szCs w:val="24"/>
              </w:rPr>
            </w:pPr>
            <w:r w:rsidRPr="00CC3519">
              <w:rPr>
                <w:rFonts w:ascii="Times New Roman" w:hAnsi="Times New Roman" w:cs="Times New Roman"/>
                <w:i/>
                <w:sz w:val="24"/>
                <w:szCs w:val="24"/>
                <w:u w:val="single"/>
              </w:rPr>
              <w:t>sadarbības iestāde</w:t>
            </w:r>
            <w:r w:rsidRPr="00CC3519">
              <w:rPr>
                <w:rFonts w:ascii="Times New Roman" w:hAnsi="Times New Roman" w:cs="Times New Roman"/>
                <w:sz w:val="24"/>
                <w:szCs w:val="24"/>
              </w:rPr>
              <w:t xml:space="preserve">, kuras funkcijas pilda </w:t>
            </w:r>
            <w:r w:rsidR="00CC3519">
              <w:rPr>
                <w:rFonts w:ascii="Times New Roman" w:hAnsi="Times New Roman" w:cs="Times New Roman"/>
                <w:sz w:val="24"/>
                <w:szCs w:val="24"/>
              </w:rPr>
              <w:t>CFLA</w:t>
            </w:r>
            <w:r w:rsidR="006C67D7">
              <w:rPr>
                <w:rFonts w:ascii="Times New Roman" w:hAnsi="Times New Roman" w:cs="Times New Roman"/>
                <w:sz w:val="24"/>
                <w:szCs w:val="24"/>
              </w:rPr>
              <w:t>;</w:t>
            </w:r>
          </w:p>
          <w:p w14:paraId="05515D0A" w14:textId="77777777" w:rsidR="00CC3519" w:rsidRDefault="007E376D" w:rsidP="00632F0A">
            <w:pPr>
              <w:pStyle w:val="NoSpacing"/>
              <w:numPr>
                <w:ilvl w:val="0"/>
                <w:numId w:val="4"/>
              </w:numPr>
              <w:jc w:val="both"/>
              <w:rPr>
                <w:rFonts w:ascii="Times New Roman" w:hAnsi="Times New Roman" w:cs="Times New Roman"/>
                <w:sz w:val="24"/>
                <w:szCs w:val="24"/>
              </w:rPr>
            </w:pPr>
            <w:r w:rsidRPr="00CC3519">
              <w:rPr>
                <w:rFonts w:ascii="Times New Roman" w:hAnsi="Times New Roman" w:cs="Times New Roman"/>
                <w:i/>
                <w:sz w:val="24"/>
                <w:szCs w:val="24"/>
                <w:u w:val="single"/>
              </w:rPr>
              <w:t>revīzijas iestāde</w:t>
            </w:r>
            <w:r w:rsidRPr="00CC3519">
              <w:rPr>
                <w:rFonts w:ascii="Times New Roman" w:hAnsi="Times New Roman" w:cs="Times New Roman"/>
                <w:sz w:val="24"/>
                <w:szCs w:val="24"/>
              </w:rPr>
              <w:t>, kuras funkcijas pilda Finanšu ministrija un kas ir funkcionāli neatkarīga struktūrvienība, t.i. nodalīta no vadošās iestādes un citām Finanšu ministrijas funkcijām.</w:t>
            </w:r>
          </w:p>
          <w:p w14:paraId="02E49F94" w14:textId="77777777" w:rsidR="00CC3519" w:rsidRDefault="007E376D" w:rsidP="00632F0A">
            <w:pPr>
              <w:pStyle w:val="NoSpacing"/>
              <w:numPr>
                <w:ilvl w:val="0"/>
                <w:numId w:val="4"/>
              </w:numPr>
              <w:jc w:val="both"/>
              <w:rPr>
                <w:rFonts w:ascii="Times New Roman" w:hAnsi="Times New Roman" w:cs="Times New Roman"/>
                <w:sz w:val="24"/>
                <w:szCs w:val="24"/>
              </w:rPr>
            </w:pPr>
            <w:r w:rsidRPr="00CC3519">
              <w:rPr>
                <w:rFonts w:ascii="Times New Roman" w:hAnsi="Times New Roman" w:cs="Times New Roman"/>
                <w:i/>
                <w:sz w:val="24"/>
                <w:szCs w:val="24"/>
                <w:u w:val="single"/>
              </w:rPr>
              <w:t>sertifikācijas iestāde</w:t>
            </w:r>
            <w:r w:rsidRPr="00CC3519">
              <w:rPr>
                <w:rFonts w:ascii="Times New Roman" w:hAnsi="Times New Roman" w:cs="Times New Roman"/>
                <w:sz w:val="24"/>
                <w:szCs w:val="24"/>
              </w:rPr>
              <w:t>, kuras funkcijas pilda Valsts kase;</w:t>
            </w:r>
          </w:p>
          <w:p w14:paraId="26A49F64" w14:textId="17CAAAEA" w:rsidR="003F74A9" w:rsidRPr="00CC3519" w:rsidRDefault="007E376D" w:rsidP="00632F0A">
            <w:pPr>
              <w:pStyle w:val="NoSpacing"/>
              <w:numPr>
                <w:ilvl w:val="0"/>
                <w:numId w:val="4"/>
              </w:numPr>
              <w:jc w:val="both"/>
              <w:rPr>
                <w:rFonts w:ascii="Times New Roman" w:hAnsi="Times New Roman" w:cs="Times New Roman"/>
                <w:sz w:val="24"/>
                <w:szCs w:val="24"/>
              </w:rPr>
            </w:pPr>
            <w:r w:rsidRPr="00CC3519">
              <w:rPr>
                <w:rFonts w:ascii="Times New Roman" w:hAnsi="Times New Roman" w:cs="Times New Roman"/>
                <w:i/>
                <w:sz w:val="24"/>
                <w:szCs w:val="24"/>
                <w:u w:val="single"/>
              </w:rPr>
              <w:t>uzraudzības komiteja (UK)</w:t>
            </w:r>
            <w:r w:rsidRPr="00CC3519">
              <w:rPr>
                <w:rFonts w:ascii="Times New Roman" w:hAnsi="Times New Roman" w:cs="Times New Roman"/>
                <w:sz w:val="24"/>
                <w:szCs w:val="24"/>
              </w:rPr>
              <w:t>, kura izveidota, lai pārraudzītu ES KP fondu ieviešanas gaitu un kurā tiek iesaistīti pārstāvji gan no publiskās pārvaldes institūcijām un plānošanas reģioniem, gan sociālie un sadarbības partneri, biedrību un nodibinājumu pārstāvji.</w:t>
            </w:r>
          </w:p>
          <w:p w14:paraId="6A6D27D6" w14:textId="77777777" w:rsidR="00BE66B1" w:rsidRPr="00632F0A" w:rsidRDefault="00BE66B1" w:rsidP="00632F0A">
            <w:pPr>
              <w:pStyle w:val="NoSpacing"/>
              <w:jc w:val="both"/>
              <w:rPr>
                <w:rFonts w:ascii="Times New Roman" w:eastAsia="Times New Roman" w:hAnsi="Times New Roman" w:cs="Times New Roman"/>
                <w:sz w:val="24"/>
                <w:szCs w:val="24"/>
              </w:rPr>
            </w:pPr>
          </w:p>
          <w:p w14:paraId="660242BA" w14:textId="77777777" w:rsidR="00967D9D" w:rsidRDefault="00CC3519" w:rsidP="00967D9D">
            <w:pPr>
              <w:pStyle w:val="naiskr"/>
              <w:spacing w:before="0" w:beforeAutospacing="0" w:after="0" w:afterAutospacing="0"/>
              <w:ind w:left="285" w:right="57"/>
              <w:jc w:val="both"/>
            </w:pPr>
            <w:r>
              <w:rPr>
                <w:b/>
              </w:rPr>
              <w:t>Uzņēmējdarbība</w:t>
            </w:r>
            <w:r w:rsidR="004B639E" w:rsidRPr="00FD2671">
              <w:t xml:space="preserve"> – </w:t>
            </w:r>
            <w:r w:rsidR="00283726" w:rsidRPr="00FD2671">
              <w:t xml:space="preserve"> E</w:t>
            </w:r>
            <w:r w:rsidR="00E0039C">
              <w:t xml:space="preserve">iropas </w:t>
            </w:r>
            <w:r w:rsidR="00283726" w:rsidRPr="00FD2671">
              <w:t>S</w:t>
            </w:r>
            <w:r w:rsidR="00E0039C">
              <w:t>ociālā fonda</w:t>
            </w:r>
            <w:r w:rsidR="00283726" w:rsidRPr="00FD2671">
              <w:t xml:space="preserve"> finansētajā pētījumā „Latvijas konkurētspējas novērtējums 2011”, ko veica Rīgas Ekonomikas augstskola, identificēti un analizēti vairāk nekā 100 Latvijas konkurētspējas indikatoru, sākot ar rezultātiem labklājības jomā un beidzot ar starpposma rādītājiem un konkurētspējas pamatiem. Kopaina raksturo sabiedrību, kas pastāvīgi nespēj sasniegt savu potenciālu – pašreizējais labklājības līmenis ir viens no sliktākajiem ES, un konkurētspējas </w:t>
            </w:r>
            <w:proofErr w:type="spellStart"/>
            <w:r w:rsidR="00283726" w:rsidRPr="00FD2671">
              <w:t>pamatrādītāji</w:t>
            </w:r>
            <w:proofErr w:type="spellEnd"/>
            <w:r w:rsidR="00283726" w:rsidRPr="00FD2671">
              <w:t xml:space="preserve"> liecina par trūkumiem, kas saglabājušies daudzu gadu laikā. Kā relatīvi stipra joma ir atzīmēta Latvijas transporta un loģistikas infrastruktūra. Pētījumā atzīts, ka valstij maksimāla efekta panākšanai jāorientējas uz ierobežotu prioritāšu skaitu. Viena no trim prioritātēm minēta transporta infrastruktūras uzlabošana, kas uzlabos sniegumu citās jomās gan ietekmējošos faktoru, gan labklājības rādītāju jomā. Īpaši norādīta Latvijas atpalicība ceļu kvalitātes jomā, kas ietekmē starptautiskos tīklus un, daudz svarīgāk, preču un iedzīvotāju mobilitāti Latvijas teritorijā. Kopumā transporta infrastruktūra ietekmē visu tautsaimniecības sektoru produktivitāti, tādējādi investīcijām infrastruktūrā būtu liela </w:t>
            </w:r>
            <w:proofErr w:type="spellStart"/>
            <w:r w:rsidR="00283726" w:rsidRPr="00FD2671">
              <w:t>atdeve</w:t>
            </w:r>
            <w:proofErr w:type="spellEnd"/>
            <w:r w:rsidR="00283726" w:rsidRPr="00FD2671">
              <w:t xml:space="preserve"> konkurētspējas palielināšanā.</w:t>
            </w:r>
          </w:p>
          <w:p w14:paraId="09418241" w14:textId="77777777" w:rsidR="00967D9D" w:rsidRDefault="00967D9D" w:rsidP="00967D9D">
            <w:pPr>
              <w:pStyle w:val="naiskr"/>
              <w:spacing w:before="0" w:beforeAutospacing="0" w:after="0" w:afterAutospacing="0"/>
              <w:ind w:left="285" w:right="57"/>
              <w:jc w:val="both"/>
              <w:rPr>
                <w:b/>
              </w:rPr>
            </w:pPr>
          </w:p>
          <w:p w14:paraId="437BF5ED" w14:textId="6E8229E8" w:rsidR="006B5D1F" w:rsidRDefault="00967D9D" w:rsidP="006B5D1F">
            <w:pPr>
              <w:pStyle w:val="naiskr"/>
              <w:spacing w:before="0" w:beforeAutospacing="0" w:after="0" w:afterAutospacing="0"/>
              <w:ind w:left="285" w:right="57"/>
              <w:jc w:val="both"/>
            </w:pPr>
            <w:r>
              <w:rPr>
                <w:b/>
              </w:rPr>
              <w:lastRenderedPageBreak/>
              <w:t>Administratīvās procedūras un to izmaksas</w:t>
            </w:r>
            <w:r w:rsidR="002308BB" w:rsidRPr="00967D9D">
              <w:t xml:space="preserve"> - </w:t>
            </w:r>
            <w:r w:rsidR="004B639E" w:rsidRPr="00967D9D">
              <w:t xml:space="preserve">Administratīvo slogu finansējuma saņēmējiem plānots mazināt, veidojot optimizētu institucionālo sistēmu un lēmumu pieņemšanas procesu, novēršot funkciju dublēšanos iestādēm un veidojot efektīvāku kontroļu un auditu apjomu Eiropas Savienības </w:t>
            </w:r>
            <w:r w:rsidR="00B53607">
              <w:t>KP</w:t>
            </w:r>
            <w:r w:rsidR="006A0835">
              <w:t xml:space="preserve"> fondu </w:t>
            </w:r>
            <w:r w:rsidR="004B639E" w:rsidRPr="00967D9D">
              <w:t>ieviešanā. Tāpat tiek plānots nodrošināt pāreju uz sadarbību starp ES fondu iestādēm un finansējuma saņēmējiem elektroniskajā vidē, nodrošinot finansējuma saņēmējiem vienotu elektronisko resursu projektu pieteikšanai un ieviešanas dokumentācijas iesniegšanai.</w:t>
            </w:r>
            <w:r w:rsidR="002308BB" w:rsidRPr="00967D9D">
              <w:t xml:space="preserve"> Ieviešot</w:t>
            </w:r>
            <w:r w:rsidR="004B639E" w:rsidRPr="00967D9D">
              <w:t xml:space="preserve"> vienas pieturas aģentūras principu</w:t>
            </w:r>
            <w:r w:rsidR="00CE6D18" w:rsidRPr="00967D9D">
              <w:t>,</w:t>
            </w:r>
            <w:r w:rsidR="004B639E" w:rsidRPr="00967D9D">
              <w:t xml:space="preserve"> </w:t>
            </w:r>
            <w:r w:rsidR="002308BB" w:rsidRPr="00967D9D">
              <w:t>ti</w:t>
            </w:r>
            <w:r w:rsidR="00CE6D18" w:rsidRPr="00967D9D">
              <w:t>e</w:t>
            </w:r>
            <w:r w:rsidR="002308BB" w:rsidRPr="00967D9D">
              <w:t>k</w:t>
            </w:r>
            <w:r w:rsidR="004B639E" w:rsidRPr="00967D9D">
              <w:t xml:space="preserve"> nodrošināt</w:t>
            </w:r>
            <w:r w:rsidR="002308BB" w:rsidRPr="00967D9D">
              <w:t>s</w:t>
            </w:r>
            <w:r w:rsidR="00717AFF">
              <w:t xml:space="preserve">, ka </w:t>
            </w:r>
            <w:r w:rsidR="00241207">
              <w:t xml:space="preserve">Es fondu </w:t>
            </w:r>
            <w:r w:rsidR="00717AFF">
              <w:t>2014.-2020.</w:t>
            </w:r>
            <w:r w:rsidR="004B639E" w:rsidRPr="00967D9D">
              <w:t>gada periodā ar visiem E</w:t>
            </w:r>
            <w:r w:rsidR="006A0835">
              <w:t xml:space="preserve">iropas </w:t>
            </w:r>
            <w:r w:rsidR="004B639E" w:rsidRPr="00967D9D">
              <w:t>R</w:t>
            </w:r>
            <w:r w:rsidR="006A0835">
              <w:t>eģionālās attīstības fonda</w:t>
            </w:r>
            <w:r w:rsidR="004B639E" w:rsidRPr="00967D9D">
              <w:t>, E</w:t>
            </w:r>
            <w:r w:rsidR="006A0835">
              <w:t xml:space="preserve">iropas </w:t>
            </w:r>
            <w:r w:rsidR="004B639E" w:rsidRPr="00967D9D">
              <w:t>S</w:t>
            </w:r>
            <w:r w:rsidR="006A0835">
              <w:t>ociālā fonda</w:t>
            </w:r>
            <w:r w:rsidR="004B639E" w:rsidRPr="00967D9D">
              <w:t xml:space="preserve"> un K</w:t>
            </w:r>
            <w:r w:rsidR="006A0835">
              <w:t>ohēzijas fonda</w:t>
            </w:r>
            <w:r w:rsidR="004B639E" w:rsidRPr="00967D9D">
              <w:t xml:space="preserve"> klientiem strādās viena aģentūra. Tādējādi finansējuma saņēmējiem tiks mazināts administratīvais slogs un tiks  nodrošināta vienota pieeja projektu iesniedzējiem. Vienas pieturas aģentūras funkcijas veiks </w:t>
            </w:r>
            <w:r w:rsidR="005C0486">
              <w:t>CFLA</w:t>
            </w:r>
            <w:r w:rsidR="004B639E" w:rsidRPr="00967D9D">
              <w:t>, ņemot vērā tās ilggadējo pieredzi darbā ar ES fondu projektiem dažādās nozarēs, kā arī citu ārvalstu finanšu instrumentu piešķirto līdzekļu administrēšanu.</w:t>
            </w:r>
            <w:r w:rsidR="002308BB" w:rsidRPr="00967D9D">
              <w:t xml:space="preserve"> </w:t>
            </w:r>
            <w:r w:rsidR="004B639E" w:rsidRPr="00967D9D">
              <w:t xml:space="preserve">Lai nodrošinātu specifisko zināšanu, kompetenču un izveidotās kapacitātes un cilvēkresursu saglabāšanu, kā arī nodrošinātu esošā perioda investīciju veiksmīgu pabeigšanu un rezultātu uzturēšanu, </w:t>
            </w:r>
            <w:r w:rsidR="002308BB" w:rsidRPr="00967D9D">
              <w:t>ir</w:t>
            </w:r>
            <w:r w:rsidR="004B639E" w:rsidRPr="00967D9D">
              <w:t xml:space="preserve"> izstrādāts rīcības plāns pakāpeniskai jaunās institucionālās sistēmas ieviešanai un kompetenču pārņemšanai. Tikmēr</w:t>
            </w:r>
            <w:r w:rsidR="00241207">
              <w:t xml:space="preserve"> ES fondu </w:t>
            </w:r>
            <w:r w:rsidR="00717AFF">
              <w:t xml:space="preserve"> 2007.-2013.</w:t>
            </w:r>
            <w:r w:rsidR="004B639E" w:rsidRPr="00967D9D">
              <w:t>gada plānošanas perioda aktivitāšu pabeigšana tiks veikta esošās ieviešanas sistēmas ietvaros.</w:t>
            </w:r>
            <w:r w:rsidR="00227A3B" w:rsidRPr="00967D9D">
              <w:t xml:space="preserve"> Atbildību par plānošanas dokumentos noteikto ES fondu atbalsta mērķu sasniegšanas nosacījumu izstrādi, sagaidāmo rezultātu definēšanu un projektu vērtēšanas kritērijiem, līdzīgi kā līdz šim, </w:t>
            </w:r>
            <w:r w:rsidR="00CE6D18" w:rsidRPr="00967D9D">
              <w:t>veiks</w:t>
            </w:r>
            <w:r w:rsidR="00227A3B" w:rsidRPr="00967D9D">
              <w:t xml:space="preserve"> atbildīg</w:t>
            </w:r>
            <w:r w:rsidR="00CE6D18" w:rsidRPr="00967D9D">
              <w:t xml:space="preserve">ās </w:t>
            </w:r>
            <w:r w:rsidR="00227A3B" w:rsidRPr="00967D9D">
              <w:t>nozaru ministrij</w:t>
            </w:r>
            <w:r w:rsidR="00CE6D18" w:rsidRPr="00967D9D">
              <w:t>as</w:t>
            </w:r>
            <w:r w:rsidR="00227A3B" w:rsidRPr="00967D9D">
              <w:t>. Esošajā plānošanas periodā šīs funkcijas veic 7 nozaru ministrijas un Valsts Kanceleja. Vadošās iestādes un Revīzijas iestādes funkcijas nemainīgi veiks Finanšu ministrija.</w:t>
            </w:r>
          </w:p>
          <w:p w14:paraId="733280F6" w14:textId="77777777" w:rsidR="006B5D1F" w:rsidRDefault="006B5D1F" w:rsidP="006B5D1F">
            <w:pPr>
              <w:pStyle w:val="naiskr"/>
              <w:spacing w:before="0" w:beforeAutospacing="0" w:after="0" w:afterAutospacing="0"/>
              <w:ind w:left="285" w:right="57"/>
              <w:jc w:val="both"/>
            </w:pPr>
          </w:p>
          <w:p w14:paraId="665778EB" w14:textId="77777777" w:rsidR="006B5D1F" w:rsidRDefault="006B07EE" w:rsidP="006B5D1F">
            <w:pPr>
              <w:pStyle w:val="naiskr"/>
              <w:spacing w:before="0" w:beforeAutospacing="0" w:after="0" w:afterAutospacing="0"/>
              <w:ind w:left="285" w:right="57"/>
              <w:jc w:val="both"/>
              <w:rPr>
                <w:b/>
              </w:rPr>
            </w:pPr>
            <w:r w:rsidRPr="00FD2671">
              <w:rPr>
                <w:b/>
              </w:rPr>
              <w:t>S</w:t>
            </w:r>
            <w:r w:rsidR="006B5D1F">
              <w:rPr>
                <w:b/>
              </w:rPr>
              <w:t>ociālā ietekme – nav attiecināms</w:t>
            </w:r>
          </w:p>
          <w:p w14:paraId="6C442760" w14:textId="77777777" w:rsidR="006B5D1F" w:rsidRDefault="006B07EE" w:rsidP="006B5D1F">
            <w:pPr>
              <w:pStyle w:val="naiskr"/>
              <w:spacing w:before="0" w:beforeAutospacing="0" w:after="0" w:afterAutospacing="0"/>
              <w:ind w:left="285" w:right="57"/>
              <w:jc w:val="both"/>
              <w:rPr>
                <w:b/>
              </w:rPr>
            </w:pPr>
            <w:r w:rsidRPr="00FD2671">
              <w:rPr>
                <w:b/>
              </w:rPr>
              <w:t xml:space="preserve">Ietekme uz vidi - </w:t>
            </w:r>
            <w:r w:rsidRPr="00FD2671">
              <w:t xml:space="preserve"> </w:t>
            </w:r>
            <w:r w:rsidRPr="00FD2671">
              <w:rPr>
                <w:b/>
              </w:rPr>
              <w:t>nav attiecināms</w:t>
            </w:r>
          </w:p>
          <w:p w14:paraId="6B119FEA" w14:textId="77777777" w:rsidR="006B5D1F" w:rsidRDefault="006B5D1F" w:rsidP="006B5D1F">
            <w:pPr>
              <w:pStyle w:val="naiskr"/>
              <w:spacing w:before="0" w:beforeAutospacing="0" w:after="0" w:afterAutospacing="0"/>
              <w:ind w:left="285" w:right="57"/>
              <w:jc w:val="both"/>
              <w:rPr>
                <w:b/>
              </w:rPr>
            </w:pPr>
          </w:p>
          <w:p w14:paraId="0A0F571E" w14:textId="15DF2AAF" w:rsidR="0095461A" w:rsidRDefault="006B07EE" w:rsidP="0095461A">
            <w:pPr>
              <w:pStyle w:val="naiskr"/>
              <w:spacing w:before="0" w:beforeAutospacing="0" w:after="0" w:afterAutospacing="0"/>
              <w:ind w:left="285" w:right="57"/>
              <w:jc w:val="both"/>
              <w:rPr>
                <w:b/>
              </w:rPr>
            </w:pPr>
            <w:r w:rsidRPr="006B5D1F">
              <w:rPr>
                <w:b/>
              </w:rPr>
              <w:t xml:space="preserve">Fiskālā ietekme </w:t>
            </w:r>
            <w:r w:rsidR="00D60D8B" w:rsidRPr="006B5D1F">
              <w:t>–</w:t>
            </w:r>
            <w:r w:rsidRPr="006B5D1F">
              <w:t xml:space="preserve"> </w:t>
            </w:r>
            <w:r w:rsidR="00AA5DE6" w:rsidRPr="006B5D1F">
              <w:t>Līdzīgi kā 2007.-2013.gada plānošanas periodā</w:t>
            </w:r>
            <w:r w:rsidR="00CE6D18" w:rsidRPr="006B5D1F">
              <w:t>,</w:t>
            </w:r>
            <w:r w:rsidR="00AA5DE6" w:rsidRPr="006B5D1F">
              <w:t xml:space="preserve"> vadošā iestāde centralizēti nodrošinās ES KP fondu TP vadību un tās īstenošanas efektivitāti, t.sk. izstrādājot attiecīgu normatīvo regulējumu. T</w:t>
            </w:r>
            <w:r w:rsidR="00717AFF">
              <w:t>ehnisk</w:t>
            </w:r>
            <w:r w:rsidR="006B5D1F">
              <w:t>ās palīdzības</w:t>
            </w:r>
            <w:r w:rsidR="00AA5DE6" w:rsidRPr="006B5D1F">
              <w:t xml:space="preserve"> finansējums </w:t>
            </w:r>
            <w:r w:rsidR="00717AFF">
              <w:t xml:space="preserve">                       </w:t>
            </w:r>
            <w:r w:rsidR="00AA5DE6" w:rsidRPr="006B5D1F">
              <w:t>2014</w:t>
            </w:r>
            <w:r w:rsidR="00717AFF">
              <w:t>.</w:t>
            </w:r>
            <w:r w:rsidR="00AA5DE6" w:rsidRPr="006B5D1F">
              <w:t xml:space="preserve">-2020.gada plānošanas periodā tiks plānots </w:t>
            </w:r>
            <w:r w:rsidR="00AA5DE6" w:rsidRPr="006B5D1F">
              <w:lastRenderedPageBreak/>
              <w:t xml:space="preserve">atbilstoši ES KP fondu administrēšanā iesaistīto iestāžu īstenotajām funkcijām, t.i., vadošā iestāde vērtēs </w:t>
            </w:r>
            <w:r w:rsidR="006B5D1F">
              <w:t>tehniskās palīdzības</w:t>
            </w:r>
            <w:r w:rsidR="00AA5DE6" w:rsidRPr="006B5D1F">
              <w:t xml:space="preserve"> pieprasījumu pamatotību atbilstoši iestāžu noslodzei. Plānots nepieciešamības gadījumā </w:t>
            </w:r>
            <w:r w:rsidR="006B5D1F">
              <w:t>tehniskās palīdzības</w:t>
            </w:r>
            <w:r w:rsidR="00AA5DE6" w:rsidRPr="006B5D1F">
              <w:t xml:space="preserve"> līdzekļus izmantot ES KP fondu 2007.-2013.gada plānošanas perioda efektīvas un maksimāli sekmīgas darbības programmu slēgšanas un rezultātu izvērtēšanas nodrošināšanai, kā arī </w:t>
            </w:r>
            <w:proofErr w:type="spellStart"/>
            <w:r w:rsidR="00AA5DE6" w:rsidRPr="006B5D1F">
              <w:t>pēcuzraudzības</w:t>
            </w:r>
            <w:proofErr w:type="spellEnd"/>
            <w:r w:rsidR="00AA5DE6" w:rsidRPr="006B5D1F">
              <w:t xml:space="preserve"> veikšanai. Tāpat tiek plānots izmantot </w:t>
            </w:r>
            <w:proofErr w:type="spellStart"/>
            <w:r w:rsidR="00AA5DE6" w:rsidRPr="006B5D1F">
              <w:t>daļslodzes</w:t>
            </w:r>
            <w:proofErr w:type="spellEnd"/>
            <w:r w:rsidR="00AA5DE6" w:rsidRPr="006B5D1F">
              <w:t xml:space="preserve"> darba laika iespējas, lai nodrošinātu elastīgu un atbilstošu resursu plānošanu un nodrošinātu iespēju, kad nozaru ministriju eksperti tiek nominēti ES KP fondu  konkrētu uzdevumu veikšanai un tiek finansēti </w:t>
            </w:r>
            <w:r w:rsidR="006B5D1F">
              <w:t xml:space="preserve">par </w:t>
            </w:r>
            <w:proofErr w:type="spellStart"/>
            <w:r w:rsidR="006B5D1F">
              <w:t>daļslodzes</w:t>
            </w:r>
            <w:proofErr w:type="spellEnd"/>
            <w:r w:rsidR="006B5D1F">
              <w:t xml:space="preserve"> ieguldījumu no tehniskās palīdzības</w:t>
            </w:r>
            <w:r w:rsidR="00AA5DE6" w:rsidRPr="006B5D1F">
              <w:t xml:space="preserve">. </w:t>
            </w:r>
          </w:p>
          <w:p w14:paraId="2314CAA2" w14:textId="77777777" w:rsidR="0095461A" w:rsidRDefault="0095461A" w:rsidP="0095461A">
            <w:pPr>
              <w:pStyle w:val="naiskr"/>
              <w:spacing w:before="0" w:beforeAutospacing="0" w:after="0" w:afterAutospacing="0"/>
              <w:ind w:left="285" w:right="57"/>
              <w:jc w:val="both"/>
              <w:rPr>
                <w:b/>
              </w:rPr>
            </w:pPr>
          </w:p>
          <w:p w14:paraId="2613A7ED" w14:textId="60ADECBB" w:rsidR="009530D9" w:rsidRDefault="00D60D8B" w:rsidP="0095461A">
            <w:pPr>
              <w:pStyle w:val="naiskr"/>
              <w:spacing w:before="0" w:beforeAutospacing="0" w:after="0" w:afterAutospacing="0"/>
              <w:ind w:left="285" w:right="57"/>
              <w:jc w:val="both"/>
            </w:pPr>
            <w:r w:rsidRPr="00FD2671">
              <w:rPr>
                <w:b/>
              </w:rPr>
              <w:t>Tiesību normu sistēma</w:t>
            </w:r>
            <w:r w:rsidR="002E52AA">
              <w:rPr>
                <w:b/>
              </w:rPr>
              <w:t xml:space="preserve"> –</w:t>
            </w:r>
            <w:r w:rsidR="00812E53" w:rsidRPr="00FD2671">
              <w:t xml:space="preserve"> </w:t>
            </w:r>
            <w:proofErr w:type="spellStart"/>
            <w:r w:rsidR="00B2334D" w:rsidRPr="00FD2671">
              <w:t>Ņacionālie</w:t>
            </w:r>
            <w:proofErr w:type="spellEnd"/>
            <w:r w:rsidR="00B2334D" w:rsidRPr="00FD2671">
              <w:t xml:space="preserve"> normatīvie akti ir izstrādāti, </w:t>
            </w:r>
            <w:r w:rsidR="00241207">
              <w:t xml:space="preserve">saskaņā ar </w:t>
            </w:r>
            <w:r w:rsidR="00B2334D" w:rsidRPr="00FD2671">
              <w:t xml:space="preserve"> Regulas Nr.1303/2013 un citu šo periodu regulējošo ES </w:t>
            </w:r>
            <w:r w:rsidR="00B377DD">
              <w:t>normatīvo</w:t>
            </w:r>
            <w:r w:rsidR="00B2334D" w:rsidRPr="00FD2671">
              <w:t xml:space="preserve"> aktu prasības, skaidri nodalot ES fondu vadībā iesaistītās institūcijas, to tiesības un pienākumus, kā arī prasības projekta iesniedzējiem un finansējuma saņēmējiem. </w:t>
            </w:r>
          </w:p>
          <w:p w14:paraId="03ADD61B" w14:textId="441E3D64" w:rsidR="00B2334D" w:rsidRPr="0095461A" w:rsidRDefault="00B2334D" w:rsidP="0095461A">
            <w:pPr>
              <w:pStyle w:val="naiskr"/>
              <w:spacing w:before="0" w:beforeAutospacing="0" w:after="0" w:afterAutospacing="0"/>
              <w:ind w:left="285" w:right="57"/>
              <w:jc w:val="both"/>
              <w:rPr>
                <w:b/>
              </w:rPr>
            </w:pPr>
            <w:r w:rsidRPr="00FD2671">
              <w:t>Līdz šo noteikumu izstrādes brīdim ir stājušies spēkā šādi nacionālie normatīvie akti:</w:t>
            </w:r>
          </w:p>
          <w:p w14:paraId="2CC94652" w14:textId="56625716" w:rsidR="009530D9" w:rsidRDefault="00B2334D" w:rsidP="009530D9">
            <w:pPr>
              <w:pStyle w:val="naiskr"/>
              <w:spacing w:before="0" w:beforeAutospacing="0" w:after="0" w:afterAutospacing="0"/>
              <w:ind w:left="285" w:right="57"/>
              <w:jc w:val="both"/>
            </w:pPr>
            <w:r w:rsidRPr="00FD2671">
              <w:t>-  Eiropas Savienības struktū</w:t>
            </w:r>
            <w:r w:rsidR="006775F6">
              <w:t>rfondu un Kohēzijas fonda 2014.-</w:t>
            </w:r>
            <w:r w:rsidRPr="00FD2671">
              <w:t>2020.gada plānošanas perioda vadības likums;</w:t>
            </w:r>
          </w:p>
          <w:p w14:paraId="4894B517" w14:textId="691F5641" w:rsidR="009530D9" w:rsidRDefault="009530D9" w:rsidP="009530D9">
            <w:pPr>
              <w:pStyle w:val="naiskr"/>
              <w:spacing w:before="0" w:beforeAutospacing="0" w:after="0" w:afterAutospacing="0"/>
              <w:ind w:left="285" w:right="57"/>
              <w:jc w:val="both"/>
            </w:pPr>
            <w:r>
              <w:t xml:space="preserve">- </w:t>
            </w:r>
            <w:r w:rsidR="00B2334D" w:rsidRPr="00FD2671">
              <w:t>M</w:t>
            </w:r>
            <w:r w:rsidR="00241207">
              <w:t>inistru kabineta</w:t>
            </w:r>
            <w:r w:rsidR="00B2334D" w:rsidRPr="00FD2671">
              <w:t xml:space="preserve"> 2014.</w:t>
            </w:r>
            <w:r w:rsidR="00241207">
              <w:t>gada</w:t>
            </w:r>
            <w:r w:rsidR="00B2334D" w:rsidRPr="00FD2671">
              <w:t xml:space="preserve"> </w:t>
            </w:r>
            <w:r w:rsidR="00241207" w:rsidRPr="00FD2671">
              <w:t>07.</w:t>
            </w:r>
            <w:r w:rsidR="00241207">
              <w:t xml:space="preserve">oktobra </w:t>
            </w:r>
            <w:r w:rsidR="00B2334D" w:rsidRPr="00FD2671">
              <w:t xml:space="preserve">noteikumi Nr.611 “Prasības Eiropas Savienības struktūrfondu un Kohēzijas fonda </w:t>
            </w:r>
            <w:r w:rsidR="006775F6">
              <w:t xml:space="preserve">                         2014.-</w:t>
            </w:r>
            <w:r w:rsidR="00B2334D" w:rsidRPr="00FD2671">
              <w:t>2020.gada plānošanas perioda vadības un kontroles sistēmas izveidošanai”;</w:t>
            </w:r>
          </w:p>
          <w:p w14:paraId="0B156C19" w14:textId="26ACA896" w:rsidR="009530D9" w:rsidRDefault="009530D9" w:rsidP="009530D9">
            <w:pPr>
              <w:pStyle w:val="naiskr"/>
              <w:spacing w:before="0" w:beforeAutospacing="0" w:after="0" w:afterAutospacing="0"/>
              <w:ind w:left="285" w:right="57"/>
              <w:jc w:val="both"/>
            </w:pPr>
            <w:r>
              <w:t xml:space="preserve">- </w:t>
            </w:r>
            <w:r w:rsidR="00241207" w:rsidRPr="00FD2671">
              <w:t>M</w:t>
            </w:r>
            <w:r w:rsidR="00241207">
              <w:t>inistru kabineta</w:t>
            </w:r>
            <w:r w:rsidR="00241207" w:rsidRPr="00FD2671">
              <w:t xml:space="preserve"> </w:t>
            </w:r>
            <w:r w:rsidR="00B2334D" w:rsidRPr="00FD2671">
              <w:t>2014.</w:t>
            </w:r>
            <w:r w:rsidR="00241207">
              <w:t>gada</w:t>
            </w:r>
            <w:r w:rsidR="00B2334D" w:rsidRPr="00FD2671">
              <w:t xml:space="preserve"> </w:t>
            </w:r>
            <w:r w:rsidR="00241207" w:rsidRPr="00FD2671">
              <w:t>25.</w:t>
            </w:r>
            <w:r w:rsidR="00241207">
              <w:t xml:space="preserve">novembra </w:t>
            </w:r>
            <w:r w:rsidR="00B2334D" w:rsidRPr="00FD2671">
              <w:t>noteikumi Nr.714 “Revīzijas iestādes funkciju nodrošināšanas kārtība Eiropas Savienības struktūrfondu un Kohēzijas fonda 2014.–2020.gada plānošanas periodā”;</w:t>
            </w:r>
          </w:p>
          <w:p w14:paraId="08081D29" w14:textId="5EAF2C36" w:rsidR="009530D9" w:rsidRDefault="009530D9" w:rsidP="009530D9">
            <w:pPr>
              <w:pStyle w:val="naiskr"/>
              <w:spacing w:before="0" w:beforeAutospacing="0" w:after="0" w:afterAutospacing="0"/>
              <w:ind w:left="285" w:right="57"/>
              <w:jc w:val="both"/>
            </w:pPr>
            <w:r>
              <w:t xml:space="preserve">- </w:t>
            </w:r>
            <w:r w:rsidR="00241207" w:rsidRPr="00FD2671">
              <w:t>M</w:t>
            </w:r>
            <w:r w:rsidR="00241207">
              <w:t>inistru kabineta</w:t>
            </w:r>
            <w:r w:rsidR="00241207" w:rsidRPr="00FD2671">
              <w:t xml:space="preserve"> </w:t>
            </w:r>
            <w:r w:rsidR="00B2334D" w:rsidRPr="00FD2671">
              <w:t>2014.</w:t>
            </w:r>
            <w:r w:rsidR="00241207">
              <w:t>gada</w:t>
            </w:r>
            <w:r w:rsidR="00B2334D" w:rsidRPr="00FD2671">
              <w:t xml:space="preserve"> </w:t>
            </w:r>
            <w:r w:rsidR="00241207" w:rsidRPr="00FD2671">
              <w:t>16.</w:t>
            </w:r>
            <w:r w:rsidR="00241207">
              <w:t xml:space="preserve">decembra </w:t>
            </w:r>
            <w:r w:rsidR="00B2334D" w:rsidRPr="00FD2671">
              <w:t xml:space="preserve">noteikumi Nr.784 “Kārtība, kādā Eiropas Savienības struktūrfondu un Kohēzijas fonda vadībā iesaistītās institūcijas nodrošina plānošanas dokumentu sagatavošanu un šo fondu ieviešanu </w:t>
            </w:r>
            <w:r w:rsidR="006775F6">
              <w:t xml:space="preserve">                   2014.-</w:t>
            </w:r>
            <w:r w:rsidR="00B2334D" w:rsidRPr="00FD2671">
              <w:t>2020.gada plānošanas periodā”;</w:t>
            </w:r>
          </w:p>
          <w:p w14:paraId="2FF3064C" w14:textId="0DE42367" w:rsidR="009530D9" w:rsidRDefault="009530D9" w:rsidP="009530D9">
            <w:pPr>
              <w:pStyle w:val="naiskr"/>
              <w:spacing w:before="0" w:beforeAutospacing="0" w:after="0" w:afterAutospacing="0"/>
              <w:ind w:left="285" w:right="57"/>
              <w:jc w:val="both"/>
            </w:pPr>
            <w:r>
              <w:t xml:space="preserve">- </w:t>
            </w:r>
            <w:r w:rsidR="00B2334D" w:rsidRPr="00FD2671">
              <w:t>M</w:t>
            </w:r>
            <w:r w:rsidR="00241207">
              <w:t>inistru kabineta</w:t>
            </w:r>
            <w:r w:rsidR="00B2334D" w:rsidRPr="00FD2671">
              <w:t xml:space="preserve"> 2015.</w:t>
            </w:r>
            <w:r w:rsidR="00241207">
              <w:t>gada</w:t>
            </w:r>
            <w:r w:rsidR="00B2334D" w:rsidRPr="00FD2671">
              <w:t xml:space="preserve"> </w:t>
            </w:r>
            <w:r w:rsidR="00241207" w:rsidRPr="00FD2671">
              <w:t>10.</w:t>
            </w:r>
            <w:r w:rsidR="00241207">
              <w:t xml:space="preserve">februāra </w:t>
            </w:r>
            <w:r w:rsidR="00B2334D" w:rsidRPr="00FD2671">
              <w:t>noteikumi Nr.77 “Eiropas Savienības struktūrfondu un Kohēzijas fonda projektu pārbaužu veikšanas kārtība 2014</w:t>
            </w:r>
            <w:r>
              <w:t>.–2020.gada plānošanas periodā”;</w:t>
            </w:r>
          </w:p>
          <w:p w14:paraId="02F42AB4" w14:textId="13BD8B21" w:rsidR="009530D9" w:rsidRDefault="009530D9" w:rsidP="009530D9">
            <w:pPr>
              <w:pStyle w:val="naiskr"/>
              <w:spacing w:before="0" w:beforeAutospacing="0" w:after="0" w:afterAutospacing="0"/>
              <w:ind w:left="285" w:right="57"/>
              <w:jc w:val="both"/>
            </w:pPr>
            <w:r>
              <w:t>-</w:t>
            </w:r>
            <w:r w:rsidR="00B2334D" w:rsidRPr="00FD2671">
              <w:t xml:space="preserve"> M</w:t>
            </w:r>
            <w:r w:rsidR="00241207">
              <w:t>inistru kabineta</w:t>
            </w:r>
            <w:r w:rsidR="00B2334D" w:rsidRPr="00FD2671">
              <w:t xml:space="preserve"> 2015.</w:t>
            </w:r>
            <w:r w:rsidR="00241207">
              <w:t>gada</w:t>
            </w:r>
            <w:r w:rsidR="00B2334D" w:rsidRPr="00FD2671">
              <w:t xml:space="preserve"> </w:t>
            </w:r>
            <w:r w:rsidR="00241207" w:rsidRPr="00FD2671">
              <w:t>17.</w:t>
            </w:r>
            <w:r w:rsidR="00241207">
              <w:t xml:space="preserve">februāra </w:t>
            </w:r>
            <w:r w:rsidR="00B2334D" w:rsidRPr="00FD2671">
              <w:t xml:space="preserve">noteikumi Nr.87 “Kārtība, kādā Eiropas Savienības struktūrfondu un </w:t>
            </w:r>
            <w:r w:rsidR="006775F6">
              <w:t>Kohēzijas fonda ieviešanā 2014.-</w:t>
            </w:r>
            <w:r w:rsidR="00B2334D" w:rsidRPr="00FD2671">
              <w:t xml:space="preserve">2020.gada </w:t>
            </w:r>
            <w:r w:rsidR="00B2334D" w:rsidRPr="00FD2671">
              <w:lastRenderedPageBreak/>
              <w:t>plānošanas periodā nodrošināma komunikācijas un vizuālās identitātes prasību ievērošana”;</w:t>
            </w:r>
          </w:p>
          <w:p w14:paraId="79FEE533" w14:textId="32671720" w:rsidR="009530D9" w:rsidRDefault="009530D9" w:rsidP="009530D9">
            <w:pPr>
              <w:pStyle w:val="naiskr"/>
              <w:spacing w:before="0" w:beforeAutospacing="0" w:after="0" w:afterAutospacing="0"/>
              <w:ind w:left="285" w:right="57"/>
              <w:jc w:val="both"/>
            </w:pPr>
            <w:r>
              <w:t xml:space="preserve">- </w:t>
            </w:r>
            <w:r w:rsidR="00B2334D" w:rsidRPr="00FD2671">
              <w:t>M</w:t>
            </w:r>
            <w:r w:rsidR="00241207">
              <w:t>inistru kabineta</w:t>
            </w:r>
            <w:r w:rsidR="00B2334D" w:rsidRPr="00FD2671">
              <w:t xml:space="preserve"> 2015.</w:t>
            </w:r>
            <w:r w:rsidR="00241207">
              <w:t>gada</w:t>
            </w:r>
            <w:r w:rsidR="00B2334D" w:rsidRPr="00FD2671">
              <w:t xml:space="preserve"> </w:t>
            </w:r>
            <w:r w:rsidR="00241207" w:rsidRPr="00FD2671">
              <w:t>24.</w:t>
            </w:r>
            <w:r w:rsidR="00241207">
              <w:t xml:space="preserve">februāra </w:t>
            </w:r>
            <w:r w:rsidR="00B2334D" w:rsidRPr="00FD2671">
              <w:t>noteikumi Nr.108 “Kārtība, kādā uzrauga un izvērtē Eiropas Savienības struktūrfondu un Kohēzijas fonda ieviešanu, kā arī izveido un izmanto Kohēzijas politikas fondu vadības informācijas sistēmu 2014.–2020.gadam”;</w:t>
            </w:r>
          </w:p>
          <w:p w14:paraId="4203A57B" w14:textId="64DDDED3" w:rsidR="00670E96" w:rsidRDefault="009530D9" w:rsidP="009530D9">
            <w:pPr>
              <w:pStyle w:val="naiskr"/>
              <w:spacing w:before="0" w:beforeAutospacing="0" w:after="0" w:afterAutospacing="0"/>
              <w:ind w:left="285" w:right="57"/>
              <w:jc w:val="both"/>
            </w:pPr>
            <w:r>
              <w:t xml:space="preserve">- </w:t>
            </w:r>
            <w:r w:rsidR="00241207" w:rsidRPr="00FD2671">
              <w:t>M</w:t>
            </w:r>
            <w:r w:rsidR="00241207">
              <w:t>inistru kabineta</w:t>
            </w:r>
            <w:r w:rsidR="00241207" w:rsidRPr="00FD2671">
              <w:t xml:space="preserve"> </w:t>
            </w:r>
            <w:r w:rsidR="00B2334D" w:rsidRPr="00FD2671">
              <w:t>2015.</w:t>
            </w:r>
            <w:r w:rsidR="00241207">
              <w:t>gada</w:t>
            </w:r>
            <w:r w:rsidR="00B2334D" w:rsidRPr="00FD2671">
              <w:t xml:space="preserve"> </w:t>
            </w:r>
            <w:r w:rsidR="00241207" w:rsidRPr="00FD2671">
              <w:t>17.</w:t>
            </w:r>
            <w:r w:rsidR="00241207">
              <w:t xml:space="preserve">marta </w:t>
            </w:r>
            <w:r w:rsidR="00B2334D" w:rsidRPr="00FD2671">
              <w:t>noteikumi Nr.130 “Noteikumi par valsts budžeta līdzekļu plānošanu Eiropas Savienības struktūrfondu un Kohēzijas fonda projektu īstenošanai un maksājumu veikšanu 2014.-2020.gada plānošanas periodā”.</w:t>
            </w:r>
          </w:p>
          <w:p w14:paraId="280ACABA" w14:textId="77777777" w:rsidR="009530D9" w:rsidRPr="00FD2671" w:rsidRDefault="009530D9" w:rsidP="00A416B1">
            <w:pPr>
              <w:pStyle w:val="naiskr"/>
              <w:spacing w:before="0" w:beforeAutospacing="0" w:after="0" w:afterAutospacing="0"/>
              <w:ind w:left="720" w:right="57"/>
              <w:jc w:val="both"/>
            </w:pPr>
          </w:p>
          <w:p w14:paraId="7E92C1DF" w14:textId="0DFC1F42" w:rsidR="009530D9" w:rsidRDefault="00D60D8B" w:rsidP="009530D9">
            <w:pPr>
              <w:pStyle w:val="NoSpacing"/>
              <w:ind w:left="285"/>
              <w:jc w:val="both"/>
              <w:rPr>
                <w:rFonts w:ascii="Times New Roman" w:eastAsia="Times New Roman" w:hAnsi="Times New Roman" w:cs="Times New Roman"/>
                <w:sz w:val="24"/>
                <w:szCs w:val="24"/>
              </w:rPr>
            </w:pPr>
            <w:r w:rsidRPr="009530D9">
              <w:rPr>
                <w:rFonts w:ascii="Times New Roman" w:hAnsi="Times New Roman" w:cs="Times New Roman"/>
                <w:b/>
                <w:sz w:val="24"/>
                <w:szCs w:val="24"/>
              </w:rPr>
              <w:t>Cilvēkresursi</w:t>
            </w:r>
            <w:r w:rsidR="006775F6">
              <w:rPr>
                <w:rFonts w:ascii="Times New Roman" w:hAnsi="Times New Roman" w:cs="Times New Roman"/>
                <w:b/>
                <w:sz w:val="24"/>
                <w:szCs w:val="24"/>
              </w:rPr>
              <w:t xml:space="preserve">- </w:t>
            </w:r>
            <w:r w:rsidR="002E0C12">
              <w:rPr>
                <w:rFonts w:ascii="Times New Roman" w:eastAsia="Times New Roman" w:hAnsi="Times New Roman" w:cs="Times New Roman"/>
                <w:sz w:val="24"/>
                <w:szCs w:val="24"/>
              </w:rPr>
              <w:t>Paredzēts, ka</w:t>
            </w:r>
            <w:r w:rsidR="006403E2" w:rsidRPr="009530D9">
              <w:rPr>
                <w:rFonts w:ascii="Times New Roman" w:eastAsia="Times New Roman" w:hAnsi="Times New Roman" w:cs="Times New Roman"/>
                <w:sz w:val="24"/>
                <w:szCs w:val="24"/>
              </w:rPr>
              <w:t xml:space="preserve"> ES KP fondu investīciju mērķu efektīvai sasniegšanai tiks iesaistītas vairākas iestādes ar konkrētu funkciju.</w:t>
            </w:r>
            <w:r w:rsidR="006403E2" w:rsidRPr="009530D9">
              <w:rPr>
                <w:rFonts w:ascii="Times New Roman" w:hAnsi="Times New Roman" w:cs="Times New Roman"/>
                <w:sz w:val="24"/>
                <w:szCs w:val="24"/>
              </w:rPr>
              <w:t xml:space="preserve"> </w:t>
            </w:r>
            <w:r w:rsidR="006403E2" w:rsidRPr="009530D9">
              <w:rPr>
                <w:rFonts w:ascii="Times New Roman" w:eastAsia="Times New Roman" w:hAnsi="Times New Roman" w:cs="Times New Roman"/>
                <w:sz w:val="24"/>
                <w:szCs w:val="24"/>
              </w:rPr>
              <w:t>Cilvēkresursu kapacitāte ir viens no būtiskiem elementiem jaunās ES KP fondu  ieviešanas sistēmas veiksmīgas darbības nodrošin</w:t>
            </w:r>
            <w:r w:rsidR="006775F6">
              <w:rPr>
                <w:rFonts w:ascii="Times New Roman" w:eastAsia="Times New Roman" w:hAnsi="Times New Roman" w:cs="Times New Roman"/>
                <w:sz w:val="24"/>
                <w:szCs w:val="24"/>
              </w:rPr>
              <w:t>āšanai. Lai nodrošinātu 2007.-</w:t>
            </w:r>
            <w:r w:rsidR="006403E2" w:rsidRPr="009530D9">
              <w:rPr>
                <w:rFonts w:ascii="Times New Roman" w:eastAsia="Times New Roman" w:hAnsi="Times New Roman" w:cs="Times New Roman"/>
                <w:sz w:val="24"/>
                <w:szCs w:val="24"/>
              </w:rPr>
              <w:t xml:space="preserve">2013.gada plānošanas perioda sadarbības iestāžu funkciju īstenošanu līdz plānošanas perioda uzraudzības procesa slēgšanai, tiks saglabāts 2007.–2013.gada plānošanas perioda izveidotais institucionālais ietvars minētā plānošanas perioda aktivitāšu pabeigšanai un uzraudzības procesa noslēgšanai, t.sk. </w:t>
            </w:r>
            <w:proofErr w:type="spellStart"/>
            <w:r w:rsidR="006403E2" w:rsidRPr="009530D9">
              <w:rPr>
                <w:rFonts w:ascii="Times New Roman" w:eastAsia="Times New Roman" w:hAnsi="Times New Roman" w:cs="Times New Roman"/>
                <w:sz w:val="24"/>
                <w:szCs w:val="24"/>
              </w:rPr>
              <w:t>pēcuzraudzībai</w:t>
            </w:r>
            <w:proofErr w:type="spellEnd"/>
            <w:r w:rsidR="006403E2" w:rsidRPr="009530D9">
              <w:rPr>
                <w:rFonts w:ascii="Times New Roman" w:eastAsia="Times New Roman" w:hAnsi="Times New Roman" w:cs="Times New Roman"/>
                <w:sz w:val="24"/>
                <w:szCs w:val="24"/>
              </w:rPr>
              <w:t>, nodrošinot atbildīgo iestāžu un sadarbības iestāžu funkciju īstenošanu.</w:t>
            </w:r>
            <w:r w:rsidR="006403E2" w:rsidRPr="009530D9">
              <w:rPr>
                <w:rFonts w:ascii="Times New Roman" w:hAnsi="Times New Roman" w:cs="Times New Roman"/>
                <w:sz w:val="24"/>
                <w:szCs w:val="24"/>
              </w:rPr>
              <w:t xml:space="preserve"> </w:t>
            </w:r>
            <w:r w:rsidR="006775F6">
              <w:rPr>
                <w:rFonts w:ascii="Times New Roman" w:eastAsia="Times New Roman" w:hAnsi="Times New Roman" w:cs="Times New Roman"/>
                <w:sz w:val="24"/>
                <w:szCs w:val="24"/>
              </w:rPr>
              <w:t>C</w:t>
            </w:r>
            <w:r w:rsidR="006403E2" w:rsidRPr="009530D9">
              <w:rPr>
                <w:rFonts w:ascii="Times New Roman" w:eastAsia="Times New Roman" w:hAnsi="Times New Roman" w:cs="Times New Roman"/>
                <w:sz w:val="24"/>
                <w:szCs w:val="24"/>
              </w:rPr>
              <w:t xml:space="preserve">ilvēkresursi CFLA tiks piesaistīti pakāpeniski, ņemot vērā plānošanas dokumentos noteikto specifisko atbalsta mērķu uzsākšanas laika grafiku. ES KP fondos iesaistīto cilvēkresursu kompetence, t.i., to tehniskās zināšanas un prasmes, plānots saglabāt esošā kapacitātē. </w:t>
            </w:r>
          </w:p>
          <w:p w14:paraId="1600A986" w14:textId="77777777" w:rsidR="009530D9" w:rsidRDefault="009530D9" w:rsidP="009530D9">
            <w:pPr>
              <w:pStyle w:val="NoSpacing"/>
              <w:ind w:left="285"/>
              <w:jc w:val="both"/>
              <w:rPr>
                <w:rFonts w:ascii="Times New Roman" w:hAnsi="Times New Roman" w:cs="Times New Roman"/>
                <w:b/>
                <w:sz w:val="24"/>
                <w:szCs w:val="24"/>
              </w:rPr>
            </w:pPr>
          </w:p>
          <w:p w14:paraId="2E59C4AE" w14:textId="5FF26D7B" w:rsidR="009530D9" w:rsidRDefault="00D60D8B" w:rsidP="009530D9">
            <w:pPr>
              <w:pStyle w:val="NoSpacing"/>
              <w:ind w:left="285"/>
              <w:jc w:val="both"/>
              <w:rPr>
                <w:rFonts w:ascii="Times New Roman" w:hAnsi="Times New Roman" w:cs="Times New Roman"/>
                <w:sz w:val="24"/>
                <w:szCs w:val="24"/>
              </w:rPr>
            </w:pPr>
            <w:r w:rsidRPr="009530D9">
              <w:rPr>
                <w:rFonts w:ascii="Times New Roman" w:hAnsi="Times New Roman" w:cs="Times New Roman"/>
                <w:b/>
                <w:sz w:val="24"/>
                <w:szCs w:val="24"/>
              </w:rPr>
              <w:t xml:space="preserve">Informācijas sistēmas – </w:t>
            </w:r>
            <w:r w:rsidR="00241207">
              <w:rPr>
                <w:rFonts w:ascii="Times New Roman" w:hAnsi="Times New Roman" w:cs="Times New Roman"/>
                <w:sz w:val="24"/>
                <w:szCs w:val="24"/>
              </w:rPr>
              <w:t>Kohēzijas politikas</w:t>
            </w:r>
            <w:r w:rsidR="00241207" w:rsidRPr="009530D9">
              <w:rPr>
                <w:rFonts w:ascii="Times New Roman" w:hAnsi="Times New Roman" w:cs="Times New Roman"/>
                <w:sz w:val="24"/>
                <w:szCs w:val="24"/>
              </w:rPr>
              <w:t xml:space="preserve"> </w:t>
            </w:r>
            <w:r w:rsidR="000F04A2" w:rsidRPr="009530D9">
              <w:rPr>
                <w:rFonts w:ascii="Times New Roman" w:hAnsi="Times New Roman" w:cs="Times New Roman"/>
                <w:sz w:val="24"/>
                <w:szCs w:val="24"/>
              </w:rPr>
              <w:t xml:space="preserve">fondu </w:t>
            </w:r>
            <w:r w:rsidR="00241207">
              <w:rPr>
                <w:rFonts w:ascii="Times New Roman" w:hAnsi="Times New Roman" w:cs="Times New Roman"/>
                <w:sz w:val="24"/>
                <w:szCs w:val="24"/>
              </w:rPr>
              <w:t>v</w:t>
            </w:r>
            <w:r w:rsidR="00241207" w:rsidRPr="009530D9">
              <w:rPr>
                <w:rFonts w:ascii="Times New Roman" w:hAnsi="Times New Roman" w:cs="Times New Roman"/>
                <w:sz w:val="24"/>
                <w:szCs w:val="24"/>
              </w:rPr>
              <w:t xml:space="preserve">adības </w:t>
            </w:r>
            <w:r w:rsidR="000F04A2" w:rsidRPr="009530D9">
              <w:rPr>
                <w:rFonts w:ascii="Times New Roman" w:hAnsi="Times New Roman" w:cs="Times New Roman"/>
                <w:sz w:val="24"/>
                <w:szCs w:val="24"/>
              </w:rPr>
              <w:t>informācijas sistēma</w:t>
            </w:r>
            <w:r w:rsidR="00241207">
              <w:rPr>
                <w:rFonts w:ascii="Times New Roman" w:hAnsi="Times New Roman" w:cs="Times New Roman"/>
                <w:sz w:val="24"/>
                <w:szCs w:val="24"/>
              </w:rPr>
              <w:t xml:space="preserve"> 2014.-2020.gadam</w:t>
            </w:r>
            <w:r w:rsidR="000F04A2" w:rsidRPr="009530D9">
              <w:rPr>
                <w:rFonts w:ascii="Times New Roman" w:hAnsi="Times New Roman" w:cs="Times New Roman"/>
                <w:sz w:val="24"/>
                <w:szCs w:val="24"/>
              </w:rPr>
              <w:t xml:space="preserve"> tiks pielāgota administratīvajām izmaiņām un tiks nodrošināts, ka datu apmaiņa starp finansējuma saņēmējiem un iestādēm, kas ir atbildīgas par ieviešanu un kontroli, līdz 2015.gada 31.decembrim būtu iespējams veikt ele</w:t>
            </w:r>
            <w:r w:rsidR="001D0BAB">
              <w:rPr>
                <w:rFonts w:ascii="Times New Roman" w:hAnsi="Times New Roman" w:cs="Times New Roman"/>
                <w:sz w:val="24"/>
                <w:szCs w:val="24"/>
              </w:rPr>
              <w:t>ktroniski</w:t>
            </w:r>
            <w:r w:rsidR="000F04A2" w:rsidRPr="009530D9">
              <w:rPr>
                <w:rFonts w:ascii="Times New Roman" w:hAnsi="Times New Roman" w:cs="Times New Roman"/>
                <w:sz w:val="24"/>
                <w:szCs w:val="24"/>
              </w:rPr>
              <w:t xml:space="preserve">. Projektu iesniedzējiem paliks iespēja iesniegt projektu pieteikumus un dokumentus gan papīra, gan elektroniskā veidā, bet tiks veikti dažādi pasākumi, lai palielinātu to projektu iesniedzēju skaitu, kas ar projektiem saistītos dokumentus iesniedz elektroniski. No veiktajiem sistēmas uzlabojumiem sagaidāms liels </w:t>
            </w:r>
            <w:proofErr w:type="spellStart"/>
            <w:r w:rsidR="000F04A2" w:rsidRPr="009530D9">
              <w:rPr>
                <w:rFonts w:ascii="Times New Roman" w:hAnsi="Times New Roman" w:cs="Times New Roman"/>
                <w:sz w:val="24"/>
                <w:szCs w:val="24"/>
              </w:rPr>
              <w:t>atdeves</w:t>
            </w:r>
            <w:proofErr w:type="spellEnd"/>
            <w:r w:rsidR="000F04A2" w:rsidRPr="009530D9">
              <w:rPr>
                <w:rFonts w:ascii="Times New Roman" w:hAnsi="Times New Roman" w:cs="Times New Roman"/>
                <w:sz w:val="24"/>
                <w:szCs w:val="24"/>
              </w:rPr>
              <w:t xml:space="preserve"> potenciāls administratīvā sloga mazināšanai, KP fondu administrēšanas vienkāršošanai, informācijas pieejamības un caurskatāmības uzlabošanai, tādējādi </w:t>
            </w:r>
            <w:r w:rsidR="000F04A2" w:rsidRPr="009530D9">
              <w:rPr>
                <w:rFonts w:ascii="Times New Roman" w:hAnsi="Times New Roman" w:cs="Times New Roman"/>
                <w:sz w:val="24"/>
                <w:szCs w:val="24"/>
              </w:rPr>
              <w:lastRenderedPageBreak/>
              <w:t>radot iespēju paātrināt mērķu sasniegšanu, samazinot izmaksas, un ļaujot koncentrēties uz rezultātiem.</w:t>
            </w:r>
            <w:r w:rsidR="00D2777F" w:rsidRPr="009530D9">
              <w:rPr>
                <w:rFonts w:ascii="Times New Roman" w:hAnsi="Times New Roman" w:cs="Times New Roman"/>
                <w:sz w:val="24"/>
                <w:szCs w:val="24"/>
              </w:rPr>
              <w:t xml:space="preserve"> Tiks izveidota droša un uzticama KP fondu vadības un kontroles sistēma, kas spēj reaģēt uz ārējo apstākļu (budžeta samazinājums u.c. faktori) un iekšējās vides (prioritāšu izmaiņas, funkciju pārdale u.c. faktori) izmaiņām, vienlaikus nezaudējot koncentrēšanos uz noteiktajiem mērķiem un rezultātiem.</w:t>
            </w:r>
          </w:p>
          <w:p w14:paraId="2120547B" w14:textId="77777777" w:rsidR="009530D9" w:rsidRDefault="009530D9" w:rsidP="009530D9">
            <w:pPr>
              <w:pStyle w:val="NoSpacing"/>
              <w:ind w:left="285"/>
              <w:jc w:val="both"/>
            </w:pPr>
          </w:p>
          <w:p w14:paraId="18F914EE" w14:textId="725EE74A" w:rsidR="003F74A9" w:rsidRPr="009530D9" w:rsidRDefault="00AA5DE6" w:rsidP="009530D9">
            <w:pPr>
              <w:pStyle w:val="NoSpacing"/>
              <w:ind w:left="285"/>
              <w:jc w:val="both"/>
              <w:rPr>
                <w:rFonts w:ascii="Times New Roman" w:hAnsi="Times New Roman" w:cs="Times New Roman"/>
                <w:b/>
                <w:sz w:val="24"/>
                <w:szCs w:val="24"/>
              </w:rPr>
            </w:pPr>
            <w:r w:rsidRPr="00FD2671">
              <w:t xml:space="preserve"> </w:t>
            </w:r>
            <w:r w:rsidR="00D60D8B" w:rsidRPr="009530D9">
              <w:rPr>
                <w:rFonts w:ascii="Times New Roman" w:hAnsi="Times New Roman" w:cs="Times New Roman"/>
                <w:b/>
                <w:sz w:val="24"/>
                <w:szCs w:val="24"/>
              </w:rPr>
              <w:t>Ietekme uz veselību - nav</w:t>
            </w:r>
            <w:r w:rsidRPr="009530D9">
              <w:rPr>
                <w:rFonts w:ascii="Times New Roman" w:hAnsi="Times New Roman" w:cs="Times New Roman"/>
                <w:b/>
                <w:sz w:val="24"/>
                <w:szCs w:val="24"/>
              </w:rPr>
              <w:t xml:space="preserve"> attie</w:t>
            </w:r>
            <w:r w:rsidR="00D60D8B" w:rsidRPr="009530D9">
              <w:rPr>
                <w:rFonts w:ascii="Times New Roman" w:hAnsi="Times New Roman" w:cs="Times New Roman"/>
                <w:b/>
                <w:sz w:val="24"/>
                <w:szCs w:val="24"/>
              </w:rPr>
              <w:t>cināms</w:t>
            </w:r>
          </w:p>
          <w:p w14:paraId="7055B644" w14:textId="77777777" w:rsidR="009530D9" w:rsidRPr="009530D9" w:rsidRDefault="009530D9" w:rsidP="009530D9">
            <w:pPr>
              <w:pStyle w:val="NoSpacing"/>
              <w:ind w:left="285"/>
              <w:jc w:val="both"/>
              <w:rPr>
                <w:rFonts w:ascii="Times New Roman" w:eastAsia="Times New Roman" w:hAnsi="Times New Roman" w:cs="Times New Roman"/>
                <w:sz w:val="24"/>
                <w:szCs w:val="24"/>
              </w:rPr>
            </w:pPr>
          </w:p>
          <w:p w14:paraId="5EDF1DAF" w14:textId="3DDBF965" w:rsidR="004F1CA3" w:rsidRPr="00AA5DE6" w:rsidRDefault="006E5856" w:rsidP="001671D7">
            <w:pPr>
              <w:pStyle w:val="ListParagraph"/>
              <w:spacing w:after="120" w:line="240" w:lineRule="auto"/>
              <w:ind w:left="285"/>
              <w:jc w:val="both"/>
              <w:rPr>
                <w:rFonts w:ascii="Times New Roman" w:hAnsi="Times New Roman" w:cs="Times New Roman"/>
              </w:rPr>
            </w:pPr>
            <w:r w:rsidRPr="00FD2671">
              <w:rPr>
                <w:rFonts w:ascii="Times New Roman" w:hAnsi="Times New Roman" w:cs="Times New Roman"/>
                <w:sz w:val="24"/>
                <w:szCs w:val="24"/>
              </w:rPr>
              <w:t>Ņemot vēr</w:t>
            </w:r>
            <w:r w:rsidR="00AC0E03" w:rsidRPr="00FD2671">
              <w:rPr>
                <w:rFonts w:ascii="Times New Roman" w:hAnsi="Times New Roman" w:cs="Times New Roman"/>
                <w:sz w:val="24"/>
                <w:szCs w:val="24"/>
              </w:rPr>
              <w:t>ā Ministru kabineta noteikumu sākotnējās ietekmes novērtējuma ziņojumā</w:t>
            </w:r>
            <w:r w:rsidR="00F54F41" w:rsidRPr="00FD2671">
              <w:rPr>
                <w:rFonts w:ascii="Times New Roman" w:hAnsi="Times New Roman" w:cs="Times New Roman"/>
                <w:sz w:val="24"/>
                <w:szCs w:val="24"/>
              </w:rPr>
              <w:t xml:space="preserve"> (anotācijā</w:t>
            </w:r>
            <w:r w:rsidR="00AC0E03" w:rsidRPr="00FD2671">
              <w:rPr>
                <w:rFonts w:ascii="Times New Roman" w:hAnsi="Times New Roman" w:cs="Times New Roman"/>
                <w:sz w:val="24"/>
                <w:szCs w:val="24"/>
              </w:rPr>
              <w:t xml:space="preserve">) iekļauto informāciju un </w:t>
            </w:r>
            <w:r w:rsidR="003F74A9" w:rsidRPr="00FD2671">
              <w:rPr>
                <w:rFonts w:ascii="Times New Roman" w:hAnsi="Times New Roman" w:cs="Times New Roman"/>
                <w:sz w:val="24"/>
                <w:szCs w:val="24"/>
              </w:rPr>
              <w:t xml:space="preserve">tehniskās palīdzības specifiku - </w:t>
            </w:r>
            <w:r w:rsidR="001671D7">
              <w:rPr>
                <w:rFonts w:ascii="Times New Roman" w:hAnsi="Times New Roman" w:cs="Times New Roman"/>
                <w:sz w:val="24"/>
                <w:szCs w:val="24"/>
              </w:rPr>
              <w:t>atsevišķu</w:t>
            </w:r>
            <w:r w:rsidR="00F54F41" w:rsidRPr="00FD2671">
              <w:rPr>
                <w:rFonts w:ascii="Times New Roman" w:hAnsi="Times New Roman" w:cs="Times New Roman"/>
                <w:sz w:val="24"/>
                <w:szCs w:val="24"/>
              </w:rPr>
              <w:t xml:space="preserve"> tehniskās palīdzības atbalsta mērķu sākotnēj</w:t>
            </w:r>
            <w:r w:rsidR="001671D7">
              <w:rPr>
                <w:rFonts w:ascii="Times New Roman" w:hAnsi="Times New Roman" w:cs="Times New Roman"/>
                <w:sz w:val="24"/>
                <w:szCs w:val="24"/>
              </w:rPr>
              <w:t>o</w:t>
            </w:r>
            <w:r w:rsidR="00F54F41" w:rsidRPr="00FD2671">
              <w:rPr>
                <w:rFonts w:ascii="Times New Roman" w:hAnsi="Times New Roman" w:cs="Times New Roman"/>
                <w:sz w:val="24"/>
                <w:szCs w:val="24"/>
              </w:rPr>
              <w:t xml:space="preserve"> novērtējumu nav nepieciešams izstrādāt.</w:t>
            </w:r>
          </w:p>
        </w:tc>
      </w:tr>
    </w:tbl>
    <w:p w14:paraId="774F5B70" w14:textId="77777777" w:rsidR="008D4D8F" w:rsidRDefault="008D4D8F" w:rsidP="00171D36">
      <w:pPr>
        <w:spacing w:after="0" w:line="240" w:lineRule="auto"/>
        <w:rPr>
          <w:rFonts w:ascii="Times New Roman" w:hAnsi="Times New Roman" w:cs="Times New Roman"/>
        </w:rPr>
      </w:pPr>
    </w:p>
    <w:p w14:paraId="66578BE0" w14:textId="77777777" w:rsidR="001671D7" w:rsidRDefault="001671D7" w:rsidP="00171D36">
      <w:pPr>
        <w:spacing w:after="0" w:line="240" w:lineRule="auto"/>
        <w:rPr>
          <w:rFonts w:ascii="Times New Roman" w:hAnsi="Times New Roman" w:cs="Times New Roman"/>
        </w:rPr>
      </w:pPr>
    </w:p>
    <w:p w14:paraId="479DFAEC" w14:textId="77777777" w:rsidR="001671D7" w:rsidRDefault="001671D7" w:rsidP="00171D36">
      <w:pPr>
        <w:spacing w:after="0" w:line="240" w:lineRule="auto"/>
        <w:rPr>
          <w:rFonts w:ascii="Times New Roman" w:hAnsi="Times New Roman" w:cs="Times New Roman"/>
        </w:rPr>
      </w:pPr>
    </w:p>
    <w:p w14:paraId="12B014D1" w14:textId="77777777" w:rsidR="001671D7" w:rsidRPr="005E0738" w:rsidRDefault="001671D7" w:rsidP="00171D36">
      <w:pPr>
        <w:spacing w:after="0" w:line="240" w:lineRule="auto"/>
        <w:rPr>
          <w:rFonts w:ascii="Times New Roman" w:hAnsi="Times New Roman" w:cs="Times New Roman"/>
        </w:rPr>
      </w:pPr>
    </w:p>
    <w:tbl>
      <w:tblPr>
        <w:tblStyle w:val="TableGrid"/>
        <w:tblW w:w="9498" w:type="dxa"/>
        <w:tblInd w:w="303" w:type="dxa"/>
        <w:tblLook w:val="04A0" w:firstRow="1" w:lastRow="0" w:firstColumn="1" w:lastColumn="0" w:noHBand="0" w:noVBand="1"/>
      </w:tblPr>
      <w:tblGrid>
        <w:gridCol w:w="685"/>
        <w:gridCol w:w="3402"/>
        <w:gridCol w:w="5411"/>
      </w:tblGrid>
      <w:tr w:rsidR="00F56EA8" w:rsidRPr="00A14165" w14:paraId="465534C7" w14:textId="77777777" w:rsidTr="001671D7">
        <w:tc>
          <w:tcPr>
            <w:tcW w:w="9498" w:type="dxa"/>
            <w:gridSpan w:val="3"/>
          </w:tcPr>
          <w:p w14:paraId="5F4033EE" w14:textId="77777777" w:rsidR="00F56EA8" w:rsidRPr="00FA2523" w:rsidRDefault="00F56EA8" w:rsidP="00773F7A">
            <w:pPr>
              <w:ind w:left="34" w:right="57"/>
              <w:jc w:val="center"/>
              <w:rPr>
                <w:rFonts w:ascii="Times New Roman" w:eastAsia="Times New Roman" w:hAnsi="Times New Roman" w:cs="Times New Roman"/>
                <w:b/>
                <w:sz w:val="24"/>
                <w:szCs w:val="24"/>
              </w:rPr>
            </w:pPr>
            <w:r w:rsidRPr="00FA2523">
              <w:rPr>
                <w:rFonts w:ascii="Times New Roman" w:eastAsia="Times New Roman" w:hAnsi="Times New Roman" w:cs="Times New Roman"/>
                <w:b/>
                <w:sz w:val="24"/>
                <w:szCs w:val="24"/>
              </w:rPr>
              <w:t>II. Tiesību akta projekta ietekme uz sabiedrību, tautsaimniecības attīstību</w:t>
            </w:r>
          </w:p>
          <w:p w14:paraId="33079E6B" w14:textId="3D150A8D" w:rsidR="00F56EA8" w:rsidRPr="005E0738" w:rsidRDefault="00F56EA8" w:rsidP="00F56EA8">
            <w:pPr>
              <w:jc w:val="center"/>
              <w:rPr>
                <w:rFonts w:ascii="Times New Roman" w:hAnsi="Times New Roman" w:cs="Times New Roman"/>
              </w:rPr>
            </w:pPr>
            <w:r w:rsidRPr="00FA2523">
              <w:rPr>
                <w:rFonts w:ascii="Times New Roman" w:eastAsia="Times New Roman" w:hAnsi="Times New Roman" w:cs="Times New Roman"/>
                <w:b/>
                <w:sz w:val="24"/>
                <w:szCs w:val="24"/>
              </w:rPr>
              <w:t>un administratīvo slogu</w:t>
            </w:r>
          </w:p>
        </w:tc>
      </w:tr>
      <w:tr w:rsidR="00F56EA8" w:rsidRPr="00A14165" w14:paraId="7AD61D21" w14:textId="77777777" w:rsidTr="001671D7">
        <w:tc>
          <w:tcPr>
            <w:tcW w:w="685" w:type="dxa"/>
          </w:tcPr>
          <w:p w14:paraId="4DD6A230" w14:textId="03C8F735" w:rsidR="00F56EA8" w:rsidRPr="005E0738" w:rsidRDefault="00F56EA8" w:rsidP="00F56EA8">
            <w:pPr>
              <w:rPr>
                <w:rFonts w:ascii="Times New Roman" w:hAnsi="Times New Roman" w:cs="Times New Roman"/>
              </w:rPr>
            </w:pPr>
            <w:r w:rsidRPr="005E0738">
              <w:rPr>
                <w:rFonts w:ascii="Times New Roman" w:eastAsia="Times New Roman" w:hAnsi="Times New Roman" w:cs="Times New Roman"/>
              </w:rPr>
              <w:t>1.</w:t>
            </w:r>
          </w:p>
        </w:tc>
        <w:tc>
          <w:tcPr>
            <w:tcW w:w="3402" w:type="dxa"/>
          </w:tcPr>
          <w:p w14:paraId="3E18FADB" w14:textId="4FC06340" w:rsidR="00F56EA8" w:rsidRPr="00FA2523" w:rsidRDefault="00F56EA8" w:rsidP="00F56EA8">
            <w:pPr>
              <w:rPr>
                <w:rFonts w:ascii="Times New Roman" w:hAnsi="Times New Roman" w:cs="Times New Roman"/>
                <w:sz w:val="24"/>
                <w:szCs w:val="24"/>
              </w:rPr>
            </w:pPr>
            <w:r w:rsidRPr="00FA2523">
              <w:rPr>
                <w:rFonts w:ascii="Times New Roman" w:eastAsia="Times New Roman" w:hAnsi="Times New Roman" w:cs="Times New Roman"/>
                <w:sz w:val="24"/>
                <w:szCs w:val="24"/>
              </w:rPr>
              <w:t xml:space="preserve">Sabiedrības </w:t>
            </w:r>
            <w:proofErr w:type="spellStart"/>
            <w:r w:rsidRPr="00FA2523">
              <w:rPr>
                <w:rFonts w:ascii="Times New Roman" w:eastAsia="Times New Roman" w:hAnsi="Times New Roman" w:cs="Times New Roman"/>
                <w:sz w:val="24"/>
                <w:szCs w:val="24"/>
              </w:rPr>
              <w:t>mērķgrupas</w:t>
            </w:r>
            <w:proofErr w:type="spellEnd"/>
            <w:r w:rsidRPr="00FA2523">
              <w:rPr>
                <w:rFonts w:ascii="Times New Roman" w:eastAsia="Times New Roman" w:hAnsi="Times New Roman" w:cs="Times New Roman"/>
                <w:sz w:val="24"/>
                <w:szCs w:val="24"/>
              </w:rPr>
              <w:t>, kuras tiesiskais regulējums ietekmē vai varētu ietekmēt</w:t>
            </w:r>
          </w:p>
        </w:tc>
        <w:tc>
          <w:tcPr>
            <w:tcW w:w="5411" w:type="dxa"/>
          </w:tcPr>
          <w:p w14:paraId="5F5C8138" w14:textId="73AB03DA" w:rsidR="00F56EA8" w:rsidRPr="00FA2523" w:rsidRDefault="008E261C" w:rsidP="00CB2E5A">
            <w:pPr>
              <w:ind w:left="57" w:right="57"/>
              <w:jc w:val="both"/>
              <w:rPr>
                <w:rFonts w:ascii="Times New Roman" w:hAnsi="Times New Roman" w:cs="Times New Roman"/>
                <w:sz w:val="24"/>
                <w:szCs w:val="24"/>
              </w:rPr>
            </w:pPr>
            <w:r w:rsidRPr="00FA2523">
              <w:rPr>
                <w:rFonts w:ascii="Times New Roman" w:hAnsi="Times New Roman" w:cs="Times New Roman"/>
                <w:sz w:val="24"/>
                <w:szCs w:val="24"/>
              </w:rPr>
              <w:t>ES</w:t>
            </w:r>
            <w:r w:rsidR="002E2FD1" w:rsidRPr="00FA2523">
              <w:rPr>
                <w:rFonts w:ascii="Times New Roman" w:hAnsi="Times New Roman" w:cs="Times New Roman"/>
                <w:sz w:val="24"/>
                <w:szCs w:val="24"/>
              </w:rPr>
              <w:t xml:space="preserve"> fondu vadībā iesaistītās institūcijas</w:t>
            </w:r>
          </w:p>
        </w:tc>
      </w:tr>
      <w:tr w:rsidR="00F56EA8" w:rsidRPr="00A14165" w14:paraId="1FC65FAB" w14:textId="77777777" w:rsidTr="001671D7">
        <w:tc>
          <w:tcPr>
            <w:tcW w:w="685" w:type="dxa"/>
          </w:tcPr>
          <w:p w14:paraId="03286863" w14:textId="4CFF368F" w:rsidR="00F56EA8" w:rsidRPr="005E0738" w:rsidRDefault="00F56EA8" w:rsidP="00F56EA8">
            <w:pPr>
              <w:rPr>
                <w:rFonts w:ascii="Times New Roman" w:hAnsi="Times New Roman" w:cs="Times New Roman"/>
              </w:rPr>
            </w:pPr>
            <w:r w:rsidRPr="005E0738">
              <w:rPr>
                <w:rFonts w:ascii="Times New Roman" w:eastAsia="Times New Roman" w:hAnsi="Times New Roman" w:cs="Times New Roman"/>
              </w:rPr>
              <w:t>2.</w:t>
            </w:r>
          </w:p>
        </w:tc>
        <w:tc>
          <w:tcPr>
            <w:tcW w:w="3402" w:type="dxa"/>
          </w:tcPr>
          <w:p w14:paraId="403958EF" w14:textId="75DCEBC8" w:rsidR="00F56EA8" w:rsidRPr="00FA2523" w:rsidRDefault="00F56EA8" w:rsidP="00F56EA8">
            <w:pPr>
              <w:rPr>
                <w:rFonts w:ascii="Times New Roman" w:hAnsi="Times New Roman" w:cs="Times New Roman"/>
                <w:sz w:val="24"/>
                <w:szCs w:val="24"/>
              </w:rPr>
            </w:pPr>
            <w:r w:rsidRPr="00FA2523">
              <w:rPr>
                <w:rFonts w:ascii="Times New Roman" w:eastAsia="Times New Roman" w:hAnsi="Times New Roman" w:cs="Times New Roman"/>
                <w:sz w:val="24"/>
                <w:szCs w:val="24"/>
              </w:rPr>
              <w:t>Tiesiskā regulējuma ietekme uz tautsaimniecību un administratīvo slogu</w:t>
            </w:r>
          </w:p>
        </w:tc>
        <w:tc>
          <w:tcPr>
            <w:tcW w:w="5411" w:type="dxa"/>
          </w:tcPr>
          <w:p w14:paraId="150CFC62" w14:textId="59227592" w:rsidR="00DB0903" w:rsidRPr="00FA2523" w:rsidRDefault="00DB0903" w:rsidP="007C7FF8">
            <w:pPr>
              <w:shd w:val="clear" w:color="auto" w:fill="FFFFFF"/>
              <w:spacing w:after="120"/>
              <w:jc w:val="both"/>
              <w:rPr>
                <w:rFonts w:ascii="Times New Roman" w:hAnsi="Times New Roman" w:cs="Times New Roman"/>
                <w:sz w:val="24"/>
                <w:szCs w:val="24"/>
              </w:rPr>
            </w:pPr>
            <w:r w:rsidRPr="00FA2523">
              <w:rPr>
                <w:rFonts w:ascii="Times New Roman" w:hAnsi="Times New Roman" w:cs="Times New Roman"/>
                <w:sz w:val="24"/>
                <w:szCs w:val="24"/>
              </w:rPr>
              <w:t xml:space="preserve">Ņemot vērā plānotās ES fondu investīcijas 4,4 </w:t>
            </w:r>
            <w:proofErr w:type="spellStart"/>
            <w:r w:rsidRPr="00FA2523">
              <w:rPr>
                <w:rFonts w:ascii="Times New Roman" w:hAnsi="Times New Roman" w:cs="Times New Roman"/>
                <w:sz w:val="24"/>
                <w:szCs w:val="24"/>
              </w:rPr>
              <w:t>milj</w:t>
            </w:r>
            <w:r w:rsidR="00BB1C14" w:rsidRPr="00FA2523">
              <w:rPr>
                <w:rFonts w:ascii="Times New Roman" w:hAnsi="Times New Roman" w:cs="Times New Roman"/>
                <w:sz w:val="24"/>
                <w:szCs w:val="24"/>
              </w:rPr>
              <w:t>r</w:t>
            </w:r>
            <w:r w:rsidRPr="00FA2523">
              <w:rPr>
                <w:rFonts w:ascii="Times New Roman" w:hAnsi="Times New Roman" w:cs="Times New Roman"/>
                <w:sz w:val="24"/>
                <w:szCs w:val="24"/>
              </w:rPr>
              <w:t>d</w:t>
            </w:r>
            <w:proofErr w:type="spellEnd"/>
            <w:r w:rsidRPr="00FA2523">
              <w:rPr>
                <w:rFonts w:ascii="Times New Roman" w:hAnsi="Times New Roman" w:cs="Times New Roman"/>
                <w:sz w:val="24"/>
                <w:szCs w:val="24"/>
              </w:rPr>
              <w:t xml:space="preserve">. </w:t>
            </w:r>
            <w:proofErr w:type="spellStart"/>
            <w:r w:rsidRPr="00AF3EC9">
              <w:rPr>
                <w:rFonts w:ascii="Times New Roman" w:hAnsi="Times New Roman" w:cs="Times New Roman"/>
                <w:i/>
                <w:sz w:val="24"/>
                <w:szCs w:val="24"/>
              </w:rPr>
              <w:t>euro</w:t>
            </w:r>
            <w:proofErr w:type="spellEnd"/>
            <w:r w:rsidRPr="00FA2523">
              <w:rPr>
                <w:rFonts w:ascii="Times New Roman" w:hAnsi="Times New Roman" w:cs="Times New Roman"/>
                <w:sz w:val="24"/>
                <w:szCs w:val="24"/>
              </w:rPr>
              <w:t xml:space="preserve"> apmērā laika posmā no 2014. līdz 2020.gadam, tiesiskais regulējums pozitīvi ietekmēs visas tautsaimniecības jomas, jo īpaši pētniecības, informācijas komunikāciju tehnoloģiju, uzņēmējdarbības, enerģētikas, vides, transporta, nodarbinātības, sociālās iekļaušanas un izglītības jomās, kā arī minētās investīcijas veicinās teritoriju līdzsvarotu attīstību.</w:t>
            </w:r>
          </w:p>
          <w:p w14:paraId="7315A0CA" w14:textId="57BE169B" w:rsidR="00DB0903" w:rsidRPr="00FA2523" w:rsidRDefault="00DB0903" w:rsidP="00BB1C14">
            <w:pPr>
              <w:shd w:val="clear" w:color="auto" w:fill="FFFFFF"/>
              <w:spacing w:after="120"/>
              <w:jc w:val="both"/>
              <w:rPr>
                <w:rFonts w:ascii="Times New Roman" w:hAnsi="Times New Roman" w:cs="Times New Roman"/>
                <w:sz w:val="24"/>
                <w:szCs w:val="24"/>
              </w:rPr>
            </w:pPr>
            <w:r w:rsidRPr="00FA2523">
              <w:rPr>
                <w:rFonts w:ascii="Times New Roman" w:hAnsi="Times New Roman" w:cs="Times New Roman"/>
                <w:sz w:val="24"/>
                <w:szCs w:val="24"/>
              </w:rPr>
              <w:t>Noteikumu projekta ietvertais regulējums nemaina ES fondu vadībā iesaistīto institūciju un tehniskās palīdzības saņēmēju tiesības un pienākumus, kā arī veicamās darbības, tādejādi administratīvais slogs nemainās.</w:t>
            </w:r>
          </w:p>
        </w:tc>
      </w:tr>
      <w:tr w:rsidR="00F56EA8" w:rsidRPr="00A14165" w14:paraId="5905BFFD" w14:textId="77777777" w:rsidTr="001671D7">
        <w:tc>
          <w:tcPr>
            <w:tcW w:w="685" w:type="dxa"/>
          </w:tcPr>
          <w:p w14:paraId="664A2215" w14:textId="37304FEA" w:rsidR="00F56EA8" w:rsidRPr="00A67636" w:rsidRDefault="00F56EA8" w:rsidP="00F56EA8">
            <w:pPr>
              <w:rPr>
                <w:rFonts w:ascii="Times New Roman" w:hAnsi="Times New Roman" w:cs="Times New Roman"/>
              </w:rPr>
            </w:pPr>
            <w:r w:rsidRPr="00A67636">
              <w:rPr>
                <w:rFonts w:ascii="Times New Roman" w:eastAsia="Times New Roman" w:hAnsi="Times New Roman" w:cs="Times New Roman"/>
              </w:rPr>
              <w:t>3.</w:t>
            </w:r>
          </w:p>
        </w:tc>
        <w:tc>
          <w:tcPr>
            <w:tcW w:w="3402" w:type="dxa"/>
          </w:tcPr>
          <w:p w14:paraId="450A6322" w14:textId="537691EF" w:rsidR="00F56EA8" w:rsidRPr="00FA2523" w:rsidRDefault="00F56EA8" w:rsidP="00F56EA8">
            <w:pPr>
              <w:rPr>
                <w:rFonts w:ascii="Times New Roman" w:hAnsi="Times New Roman" w:cs="Times New Roman"/>
                <w:sz w:val="24"/>
                <w:szCs w:val="24"/>
              </w:rPr>
            </w:pPr>
            <w:r w:rsidRPr="00FA2523">
              <w:rPr>
                <w:rFonts w:ascii="Times New Roman" w:eastAsia="Times New Roman" w:hAnsi="Times New Roman" w:cs="Times New Roman"/>
                <w:sz w:val="24"/>
                <w:szCs w:val="24"/>
              </w:rPr>
              <w:t>Administratīvo izmaksu monetārs novērtējums</w:t>
            </w:r>
          </w:p>
        </w:tc>
        <w:tc>
          <w:tcPr>
            <w:tcW w:w="5411" w:type="dxa"/>
          </w:tcPr>
          <w:p w14:paraId="3A89F195" w14:textId="49807932" w:rsidR="00F56EA8" w:rsidRPr="00FA2523" w:rsidRDefault="00D3560F" w:rsidP="008E441B">
            <w:pPr>
              <w:jc w:val="both"/>
              <w:rPr>
                <w:rFonts w:ascii="Times New Roman" w:hAnsi="Times New Roman" w:cs="Times New Roman"/>
                <w:sz w:val="24"/>
                <w:szCs w:val="24"/>
              </w:rPr>
            </w:pPr>
            <w:r w:rsidRPr="00FA2523">
              <w:rPr>
                <w:rFonts w:ascii="Times New Roman" w:hAnsi="Times New Roman" w:cs="Times New Roman"/>
                <w:sz w:val="24"/>
                <w:szCs w:val="24"/>
              </w:rPr>
              <w:t>Nav attiecināms</w:t>
            </w:r>
          </w:p>
        </w:tc>
      </w:tr>
      <w:tr w:rsidR="00F56EA8" w:rsidRPr="00BD19AE" w14:paraId="735418E3" w14:textId="77777777" w:rsidTr="001671D7">
        <w:tc>
          <w:tcPr>
            <w:tcW w:w="685" w:type="dxa"/>
          </w:tcPr>
          <w:p w14:paraId="4CA3251A" w14:textId="5CECBF14" w:rsidR="00F56EA8" w:rsidRPr="00BD19AE" w:rsidRDefault="00F56EA8" w:rsidP="00F56EA8">
            <w:pPr>
              <w:rPr>
                <w:rFonts w:ascii="Times New Roman" w:hAnsi="Times New Roman" w:cs="Times New Roman"/>
                <w:sz w:val="24"/>
                <w:szCs w:val="24"/>
              </w:rPr>
            </w:pPr>
            <w:r w:rsidRPr="00BD19AE">
              <w:rPr>
                <w:rFonts w:ascii="Times New Roman" w:eastAsia="Times New Roman" w:hAnsi="Times New Roman" w:cs="Times New Roman"/>
                <w:sz w:val="24"/>
                <w:szCs w:val="24"/>
              </w:rPr>
              <w:t>4.</w:t>
            </w:r>
          </w:p>
        </w:tc>
        <w:tc>
          <w:tcPr>
            <w:tcW w:w="3402" w:type="dxa"/>
          </w:tcPr>
          <w:p w14:paraId="29D32845" w14:textId="016B5283" w:rsidR="00F56EA8" w:rsidRPr="00FA2523" w:rsidRDefault="00F56EA8" w:rsidP="00F56EA8">
            <w:pPr>
              <w:rPr>
                <w:rFonts w:ascii="Times New Roman" w:hAnsi="Times New Roman" w:cs="Times New Roman"/>
                <w:sz w:val="24"/>
                <w:szCs w:val="24"/>
              </w:rPr>
            </w:pPr>
            <w:r w:rsidRPr="00FA2523">
              <w:rPr>
                <w:rFonts w:ascii="Times New Roman" w:eastAsia="Times New Roman" w:hAnsi="Times New Roman" w:cs="Times New Roman"/>
                <w:sz w:val="24"/>
                <w:szCs w:val="24"/>
              </w:rPr>
              <w:t>Cita informācija</w:t>
            </w:r>
          </w:p>
        </w:tc>
        <w:tc>
          <w:tcPr>
            <w:tcW w:w="5411" w:type="dxa"/>
          </w:tcPr>
          <w:p w14:paraId="24BCA008" w14:textId="2AEBF5C8" w:rsidR="00F56EA8" w:rsidRPr="00FA2523" w:rsidRDefault="00331BC9" w:rsidP="008E261C">
            <w:pPr>
              <w:jc w:val="both"/>
              <w:rPr>
                <w:rFonts w:ascii="Times New Roman" w:hAnsi="Times New Roman" w:cs="Times New Roman"/>
                <w:sz w:val="24"/>
                <w:szCs w:val="24"/>
              </w:rPr>
            </w:pPr>
            <w:r w:rsidRPr="00FA2523">
              <w:rPr>
                <w:rFonts w:ascii="Times New Roman" w:hAnsi="Times New Roman" w:cs="Times New Roman"/>
                <w:sz w:val="24"/>
                <w:szCs w:val="24"/>
              </w:rPr>
              <w:t>Nav attiecināms</w:t>
            </w:r>
          </w:p>
        </w:tc>
      </w:tr>
    </w:tbl>
    <w:p w14:paraId="09B4F9D1" w14:textId="268D1724" w:rsidR="00FA1208" w:rsidRPr="00BD19AE" w:rsidRDefault="002E2FD1" w:rsidP="00171D36">
      <w:pPr>
        <w:spacing w:after="0" w:line="240" w:lineRule="auto"/>
        <w:rPr>
          <w:rFonts w:ascii="Times New Roman" w:hAnsi="Times New Roman" w:cs="Times New Roman"/>
          <w:sz w:val="24"/>
          <w:szCs w:val="24"/>
        </w:rPr>
      </w:pPr>
      <w:r w:rsidRPr="00BD19AE">
        <w:rPr>
          <w:rFonts w:ascii="Times New Roman" w:hAnsi="Times New Roman" w:cs="Times New Roman"/>
          <w:sz w:val="24"/>
          <w:szCs w:val="24"/>
        </w:rPr>
        <w:t xml:space="preserve"> </w:t>
      </w:r>
    </w:p>
    <w:tbl>
      <w:tblPr>
        <w:tblW w:w="9498" w:type="dxa"/>
        <w:tblInd w:w="300"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709"/>
        <w:gridCol w:w="929"/>
        <w:gridCol w:w="1746"/>
        <w:gridCol w:w="727"/>
        <w:gridCol w:w="478"/>
        <w:gridCol w:w="1164"/>
        <w:gridCol w:w="3745"/>
      </w:tblGrid>
      <w:tr w:rsidR="00D13B93" w:rsidRPr="00BD19AE" w14:paraId="157F4536" w14:textId="77777777" w:rsidTr="00AA1969">
        <w:tc>
          <w:tcPr>
            <w:tcW w:w="9498" w:type="dxa"/>
            <w:gridSpan w:val="7"/>
            <w:tcBorders>
              <w:top w:val="outset" w:sz="6" w:space="0" w:color="auto"/>
              <w:left w:val="outset" w:sz="6" w:space="0" w:color="auto"/>
              <w:bottom w:val="outset" w:sz="6" w:space="0" w:color="auto"/>
              <w:right w:val="outset" w:sz="6" w:space="0" w:color="auto"/>
            </w:tcBorders>
            <w:vAlign w:val="center"/>
          </w:tcPr>
          <w:p w14:paraId="0E595E31" w14:textId="677B3984" w:rsidR="00D13B93" w:rsidRPr="00BD19AE" w:rsidRDefault="00D13B93" w:rsidP="00D13B93">
            <w:pPr>
              <w:spacing w:after="0" w:line="240" w:lineRule="auto"/>
              <w:jc w:val="center"/>
              <w:rPr>
                <w:rFonts w:ascii="Times New Roman" w:hAnsi="Times New Roman" w:cs="Times New Roman"/>
                <w:b/>
                <w:sz w:val="24"/>
                <w:szCs w:val="24"/>
              </w:rPr>
            </w:pPr>
            <w:r w:rsidRPr="00BD19AE">
              <w:rPr>
                <w:rFonts w:ascii="Times New Roman" w:hAnsi="Times New Roman" w:cs="Times New Roman"/>
                <w:b/>
                <w:sz w:val="24"/>
                <w:szCs w:val="24"/>
              </w:rPr>
              <w:t>V. Tiesību akta projekta atbilstība Latvijas Republikas starptautiskajām saistībām</w:t>
            </w:r>
          </w:p>
        </w:tc>
      </w:tr>
      <w:tr w:rsidR="00D13B93" w:rsidRPr="00BD19AE" w14:paraId="4CA438AA" w14:textId="77777777" w:rsidTr="00AA1969">
        <w:tc>
          <w:tcPr>
            <w:tcW w:w="709" w:type="dxa"/>
            <w:tcBorders>
              <w:top w:val="outset" w:sz="6" w:space="0" w:color="auto"/>
              <w:left w:val="outset" w:sz="6" w:space="0" w:color="auto"/>
              <w:bottom w:val="outset" w:sz="6" w:space="0" w:color="auto"/>
              <w:right w:val="outset" w:sz="6" w:space="0" w:color="auto"/>
            </w:tcBorders>
          </w:tcPr>
          <w:p w14:paraId="4E8EE010" w14:textId="77777777" w:rsidR="00D13B93" w:rsidRPr="00BD19AE" w:rsidRDefault="00D13B93" w:rsidP="00D13B93">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1.</w:t>
            </w:r>
          </w:p>
        </w:tc>
        <w:tc>
          <w:tcPr>
            <w:tcW w:w="3402" w:type="dxa"/>
            <w:gridSpan w:val="3"/>
            <w:tcBorders>
              <w:top w:val="outset" w:sz="6" w:space="0" w:color="auto"/>
              <w:left w:val="outset" w:sz="6" w:space="0" w:color="auto"/>
              <w:bottom w:val="outset" w:sz="6" w:space="0" w:color="auto"/>
              <w:right w:val="outset" w:sz="6" w:space="0" w:color="auto"/>
            </w:tcBorders>
          </w:tcPr>
          <w:p w14:paraId="5A36AF89" w14:textId="77777777" w:rsidR="00D13B93" w:rsidRPr="00BD19AE" w:rsidRDefault="00D13B93" w:rsidP="00D13B93">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Saistības pret Eiropas Savienību</w:t>
            </w:r>
          </w:p>
        </w:tc>
        <w:tc>
          <w:tcPr>
            <w:tcW w:w="5387" w:type="dxa"/>
            <w:gridSpan w:val="3"/>
            <w:tcBorders>
              <w:top w:val="outset" w:sz="6" w:space="0" w:color="auto"/>
              <w:left w:val="outset" w:sz="6" w:space="0" w:color="auto"/>
              <w:bottom w:val="outset" w:sz="6" w:space="0" w:color="auto"/>
              <w:right w:val="outset" w:sz="6" w:space="0" w:color="auto"/>
            </w:tcBorders>
          </w:tcPr>
          <w:p w14:paraId="7EF8FFEB" w14:textId="097034AE" w:rsidR="00D13B93" w:rsidRPr="00BD19AE" w:rsidRDefault="00D13B93" w:rsidP="00D13B93">
            <w:pPr>
              <w:spacing w:after="0" w:line="240" w:lineRule="auto"/>
              <w:contextualSpacing/>
              <w:jc w:val="both"/>
              <w:rPr>
                <w:rFonts w:ascii="Times New Roman" w:hAnsi="Times New Roman" w:cs="Times New Roman"/>
                <w:noProof/>
                <w:snapToGrid w:val="0"/>
                <w:sz w:val="24"/>
                <w:szCs w:val="24"/>
              </w:rPr>
            </w:pPr>
            <w:r w:rsidRPr="00BD19AE">
              <w:rPr>
                <w:rFonts w:ascii="Times New Roman" w:hAnsi="Times New Roman" w:cs="Times New Roman"/>
                <w:sz w:val="24"/>
                <w:szCs w:val="24"/>
              </w:rPr>
              <w:t xml:space="preserve">Eiropas Parlamenta un Padomes 2013.gada 17.decembra regula (ES) Nr.1303/2013, </w:t>
            </w:r>
            <w:r w:rsidRPr="00BD19AE">
              <w:rPr>
                <w:rFonts w:ascii="Times New Roman" w:hAnsi="Times New Roman" w:cs="Times New Roman"/>
                <w:noProof/>
                <w:snapToGrid w:val="0"/>
                <w:sz w:val="24"/>
                <w:szCs w:val="24"/>
              </w:rPr>
              <w:t xml:space="preserve">ar ko paredz </w:t>
            </w:r>
            <w:r w:rsidRPr="00BD19AE">
              <w:rPr>
                <w:rFonts w:ascii="Times New Roman" w:hAnsi="Times New Roman" w:cs="Times New Roman"/>
                <w:noProof/>
                <w:snapToGrid w:val="0"/>
                <w:sz w:val="24"/>
                <w:szCs w:val="24"/>
              </w:rPr>
              <w:lastRenderedPageBreak/>
              <w:t>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sidR="008D4D8F">
              <w:rPr>
                <w:rFonts w:ascii="Times New Roman" w:hAnsi="Times New Roman" w:cs="Times New Roman"/>
                <w:noProof/>
                <w:snapToGrid w:val="0"/>
                <w:sz w:val="24"/>
                <w:szCs w:val="24"/>
              </w:rPr>
              <w:t>n atceļ Padomes Regulu (EK) Nr.</w:t>
            </w:r>
            <w:r w:rsidRPr="00BD19AE">
              <w:rPr>
                <w:rFonts w:ascii="Times New Roman" w:hAnsi="Times New Roman" w:cs="Times New Roman"/>
                <w:noProof/>
                <w:snapToGrid w:val="0"/>
                <w:sz w:val="24"/>
                <w:szCs w:val="24"/>
              </w:rPr>
              <w:t>1083/2006</w:t>
            </w:r>
            <w:r w:rsidR="008E261C" w:rsidRPr="00BD19AE">
              <w:rPr>
                <w:rFonts w:ascii="Times New Roman" w:hAnsi="Times New Roman" w:cs="Times New Roman"/>
                <w:noProof/>
                <w:snapToGrid w:val="0"/>
                <w:sz w:val="24"/>
                <w:szCs w:val="24"/>
              </w:rPr>
              <w:t>.</w:t>
            </w:r>
          </w:p>
          <w:p w14:paraId="317EE2D1" w14:textId="77777777" w:rsidR="00D13B93" w:rsidRPr="00BD19AE" w:rsidRDefault="00D13B93" w:rsidP="00D13B93">
            <w:pPr>
              <w:spacing w:after="0" w:line="240" w:lineRule="auto"/>
              <w:ind w:left="57"/>
              <w:jc w:val="both"/>
              <w:rPr>
                <w:rFonts w:ascii="Times New Roman" w:hAnsi="Times New Roman" w:cs="Times New Roman"/>
                <w:noProof/>
                <w:snapToGrid w:val="0"/>
                <w:sz w:val="24"/>
                <w:szCs w:val="24"/>
              </w:rPr>
            </w:pPr>
          </w:p>
          <w:p w14:paraId="2EBE1123" w14:textId="7E0D49A8" w:rsidR="00D13B93" w:rsidRPr="00BD19AE" w:rsidRDefault="00D13B93" w:rsidP="00C3198A">
            <w:pPr>
              <w:spacing w:after="0" w:line="240" w:lineRule="auto"/>
              <w:ind w:left="57"/>
              <w:jc w:val="both"/>
              <w:rPr>
                <w:rFonts w:ascii="Times New Roman" w:hAnsi="Times New Roman" w:cs="Times New Roman"/>
                <w:noProof/>
                <w:snapToGrid w:val="0"/>
                <w:sz w:val="24"/>
                <w:szCs w:val="24"/>
              </w:rPr>
            </w:pPr>
            <w:r w:rsidRPr="00BD19AE">
              <w:rPr>
                <w:rFonts w:ascii="Times New Roman" w:hAnsi="Times New Roman" w:cs="Times New Roman"/>
                <w:noProof/>
                <w:snapToGrid w:val="0"/>
                <w:sz w:val="24"/>
                <w:szCs w:val="24"/>
              </w:rPr>
              <w:t>Regulā nav noteikts termiņš, kādā jāpieņem nacionālie normatīvie akti ES fondu ieviešanai.</w:t>
            </w:r>
          </w:p>
        </w:tc>
      </w:tr>
      <w:tr w:rsidR="00D13B93" w:rsidRPr="00BD19AE" w14:paraId="1F1C862A" w14:textId="77777777" w:rsidTr="00AA1969">
        <w:tc>
          <w:tcPr>
            <w:tcW w:w="709" w:type="dxa"/>
            <w:tcBorders>
              <w:top w:val="outset" w:sz="6" w:space="0" w:color="auto"/>
              <w:left w:val="outset" w:sz="6" w:space="0" w:color="auto"/>
              <w:bottom w:val="outset" w:sz="6" w:space="0" w:color="auto"/>
              <w:right w:val="outset" w:sz="6" w:space="0" w:color="auto"/>
            </w:tcBorders>
          </w:tcPr>
          <w:p w14:paraId="531EC080" w14:textId="77777777" w:rsidR="00D13B93" w:rsidRPr="00BD19AE" w:rsidRDefault="00D13B93" w:rsidP="00D13B93">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lastRenderedPageBreak/>
              <w:t>2.</w:t>
            </w:r>
          </w:p>
        </w:tc>
        <w:tc>
          <w:tcPr>
            <w:tcW w:w="3402" w:type="dxa"/>
            <w:gridSpan w:val="3"/>
            <w:tcBorders>
              <w:top w:val="outset" w:sz="6" w:space="0" w:color="auto"/>
              <w:left w:val="outset" w:sz="6" w:space="0" w:color="auto"/>
              <w:bottom w:val="outset" w:sz="6" w:space="0" w:color="auto"/>
              <w:right w:val="outset" w:sz="6" w:space="0" w:color="auto"/>
            </w:tcBorders>
          </w:tcPr>
          <w:p w14:paraId="5DCBDA2C" w14:textId="77777777" w:rsidR="00D13B93" w:rsidRPr="00BD19AE" w:rsidRDefault="00D13B93" w:rsidP="00D13B93">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Citas starptautiskās saistības</w:t>
            </w:r>
          </w:p>
        </w:tc>
        <w:tc>
          <w:tcPr>
            <w:tcW w:w="5387" w:type="dxa"/>
            <w:gridSpan w:val="3"/>
            <w:tcBorders>
              <w:top w:val="outset" w:sz="6" w:space="0" w:color="auto"/>
              <w:left w:val="outset" w:sz="6" w:space="0" w:color="auto"/>
              <w:bottom w:val="outset" w:sz="6" w:space="0" w:color="auto"/>
              <w:right w:val="outset" w:sz="6" w:space="0" w:color="auto"/>
            </w:tcBorders>
          </w:tcPr>
          <w:p w14:paraId="707DA47F" w14:textId="77777777" w:rsidR="00D13B93" w:rsidRPr="00BD19AE" w:rsidRDefault="00D13B93" w:rsidP="00D13B93">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Nav</w:t>
            </w:r>
          </w:p>
        </w:tc>
      </w:tr>
      <w:tr w:rsidR="00D13B93" w:rsidRPr="00BD19AE" w14:paraId="414A3DB5" w14:textId="77777777" w:rsidTr="00AA1969">
        <w:tc>
          <w:tcPr>
            <w:tcW w:w="709" w:type="dxa"/>
            <w:tcBorders>
              <w:top w:val="outset" w:sz="6" w:space="0" w:color="auto"/>
              <w:left w:val="outset" w:sz="6" w:space="0" w:color="auto"/>
              <w:bottom w:val="outset" w:sz="6" w:space="0" w:color="auto"/>
              <w:right w:val="outset" w:sz="6" w:space="0" w:color="auto"/>
            </w:tcBorders>
          </w:tcPr>
          <w:p w14:paraId="2453ADA2" w14:textId="77777777" w:rsidR="00D13B93" w:rsidRPr="00BD19AE" w:rsidRDefault="00D13B93" w:rsidP="00D13B93">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3.</w:t>
            </w:r>
          </w:p>
        </w:tc>
        <w:tc>
          <w:tcPr>
            <w:tcW w:w="3402" w:type="dxa"/>
            <w:gridSpan w:val="3"/>
            <w:tcBorders>
              <w:top w:val="outset" w:sz="6" w:space="0" w:color="auto"/>
              <w:left w:val="outset" w:sz="6" w:space="0" w:color="auto"/>
              <w:bottom w:val="outset" w:sz="6" w:space="0" w:color="auto"/>
              <w:right w:val="outset" w:sz="6" w:space="0" w:color="auto"/>
            </w:tcBorders>
          </w:tcPr>
          <w:p w14:paraId="3938F86B" w14:textId="77777777" w:rsidR="00D13B93" w:rsidRPr="00BD19AE" w:rsidRDefault="00D13B93" w:rsidP="00D13B93">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Cita informācija</w:t>
            </w:r>
          </w:p>
        </w:tc>
        <w:tc>
          <w:tcPr>
            <w:tcW w:w="5387" w:type="dxa"/>
            <w:gridSpan w:val="3"/>
            <w:tcBorders>
              <w:top w:val="outset" w:sz="6" w:space="0" w:color="auto"/>
              <w:left w:val="outset" w:sz="6" w:space="0" w:color="auto"/>
              <w:bottom w:val="outset" w:sz="6" w:space="0" w:color="auto"/>
              <w:right w:val="outset" w:sz="6" w:space="0" w:color="auto"/>
            </w:tcBorders>
          </w:tcPr>
          <w:p w14:paraId="599EEF2C" w14:textId="77777777" w:rsidR="00D13B93" w:rsidRPr="00BD19AE" w:rsidRDefault="00D13B93" w:rsidP="00D13B93">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Nav</w:t>
            </w:r>
          </w:p>
        </w:tc>
      </w:tr>
      <w:tr w:rsidR="00D13B93" w:rsidRPr="00BD19AE" w14:paraId="06FCA876" w14:textId="77777777" w:rsidTr="00AA1969">
        <w:tc>
          <w:tcPr>
            <w:tcW w:w="9498" w:type="dxa"/>
            <w:gridSpan w:val="7"/>
            <w:tcBorders>
              <w:top w:val="outset" w:sz="6" w:space="0" w:color="auto"/>
              <w:left w:val="outset" w:sz="6" w:space="0" w:color="auto"/>
              <w:bottom w:val="outset" w:sz="6" w:space="0" w:color="auto"/>
              <w:right w:val="outset" w:sz="6" w:space="0" w:color="auto"/>
            </w:tcBorders>
            <w:vAlign w:val="center"/>
          </w:tcPr>
          <w:p w14:paraId="582E109C" w14:textId="77777777" w:rsidR="00D13B93" w:rsidRPr="00BD19AE" w:rsidRDefault="00D13B93" w:rsidP="00D13B93">
            <w:pPr>
              <w:spacing w:after="0" w:line="240" w:lineRule="auto"/>
              <w:ind w:left="57"/>
              <w:jc w:val="center"/>
              <w:rPr>
                <w:rFonts w:ascii="Times New Roman" w:hAnsi="Times New Roman" w:cs="Times New Roman"/>
                <w:b/>
                <w:sz w:val="24"/>
                <w:szCs w:val="24"/>
              </w:rPr>
            </w:pPr>
            <w:r w:rsidRPr="00BD19AE">
              <w:rPr>
                <w:rFonts w:ascii="Times New Roman" w:hAnsi="Times New Roman" w:cs="Times New Roman"/>
                <w:b/>
                <w:sz w:val="24"/>
                <w:szCs w:val="24"/>
              </w:rPr>
              <w:t>1.tabula</w:t>
            </w:r>
          </w:p>
          <w:p w14:paraId="7A4011ED" w14:textId="77777777" w:rsidR="00D13B93" w:rsidRPr="00BD19AE" w:rsidRDefault="00D13B93" w:rsidP="00D13B93">
            <w:pPr>
              <w:spacing w:after="0" w:line="240" w:lineRule="auto"/>
              <w:ind w:left="57"/>
              <w:jc w:val="center"/>
              <w:rPr>
                <w:rFonts w:ascii="Times New Roman" w:hAnsi="Times New Roman" w:cs="Times New Roman"/>
                <w:sz w:val="24"/>
                <w:szCs w:val="24"/>
              </w:rPr>
            </w:pPr>
            <w:r w:rsidRPr="00BD19AE">
              <w:rPr>
                <w:rFonts w:ascii="Times New Roman" w:hAnsi="Times New Roman" w:cs="Times New Roman"/>
                <w:b/>
                <w:sz w:val="24"/>
                <w:szCs w:val="24"/>
              </w:rPr>
              <w:t>Tiesību akta projekta atbilstība ES tiesību aktiem</w:t>
            </w:r>
          </w:p>
        </w:tc>
      </w:tr>
      <w:tr w:rsidR="00D13B93" w:rsidRPr="00BD19AE" w14:paraId="0B314C12"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25D777FB" w14:textId="77777777" w:rsidR="00D13B93" w:rsidRPr="00BD19AE" w:rsidRDefault="00D13B93" w:rsidP="00D13B93">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Attiecīgā ES tiesību akta datums, numurs un nosaukums</w:t>
            </w:r>
          </w:p>
        </w:tc>
        <w:tc>
          <w:tcPr>
            <w:tcW w:w="7860" w:type="dxa"/>
            <w:gridSpan w:val="5"/>
            <w:tcBorders>
              <w:top w:val="outset" w:sz="6" w:space="0" w:color="auto"/>
              <w:left w:val="outset" w:sz="6" w:space="0" w:color="auto"/>
              <w:bottom w:val="outset" w:sz="6" w:space="0" w:color="auto"/>
              <w:right w:val="outset" w:sz="6" w:space="0" w:color="auto"/>
            </w:tcBorders>
          </w:tcPr>
          <w:p w14:paraId="5622AC1A" w14:textId="446E9B80" w:rsidR="00D13B93" w:rsidRPr="00BD19AE" w:rsidRDefault="00D13B93" w:rsidP="00D13B93">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 xml:space="preserve">Eiropas Parlamenta un Padomes 2013.gada 17.decembra regula (ES) Nr.1303/2013, </w:t>
            </w:r>
            <w:r w:rsidRPr="00BD19AE">
              <w:rPr>
                <w:rFonts w:ascii="Times New Roman" w:hAnsi="Times New Roman" w:cs="Times New Roman"/>
                <w:noProof/>
                <w:snapToGrid w:val="0"/>
                <w:sz w:val="24"/>
                <w:szCs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sidR="008D4D8F">
              <w:rPr>
                <w:rFonts w:ascii="Times New Roman" w:hAnsi="Times New Roman" w:cs="Times New Roman"/>
                <w:noProof/>
                <w:snapToGrid w:val="0"/>
                <w:sz w:val="24"/>
                <w:szCs w:val="24"/>
              </w:rPr>
              <w:t>n atceļ Padomes Regulu (EK) Nr.</w:t>
            </w:r>
            <w:r w:rsidRPr="00BD19AE">
              <w:rPr>
                <w:rFonts w:ascii="Times New Roman" w:hAnsi="Times New Roman" w:cs="Times New Roman"/>
                <w:noProof/>
                <w:snapToGrid w:val="0"/>
                <w:sz w:val="24"/>
                <w:szCs w:val="24"/>
              </w:rPr>
              <w:t>1083/2006</w:t>
            </w:r>
          </w:p>
        </w:tc>
      </w:tr>
      <w:tr w:rsidR="00D13B93" w:rsidRPr="00BD19AE" w14:paraId="7DD86884" w14:textId="77777777" w:rsidTr="00AA1969">
        <w:tc>
          <w:tcPr>
            <w:tcW w:w="1638" w:type="dxa"/>
            <w:gridSpan w:val="2"/>
            <w:tcBorders>
              <w:top w:val="outset" w:sz="6" w:space="0" w:color="auto"/>
              <w:left w:val="outset" w:sz="6" w:space="0" w:color="auto"/>
              <w:bottom w:val="outset" w:sz="6" w:space="0" w:color="auto"/>
              <w:right w:val="outset" w:sz="6" w:space="0" w:color="auto"/>
            </w:tcBorders>
            <w:vAlign w:val="center"/>
          </w:tcPr>
          <w:p w14:paraId="7D401438" w14:textId="77777777" w:rsidR="00D13B93" w:rsidRPr="00BD19AE" w:rsidRDefault="00D13B93" w:rsidP="00D13B93">
            <w:pPr>
              <w:spacing w:after="0" w:line="240" w:lineRule="auto"/>
              <w:ind w:left="57"/>
              <w:jc w:val="center"/>
              <w:rPr>
                <w:rFonts w:ascii="Times New Roman" w:hAnsi="Times New Roman" w:cs="Times New Roman"/>
                <w:sz w:val="24"/>
                <w:szCs w:val="24"/>
              </w:rPr>
            </w:pPr>
            <w:r w:rsidRPr="00BD19AE">
              <w:rPr>
                <w:rFonts w:ascii="Times New Roman" w:hAnsi="Times New Roman" w:cs="Times New Roman"/>
                <w:sz w:val="24"/>
                <w:szCs w:val="24"/>
              </w:rPr>
              <w:t>A</w:t>
            </w:r>
          </w:p>
        </w:tc>
        <w:tc>
          <w:tcPr>
            <w:tcW w:w="1746" w:type="dxa"/>
            <w:tcBorders>
              <w:top w:val="outset" w:sz="6" w:space="0" w:color="auto"/>
              <w:left w:val="outset" w:sz="6" w:space="0" w:color="auto"/>
              <w:bottom w:val="outset" w:sz="6" w:space="0" w:color="auto"/>
              <w:right w:val="outset" w:sz="6" w:space="0" w:color="auto"/>
            </w:tcBorders>
            <w:vAlign w:val="center"/>
          </w:tcPr>
          <w:p w14:paraId="1E54A5B3" w14:textId="77777777" w:rsidR="00D13B93" w:rsidRPr="00BD19AE" w:rsidRDefault="00D13B93" w:rsidP="00D13B93">
            <w:pPr>
              <w:spacing w:after="0" w:line="240" w:lineRule="auto"/>
              <w:ind w:left="57"/>
              <w:jc w:val="center"/>
              <w:rPr>
                <w:rFonts w:ascii="Times New Roman" w:hAnsi="Times New Roman" w:cs="Times New Roman"/>
                <w:sz w:val="24"/>
                <w:szCs w:val="24"/>
              </w:rPr>
            </w:pPr>
            <w:r w:rsidRPr="00BD19AE">
              <w:rPr>
                <w:rFonts w:ascii="Times New Roman" w:hAnsi="Times New Roman" w:cs="Times New Roman"/>
                <w:sz w:val="24"/>
                <w:szCs w:val="24"/>
              </w:rPr>
              <w:t>B</w:t>
            </w:r>
          </w:p>
        </w:tc>
        <w:tc>
          <w:tcPr>
            <w:tcW w:w="2369" w:type="dxa"/>
            <w:gridSpan w:val="3"/>
            <w:tcBorders>
              <w:top w:val="outset" w:sz="6" w:space="0" w:color="auto"/>
              <w:left w:val="outset" w:sz="6" w:space="0" w:color="auto"/>
              <w:bottom w:val="outset" w:sz="6" w:space="0" w:color="auto"/>
              <w:right w:val="outset" w:sz="6" w:space="0" w:color="auto"/>
            </w:tcBorders>
            <w:vAlign w:val="center"/>
          </w:tcPr>
          <w:p w14:paraId="30659986" w14:textId="77777777" w:rsidR="00D13B93" w:rsidRPr="00BD19AE" w:rsidRDefault="00D13B93" w:rsidP="00D13B93">
            <w:pPr>
              <w:spacing w:after="0" w:line="240" w:lineRule="auto"/>
              <w:ind w:left="57"/>
              <w:jc w:val="center"/>
              <w:rPr>
                <w:rFonts w:ascii="Times New Roman" w:hAnsi="Times New Roman" w:cs="Times New Roman"/>
                <w:sz w:val="24"/>
                <w:szCs w:val="24"/>
              </w:rPr>
            </w:pPr>
            <w:r w:rsidRPr="00BD19AE">
              <w:rPr>
                <w:rFonts w:ascii="Times New Roman" w:hAnsi="Times New Roman" w:cs="Times New Roman"/>
                <w:sz w:val="24"/>
                <w:szCs w:val="24"/>
              </w:rPr>
              <w:t>C</w:t>
            </w:r>
          </w:p>
        </w:tc>
        <w:tc>
          <w:tcPr>
            <w:tcW w:w="3745" w:type="dxa"/>
            <w:tcBorders>
              <w:top w:val="outset" w:sz="6" w:space="0" w:color="auto"/>
              <w:left w:val="outset" w:sz="6" w:space="0" w:color="auto"/>
              <w:bottom w:val="outset" w:sz="6" w:space="0" w:color="auto"/>
              <w:right w:val="outset" w:sz="6" w:space="0" w:color="auto"/>
            </w:tcBorders>
            <w:vAlign w:val="center"/>
          </w:tcPr>
          <w:p w14:paraId="44BF66D2" w14:textId="77777777" w:rsidR="00D13B93" w:rsidRPr="00BD19AE" w:rsidRDefault="00D13B93" w:rsidP="00D13B93">
            <w:pPr>
              <w:spacing w:after="0" w:line="240" w:lineRule="auto"/>
              <w:ind w:left="57"/>
              <w:jc w:val="center"/>
              <w:rPr>
                <w:rFonts w:ascii="Times New Roman" w:hAnsi="Times New Roman" w:cs="Times New Roman"/>
                <w:sz w:val="24"/>
                <w:szCs w:val="24"/>
              </w:rPr>
            </w:pPr>
            <w:r w:rsidRPr="00BD19AE">
              <w:rPr>
                <w:rFonts w:ascii="Times New Roman" w:hAnsi="Times New Roman" w:cs="Times New Roman"/>
                <w:sz w:val="24"/>
                <w:szCs w:val="24"/>
              </w:rPr>
              <w:t>D</w:t>
            </w:r>
          </w:p>
        </w:tc>
      </w:tr>
      <w:tr w:rsidR="00D13B93" w:rsidRPr="00BD19AE" w14:paraId="462DD117"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722E952C" w14:textId="62977BD3" w:rsidR="00D13B93" w:rsidRPr="00BD19AE" w:rsidRDefault="00D13B93"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pacing w:val="-3"/>
                <w:sz w:val="24"/>
                <w:szCs w:val="24"/>
              </w:rPr>
              <w:t>Attiecīgā ES tiesību akta panta numurs (uzskaitot katru tiesību akta vienību – pantu, daļu, punktu, apakšpunktu)</w:t>
            </w:r>
          </w:p>
        </w:tc>
        <w:tc>
          <w:tcPr>
            <w:tcW w:w="1746" w:type="dxa"/>
            <w:tcBorders>
              <w:top w:val="outset" w:sz="6" w:space="0" w:color="auto"/>
              <w:left w:val="outset" w:sz="6" w:space="0" w:color="auto"/>
              <w:bottom w:val="outset" w:sz="6" w:space="0" w:color="auto"/>
              <w:right w:val="outset" w:sz="6" w:space="0" w:color="auto"/>
            </w:tcBorders>
          </w:tcPr>
          <w:p w14:paraId="001DB7B1" w14:textId="1998BED6" w:rsidR="00D13B93" w:rsidRPr="00BD19AE" w:rsidRDefault="00D13B93"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pacing w:val="-3"/>
                <w:sz w:val="24"/>
                <w:szCs w:val="24"/>
              </w:rPr>
              <w:t>Projekta vienība, kas pārņem vai ievieš katru šīs tabulas A ailē minēto ES tiesību akta vienību, vai tiesību akts</w:t>
            </w:r>
            <w:r w:rsidR="00AA1969">
              <w:rPr>
                <w:rFonts w:ascii="Times New Roman" w:hAnsi="Times New Roman" w:cs="Times New Roman"/>
                <w:spacing w:val="-3"/>
                <w:sz w:val="24"/>
                <w:szCs w:val="24"/>
              </w:rPr>
              <w:t xml:space="preserve">, kur attiecīgā ES tiesību akta </w:t>
            </w:r>
            <w:r w:rsidRPr="00BD19AE">
              <w:rPr>
                <w:rFonts w:ascii="Times New Roman" w:hAnsi="Times New Roman" w:cs="Times New Roman"/>
                <w:spacing w:val="-3"/>
                <w:sz w:val="24"/>
                <w:szCs w:val="24"/>
              </w:rPr>
              <w:t>vienība pārņemta vai ieviesta</w:t>
            </w:r>
            <w:r w:rsidR="004A0EFE">
              <w:rPr>
                <w:rFonts w:ascii="Times New Roman" w:hAnsi="Times New Roman" w:cs="Times New Roman"/>
                <w:spacing w:val="-3"/>
                <w:sz w:val="24"/>
                <w:szCs w:val="24"/>
              </w:rPr>
              <w:t>.</w:t>
            </w:r>
          </w:p>
        </w:tc>
        <w:tc>
          <w:tcPr>
            <w:tcW w:w="2369" w:type="dxa"/>
            <w:gridSpan w:val="3"/>
            <w:tcBorders>
              <w:top w:val="outset" w:sz="6" w:space="0" w:color="auto"/>
              <w:left w:val="outset" w:sz="6" w:space="0" w:color="auto"/>
              <w:bottom w:val="outset" w:sz="6" w:space="0" w:color="auto"/>
              <w:right w:val="outset" w:sz="6" w:space="0" w:color="auto"/>
            </w:tcBorders>
          </w:tcPr>
          <w:p w14:paraId="0F1CBAC6" w14:textId="77777777" w:rsidR="00D13B93" w:rsidRPr="00BD19AE" w:rsidRDefault="00D13B93"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pacing w:val="-3"/>
                <w:sz w:val="24"/>
                <w:szCs w:val="24"/>
              </w:rPr>
              <w:t>Informācija par to, vai šīs tabulas A ailē minētās ES tiesību akta vienības tiek pārņemtas vai ieviestas pilnībā vai daļēji.</w:t>
            </w:r>
          </w:p>
          <w:p w14:paraId="5C35FD9E" w14:textId="77777777" w:rsidR="00D13B93" w:rsidRPr="00BD19AE" w:rsidRDefault="00D13B93"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1E4F8DBE" w14:textId="24D8DD16" w:rsidR="00D13B93" w:rsidRPr="00BD19AE" w:rsidRDefault="00D13B93"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pacing w:val="-3"/>
                <w:sz w:val="24"/>
                <w:szCs w:val="24"/>
              </w:rPr>
              <w:t>Norāda institūciju, kas ir atbildīga par šo saistību izpildi pilnībā</w:t>
            </w:r>
            <w:r w:rsidR="004A0EFE">
              <w:rPr>
                <w:rFonts w:ascii="Times New Roman" w:hAnsi="Times New Roman" w:cs="Times New Roman"/>
                <w:spacing w:val="-3"/>
                <w:sz w:val="24"/>
                <w:szCs w:val="24"/>
              </w:rPr>
              <w:t>.</w:t>
            </w:r>
          </w:p>
        </w:tc>
        <w:tc>
          <w:tcPr>
            <w:tcW w:w="3745" w:type="dxa"/>
            <w:tcBorders>
              <w:top w:val="outset" w:sz="6" w:space="0" w:color="auto"/>
              <w:left w:val="outset" w:sz="6" w:space="0" w:color="auto"/>
              <w:bottom w:val="outset" w:sz="6" w:space="0" w:color="auto"/>
              <w:right w:val="outset" w:sz="6" w:space="0" w:color="auto"/>
            </w:tcBorders>
          </w:tcPr>
          <w:p w14:paraId="6CFD7AED" w14:textId="77777777" w:rsidR="00D13B93" w:rsidRPr="00BD19AE" w:rsidRDefault="00D13B93" w:rsidP="00AA1969">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pacing w:val="-3"/>
                <w:sz w:val="24"/>
                <w:szCs w:val="24"/>
              </w:rPr>
              <w:t xml:space="preserve">Informācija par to, vai šīs </w:t>
            </w:r>
            <w:r w:rsidRPr="00BD19AE">
              <w:rPr>
                <w:rFonts w:ascii="Times New Roman" w:hAnsi="Times New Roman" w:cs="Times New Roman"/>
                <w:sz w:val="24"/>
                <w:szCs w:val="24"/>
              </w:rPr>
              <w:t>tabulas B ailē minētās projekta vienības paredz stingrākas prasības nekā šīs tabulas A ailē minētās ES tiesību akta vienības.</w:t>
            </w:r>
          </w:p>
          <w:p w14:paraId="5361CC2F" w14:textId="77777777" w:rsidR="00D13B93" w:rsidRPr="00BD19AE" w:rsidRDefault="00D13B93" w:rsidP="00AA1969">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Ja projekts satur stingrā</w:t>
            </w:r>
            <w:r w:rsidRPr="00BD19AE">
              <w:rPr>
                <w:rFonts w:ascii="Times New Roman" w:hAnsi="Times New Roman" w:cs="Times New Roman"/>
                <w:sz w:val="24"/>
                <w:szCs w:val="24"/>
              </w:rPr>
              <w:softHyphen/>
              <w:t>kas prasības nekā attie</w:t>
            </w:r>
            <w:r w:rsidRPr="00BD19AE">
              <w:rPr>
                <w:rFonts w:ascii="Times New Roman" w:hAnsi="Times New Roman" w:cs="Times New Roman"/>
                <w:sz w:val="24"/>
                <w:szCs w:val="24"/>
              </w:rPr>
              <w:softHyphen/>
              <w:t>cīgais ES tiesību akts, norāda pamatojumu un samērīgumu.</w:t>
            </w:r>
          </w:p>
          <w:p w14:paraId="69E30B1A" w14:textId="2EA64AA4" w:rsidR="00D13B93" w:rsidRPr="00BD19AE" w:rsidRDefault="00D13B93"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BD19AE">
              <w:rPr>
                <w:rFonts w:ascii="Times New Roman" w:hAnsi="Times New Roman" w:cs="Times New Roman"/>
                <w:spacing w:val="-3"/>
                <w:sz w:val="24"/>
                <w:szCs w:val="24"/>
              </w:rPr>
              <w:t xml:space="preserve"> noteikšanas, nekā paredzēts attiecīgajos ES tiesību aktos</w:t>
            </w:r>
            <w:r w:rsidR="004A0EFE">
              <w:rPr>
                <w:rFonts w:ascii="Times New Roman" w:hAnsi="Times New Roman" w:cs="Times New Roman"/>
                <w:spacing w:val="-3"/>
                <w:sz w:val="24"/>
                <w:szCs w:val="24"/>
              </w:rPr>
              <w:t>.</w:t>
            </w:r>
          </w:p>
        </w:tc>
      </w:tr>
      <w:tr w:rsidR="00D13B93" w:rsidRPr="00BD19AE" w14:paraId="48545441"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66BB47BB" w14:textId="70216140" w:rsidR="00D13B93" w:rsidRPr="00BD19AE" w:rsidRDefault="00176624" w:rsidP="00176624">
            <w:pPr>
              <w:spacing w:after="0" w:line="240" w:lineRule="auto"/>
              <w:ind w:left="57"/>
              <w:rPr>
                <w:rFonts w:ascii="Times New Roman" w:hAnsi="Times New Roman" w:cs="Times New Roman"/>
                <w:spacing w:val="-2"/>
                <w:sz w:val="24"/>
                <w:szCs w:val="24"/>
              </w:rPr>
            </w:pPr>
            <w:r w:rsidRPr="00BD19AE">
              <w:rPr>
                <w:rFonts w:ascii="Times New Roman" w:hAnsi="Times New Roman" w:cs="Times New Roman"/>
                <w:sz w:val="24"/>
                <w:szCs w:val="24"/>
              </w:rPr>
              <w:t>Regula</w:t>
            </w:r>
            <w:r w:rsidR="00D13B93" w:rsidRPr="00BD19AE">
              <w:rPr>
                <w:rFonts w:ascii="Times New Roman" w:hAnsi="Times New Roman" w:cs="Times New Roman"/>
                <w:sz w:val="24"/>
                <w:szCs w:val="24"/>
              </w:rPr>
              <w:t xml:space="preserve"> </w:t>
            </w:r>
            <w:r w:rsidR="008A23A9" w:rsidRPr="00BD19AE">
              <w:rPr>
                <w:rFonts w:ascii="Times New Roman" w:hAnsi="Times New Roman" w:cs="Times New Roman"/>
                <w:sz w:val="24"/>
                <w:szCs w:val="24"/>
              </w:rPr>
              <w:t xml:space="preserve">Nr.1303/2013 </w:t>
            </w:r>
          </w:p>
        </w:tc>
        <w:tc>
          <w:tcPr>
            <w:tcW w:w="1746" w:type="dxa"/>
            <w:tcBorders>
              <w:top w:val="outset" w:sz="6" w:space="0" w:color="auto"/>
              <w:left w:val="outset" w:sz="6" w:space="0" w:color="auto"/>
              <w:bottom w:val="outset" w:sz="6" w:space="0" w:color="auto"/>
              <w:right w:val="outset" w:sz="6" w:space="0" w:color="auto"/>
            </w:tcBorders>
          </w:tcPr>
          <w:p w14:paraId="39BBABBF" w14:textId="1895346B" w:rsidR="00B92F86" w:rsidRPr="00BD19AE" w:rsidRDefault="00AE66FF" w:rsidP="008A23A9">
            <w:pPr>
              <w:spacing w:after="0" w:line="240" w:lineRule="auto"/>
              <w:ind w:left="57"/>
              <w:rPr>
                <w:rFonts w:ascii="Times New Roman" w:hAnsi="Times New Roman" w:cs="Times New Roman"/>
                <w:spacing w:val="-2"/>
                <w:sz w:val="24"/>
                <w:szCs w:val="24"/>
              </w:rPr>
            </w:pPr>
            <w:r>
              <w:rPr>
                <w:rFonts w:ascii="Times New Roman" w:hAnsi="Times New Roman" w:cs="Times New Roman"/>
                <w:spacing w:val="-2"/>
                <w:sz w:val="24"/>
                <w:szCs w:val="24"/>
              </w:rPr>
              <w:t>N/A</w:t>
            </w:r>
          </w:p>
        </w:tc>
        <w:tc>
          <w:tcPr>
            <w:tcW w:w="2369" w:type="dxa"/>
            <w:gridSpan w:val="3"/>
            <w:tcBorders>
              <w:top w:val="outset" w:sz="6" w:space="0" w:color="auto"/>
              <w:left w:val="outset" w:sz="6" w:space="0" w:color="auto"/>
              <w:bottom w:val="outset" w:sz="6" w:space="0" w:color="auto"/>
              <w:right w:val="outset" w:sz="6" w:space="0" w:color="auto"/>
            </w:tcBorders>
          </w:tcPr>
          <w:p w14:paraId="6FB89DEB" w14:textId="2F08A2F8" w:rsidR="00D13B93" w:rsidRPr="00BD19AE" w:rsidRDefault="001A5E56" w:rsidP="00AA1969">
            <w:pPr>
              <w:spacing w:after="0" w:line="240" w:lineRule="auto"/>
              <w:ind w:left="57"/>
              <w:jc w:val="both"/>
              <w:rPr>
                <w:rFonts w:ascii="Times New Roman" w:hAnsi="Times New Roman" w:cs="Times New Roman"/>
                <w:spacing w:val="-2"/>
                <w:sz w:val="24"/>
                <w:szCs w:val="24"/>
              </w:rPr>
            </w:pPr>
            <w:r w:rsidRPr="00BD19AE">
              <w:rPr>
                <w:rFonts w:ascii="Times New Roman" w:hAnsi="Times New Roman" w:cs="Times New Roman"/>
                <w:spacing w:val="-2"/>
                <w:sz w:val="24"/>
                <w:szCs w:val="24"/>
              </w:rPr>
              <w:t>MK noteikumu proj</w:t>
            </w:r>
            <w:r w:rsidR="00176624" w:rsidRPr="00BD19AE">
              <w:rPr>
                <w:rFonts w:ascii="Times New Roman" w:hAnsi="Times New Roman" w:cs="Times New Roman"/>
                <w:spacing w:val="-2"/>
                <w:sz w:val="24"/>
                <w:szCs w:val="24"/>
              </w:rPr>
              <w:t xml:space="preserve">ektā </w:t>
            </w:r>
            <w:r w:rsidR="00AE66FF">
              <w:rPr>
                <w:rFonts w:ascii="Times New Roman" w:hAnsi="Times New Roman" w:cs="Times New Roman"/>
                <w:spacing w:val="-2"/>
                <w:sz w:val="24"/>
                <w:szCs w:val="24"/>
              </w:rPr>
              <w:t xml:space="preserve">nav </w:t>
            </w:r>
            <w:r w:rsidR="00176624" w:rsidRPr="00BD19AE">
              <w:rPr>
                <w:rFonts w:ascii="Times New Roman" w:hAnsi="Times New Roman" w:cs="Times New Roman"/>
                <w:spacing w:val="-2"/>
                <w:sz w:val="24"/>
                <w:szCs w:val="24"/>
              </w:rPr>
              <w:t>ietverta atsauce uz regulu</w:t>
            </w:r>
            <w:r w:rsidRPr="00BD19AE">
              <w:rPr>
                <w:rFonts w:ascii="Times New Roman" w:hAnsi="Times New Roman" w:cs="Times New Roman"/>
                <w:spacing w:val="-2"/>
                <w:sz w:val="24"/>
                <w:szCs w:val="24"/>
              </w:rPr>
              <w:t>.</w:t>
            </w:r>
          </w:p>
        </w:tc>
        <w:tc>
          <w:tcPr>
            <w:tcW w:w="3745" w:type="dxa"/>
            <w:tcBorders>
              <w:top w:val="outset" w:sz="6" w:space="0" w:color="auto"/>
              <w:left w:val="outset" w:sz="6" w:space="0" w:color="auto"/>
              <w:bottom w:val="outset" w:sz="6" w:space="0" w:color="auto"/>
              <w:right w:val="outset" w:sz="6" w:space="0" w:color="auto"/>
            </w:tcBorders>
          </w:tcPr>
          <w:p w14:paraId="188F30EB" w14:textId="3C8A5184" w:rsidR="00D13B93" w:rsidRPr="00BD19AE" w:rsidRDefault="00D13B93" w:rsidP="00AA1969">
            <w:pPr>
              <w:spacing w:after="0" w:line="240" w:lineRule="auto"/>
              <w:ind w:left="57"/>
              <w:jc w:val="both"/>
              <w:rPr>
                <w:rFonts w:ascii="Times New Roman" w:hAnsi="Times New Roman" w:cs="Times New Roman"/>
                <w:spacing w:val="-2"/>
                <w:sz w:val="24"/>
                <w:szCs w:val="24"/>
              </w:rPr>
            </w:pPr>
            <w:r w:rsidRPr="00BD19AE">
              <w:rPr>
                <w:rFonts w:ascii="Times New Roman" w:hAnsi="Times New Roman" w:cs="Times New Roman"/>
                <w:spacing w:val="-2"/>
                <w:sz w:val="24"/>
                <w:szCs w:val="24"/>
              </w:rPr>
              <w:t>MK noteikumu projekts neparedz stingrākas prasības</w:t>
            </w:r>
            <w:r w:rsidR="004A0EFE">
              <w:rPr>
                <w:rFonts w:ascii="Times New Roman" w:hAnsi="Times New Roman" w:cs="Times New Roman"/>
                <w:spacing w:val="-2"/>
                <w:sz w:val="24"/>
                <w:szCs w:val="24"/>
              </w:rPr>
              <w:t>.</w:t>
            </w:r>
          </w:p>
        </w:tc>
      </w:tr>
      <w:tr w:rsidR="00C3198A" w:rsidRPr="00BD19AE" w14:paraId="235CDF34"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157B29FF" w14:textId="77777777" w:rsidR="00C3198A" w:rsidRPr="00BD19AE" w:rsidRDefault="00C3198A"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pacing w:val="-3"/>
                <w:sz w:val="24"/>
                <w:szCs w:val="24"/>
              </w:rPr>
              <w:lastRenderedPageBreak/>
              <w:t>Kā ir izmantota ES tiesību aktā paredzētā rīcības brīvība dalīb</w:t>
            </w:r>
            <w:r w:rsidRPr="00BD19AE">
              <w:rPr>
                <w:rFonts w:ascii="Times New Roman" w:hAnsi="Times New Roman" w:cs="Times New Roman"/>
                <w:spacing w:val="-3"/>
                <w:sz w:val="24"/>
                <w:szCs w:val="24"/>
              </w:rPr>
              <w:softHyphen/>
              <w:t>valstij pārņemt vai ieviest noteiktas ES tiesību akta normas?</w:t>
            </w:r>
          </w:p>
          <w:p w14:paraId="3106E6B7" w14:textId="77777777" w:rsidR="00C3198A" w:rsidRPr="00BD19AE" w:rsidRDefault="00C3198A"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pacing w:val="-3"/>
                <w:sz w:val="24"/>
                <w:szCs w:val="24"/>
              </w:rPr>
              <w:t>Kādēļ?</w:t>
            </w:r>
          </w:p>
        </w:tc>
        <w:tc>
          <w:tcPr>
            <w:tcW w:w="7860" w:type="dxa"/>
            <w:gridSpan w:val="5"/>
            <w:tcBorders>
              <w:top w:val="outset" w:sz="6" w:space="0" w:color="auto"/>
              <w:left w:val="outset" w:sz="6" w:space="0" w:color="auto"/>
              <w:bottom w:val="outset" w:sz="6" w:space="0" w:color="auto"/>
              <w:right w:val="outset" w:sz="6" w:space="0" w:color="auto"/>
            </w:tcBorders>
          </w:tcPr>
          <w:p w14:paraId="70CDD477" w14:textId="77777777" w:rsidR="00C3198A" w:rsidRPr="00BD19AE" w:rsidRDefault="00C3198A" w:rsidP="00C3198A">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Projekts šo jomu neskar.</w:t>
            </w:r>
          </w:p>
        </w:tc>
      </w:tr>
      <w:tr w:rsidR="00C3198A" w:rsidRPr="00BD19AE" w14:paraId="794D5261"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3CEB9F0A" w14:textId="216609ED" w:rsidR="00C3198A" w:rsidRPr="00BD19AE" w:rsidRDefault="00C3198A" w:rsidP="00AA1969">
            <w:pPr>
              <w:spacing w:after="0" w:line="240" w:lineRule="auto"/>
              <w:ind w:left="57"/>
              <w:jc w:val="both"/>
              <w:rPr>
                <w:rFonts w:ascii="Times New Roman" w:hAnsi="Times New Roman" w:cs="Times New Roman"/>
                <w:spacing w:val="-3"/>
                <w:sz w:val="24"/>
                <w:szCs w:val="24"/>
              </w:rPr>
            </w:pPr>
            <w:r w:rsidRPr="00BD19AE">
              <w:rPr>
                <w:rFonts w:ascii="Times New Roman" w:hAnsi="Times New Roman" w:cs="Times New Roman"/>
                <w:spacing w:val="-4"/>
                <w:sz w:val="24"/>
                <w:szCs w:val="24"/>
              </w:rPr>
              <w:t>Saistības sniegt paziņojumu ES insti</w:t>
            </w:r>
            <w:r w:rsidRPr="00BD19AE">
              <w:rPr>
                <w:rFonts w:ascii="Times New Roman" w:hAnsi="Times New Roman" w:cs="Times New Roman"/>
                <w:spacing w:val="-4"/>
                <w:sz w:val="24"/>
                <w:szCs w:val="24"/>
              </w:rPr>
              <w:softHyphen/>
              <w:t>tūcijām un ES dalībvalstīm atbilstoši normatīvajiem aktiem, kas regulē informā</w:t>
            </w:r>
            <w:r w:rsidRPr="00BD19AE">
              <w:rPr>
                <w:rFonts w:ascii="Times New Roman" w:hAnsi="Times New Roman" w:cs="Times New Roman"/>
                <w:spacing w:val="-4"/>
                <w:sz w:val="24"/>
                <w:szCs w:val="24"/>
              </w:rPr>
              <w:softHyphen/>
              <w:t>cijas sniegšanu par tehnisko noteikumu, valsts atbalsta piešķir</w:t>
            </w:r>
            <w:r w:rsidRPr="00BD19AE">
              <w:rPr>
                <w:rFonts w:ascii="Times New Roman" w:hAnsi="Times New Roman" w:cs="Times New Roman"/>
                <w:spacing w:val="-4"/>
                <w:sz w:val="24"/>
                <w:szCs w:val="24"/>
              </w:rPr>
              <w:softHyphen/>
              <w:t>šanas un finanšu noteikumu (attiecībā uz monetāro politiku) projektiem</w:t>
            </w:r>
          </w:p>
        </w:tc>
        <w:tc>
          <w:tcPr>
            <w:tcW w:w="7860" w:type="dxa"/>
            <w:gridSpan w:val="5"/>
            <w:tcBorders>
              <w:top w:val="outset" w:sz="6" w:space="0" w:color="auto"/>
              <w:left w:val="outset" w:sz="6" w:space="0" w:color="auto"/>
              <w:bottom w:val="outset" w:sz="6" w:space="0" w:color="auto"/>
              <w:right w:val="outset" w:sz="6" w:space="0" w:color="auto"/>
            </w:tcBorders>
          </w:tcPr>
          <w:p w14:paraId="3641119C" w14:textId="77777777" w:rsidR="00C3198A" w:rsidRPr="00BD19AE" w:rsidRDefault="00C3198A" w:rsidP="00C3198A">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Projekts šo jomu neskar.</w:t>
            </w:r>
          </w:p>
        </w:tc>
      </w:tr>
      <w:tr w:rsidR="00C3198A" w:rsidRPr="00BD19AE" w14:paraId="00773FFC"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265E42BC" w14:textId="77777777" w:rsidR="00C3198A" w:rsidRPr="00BD19AE" w:rsidRDefault="00C3198A" w:rsidP="00C3198A">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Cita informācija</w:t>
            </w:r>
          </w:p>
        </w:tc>
        <w:tc>
          <w:tcPr>
            <w:tcW w:w="7860" w:type="dxa"/>
            <w:gridSpan w:val="5"/>
            <w:tcBorders>
              <w:top w:val="outset" w:sz="6" w:space="0" w:color="auto"/>
              <w:left w:val="outset" w:sz="6" w:space="0" w:color="auto"/>
              <w:bottom w:val="outset" w:sz="6" w:space="0" w:color="auto"/>
              <w:right w:val="outset" w:sz="6" w:space="0" w:color="auto"/>
            </w:tcBorders>
          </w:tcPr>
          <w:p w14:paraId="0932E491" w14:textId="77777777" w:rsidR="00C3198A" w:rsidRPr="00BD19AE" w:rsidRDefault="00C3198A" w:rsidP="00C3198A">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Nav</w:t>
            </w:r>
          </w:p>
        </w:tc>
      </w:tr>
      <w:tr w:rsidR="00C3198A" w:rsidRPr="00BD19AE" w14:paraId="5F6D49AA" w14:textId="77777777" w:rsidTr="00AA1969">
        <w:tc>
          <w:tcPr>
            <w:tcW w:w="9498" w:type="dxa"/>
            <w:gridSpan w:val="7"/>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DE4796" w14:textId="77777777" w:rsidR="00C3198A" w:rsidRPr="00BD19AE" w:rsidRDefault="00C3198A" w:rsidP="00C3198A">
            <w:pPr>
              <w:spacing w:after="0" w:line="240" w:lineRule="auto"/>
              <w:ind w:left="57"/>
              <w:rPr>
                <w:rFonts w:ascii="Times New Roman" w:hAnsi="Times New Roman" w:cs="Times New Roman"/>
                <w:sz w:val="24"/>
                <w:szCs w:val="24"/>
              </w:rPr>
            </w:pPr>
          </w:p>
        </w:tc>
      </w:tr>
      <w:tr w:rsidR="00C3198A" w:rsidRPr="00BD19AE" w14:paraId="22649EA8" w14:textId="77777777" w:rsidTr="00AA1969">
        <w:tc>
          <w:tcPr>
            <w:tcW w:w="9498" w:type="dxa"/>
            <w:gridSpan w:val="7"/>
            <w:tcBorders>
              <w:top w:val="outset" w:sz="6" w:space="0" w:color="auto"/>
              <w:left w:val="outset" w:sz="6" w:space="0" w:color="auto"/>
              <w:bottom w:val="outset" w:sz="6" w:space="0" w:color="auto"/>
              <w:right w:val="outset" w:sz="6" w:space="0" w:color="auto"/>
            </w:tcBorders>
            <w:vAlign w:val="center"/>
          </w:tcPr>
          <w:p w14:paraId="5C697E68" w14:textId="77777777" w:rsidR="00C3198A" w:rsidRPr="00BD19AE" w:rsidRDefault="00C3198A" w:rsidP="00C3198A">
            <w:pPr>
              <w:spacing w:after="0" w:line="240" w:lineRule="auto"/>
              <w:ind w:left="57"/>
              <w:jc w:val="center"/>
              <w:rPr>
                <w:rFonts w:ascii="Times New Roman" w:hAnsi="Times New Roman" w:cs="Times New Roman"/>
                <w:b/>
                <w:sz w:val="24"/>
                <w:szCs w:val="24"/>
              </w:rPr>
            </w:pPr>
            <w:r w:rsidRPr="00BD19AE">
              <w:rPr>
                <w:rFonts w:ascii="Times New Roman" w:hAnsi="Times New Roman" w:cs="Times New Roman"/>
                <w:b/>
                <w:sz w:val="24"/>
                <w:szCs w:val="24"/>
              </w:rPr>
              <w:t>2.tabula</w:t>
            </w:r>
          </w:p>
          <w:p w14:paraId="562337B8" w14:textId="77777777" w:rsidR="00C3198A" w:rsidRPr="00BD19AE" w:rsidRDefault="00C3198A" w:rsidP="00C3198A">
            <w:pPr>
              <w:spacing w:after="0" w:line="240" w:lineRule="auto"/>
              <w:ind w:left="57"/>
              <w:jc w:val="center"/>
              <w:rPr>
                <w:rFonts w:ascii="Times New Roman" w:hAnsi="Times New Roman" w:cs="Times New Roman"/>
                <w:b/>
                <w:sz w:val="24"/>
                <w:szCs w:val="24"/>
              </w:rPr>
            </w:pPr>
            <w:r w:rsidRPr="00BD19AE">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01D62D1" w14:textId="77777777" w:rsidR="00C3198A" w:rsidRPr="00BD19AE" w:rsidRDefault="00C3198A" w:rsidP="00C3198A">
            <w:pPr>
              <w:spacing w:after="0" w:line="240" w:lineRule="auto"/>
              <w:ind w:left="57"/>
              <w:jc w:val="center"/>
              <w:rPr>
                <w:rFonts w:ascii="Times New Roman" w:hAnsi="Times New Roman" w:cs="Times New Roman"/>
                <w:b/>
                <w:sz w:val="24"/>
                <w:szCs w:val="24"/>
              </w:rPr>
            </w:pPr>
            <w:r w:rsidRPr="00BD19AE">
              <w:rPr>
                <w:rFonts w:ascii="Times New Roman" w:hAnsi="Times New Roman" w:cs="Times New Roman"/>
                <w:b/>
                <w:sz w:val="24"/>
                <w:szCs w:val="24"/>
              </w:rPr>
              <w:t>Pasākumi šo saistību izpildei</w:t>
            </w:r>
          </w:p>
        </w:tc>
      </w:tr>
      <w:tr w:rsidR="00C3198A" w:rsidRPr="00BD19AE" w14:paraId="3396AE96" w14:textId="77777777" w:rsidTr="00AA1969">
        <w:tc>
          <w:tcPr>
            <w:tcW w:w="1638" w:type="dxa"/>
            <w:gridSpan w:val="2"/>
            <w:tcBorders>
              <w:top w:val="outset" w:sz="6" w:space="0" w:color="auto"/>
              <w:left w:val="outset" w:sz="6" w:space="0" w:color="auto"/>
              <w:bottom w:val="outset" w:sz="6" w:space="0" w:color="auto"/>
              <w:right w:val="outset" w:sz="6" w:space="0" w:color="auto"/>
            </w:tcBorders>
            <w:vAlign w:val="center"/>
          </w:tcPr>
          <w:p w14:paraId="09274563" w14:textId="77777777" w:rsidR="00C3198A" w:rsidRPr="00BD19AE" w:rsidRDefault="00C3198A" w:rsidP="00AA1969">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 xml:space="preserve">Attiecīgā starptautiskā tiesību akta vai starptautiskas institūcijas vai organizācijas dokumenta (turpmāk – starptautiskais dokuments) </w:t>
            </w:r>
            <w:r w:rsidRPr="00BD19AE">
              <w:rPr>
                <w:rFonts w:ascii="Times New Roman" w:hAnsi="Times New Roman" w:cs="Times New Roman"/>
                <w:sz w:val="24"/>
                <w:szCs w:val="24"/>
              </w:rPr>
              <w:lastRenderedPageBreak/>
              <w:t>datums, numurs un nosaukums</w:t>
            </w:r>
          </w:p>
        </w:tc>
        <w:tc>
          <w:tcPr>
            <w:tcW w:w="7860" w:type="dxa"/>
            <w:gridSpan w:val="5"/>
            <w:tcBorders>
              <w:top w:val="outset" w:sz="6" w:space="0" w:color="auto"/>
              <w:left w:val="outset" w:sz="6" w:space="0" w:color="auto"/>
              <w:bottom w:val="outset" w:sz="6" w:space="0" w:color="auto"/>
              <w:right w:val="outset" w:sz="6" w:space="0" w:color="auto"/>
            </w:tcBorders>
          </w:tcPr>
          <w:p w14:paraId="429D9CD7" w14:textId="77777777" w:rsidR="00C3198A" w:rsidRPr="00BD19AE" w:rsidRDefault="00C3198A" w:rsidP="00C3198A">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lastRenderedPageBreak/>
              <w:t>Projekts šo jomu neskar.</w:t>
            </w:r>
          </w:p>
        </w:tc>
      </w:tr>
      <w:tr w:rsidR="00C3198A" w:rsidRPr="00BD19AE" w14:paraId="7D45489F" w14:textId="77777777" w:rsidTr="00AA1969">
        <w:tc>
          <w:tcPr>
            <w:tcW w:w="1638" w:type="dxa"/>
            <w:gridSpan w:val="2"/>
            <w:tcBorders>
              <w:top w:val="outset" w:sz="6" w:space="0" w:color="auto"/>
              <w:left w:val="outset" w:sz="6" w:space="0" w:color="auto"/>
              <w:bottom w:val="outset" w:sz="6" w:space="0" w:color="auto"/>
              <w:right w:val="outset" w:sz="6" w:space="0" w:color="auto"/>
            </w:tcBorders>
            <w:vAlign w:val="center"/>
          </w:tcPr>
          <w:p w14:paraId="36B47919" w14:textId="77777777" w:rsidR="00C3198A" w:rsidRPr="00BD19AE" w:rsidRDefault="00C3198A" w:rsidP="00C3198A">
            <w:pPr>
              <w:spacing w:after="0" w:line="240" w:lineRule="auto"/>
              <w:ind w:left="57"/>
              <w:jc w:val="center"/>
              <w:rPr>
                <w:rFonts w:ascii="Times New Roman" w:hAnsi="Times New Roman" w:cs="Times New Roman"/>
                <w:sz w:val="24"/>
                <w:szCs w:val="24"/>
              </w:rPr>
            </w:pPr>
            <w:r w:rsidRPr="00BD19AE">
              <w:rPr>
                <w:rFonts w:ascii="Times New Roman" w:hAnsi="Times New Roman" w:cs="Times New Roman"/>
                <w:sz w:val="24"/>
                <w:szCs w:val="24"/>
              </w:rPr>
              <w:lastRenderedPageBreak/>
              <w:t>A</w:t>
            </w:r>
          </w:p>
        </w:tc>
        <w:tc>
          <w:tcPr>
            <w:tcW w:w="2951" w:type="dxa"/>
            <w:gridSpan w:val="3"/>
            <w:tcBorders>
              <w:top w:val="outset" w:sz="6" w:space="0" w:color="auto"/>
              <w:left w:val="outset" w:sz="6" w:space="0" w:color="auto"/>
              <w:bottom w:val="outset" w:sz="6" w:space="0" w:color="auto"/>
              <w:right w:val="outset" w:sz="6" w:space="0" w:color="auto"/>
            </w:tcBorders>
            <w:vAlign w:val="center"/>
          </w:tcPr>
          <w:p w14:paraId="44968E4C" w14:textId="77777777" w:rsidR="00C3198A" w:rsidRPr="00BD19AE" w:rsidRDefault="00C3198A" w:rsidP="00C3198A">
            <w:pPr>
              <w:spacing w:after="0" w:line="240" w:lineRule="auto"/>
              <w:ind w:left="57"/>
              <w:jc w:val="center"/>
              <w:rPr>
                <w:rFonts w:ascii="Times New Roman" w:hAnsi="Times New Roman" w:cs="Times New Roman"/>
                <w:sz w:val="24"/>
                <w:szCs w:val="24"/>
              </w:rPr>
            </w:pPr>
            <w:r w:rsidRPr="00BD19AE">
              <w:rPr>
                <w:rFonts w:ascii="Times New Roman" w:hAnsi="Times New Roman" w:cs="Times New Roman"/>
                <w:sz w:val="24"/>
                <w:szCs w:val="24"/>
              </w:rPr>
              <w:t>B</w:t>
            </w:r>
          </w:p>
        </w:tc>
        <w:tc>
          <w:tcPr>
            <w:tcW w:w="4909" w:type="dxa"/>
            <w:gridSpan w:val="2"/>
            <w:tcBorders>
              <w:top w:val="outset" w:sz="6" w:space="0" w:color="auto"/>
              <w:left w:val="outset" w:sz="6" w:space="0" w:color="auto"/>
              <w:bottom w:val="outset" w:sz="6" w:space="0" w:color="auto"/>
              <w:right w:val="outset" w:sz="6" w:space="0" w:color="auto"/>
            </w:tcBorders>
            <w:vAlign w:val="center"/>
          </w:tcPr>
          <w:p w14:paraId="5EDDC7C2" w14:textId="77777777" w:rsidR="00C3198A" w:rsidRPr="00BD19AE" w:rsidRDefault="00C3198A" w:rsidP="00C3198A">
            <w:pPr>
              <w:spacing w:after="0" w:line="240" w:lineRule="auto"/>
              <w:ind w:left="57"/>
              <w:jc w:val="center"/>
              <w:rPr>
                <w:rFonts w:ascii="Times New Roman" w:hAnsi="Times New Roman" w:cs="Times New Roman"/>
                <w:sz w:val="24"/>
                <w:szCs w:val="24"/>
              </w:rPr>
            </w:pPr>
            <w:r w:rsidRPr="00BD19AE">
              <w:rPr>
                <w:rFonts w:ascii="Times New Roman" w:hAnsi="Times New Roman" w:cs="Times New Roman"/>
                <w:sz w:val="24"/>
                <w:szCs w:val="24"/>
              </w:rPr>
              <w:t>C</w:t>
            </w:r>
          </w:p>
        </w:tc>
      </w:tr>
      <w:tr w:rsidR="00C3198A" w:rsidRPr="00BD19AE" w14:paraId="21BB0232"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65FFF239" w14:textId="5AD1D64F" w:rsidR="00C3198A" w:rsidRPr="00BD19AE" w:rsidRDefault="00C3198A" w:rsidP="00AA1969">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 xml:space="preserve">Starptautiskās saistības (pēc </w:t>
            </w:r>
            <w:r w:rsidR="00AA1969">
              <w:rPr>
                <w:rFonts w:ascii="Times New Roman" w:hAnsi="Times New Roman" w:cs="Times New Roman"/>
                <w:sz w:val="24"/>
                <w:szCs w:val="24"/>
              </w:rPr>
              <w:t xml:space="preserve">būtības), kas izriet no </w:t>
            </w:r>
            <w:r w:rsidRPr="00BD19AE">
              <w:rPr>
                <w:rFonts w:ascii="Times New Roman" w:hAnsi="Times New Roman" w:cs="Times New Roman"/>
                <w:sz w:val="24"/>
                <w:szCs w:val="24"/>
              </w:rPr>
              <w:t>norādītā starptautis</w:t>
            </w:r>
            <w:r w:rsidRPr="00BD19AE">
              <w:rPr>
                <w:rFonts w:ascii="Times New Roman" w:hAnsi="Times New Roman" w:cs="Times New Roman"/>
                <w:sz w:val="24"/>
                <w:szCs w:val="24"/>
              </w:rPr>
              <w:softHyphen/>
              <w:t>kā dokumenta.</w:t>
            </w:r>
          </w:p>
          <w:p w14:paraId="26FC554B" w14:textId="77777777" w:rsidR="00C3198A" w:rsidRPr="00BD19AE" w:rsidRDefault="00C3198A" w:rsidP="00AA1969">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Konkrēti veicamie pasākumi vai uzdevumi, kas nepieciešami šo starptautisko saistību izpildei</w:t>
            </w:r>
          </w:p>
        </w:tc>
        <w:tc>
          <w:tcPr>
            <w:tcW w:w="2951" w:type="dxa"/>
            <w:gridSpan w:val="3"/>
            <w:tcBorders>
              <w:top w:val="outset" w:sz="6" w:space="0" w:color="auto"/>
              <w:left w:val="outset" w:sz="6" w:space="0" w:color="auto"/>
              <w:bottom w:val="outset" w:sz="6" w:space="0" w:color="auto"/>
              <w:right w:val="outset" w:sz="6" w:space="0" w:color="auto"/>
            </w:tcBorders>
          </w:tcPr>
          <w:p w14:paraId="3960D6E5" w14:textId="77777777" w:rsidR="00C3198A" w:rsidRPr="00BD19AE" w:rsidRDefault="00C3198A" w:rsidP="00AA1969">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909" w:type="dxa"/>
            <w:gridSpan w:val="2"/>
            <w:tcBorders>
              <w:top w:val="outset" w:sz="6" w:space="0" w:color="auto"/>
              <w:left w:val="outset" w:sz="6" w:space="0" w:color="auto"/>
              <w:bottom w:val="outset" w:sz="6" w:space="0" w:color="auto"/>
              <w:right w:val="outset" w:sz="6" w:space="0" w:color="auto"/>
            </w:tcBorders>
          </w:tcPr>
          <w:p w14:paraId="5320CEF4" w14:textId="77777777" w:rsidR="00C3198A" w:rsidRPr="00BD19AE" w:rsidRDefault="00C3198A" w:rsidP="00AA1969">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Informācija par to, vai starptautiskās saistības, kas minētas šīs tabulas A ailē, tiek izpildītas pilnībā vai daļēji.</w:t>
            </w:r>
          </w:p>
          <w:p w14:paraId="2CB05696" w14:textId="77777777" w:rsidR="00C3198A" w:rsidRPr="00BD19AE" w:rsidRDefault="00C3198A" w:rsidP="00AA1969">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3F67A35" w14:textId="77777777" w:rsidR="00C3198A" w:rsidRPr="00BD19AE" w:rsidRDefault="00C3198A" w:rsidP="00AA1969">
            <w:pPr>
              <w:spacing w:after="0" w:line="240" w:lineRule="auto"/>
              <w:ind w:left="57" w:right="57"/>
              <w:jc w:val="both"/>
              <w:rPr>
                <w:rFonts w:ascii="Times New Roman" w:hAnsi="Times New Roman" w:cs="Times New Roman"/>
                <w:sz w:val="24"/>
                <w:szCs w:val="24"/>
              </w:rPr>
            </w:pPr>
            <w:r w:rsidRPr="00BD19AE">
              <w:rPr>
                <w:rFonts w:ascii="Times New Roman" w:hAnsi="Times New Roman" w:cs="Times New Roman"/>
                <w:sz w:val="24"/>
                <w:szCs w:val="24"/>
              </w:rPr>
              <w:t>Norāda institūciju, kas ir atbildīga par šo saistību izpildi pilnībā</w:t>
            </w:r>
          </w:p>
        </w:tc>
      </w:tr>
      <w:tr w:rsidR="00C3198A" w:rsidRPr="00BD19AE" w14:paraId="0094C930"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57DE90AE" w14:textId="77777777" w:rsidR="00C3198A" w:rsidRPr="00BD19AE" w:rsidRDefault="00C3198A" w:rsidP="00C3198A">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Vai starptautiskajā dokumentā paredzētās saistības nav pretrunā ar jau esošajām Latvijas Republikas starptautis</w:t>
            </w:r>
            <w:r w:rsidRPr="00BD19AE">
              <w:rPr>
                <w:rFonts w:ascii="Times New Roman" w:hAnsi="Times New Roman" w:cs="Times New Roman"/>
                <w:sz w:val="24"/>
                <w:szCs w:val="24"/>
              </w:rPr>
              <w:softHyphen/>
              <w:t>kajām saistībām</w:t>
            </w:r>
          </w:p>
        </w:tc>
        <w:tc>
          <w:tcPr>
            <w:tcW w:w="7860" w:type="dxa"/>
            <w:gridSpan w:val="5"/>
            <w:tcBorders>
              <w:top w:val="outset" w:sz="6" w:space="0" w:color="auto"/>
              <w:left w:val="outset" w:sz="6" w:space="0" w:color="auto"/>
              <w:bottom w:val="outset" w:sz="6" w:space="0" w:color="auto"/>
              <w:right w:val="outset" w:sz="6" w:space="0" w:color="auto"/>
            </w:tcBorders>
          </w:tcPr>
          <w:p w14:paraId="10615208" w14:textId="7D2B1A67" w:rsidR="00FF05E3" w:rsidRPr="00BD19AE" w:rsidRDefault="00FF05E3" w:rsidP="00FF05E3">
            <w:pPr>
              <w:spacing w:after="0" w:line="240" w:lineRule="auto"/>
              <w:jc w:val="both"/>
              <w:rPr>
                <w:rFonts w:ascii="Times New Roman" w:hAnsi="Times New Roman" w:cs="Times New Roman"/>
                <w:sz w:val="24"/>
                <w:szCs w:val="24"/>
              </w:rPr>
            </w:pPr>
            <w:r w:rsidRPr="00BD19AE">
              <w:rPr>
                <w:rFonts w:ascii="Times New Roman" w:hAnsi="Times New Roman" w:cs="Times New Roman"/>
                <w:sz w:val="24"/>
                <w:szCs w:val="24"/>
              </w:rPr>
              <w:t>Projekts šo jomu neskar.</w:t>
            </w:r>
          </w:p>
        </w:tc>
      </w:tr>
      <w:tr w:rsidR="00C3198A" w:rsidRPr="00BD19AE" w14:paraId="3F52FC18" w14:textId="77777777" w:rsidTr="00AA1969">
        <w:tc>
          <w:tcPr>
            <w:tcW w:w="1638" w:type="dxa"/>
            <w:gridSpan w:val="2"/>
            <w:tcBorders>
              <w:top w:val="outset" w:sz="6" w:space="0" w:color="auto"/>
              <w:left w:val="outset" w:sz="6" w:space="0" w:color="auto"/>
              <w:bottom w:val="outset" w:sz="6" w:space="0" w:color="auto"/>
              <w:right w:val="outset" w:sz="6" w:space="0" w:color="auto"/>
            </w:tcBorders>
          </w:tcPr>
          <w:p w14:paraId="66F6E677" w14:textId="67A86E07" w:rsidR="00C3198A" w:rsidRPr="00BD19AE" w:rsidRDefault="00C3198A" w:rsidP="00C3198A">
            <w:pPr>
              <w:spacing w:after="0" w:line="240" w:lineRule="auto"/>
              <w:ind w:left="57"/>
              <w:rPr>
                <w:rFonts w:ascii="Times New Roman" w:hAnsi="Times New Roman" w:cs="Times New Roman"/>
                <w:sz w:val="24"/>
                <w:szCs w:val="24"/>
              </w:rPr>
            </w:pPr>
            <w:r w:rsidRPr="00BD19AE">
              <w:rPr>
                <w:rFonts w:ascii="Times New Roman" w:hAnsi="Times New Roman" w:cs="Times New Roman"/>
                <w:sz w:val="24"/>
                <w:szCs w:val="24"/>
              </w:rPr>
              <w:t>Cita informācija</w:t>
            </w:r>
          </w:p>
        </w:tc>
        <w:tc>
          <w:tcPr>
            <w:tcW w:w="7860" w:type="dxa"/>
            <w:gridSpan w:val="5"/>
            <w:tcBorders>
              <w:top w:val="outset" w:sz="6" w:space="0" w:color="auto"/>
              <w:left w:val="outset" w:sz="6" w:space="0" w:color="auto"/>
              <w:bottom w:val="outset" w:sz="6" w:space="0" w:color="auto"/>
              <w:right w:val="outset" w:sz="6" w:space="0" w:color="auto"/>
            </w:tcBorders>
          </w:tcPr>
          <w:p w14:paraId="28F44DA2" w14:textId="77777777" w:rsidR="00C3198A" w:rsidRPr="00BD19AE" w:rsidRDefault="00C3198A" w:rsidP="00C3198A">
            <w:pPr>
              <w:spacing w:after="0" w:line="240" w:lineRule="auto"/>
              <w:ind w:left="57"/>
              <w:jc w:val="both"/>
              <w:rPr>
                <w:rFonts w:ascii="Times New Roman" w:hAnsi="Times New Roman" w:cs="Times New Roman"/>
                <w:sz w:val="24"/>
                <w:szCs w:val="24"/>
              </w:rPr>
            </w:pPr>
            <w:r w:rsidRPr="00BD19AE">
              <w:rPr>
                <w:rFonts w:ascii="Times New Roman" w:hAnsi="Times New Roman" w:cs="Times New Roman"/>
                <w:sz w:val="24"/>
                <w:szCs w:val="24"/>
              </w:rPr>
              <w:t>Nav</w:t>
            </w:r>
          </w:p>
        </w:tc>
      </w:tr>
    </w:tbl>
    <w:p w14:paraId="6B0F7D59" w14:textId="77777777" w:rsidR="00D13B93" w:rsidRPr="00BD19AE" w:rsidRDefault="00D13B93" w:rsidP="00171D36">
      <w:pPr>
        <w:spacing w:after="0" w:line="240" w:lineRule="auto"/>
        <w:rPr>
          <w:rFonts w:ascii="Times New Roman" w:hAnsi="Times New Roman" w:cs="Times New Roman"/>
          <w:sz w:val="24"/>
          <w:szCs w:val="24"/>
        </w:rPr>
      </w:pPr>
    </w:p>
    <w:tbl>
      <w:tblPr>
        <w:tblW w:w="95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6"/>
        <w:gridCol w:w="2977"/>
        <w:gridCol w:w="5820"/>
      </w:tblGrid>
      <w:tr w:rsidR="00B77B7B" w:rsidRPr="00BD19AE" w14:paraId="24395F46" w14:textId="77777777" w:rsidTr="00BE3555">
        <w:trPr>
          <w:trHeight w:val="426"/>
        </w:trPr>
        <w:tc>
          <w:tcPr>
            <w:tcW w:w="9543" w:type="dxa"/>
            <w:gridSpan w:val="3"/>
            <w:vAlign w:val="center"/>
          </w:tcPr>
          <w:p w14:paraId="2900F164" w14:textId="77777777" w:rsidR="00B77B7B" w:rsidRPr="00BD19AE" w:rsidRDefault="00B77B7B" w:rsidP="00FE4001">
            <w:pPr>
              <w:pStyle w:val="naisnod"/>
              <w:spacing w:before="0" w:beforeAutospacing="0" w:after="0" w:afterAutospacing="0"/>
              <w:ind w:left="57" w:right="57"/>
              <w:jc w:val="center"/>
            </w:pPr>
            <w:r w:rsidRPr="00BD19AE">
              <w:rPr>
                <w:b/>
              </w:rPr>
              <w:t>VI. Sabiedrības līdzdalība un komunikācijas aktivitātes</w:t>
            </w:r>
          </w:p>
        </w:tc>
      </w:tr>
      <w:tr w:rsidR="00B77B7B" w:rsidRPr="00BD19AE" w14:paraId="7448D29D" w14:textId="77777777" w:rsidTr="00BE3555">
        <w:trPr>
          <w:trHeight w:val="560"/>
        </w:trPr>
        <w:tc>
          <w:tcPr>
            <w:tcW w:w="746" w:type="dxa"/>
          </w:tcPr>
          <w:p w14:paraId="4808C105" w14:textId="77777777" w:rsidR="00B77B7B" w:rsidRPr="00BD19AE" w:rsidRDefault="00B77B7B" w:rsidP="00FE4001">
            <w:pPr>
              <w:spacing w:after="0" w:line="240" w:lineRule="auto"/>
              <w:ind w:left="57" w:right="57"/>
              <w:jc w:val="both"/>
              <w:rPr>
                <w:rFonts w:ascii="Times New Roman" w:hAnsi="Times New Roman" w:cs="Times New Roman"/>
                <w:bCs/>
                <w:sz w:val="24"/>
                <w:szCs w:val="24"/>
              </w:rPr>
            </w:pPr>
            <w:r w:rsidRPr="00BD19AE">
              <w:rPr>
                <w:rFonts w:ascii="Times New Roman" w:hAnsi="Times New Roman" w:cs="Times New Roman"/>
                <w:bCs/>
                <w:sz w:val="24"/>
                <w:szCs w:val="24"/>
              </w:rPr>
              <w:t>1.</w:t>
            </w:r>
          </w:p>
        </w:tc>
        <w:tc>
          <w:tcPr>
            <w:tcW w:w="2977" w:type="dxa"/>
          </w:tcPr>
          <w:p w14:paraId="12E1A653" w14:textId="77777777" w:rsidR="00B77B7B" w:rsidRPr="00BD19AE" w:rsidRDefault="00B77B7B" w:rsidP="00FE4001">
            <w:pPr>
              <w:tabs>
                <w:tab w:val="left" w:pos="170"/>
              </w:tabs>
              <w:spacing w:after="0" w:line="240" w:lineRule="auto"/>
              <w:ind w:left="57" w:right="57"/>
              <w:rPr>
                <w:rFonts w:ascii="Times New Roman" w:hAnsi="Times New Roman" w:cs="Times New Roman"/>
                <w:sz w:val="24"/>
                <w:szCs w:val="24"/>
              </w:rPr>
            </w:pPr>
            <w:r w:rsidRPr="00BD19AE">
              <w:rPr>
                <w:rFonts w:ascii="Times New Roman" w:hAnsi="Times New Roman" w:cs="Times New Roman"/>
                <w:sz w:val="24"/>
                <w:szCs w:val="24"/>
              </w:rPr>
              <w:t>Plānotās sabiedrības līdzdalības un komunikācijas aktivitātes saistībā ar projektu</w:t>
            </w:r>
          </w:p>
        </w:tc>
        <w:tc>
          <w:tcPr>
            <w:tcW w:w="5819" w:type="dxa"/>
          </w:tcPr>
          <w:p w14:paraId="75B678E5" w14:textId="2AE131F8" w:rsidR="00B77B7B" w:rsidRPr="00BD19AE" w:rsidRDefault="00241207" w:rsidP="00BE355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n</w:t>
            </w:r>
            <w:r w:rsidR="00377119" w:rsidRPr="00BD19AE">
              <w:rPr>
                <w:rFonts w:ascii="Times New Roman" w:hAnsi="Times New Roman" w:cs="Times New Roman"/>
                <w:sz w:val="24"/>
                <w:szCs w:val="24"/>
              </w:rPr>
              <w:t>oteikumu projekts att</w:t>
            </w:r>
            <w:r w:rsidR="008B2A22" w:rsidRPr="00BD19AE">
              <w:rPr>
                <w:rFonts w:ascii="Times New Roman" w:hAnsi="Times New Roman" w:cs="Times New Roman"/>
                <w:sz w:val="24"/>
                <w:szCs w:val="24"/>
              </w:rPr>
              <w:t>i</w:t>
            </w:r>
            <w:r w:rsidR="00377119" w:rsidRPr="00BD19AE">
              <w:rPr>
                <w:rFonts w:ascii="Times New Roman" w:hAnsi="Times New Roman" w:cs="Times New Roman"/>
                <w:sz w:val="24"/>
                <w:szCs w:val="24"/>
              </w:rPr>
              <w:t>e</w:t>
            </w:r>
            <w:r w:rsidR="008B2A22" w:rsidRPr="00BD19AE">
              <w:rPr>
                <w:rFonts w:ascii="Times New Roman" w:hAnsi="Times New Roman" w:cs="Times New Roman"/>
                <w:sz w:val="24"/>
                <w:szCs w:val="24"/>
              </w:rPr>
              <w:t>c</w:t>
            </w:r>
            <w:r w:rsidR="00551058" w:rsidRPr="00BD19AE">
              <w:rPr>
                <w:rFonts w:ascii="Times New Roman" w:hAnsi="Times New Roman" w:cs="Times New Roman"/>
                <w:sz w:val="24"/>
                <w:szCs w:val="24"/>
              </w:rPr>
              <w:t>a</w:t>
            </w:r>
            <w:r w:rsidR="008B2A22" w:rsidRPr="00BD19AE">
              <w:rPr>
                <w:rFonts w:ascii="Times New Roman" w:hAnsi="Times New Roman" w:cs="Times New Roman"/>
                <w:sz w:val="24"/>
                <w:szCs w:val="24"/>
              </w:rPr>
              <w:t xml:space="preserve">s tikai uz </w:t>
            </w:r>
            <w:r>
              <w:rPr>
                <w:rFonts w:ascii="Times New Roman" w:hAnsi="Times New Roman" w:cs="Times New Roman"/>
                <w:sz w:val="24"/>
                <w:szCs w:val="24"/>
              </w:rPr>
              <w:t>Ministru kabineta</w:t>
            </w:r>
            <w:r w:rsidRPr="00BD19AE">
              <w:rPr>
                <w:rFonts w:ascii="Times New Roman" w:hAnsi="Times New Roman" w:cs="Times New Roman"/>
                <w:sz w:val="24"/>
                <w:szCs w:val="24"/>
              </w:rPr>
              <w:t xml:space="preserve"> </w:t>
            </w:r>
            <w:r w:rsidR="008B2A22" w:rsidRPr="00BD19AE">
              <w:rPr>
                <w:rFonts w:ascii="Times New Roman" w:hAnsi="Times New Roman" w:cs="Times New Roman"/>
                <w:sz w:val="24"/>
                <w:szCs w:val="24"/>
              </w:rPr>
              <w:t xml:space="preserve">noteikumu </w:t>
            </w:r>
            <w:r w:rsidR="008B2A22" w:rsidRPr="00925405">
              <w:rPr>
                <w:rFonts w:ascii="Times New Roman" w:hAnsi="Times New Roman" w:cs="Times New Roman"/>
                <w:sz w:val="24"/>
                <w:szCs w:val="24"/>
              </w:rPr>
              <w:t xml:space="preserve">projekta </w:t>
            </w:r>
            <w:r w:rsidR="00BE5DE8">
              <w:rPr>
                <w:rFonts w:ascii="Times New Roman" w:hAnsi="Times New Roman" w:cs="Times New Roman"/>
                <w:sz w:val="24"/>
                <w:szCs w:val="24"/>
              </w:rPr>
              <w:t>13</w:t>
            </w:r>
            <w:r w:rsidR="006310D3" w:rsidRPr="00925405">
              <w:rPr>
                <w:rFonts w:ascii="Times New Roman" w:hAnsi="Times New Roman" w:cs="Times New Roman"/>
                <w:sz w:val="24"/>
                <w:szCs w:val="24"/>
              </w:rPr>
              <w:t xml:space="preserve">., </w:t>
            </w:r>
            <w:r w:rsidR="00BE5DE8">
              <w:rPr>
                <w:rFonts w:ascii="Times New Roman" w:hAnsi="Times New Roman" w:cs="Times New Roman"/>
                <w:sz w:val="24"/>
                <w:szCs w:val="24"/>
              </w:rPr>
              <w:t>17., 26. un 35</w:t>
            </w:r>
            <w:r w:rsidR="0014072A" w:rsidRPr="00925405">
              <w:rPr>
                <w:rFonts w:ascii="Times New Roman" w:hAnsi="Times New Roman" w:cs="Times New Roman"/>
                <w:sz w:val="24"/>
                <w:szCs w:val="24"/>
              </w:rPr>
              <w:t>.</w:t>
            </w:r>
            <w:r w:rsidR="008B2A22" w:rsidRPr="00925405">
              <w:rPr>
                <w:rFonts w:ascii="Times New Roman" w:hAnsi="Times New Roman" w:cs="Times New Roman"/>
                <w:sz w:val="24"/>
                <w:szCs w:val="24"/>
              </w:rPr>
              <w:t>punktā minētajām institūcijām, līdz ar to sabiedrības līdzdalība</w:t>
            </w:r>
            <w:r w:rsidR="008B2A22" w:rsidRPr="00BD19AE">
              <w:rPr>
                <w:rFonts w:ascii="Times New Roman" w:hAnsi="Times New Roman" w:cs="Times New Roman"/>
                <w:sz w:val="24"/>
                <w:szCs w:val="24"/>
              </w:rPr>
              <w:t xml:space="preserve"> nav bijusi nepi</w:t>
            </w:r>
            <w:r w:rsidR="00CE4560" w:rsidRPr="00BD19AE">
              <w:rPr>
                <w:rFonts w:ascii="Times New Roman" w:hAnsi="Times New Roman" w:cs="Times New Roman"/>
                <w:sz w:val="24"/>
                <w:szCs w:val="24"/>
              </w:rPr>
              <w:t>e</w:t>
            </w:r>
            <w:r w:rsidR="008B2A22" w:rsidRPr="00BD19AE">
              <w:rPr>
                <w:rFonts w:ascii="Times New Roman" w:hAnsi="Times New Roman" w:cs="Times New Roman"/>
                <w:sz w:val="24"/>
                <w:szCs w:val="24"/>
              </w:rPr>
              <w:t>ciešama.</w:t>
            </w:r>
          </w:p>
        </w:tc>
      </w:tr>
      <w:tr w:rsidR="00B77B7B" w:rsidRPr="00BD19AE" w14:paraId="4F757713" w14:textId="77777777" w:rsidTr="00BE3555">
        <w:trPr>
          <w:trHeight w:val="343"/>
        </w:trPr>
        <w:tc>
          <w:tcPr>
            <w:tcW w:w="746" w:type="dxa"/>
          </w:tcPr>
          <w:p w14:paraId="28C4C0C1" w14:textId="77777777" w:rsidR="00B77B7B" w:rsidRPr="00BD19AE" w:rsidRDefault="00B77B7B" w:rsidP="00FE4001">
            <w:pPr>
              <w:spacing w:after="0" w:line="240" w:lineRule="auto"/>
              <w:ind w:left="57" w:right="57"/>
              <w:jc w:val="both"/>
              <w:rPr>
                <w:rFonts w:ascii="Times New Roman" w:hAnsi="Times New Roman" w:cs="Times New Roman"/>
                <w:bCs/>
                <w:sz w:val="24"/>
                <w:szCs w:val="24"/>
              </w:rPr>
            </w:pPr>
            <w:r w:rsidRPr="00BD19AE">
              <w:rPr>
                <w:rFonts w:ascii="Times New Roman" w:hAnsi="Times New Roman" w:cs="Times New Roman"/>
                <w:bCs/>
                <w:sz w:val="24"/>
                <w:szCs w:val="24"/>
              </w:rPr>
              <w:t>2.</w:t>
            </w:r>
          </w:p>
        </w:tc>
        <w:tc>
          <w:tcPr>
            <w:tcW w:w="2977" w:type="dxa"/>
          </w:tcPr>
          <w:p w14:paraId="1F237F5C" w14:textId="77777777" w:rsidR="00B77B7B" w:rsidRPr="00BD19AE" w:rsidRDefault="00B77B7B" w:rsidP="00FE4001">
            <w:pPr>
              <w:spacing w:after="0" w:line="240" w:lineRule="auto"/>
              <w:ind w:left="57" w:right="57"/>
              <w:rPr>
                <w:rFonts w:ascii="Times New Roman" w:hAnsi="Times New Roman" w:cs="Times New Roman"/>
                <w:sz w:val="24"/>
                <w:szCs w:val="24"/>
              </w:rPr>
            </w:pPr>
            <w:r w:rsidRPr="00BD19AE">
              <w:rPr>
                <w:rFonts w:ascii="Times New Roman" w:hAnsi="Times New Roman" w:cs="Times New Roman"/>
                <w:sz w:val="24"/>
                <w:szCs w:val="24"/>
              </w:rPr>
              <w:t>Sabiedrības līdzdalība projekta izstrādē</w:t>
            </w:r>
          </w:p>
        </w:tc>
        <w:tc>
          <w:tcPr>
            <w:tcW w:w="5819" w:type="dxa"/>
          </w:tcPr>
          <w:p w14:paraId="2FD9BEB2" w14:textId="77777777" w:rsidR="00B77B7B" w:rsidRPr="00BD19AE" w:rsidRDefault="00B77B7B" w:rsidP="00FE4001">
            <w:pPr>
              <w:shd w:val="clear" w:color="auto" w:fill="FFFFFF"/>
              <w:spacing w:after="0" w:line="240" w:lineRule="auto"/>
              <w:jc w:val="both"/>
              <w:rPr>
                <w:rFonts w:ascii="Times New Roman" w:hAnsi="Times New Roman" w:cs="Times New Roman"/>
                <w:sz w:val="24"/>
                <w:szCs w:val="24"/>
              </w:rPr>
            </w:pPr>
            <w:r w:rsidRPr="00BD19AE">
              <w:rPr>
                <w:rFonts w:ascii="Times New Roman" w:hAnsi="Times New Roman" w:cs="Times New Roman"/>
                <w:sz w:val="24"/>
                <w:szCs w:val="24"/>
              </w:rPr>
              <w:t>MK noteikumu projekts šo jomu neskar.</w:t>
            </w:r>
          </w:p>
        </w:tc>
      </w:tr>
      <w:tr w:rsidR="00B77B7B" w:rsidRPr="00BD19AE" w14:paraId="4BC34F7B" w14:textId="77777777" w:rsidTr="00BE3555">
        <w:trPr>
          <w:trHeight w:val="482"/>
        </w:trPr>
        <w:tc>
          <w:tcPr>
            <w:tcW w:w="746" w:type="dxa"/>
          </w:tcPr>
          <w:p w14:paraId="6865E785" w14:textId="77777777" w:rsidR="00B77B7B" w:rsidRPr="00BD19AE" w:rsidRDefault="00B77B7B" w:rsidP="00FE4001">
            <w:pPr>
              <w:spacing w:after="0" w:line="240" w:lineRule="auto"/>
              <w:ind w:left="57" w:right="57"/>
              <w:jc w:val="both"/>
              <w:rPr>
                <w:rFonts w:ascii="Times New Roman" w:hAnsi="Times New Roman" w:cs="Times New Roman"/>
                <w:bCs/>
                <w:sz w:val="24"/>
                <w:szCs w:val="24"/>
              </w:rPr>
            </w:pPr>
            <w:r w:rsidRPr="00BD19AE">
              <w:rPr>
                <w:rFonts w:ascii="Times New Roman" w:hAnsi="Times New Roman" w:cs="Times New Roman"/>
                <w:bCs/>
                <w:sz w:val="24"/>
                <w:szCs w:val="24"/>
              </w:rPr>
              <w:t>3.</w:t>
            </w:r>
          </w:p>
        </w:tc>
        <w:tc>
          <w:tcPr>
            <w:tcW w:w="2977" w:type="dxa"/>
          </w:tcPr>
          <w:p w14:paraId="286FCE6E" w14:textId="77777777" w:rsidR="00B77B7B" w:rsidRPr="00BD19AE" w:rsidRDefault="00B77B7B" w:rsidP="00FE4001">
            <w:pPr>
              <w:spacing w:after="0" w:line="240" w:lineRule="auto"/>
              <w:ind w:left="57" w:right="57"/>
              <w:rPr>
                <w:rFonts w:ascii="Times New Roman" w:hAnsi="Times New Roman" w:cs="Times New Roman"/>
                <w:sz w:val="24"/>
                <w:szCs w:val="24"/>
              </w:rPr>
            </w:pPr>
            <w:r w:rsidRPr="00BD19AE">
              <w:rPr>
                <w:rFonts w:ascii="Times New Roman" w:hAnsi="Times New Roman" w:cs="Times New Roman"/>
                <w:sz w:val="24"/>
                <w:szCs w:val="24"/>
              </w:rPr>
              <w:t>Sabiedrības līdzdalības rezultāti</w:t>
            </w:r>
          </w:p>
        </w:tc>
        <w:tc>
          <w:tcPr>
            <w:tcW w:w="5819" w:type="dxa"/>
          </w:tcPr>
          <w:p w14:paraId="644F2820" w14:textId="77777777" w:rsidR="00B77B7B" w:rsidRPr="00BD19AE" w:rsidRDefault="00B77B7B" w:rsidP="00BE3555">
            <w:pPr>
              <w:shd w:val="clear" w:color="auto" w:fill="FFFFFF"/>
              <w:tabs>
                <w:tab w:val="left" w:pos="878"/>
              </w:tabs>
              <w:spacing w:after="120" w:line="240" w:lineRule="auto"/>
              <w:ind w:right="188"/>
              <w:jc w:val="both"/>
              <w:rPr>
                <w:rFonts w:ascii="Times New Roman" w:hAnsi="Times New Roman" w:cs="Times New Roman"/>
                <w:sz w:val="24"/>
                <w:szCs w:val="24"/>
              </w:rPr>
            </w:pPr>
            <w:r w:rsidRPr="00BD19AE">
              <w:rPr>
                <w:rFonts w:ascii="Times New Roman" w:hAnsi="Times New Roman" w:cs="Times New Roman"/>
                <w:sz w:val="24"/>
                <w:szCs w:val="24"/>
              </w:rPr>
              <w:t>MK noteikumu projekts šo jomu neskar.</w:t>
            </w:r>
          </w:p>
        </w:tc>
      </w:tr>
      <w:tr w:rsidR="00B77B7B" w:rsidRPr="00BD19AE" w14:paraId="55953F60" w14:textId="77777777" w:rsidTr="00BE3555">
        <w:trPr>
          <w:trHeight w:val="482"/>
        </w:trPr>
        <w:tc>
          <w:tcPr>
            <w:tcW w:w="746" w:type="dxa"/>
          </w:tcPr>
          <w:p w14:paraId="1ECD0531" w14:textId="77777777" w:rsidR="00B77B7B" w:rsidRPr="00BD19AE" w:rsidRDefault="00B77B7B" w:rsidP="00FE4001">
            <w:pPr>
              <w:spacing w:after="0" w:line="240" w:lineRule="auto"/>
              <w:ind w:left="57" w:right="57"/>
              <w:jc w:val="both"/>
              <w:rPr>
                <w:rFonts w:ascii="Times New Roman" w:hAnsi="Times New Roman" w:cs="Times New Roman"/>
                <w:bCs/>
                <w:sz w:val="24"/>
                <w:szCs w:val="24"/>
              </w:rPr>
            </w:pPr>
            <w:r w:rsidRPr="00BD19AE">
              <w:rPr>
                <w:rFonts w:ascii="Times New Roman" w:hAnsi="Times New Roman" w:cs="Times New Roman"/>
                <w:bCs/>
                <w:sz w:val="24"/>
                <w:szCs w:val="24"/>
              </w:rPr>
              <w:t>4.</w:t>
            </w:r>
          </w:p>
        </w:tc>
        <w:tc>
          <w:tcPr>
            <w:tcW w:w="2977" w:type="dxa"/>
          </w:tcPr>
          <w:p w14:paraId="3A4CE4AB" w14:textId="77777777" w:rsidR="00B77B7B" w:rsidRPr="00BD19AE" w:rsidRDefault="00B77B7B" w:rsidP="00FE4001">
            <w:pPr>
              <w:spacing w:after="0" w:line="240" w:lineRule="auto"/>
              <w:ind w:left="57" w:right="57"/>
              <w:rPr>
                <w:rFonts w:ascii="Times New Roman" w:hAnsi="Times New Roman" w:cs="Times New Roman"/>
                <w:sz w:val="24"/>
                <w:szCs w:val="24"/>
              </w:rPr>
            </w:pPr>
            <w:r w:rsidRPr="00BD19AE">
              <w:rPr>
                <w:rFonts w:ascii="Times New Roman" w:hAnsi="Times New Roman" w:cs="Times New Roman"/>
                <w:sz w:val="24"/>
                <w:szCs w:val="24"/>
              </w:rPr>
              <w:t>Cita informācija</w:t>
            </w:r>
          </w:p>
        </w:tc>
        <w:tc>
          <w:tcPr>
            <w:tcW w:w="5819" w:type="dxa"/>
          </w:tcPr>
          <w:p w14:paraId="32ED52FB" w14:textId="77777777" w:rsidR="00B77B7B" w:rsidRPr="00BD19AE" w:rsidRDefault="00B77B7B" w:rsidP="00FE4001">
            <w:pPr>
              <w:spacing w:after="0" w:line="240" w:lineRule="auto"/>
              <w:ind w:right="57"/>
              <w:jc w:val="both"/>
              <w:rPr>
                <w:rFonts w:ascii="Times New Roman" w:hAnsi="Times New Roman" w:cs="Times New Roman"/>
                <w:sz w:val="24"/>
                <w:szCs w:val="24"/>
              </w:rPr>
            </w:pPr>
            <w:r w:rsidRPr="00BD19AE">
              <w:rPr>
                <w:rFonts w:ascii="Times New Roman" w:hAnsi="Times New Roman" w:cs="Times New Roman"/>
                <w:sz w:val="24"/>
                <w:szCs w:val="24"/>
              </w:rPr>
              <w:t xml:space="preserve"> Nav</w:t>
            </w:r>
          </w:p>
        </w:tc>
      </w:tr>
    </w:tbl>
    <w:p w14:paraId="1182B309" w14:textId="77777777" w:rsidR="00B77B7B" w:rsidRDefault="00B77B7B" w:rsidP="00171D36">
      <w:pPr>
        <w:spacing w:after="0" w:line="240" w:lineRule="auto"/>
        <w:rPr>
          <w:rFonts w:ascii="Times New Roman" w:hAnsi="Times New Roman" w:cs="Times New Roman"/>
          <w:sz w:val="24"/>
          <w:szCs w:val="24"/>
        </w:rPr>
      </w:pPr>
    </w:p>
    <w:p w14:paraId="3E8F678A" w14:textId="77777777" w:rsidR="00893F49" w:rsidRDefault="00893F49" w:rsidP="00171D36">
      <w:pPr>
        <w:spacing w:after="0" w:line="240" w:lineRule="auto"/>
        <w:rPr>
          <w:rFonts w:ascii="Times New Roman" w:hAnsi="Times New Roman" w:cs="Times New Roman"/>
          <w:sz w:val="24"/>
          <w:szCs w:val="24"/>
        </w:rPr>
      </w:pPr>
    </w:p>
    <w:p w14:paraId="1E83DF6B" w14:textId="77777777" w:rsidR="00893F49" w:rsidRPr="00BD19AE" w:rsidRDefault="00893F49" w:rsidP="00171D36">
      <w:pPr>
        <w:spacing w:after="0" w:line="240" w:lineRule="auto"/>
        <w:rPr>
          <w:rFonts w:ascii="Times New Roman" w:hAnsi="Times New Roman" w:cs="Times New Roman"/>
          <w:sz w:val="24"/>
          <w:szCs w:val="24"/>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2977"/>
        <w:gridCol w:w="5700"/>
      </w:tblGrid>
      <w:tr w:rsidR="00991CBE" w:rsidRPr="00BD19AE" w14:paraId="5EDF1EEE" w14:textId="77777777" w:rsidTr="00115F3C">
        <w:trPr>
          <w:trHeight w:val="381"/>
          <w:jc w:val="center"/>
        </w:trPr>
        <w:tc>
          <w:tcPr>
            <w:tcW w:w="9239" w:type="dxa"/>
            <w:gridSpan w:val="3"/>
            <w:vAlign w:val="center"/>
          </w:tcPr>
          <w:p w14:paraId="5EDF1EED" w14:textId="77777777" w:rsidR="00DA6C86" w:rsidRPr="00BD19AE" w:rsidRDefault="00DA6C86" w:rsidP="00171D36">
            <w:pPr>
              <w:pStyle w:val="naisnod"/>
              <w:spacing w:before="0" w:beforeAutospacing="0" w:after="0" w:afterAutospacing="0"/>
              <w:ind w:left="57" w:right="57"/>
              <w:jc w:val="center"/>
            </w:pPr>
            <w:r w:rsidRPr="00BD19AE">
              <w:rPr>
                <w:b/>
              </w:rPr>
              <w:lastRenderedPageBreak/>
              <w:t>VII. Tiesību akta projekta izpildes nodrošināšana un tās ietekme uz institūcijām</w:t>
            </w:r>
          </w:p>
        </w:tc>
      </w:tr>
      <w:tr w:rsidR="00DA6C86" w:rsidRPr="00BD19AE" w14:paraId="5EDF1EF2" w14:textId="77777777" w:rsidTr="00115F3C">
        <w:trPr>
          <w:trHeight w:val="427"/>
          <w:jc w:val="center"/>
        </w:trPr>
        <w:tc>
          <w:tcPr>
            <w:tcW w:w="562" w:type="dxa"/>
          </w:tcPr>
          <w:p w14:paraId="5EDF1EEF" w14:textId="77777777" w:rsidR="00DA6C86" w:rsidRPr="00BD19AE" w:rsidRDefault="00DA6C86" w:rsidP="00171D36">
            <w:pPr>
              <w:pStyle w:val="naisnod"/>
              <w:spacing w:before="0" w:beforeAutospacing="0" w:after="0" w:afterAutospacing="0"/>
              <w:ind w:left="57" w:right="57"/>
              <w:jc w:val="both"/>
            </w:pPr>
            <w:r w:rsidRPr="00BD19AE">
              <w:t>1.</w:t>
            </w:r>
          </w:p>
        </w:tc>
        <w:tc>
          <w:tcPr>
            <w:tcW w:w="2977" w:type="dxa"/>
          </w:tcPr>
          <w:p w14:paraId="5EDF1EF0" w14:textId="77777777" w:rsidR="00DA6C86" w:rsidRPr="00BD19AE" w:rsidRDefault="00DA6C86" w:rsidP="002C5BB1">
            <w:pPr>
              <w:pStyle w:val="naisf"/>
              <w:spacing w:before="0" w:beforeAutospacing="0" w:after="0" w:afterAutospacing="0"/>
              <w:ind w:left="57" w:right="57"/>
            </w:pPr>
            <w:r w:rsidRPr="00BD19AE">
              <w:t>Projekta izpildē iesaistītās institūcijas</w:t>
            </w:r>
          </w:p>
        </w:tc>
        <w:tc>
          <w:tcPr>
            <w:tcW w:w="5700" w:type="dxa"/>
          </w:tcPr>
          <w:p w14:paraId="5EDF1EF1" w14:textId="67558F35" w:rsidR="00673238" w:rsidRPr="00BD19AE" w:rsidRDefault="00D36792" w:rsidP="00E600EC">
            <w:pPr>
              <w:shd w:val="clear" w:color="auto" w:fill="FFFFFF"/>
              <w:spacing w:after="0" w:line="240" w:lineRule="auto"/>
              <w:jc w:val="both"/>
              <w:rPr>
                <w:rFonts w:ascii="Times New Roman" w:hAnsi="Times New Roman" w:cs="Times New Roman"/>
                <w:sz w:val="24"/>
                <w:szCs w:val="24"/>
              </w:rPr>
            </w:pPr>
            <w:bookmarkStart w:id="1" w:name="p66"/>
            <w:bookmarkStart w:id="2" w:name="p67"/>
            <w:bookmarkStart w:id="3" w:name="p68"/>
            <w:bookmarkStart w:id="4" w:name="p69"/>
            <w:bookmarkEnd w:id="1"/>
            <w:bookmarkEnd w:id="2"/>
            <w:bookmarkEnd w:id="3"/>
            <w:bookmarkEnd w:id="4"/>
            <w:r w:rsidRPr="00BD19AE">
              <w:rPr>
                <w:rFonts w:ascii="Times New Roman" w:hAnsi="Times New Roman" w:cs="Times New Roman"/>
                <w:sz w:val="24"/>
                <w:szCs w:val="24"/>
              </w:rPr>
              <w:t xml:space="preserve">Finanšu ministrija </w:t>
            </w:r>
            <w:r w:rsidR="00016528" w:rsidRPr="00BD19AE">
              <w:rPr>
                <w:rFonts w:ascii="Times New Roman" w:hAnsi="Times New Roman" w:cs="Times New Roman"/>
                <w:sz w:val="24"/>
                <w:szCs w:val="24"/>
              </w:rPr>
              <w:t>kā vadošā iestāde un revīzijas iestāde, Ekonomikas ministrija, Izglītības un zinātnes ministrija, Kultūras ministrija, Labklājības ministrija, Satiksmes ministrija, Tieslietu ministrija, Veselības ministrija, Vides aizsardzības un re</w:t>
            </w:r>
            <w:r w:rsidR="00BA5100" w:rsidRPr="00BD19AE">
              <w:rPr>
                <w:rFonts w:ascii="Times New Roman" w:hAnsi="Times New Roman" w:cs="Times New Roman"/>
                <w:sz w:val="24"/>
                <w:szCs w:val="24"/>
              </w:rPr>
              <w:t>ģionālās attīstības ministrija,</w:t>
            </w:r>
            <w:r w:rsidR="00016528" w:rsidRPr="00BD19AE">
              <w:rPr>
                <w:rFonts w:ascii="Times New Roman" w:hAnsi="Times New Roman" w:cs="Times New Roman"/>
                <w:sz w:val="24"/>
                <w:szCs w:val="24"/>
              </w:rPr>
              <w:t xml:space="preserve"> </w:t>
            </w:r>
            <w:r w:rsidR="00410051" w:rsidRPr="00BD19AE">
              <w:rPr>
                <w:rFonts w:ascii="Times New Roman" w:hAnsi="Times New Roman" w:cs="Times New Roman"/>
                <w:sz w:val="24"/>
                <w:szCs w:val="24"/>
              </w:rPr>
              <w:t xml:space="preserve">Zemkopības ministrija, </w:t>
            </w:r>
            <w:r w:rsidR="00016528" w:rsidRPr="00BD19AE">
              <w:rPr>
                <w:rFonts w:ascii="Times New Roman" w:hAnsi="Times New Roman" w:cs="Times New Roman"/>
                <w:sz w:val="24"/>
                <w:szCs w:val="24"/>
              </w:rPr>
              <w:t>Valsts kanceleja</w:t>
            </w:r>
            <w:r w:rsidR="00BA5100" w:rsidRPr="00BD19AE">
              <w:rPr>
                <w:rFonts w:ascii="Times New Roman" w:hAnsi="Times New Roman" w:cs="Times New Roman"/>
                <w:sz w:val="24"/>
                <w:szCs w:val="24"/>
              </w:rPr>
              <w:t xml:space="preserve"> kā atbildīgā iestāde</w:t>
            </w:r>
            <w:r w:rsidR="00016528" w:rsidRPr="00BD19AE">
              <w:rPr>
                <w:rFonts w:ascii="Times New Roman" w:hAnsi="Times New Roman" w:cs="Times New Roman"/>
                <w:sz w:val="24"/>
                <w:szCs w:val="24"/>
              </w:rPr>
              <w:t>, Centrālā finanšu un līgumu</w:t>
            </w:r>
            <w:r w:rsidR="00D13B93" w:rsidRPr="00BD19AE">
              <w:rPr>
                <w:rFonts w:ascii="Times New Roman" w:hAnsi="Times New Roman" w:cs="Times New Roman"/>
                <w:sz w:val="24"/>
                <w:szCs w:val="24"/>
              </w:rPr>
              <w:t xml:space="preserve"> aģentūra kā sadarbības iestāde</w:t>
            </w:r>
            <w:r w:rsidR="00B77B7B" w:rsidRPr="00BD19AE">
              <w:rPr>
                <w:rFonts w:ascii="Times New Roman" w:hAnsi="Times New Roman" w:cs="Times New Roman"/>
                <w:sz w:val="24"/>
                <w:szCs w:val="24"/>
              </w:rPr>
              <w:t>, Valsts kase kā sertifikācijas iestāde</w:t>
            </w:r>
            <w:r w:rsidR="002456B7" w:rsidRPr="00BD19AE">
              <w:rPr>
                <w:rFonts w:ascii="Times New Roman" w:hAnsi="Times New Roman" w:cs="Times New Roman"/>
                <w:sz w:val="24"/>
                <w:szCs w:val="24"/>
              </w:rPr>
              <w:t>, Latvijas Investīciju un attīstības aģentūra, Valsts izglītības attīstības aģentūra, Valsts reģionālās attīstības aģentūra, Nodarbinātības valsts aģentūra</w:t>
            </w:r>
            <w:r w:rsidR="00EB6311" w:rsidRPr="00BD19AE">
              <w:rPr>
                <w:rFonts w:ascii="Times New Roman" w:hAnsi="Times New Roman" w:cs="Times New Roman"/>
                <w:sz w:val="24"/>
                <w:szCs w:val="24"/>
              </w:rPr>
              <w:t>, Sabiedrības integr</w:t>
            </w:r>
            <w:r w:rsidR="00673238">
              <w:rPr>
                <w:rFonts w:ascii="Times New Roman" w:hAnsi="Times New Roman" w:cs="Times New Roman"/>
                <w:sz w:val="24"/>
                <w:szCs w:val="24"/>
              </w:rPr>
              <w:t>ācijas fonds, Ventspils pilsēta</w:t>
            </w:r>
            <w:r w:rsidR="007C7FF8">
              <w:rPr>
                <w:rFonts w:ascii="Times New Roman" w:hAnsi="Times New Roman" w:cs="Times New Roman"/>
                <w:sz w:val="24"/>
                <w:szCs w:val="24"/>
              </w:rPr>
              <w:t xml:space="preserve">s </w:t>
            </w:r>
            <w:r w:rsidR="00CB33B0" w:rsidRPr="00CB33B0">
              <w:rPr>
                <w:rFonts w:ascii="Times New Roman" w:hAnsi="Times New Roman" w:cs="Times New Roman"/>
                <w:sz w:val="24"/>
                <w:szCs w:val="24"/>
              </w:rPr>
              <w:t>pašvaldība</w:t>
            </w:r>
            <w:r w:rsidR="00673238">
              <w:rPr>
                <w:rFonts w:ascii="Times New Roman" w:hAnsi="Times New Roman" w:cs="Times New Roman"/>
                <w:sz w:val="24"/>
                <w:szCs w:val="24"/>
              </w:rPr>
              <w:t xml:space="preserve">, </w:t>
            </w:r>
            <w:r w:rsidR="009A6922">
              <w:rPr>
                <w:rFonts w:ascii="Times New Roman" w:hAnsi="Times New Roman" w:cs="Times New Roman"/>
                <w:sz w:val="24"/>
                <w:szCs w:val="24"/>
              </w:rPr>
              <w:t>Iepirkumu uzraudzības</w:t>
            </w:r>
            <w:r w:rsidR="001F0256">
              <w:rPr>
                <w:rFonts w:ascii="Times New Roman" w:hAnsi="Times New Roman" w:cs="Times New Roman"/>
                <w:sz w:val="24"/>
                <w:szCs w:val="24"/>
              </w:rPr>
              <w:t xml:space="preserve"> birojs,</w:t>
            </w:r>
            <w:r w:rsidR="009A6922">
              <w:rPr>
                <w:rFonts w:ascii="Times New Roman" w:hAnsi="Times New Roman" w:cs="Times New Roman"/>
                <w:sz w:val="24"/>
                <w:szCs w:val="24"/>
              </w:rPr>
              <w:t xml:space="preserve"> </w:t>
            </w:r>
            <w:r w:rsidR="00673238">
              <w:rPr>
                <w:rFonts w:ascii="Times New Roman" w:hAnsi="Times New Roman" w:cs="Times New Roman"/>
                <w:sz w:val="24"/>
                <w:szCs w:val="24"/>
              </w:rPr>
              <w:t>Daugavpils pilsēta</w:t>
            </w:r>
            <w:r w:rsidR="007C7FF8">
              <w:rPr>
                <w:rFonts w:ascii="Times New Roman" w:hAnsi="Times New Roman" w:cs="Times New Roman"/>
                <w:sz w:val="24"/>
                <w:szCs w:val="24"/>
              </w:rPr>
              <w:t xml:space="preserve">s </w:t>
            </w:r>
            <w:r w:rsidR="00CB33B0" w:rsidRPr="00CB33B0">
              <w:rPr>
                <w:rFonts w:ascii="Times New Roman" w:hAnsi="Times New Roman" w:cs="Times New Roman"/>
                <w:sz w:val="24"/>
                <w:szCs w:val="24"/>
              </w:rPr>
              <w:t>pašvaldība</w:t>
            </w:r>
            <w:r w:rsidR="00673238">
              <w:rPr>
                <w:rFonts w:ascii="Times New Roman" w:hAnsi="Times New Roman" w:cs="Times New Roman"/>
                <w:sz w:val="24"/>
                <w:szCs w:val="24"/>
              </w:rPr>
              <w:t>, Jēkabpils pilsēta</w:t>
            </w:r>
            <w:r w:rsidR="007C7FF8">
              <w:rPr>
                <w:rFonts w:ascii="Times New Roman" w:hAnsi="Times New Roman" w:cs="Times New Roman"/>
                <w:sz w:val="24"/>
                <w:szCs w:val="24"/>
              </w:rPr>
              <w:t>s pašvaldība</w:t>
            </w:r>
            <w:r w:rsidR="00673238">
              <w:rPr>
                <w:rFonts w:ascii="Times New Roman" w:hAnsi="Times New Roman" w:cs="Times New Roman"/>
                <w:sz w:val="24"/>
                <w:szCs w:val="24"/>
              </w:rPr>
              <w:t>, Jelgavas pilsēta</w:t>
            </w:r>
            <w:r w:rsidR="007C7FF8">
              <w:rPr>
                <w:rFonts w:ascii="Times New Roman" w:hAnsi="Times New Roman" w:cs="Times New Roman"/>
                <w:sz w:val="24"/>
                <w:szCs w:val="24"/>
              </w:rPr>
              <w:t xml:space="preserve">s </w:t>
            </w:r>
            <w:r w:rsidR="00CB33B0" w:rsidRPr="00CB33B0">
              <w:rPr>
                <w:rFonts w:ascii="Times New Roman" w:hAnsi="Times New Roman" w:cs="Times New Roman"/>
                <w:sz w:val="24"/>
                <w:szCs w:val="24"/>
              </w:rPr>
              <w:t>pašvaldība</w:t>
            </w:r>
            <w:r w:rsidR="00673238">
              <w:rPr>
                <w:rFonts w:ascii="Times New Roman" w:hAnsi="Times New Roman" w:cs="Times New Roman"/>
                <w:sz w:val="24"/>
                <w:szCs w:val="24"/>
              </w:rPr>
              <w:t>, Jūrmalas pilsēta</w:t>
            </w:r>
            <w:r w:rsidR="007C7FF8">
              <w:rPr>
                <w:rFonts w:ascii="Times New Roman" w:hAnsi="Times New Roman" w:cs="Times New Roman"/>
                <w:sz w:val="24"/>
                <w:szCs w:val="24"/>
              </w:rPr>
              <w:t xml:space="preserve">s </w:t>
            </w:r>
            <w:r w:rsidR="00CB33B0" w:rsidRPr="00CB33B0">
              <w:rPr>
                <w:rFonts w:ascii="Times New Roman" w:hAnsi="Times New Roman" w:cs="Times New Roman"/>
                <w:sz w:val="24"/>
                <w:szCs w:val="24"/>
              </w:rPr>
              <w:t>pašvaldība</w:t>
            </w:r>
            <w:r w:rsidR="00673238">
              <w:rPr>
                <w:rFonts w:ascii="Times New Roman" w:hAnsi="Times New Roman" w:cs="Times New Roman"/>
                <w:sz w:val="24"/>
                <w:szCs w:val="24"/>
              </w:rPr>
              <w:t>, Liepājas pilsēta</w:t>
            </w:r>
            <w:r w:rsidR="007C7FF8">
              <w:rPr>
                <w:rFonts w:ascii="Times New Roman" w:hAnsi="Times New Roman" w:cs="Times New Roman"/>
                <w:sz w:val="24"/>
                <w:szCs w:val="24"/>
              </w:rPr>
              <w:t xml:space="preserve">s </w:t>
            </w:r>
            <w:r w:rsidR="00CB33B0" w:rsidRPr="00CB33B0">
              <w:rPr>
                <w:rFonts w:ascii="Times New Roman" w:hAnsi="Times New Roman" w:cs="Times New Roman"/>
                <w:sz w:val="24"/>
                <w:szCs w:val="24"/>
              </w:rPr>
              <w:t>pašvaldība</w:t>
            </w:r>
            <w:r w:rsidR="00673238">
              <w:rPr>
                <w:rFonts w:ascii="Times New Roman" w:hAnsi="Times New Roman" w:cs="Times New Roman"/>
                <w:sz w:val="24"/>
                <w:szCs w:val="24"/>
              </w:rPr>
              <w:t>, Rēzeknes pilsēta</w:t>
            </w:r>
            <w:r w:rsidR="007C7FF8">
              <w:rPr>
                <w:rFonts w:ascii="Times New Roman" w:hAnsi="Times New Roman" w:cs="Times New Roman"/>
                <w:sz w:val="24"/>
                <w:szCs w:val="24"/>
              </w:rPr>
              <w:t xml:space="preserve">s </w:t>
            </w:r>
            <w:r w:rsidR="00CB33B0">
              <w:t xml:space="preserve"> </w:t>
            </w:r>
            <w:r w:rsidR="00CB33B0" w:rsidRPr="00CB33B0">
              <w:rPr>
                <w:rFonts w:ascii="Times New Roman" w:hAnsi="Times New Roman" w:cs="Times New Roman"/>
                <w:sz w:val="24"/>
                <w:szCs w:val="24"/>
              </w:rPr>
              <w:t>pašvaldība</w:t>
            </w:r>
            <w:r w:rsidR="00673238">
              <w:rPr>
                <w:rFonts w:ascii="Times New Roman" w:hAnsi="Times New Roman" w:cs="Times New Roman"/>
                <w:sz w:val="24"/>
                <w:szCs w:val="24"/>
              </w:rPr>
              <w:t>, Rīgas  pilsēta</w:t>
            </w:r>
            <w:r w:rsidR="007C7FF8">
              <w:rPr>
                <w:rFonts w:ascii="Times New Roman" w:hAnsi="Times New Roman" w:cs="Times New Roman"/>
                <w:sz w:val="24"/>
                <w:szCs w:val="24"/>
              </w:rPr>
              <w:t xml:space="preserve">s </w:t>
            </w:r>
            <w:r w:rsidR="00CB33B0" w:rsidRPr="00CB33B0">
              <w:rPr>
                <w:rFonts w:ascii="Times New Roman" w:hAnsi="Times New Roman" w:cs="Times New Roman"/>
                <w:sz w:val="24"/>
                <w:szCs w:val="24"/>
              </w:rPr>
              <w:t>pašvaldība</w:t>
            </w:r>
            <w:r w:rsidR="008E5E5C">
              <w:rPr>
                <w:rFonts w:ascii="Times New Roman" w:hAnsi="Times New Roman" w:cs="Times New Roman"/>
                <w:sz w:val="24"/>
                <w:szCs w:val="24"/>
              </w:rPr>
              <w:t>,</w:t>
            </w:r>
            <w:r w:rsidR="00673238">
              <w:rPr>
                <w:rFonts w:ascii="Times New Roman" w:hAnsi="Times New Roman" w:cs="Times New Roman"/>
                <w:sz w:val="24"/>
                <w:szCs w:val="24"/>
              </w:rPr>
              <w:t xml:space="preserve"> Valmieras pilsēta</w:t>
            </w:r>
            <w:r w:rsidR="007C7FF8">
              <w:rPr>
                <w:rFonts w:ascii="Times New Roman" w:hAnsi="Times New Roman" w:cs="Times New Roman"/>
                <w:sz w:val="24"/>
                <w:szCs w:val="24"/>
              </w:rPr>
              <w:t>s pašvaldība.</w:t>
            </w:r>
          </w:p>
        </w:tc>
      </w:tr>
      <w:tr w:rsidR="00DA6C86" w:rsidRPr="00BD19AE" w14:paraId="5EDF1EF8" w14:textId="77777777" w:rsidTr="00115F3C">
        <w:trPr>
          <w:trHeight w:val="463"/>
          <w:jc w:val="center"/>
        </w:trPr>
        <w:tc>
          <w:tcPr>
            <w:tcW w:w="562" w:type="dxa"/>
          </w:tcPr>
          <w:p w14:paraId="5EDF1EF3" w14:textId="57EB70E9" w:rsidR="00DA6C86" w:rsidRPr="00BD19AE" w:rsidRDefault="00DA6C86" w:rsidP="00171D36">
            <w:pPr>
              <w:pStyle w:val="naisnod"/>
              <w:spacing w:before="0" w:beforeAutospacing="0" w:after="0" w:afterAutospacing="0"/>
              <w:ind w:left="57" w:right="57"/>
              <w:jc w:val="both"/>
            </w:pPr>
            <w:r w:rsidRPr="00BD19AE">
              <w:t>2.</w:t>
            </w:r>
          </w:p>
        </w:tc>
        <w:tc>
          <w:tcPr>
            <w:tcW w:w="2977" w:type="dxa"/>
          </w:tcPr>
          <w:p w14:paraId="5EDF1EF4" w14:textId="376D97F5" w:rsidR="00DA6C86" w:rsidRPr="00BD19AE" w:rsidRDefault="00DA6C86" w:rsidP="002C5BB1">
            <w:pPr>
              <w:pStyle w:val="naisf"/>
              <w:spacing w:before="0" w:beforeAutospacing="0" w:after="0" w:afterAutospacing="0"/>
              <w:ind w:left="57" w:right="57"/>
            </w:pPr>
            <w:r w:rsidRPr="00BD19AE">
              <w:t>Projekta izpildes iet</w:t>
            </w:r>
            <w:r w:rsidR="002C5BB1" w:rsidRPr="00BD19AE">
              <w:t>ekme uz pār</w:t>
            </w:r>
            <w:r w:rsidR="001E69FC" w:rsidRPr="00BD19AE">
              <w:softHyphen/>
            </w:r>
            <w:r w:rsidR="002C5BB1" w:rsidRPr="00BD19AE">
              <w:t xml:space="preserve">valdes funkcijām un </w:t>
            </w:r>
            <w:r w:rsidRPr="00BD19AE">
              <w:t>institucionālo struktūru.</w:t>
            </w:r>
          </w:p>
          <w:p w14:paraId="5EDF1EF5" w14:textId="3CDFE19D" w:rsidR="00DA6C86" w:rsidRPr="00BD19AE" w:rsidRDefault="00DA6C86" w:rsidP="009A6922">
            <w:pPr>
              <w:pStyle w:val="naisf"/>
              <w:spacing w:before="0" w:beforeAutospacing="0" w:after="0" w:afterAutospacing="0"/>
              <w:ind w:left="57" w:right="57"/>
              <w:jc w:val="both"/>
            </w:pPr>
            <w:r w:rsidRPr="00BD19AE">
              <w:t>Jaunu institūciju izveide, esošu institūciju likvidācija vai reorga</w:t>
            </w:r>
            <w:r w:rsidR="001E69FC" w:rsidRPr="00BD19AE">
              <w:softHyphen/>
            </w:r>
            <w:r w:rsidRPr="00BD19AE">
              <w:t>nizāc</w:t>
            </w:r>
            <w:r w:rsidR="009A6922">
              <w:t xml:space="preserve">ija, to ietekme uz institūcijas </w:t>
            </w:r>
            <w:r w:rsidRPr="00BD19AE">
              <w:t>cilvēk</w:t>
            </w:r>
            <w:r w:rsidR="009A6922">
              <w:t>-</w:t>
            </w:r>
            <w:r w:rsidRPr="00BD19AE">
              <w:t>resursiem.</w:t>
            </w:r>
          </w:p>
        </w:tc>
        <w:tc>
          <w:tcPr>
            <w:tcW w:w="5700" w:type="dxa"/>
          </w:tcPr>
          <w:p w14:paraId="5EDF1EF7" w14:textId="76D172E0" w:rsidR="000A0B88" w:rsidRPr="00BD19AE" w:rsidRDefault="0085451E" w:rsidP="001A1164">
            <w:pPr>
              <w:shd w:val="clear" w:color="auto" w:fill="FFFFFF"/>
              <w:spacing w:after="0" w:line="240" w:lineRule="auto"/>
              <w:ind w:right="57"/>
              <w:jc w:val="both"/>
              <w:rPr>
                <w:rFonts w:ascii="Times New Roman" w:hAnsi="Times New Roman" w:cs="Times New Roman"/>
                <w:sz w:val="24"/>
                <w:szCs w:val="24"/>
              </w:rPr>
            </w:pPr>
            <w:r w:rsidRPr="00BD19AE">
              <w:rPr>
                <w:rFonts w:ascii="Times New Roman" w:hAnsi="Times New Roman" w:cs="Times New Roman"/>
                <w:sz w:val="24"/>
                <w:szCs w:val="24"/>
              </w:rPr>
              <w:t>Jaunu institūciju izveide, esošu ins</w:t>
            </w:r>
            <w:r w:rsidR="00016528" w:rsidRPr="00BD19AE">
              <w:rPr>
                <w:rFonts w:ascii="Times New Roman" w:hAnsi="Times New Roman" w:cs="Times New Roman"/>
                <w:sz w:val="24"/>
                <w:szCs w:val="24"/>
              </w:rPr>
              <w:t>titūciju likvidācija vai reorga</w:t>
            </w:r>
            <w:r w:rsidRPr="00BD19AE">
              <w:rPr>
                <w:rFonts w:ascii="Times New Roman" w:hAnsi="Times New Roman" w:cs="Times New Roman"/>
                <w:sz w:val="24"/>
                <w:szCs w:val="24"/>
              </w:rPr>
              <w:t>nizācija nav paredzēta.</w:t>
            </w:r>
          </w:p>
        </w:tc>
      </w:tr>
      <w:tr w:rsidR="00DA6C86" w:rsidRPr="00BD19AE" w14:paraId="5EDF1EFD" w14:textId="77777777" w:rsidTr="00115F3C">
        <w:trPr>
          <w:trHeight w:val="402"/>
          <w:jc w:val="center"/>
        </w:trPr>
        <w:tc>
          <w:tcPr>
            <w:tcW w:w="562" w:type="dxa"/>
            <w:tcBorders>
              <w:top w:val="single" w:sz="4" w:space="0" w:color="auto"/>
              <w:left w:val="single" w:sz="4" w:space="0" w:color="auto"/>
              <w:bottom w:val="single" w:sz="4" w:space="0" w:color="auto"/>
              <w:right w:val="single" w:sz="4" w:space="0" w:color="auto"/>
            </w:tcBorders>
          </w:tcPr>
          <w:p w14:paraId="5EDF1EF9" w14:textId="3A2B96F8" w:rsidR="00DA6C86" w:rsidRPr="00BD19AE" w:rsidRDefault="00DA6C86" w:rsidP="00171D36">
            <w:pPr>
              <w:pStyle w:val="naisnod"/>
              <w:spacing w:before="0" w:beforeAutospacing="0" w:after="0" w:afterAutospacing="0"/>
              <w:ind w:left="57" w:right="57"/>
              <w:jc w:val="both"/>
            </w:pPr>
            <w:r w:rsidRPr="00BD19AE">
              <w:t>3.</w:t>
            </w:r>
          </w:p>
        </w:tc>
        <w:tc>
          <w:tcPr>
            <w:tcW w:w="2977" w:type="dxa"/>
            <w:tcBorders>
              <w:top w:val="single" w:sz="4" w:space="0" w:color="auto"/>
              <w:left w:val="single" w:sz="4" w:space="0" w:color="auto"/>
              <w:bottom w:val="single" w:sz="4" w:space="0" w:color="auto"/>
              <w:right w:val="single" w:sz="4" w:space="0" w:color="auto"/>
            </w:tcBorders>
          </w:tcPr>
          <w:p w14:paraId="5EDF1EFA" w14:textId="77777777" w:rsidR="00DA6C86" w:rsidRPr="00BD19AE" w:rsidRDefault="00DA6C86" w:rsidP="002C5BB1">
            <w:pPr>
              <w:pStyle w:val="naisf"/>
              <w:spacing w:before="0" w:beforeAutospacing="0" w:after="0" w:afterAutospacing="0"/>
              <w:ind w:left="57" w:right="57"/>
            </w:pPr>
            <w:r w:rsidRPr="00BD19AE">
              <w:t>Cita informācija</w:t>
            </w:r>
          </w:p>
        </w:tc>
        <w:tc>
          <w:tcPr>
            <w:tcW w:w="5700" w:type="dxa"/>
            <w:tcBorders>
              <w:top w:val="single" w:sz="4" w:space="0" w:color="auto"/>
              <w:left w:val="single" w:sz="4" w:space="0" w:color="auto"/>
              <w:bottom w:val="single" w:sz="4" w:space="0" w:color="auto"/>
              <w:right w:val="single" w:sz="4" w:space="0" w:color="auto"/>
            </w:tcBorders>
          </w:tcPr>
          <w:p w14:paraId="5EDF1EFC" w14:textId="1A3D4BB2" w:rsidR="00DA6C86" w:rsidRPr="00BD19AE" w:rsidRDefault="00D658E8" w:rsidP="008E5E5C">
            <w:pPr>
              <w:spacing w:after="0" w:line="240" w:lineRule="auto"/>
              <w:ind w:left="57" w:right="2"/>
              <w:jc w:val="both"/>
              <w:rPr>
                <w:rFonts w:ascii="Times New Roman" w:hAnsi="Times New Roman" w:cs="Times New Roman"/>
                <w:sz w:val="24"/>
                <w:szCs w:val="24"/>
              </w:rPr>
            </w:pPr>
            <w:r w:rsidRPr="00BD19AE">
              <w:rPr>
                <w:rFonts w:ascii="Times New Roman" w:hAnsi="Times New Roman" w:cs="Times New Roman"/>
                <w:sz w:val="24"/>
                <w:szCs w:val="24"/>
              </w:rPr>
              <w:t xml:space="preserve">Latvijas Investīciju un attīstības aģentūra, Valsts izglītības attīstības aģentūra, Valsts reģionālās attīstības aģentūra, Nodarbinātības valsts aģentūra un Sabiedrības integrācijas fonds nodrošina tikai </w:t>
            </w:r>
            <w:r w:rsidR="0074439C" w:rsidRPr="00BD19AE">
              <w:rPr>
                <w:rFonts w:ascii="Times New Roman" w:hAnsi="Times New Roman" w:cs="Times New Roman"/>
                <w:sz w:val="24"/>
                <w:szCs w:val="24"/>
              </w:rPr>
              <w:t xml:space="preserve">ES fondu </w:t>
            </w:r>
            <w:r w:rsidRPr="00BD19AE">
              <w:rPr>
                <w:rFonts w:ascii="Times New Roman" w:hAnsi="Times New Roman" w:cs="Times New Roman"/>
                <w:sz w:val="24"/>
                <w:szCs w:val="24"/>
              </w:rPr>
              <w:t>2007.-20</w:t>
            </w:r>
            <w:r w:rsidR="00410051" w:rsidRPr="00BD19AE">
              <w:rPr>
                <w:rFonts w:ascii="Times New Roman" w:hAnsi="Times New Roman" w:cs="Times New Roman"/>
                <w:sz w:val="24"/>
                <w:szCs w:val="24"/>
              </w:rPr>
              <w:t>13.gada plānošanas perioda pro</w:t>
            </w:r>
            <w:r w:rsidRPr="00BD19AE">
              <w:rPr>
                <w:rFonts w:ascii="Times New Roman" w:hAnsi="Times New Roman" w:cs="Times New Roman"/>
                <w:sz w:val="24"/>
                <w:szCs w:val="24"/>
              </w:rPr>
              <w:t>j</w:t>
            </w:r>
            <w:r w:rsidR="00410051" w:rsidRPr="00BD19AE">
              <w:rPr>
                <w:rFonts w:ascii="Times New Roman" w:hAnsi="Times New Roman" w:cs="Times New Roman"/>
                <w:sz w:val="24"/>
                <w:szCs w:val="24"/>
              </w:rPr>
              <w:t xml:space="preserve">ektu </w:t>
            </w:r>
            <w:proofErr w:type="spellStart"/>
            <w:r w:rsidR="00410051" w:rsidRPr="00BD19AE">
              <w:rPr>
                <w:rFonts w:ascii="Times New Roman" w:hAnsi="Times New Roman" w:cs="Times New Roman"/>
                <w:sz w:val="24"/>
                <w:szCs w:val="24"/>
              </w:rPr>
              <w:t>pēcuz</w:t>
            </w:r>
            <w:r w:rsidR="001D14F5">
              <w:rPr>
                <w:rFonts w:ascii="Times New Roman" w:hAnsi="Times New Roman" w:cs="Times New Roman"/>
                <w:sz w:val="24"/>
                <w:szCs w:val="24"/>
              </w:rPr>
              <w:t>r</w:t>
            </w:r>
            <w:r w:rsidR="00410051" w:rsidRPr="00BD19AE">
              <w:rPr>
                <w:rFonts w:ascii="Times New Roman" w:hAnsi="Times New Roman" w:cs="Times New Roman"/>
                <w:sz w:val="24"/>
                <w:szCs w:val="24"/>
              </w:rPr>
              <w:t>audzī</w:t>
            </w:r>
            <w:r w:rsidRPr="00BD19AE">
              <w:rPr>
                <w:rFonts w:ascii="Times New Roman" w:hAnsi="Times New Roman" w:cs="Times New Roman"/>
                <w:sz w:val="24"/>
                <w:szCs w:val="24"/>
              </w:rPr>
              <w:t>bas</w:t>
            </w:r>
            <w:proofErr w:type="spellEnd"/>
            <w:r w:rsidRPr="00BD19AE">
              <w:rPr>
                <w:rFonts w:ascii="Times New Roman" w:hAnsi="Times New Roman" w:cs="Times New Roman"/>
                <w:sz w:val="24"/>
                <w:szCs w:val="24"/>
              </w:rPr>
              <w:t xml:space="preserve"> funkciju nodrošināšanu</w:t>
            </w:r>
            <w:r w:rsidR="007C7FF8">
              <w:rPr>
                <w:rFonts w:ascii="Times New Roman" w:hAnsi="Times New Roman" w:cs="Times New Roman"/>
                <w:sz w:val="24"/>
                <w:szCs w:val="24"/>
              </w:rPr>
              <w:t xml:space="preserve">, kas ir attiecināma finansēšanai no </w:t>
            </w:r>
            <w:r w:rsidR="008E5E5C">
              <w:rPr>
                <w:rFonts w:ascii="Times New Roman" w:hAnsi="Times New Roman" w:cs="Times New Roman"/>
                <w:sz w:val="24"/>
                <w:szCs w:val="24"/>
              </w:rPr>
              <w:t>ES fondu 2014.-2020.</w:t>
            </w:r>
            <w:r w:rsidR="007C7FF8" w:rsidRPr="00BD19AE">
              <w:rPr>
                <w:rFonts w:ascii="Times New Roman" w:hAnsi="Times New Roman" w:cs="Times New Roman"/>
                <w:sz w:val="24"/>
                <w:szCs w:val="24"/>
              </w:rPr>
              <w:t xml:space="preserve">gada plānošanas periodā </w:t>
            </w:r>
            <w:r w:rsidR="007C7FF8">
              <w:rPr>
                <w:rFonts w:ascii="Times New Roman" w:hAnsi="Times New Roman" w:cs="Times New Roman"/>
                <w:sz w:val="24"/>
                <w:szCs w:val="24"/>
              </w:rPr>
              <w:t>tehnisk</w:t>
            </w:r>
            <w:r w:rsidR="0013211F">
              <w:rPr>
                <w:rFonts w:ascii="Times New Roman" w:hAnsi="Times New Roman" w:cs="Times New Roman"/>
                <w:sz w:val="24"/>
                <w:szCs w:val="24"/>
              </w:rPr>
              <w:t>ā</w:t>
            </w:r>
            <w:r w:rsidR="007C7FF8">
              <w:rPr>
                <w:rFonts w:ascii="Times New Roman" w:hAnsi="Times New Roman" w:cs="Times New Roman"/>
                <w:sz w:val="24"/>
                <w:szCs w:val="24"/>
              </w:rPr>
              <w:t>s palīdzības līdzekļiem.</w:t>
            </w:r>
          </w:p>
        </w:tc>
      </w:tr>
    </w:tbl>
    <w:p w14:paraId="3C778449" w14:textId="7D893A24" w:rsidR="00397763" w:rsidRPr="00E2591D" w:rsidRDefault="00397763" w:rsidP="00FA1208">
      <w:pPr>
        <w:pStyle w:val="naisf"/>
        <w:spacing w:after="0" w:afterAutospacing="0"/>
        <w:jc w:val="center"/>
      </w:pPr>
      <w:r w:rsidRPr="00E2591D">
        <w:t>Anotācijas III</w:t>
      </w:r>
      <w:r w:rsidR="0072182D" w:rsidRPr="00E2591D">
        <w:t>.</w:t>
      </w:r>
      <w:r w:rsidRPr="00E2591D">
        <w:t>, IV</w:t>
      </w:r>
      <w:r w:rsidR="0072182D" w:rsidRPr="00E2591D">
        <w:t xml:space="preserve">. </w:t>
      </w:r>
      <w:r w:rsidRPr="00E2591D">
        <w:t>sadaļa - MK noteikumu projekts šo jomu neskar</w:t>
      </w:r>
      <w:r w:rsidR="005D519B" w:rsidRPr="00E2591D">
        <w:t>.</w:t>
      </w:r>
    </w:p>
    <w:p w14:paraId="779214FE" w14:textId="77777777" w:rsidR="00FA1208" w:rsidRPr="00E2591D" w:rsidRDefault="00FA1208" w:rsidP="00FA1208">
      <w:pPr>
        <w:pStyle w:val="naisf"/>
        <w:spacing w:before="0" w:beforeAutospacing="0" w:after="0" w:afterAutospacing="0"/>
      </w:pPr>
    </w:p>
    <w:p w14:paraId="0AD3F6CD" w14:textId="69522720" w:rsidR="00E600EC" w:rsidRDefault="00984C24" w:rsidP="0099605F">
      <w:pPr>
        <w:pStyle w:val="naisf"/>
        <w:spacing w:before="0" w:beforeAutospacing="0" w:after="0" w:afterAutospacing="0"/>
      </w:pPr>
      <w:r w:rsidRPr="00E2591D">
        <w:t>Finanšu ministrs</w:t>
      </w:r>
      <w:r w:rsidRPr="00E2591D">
        <w:tab/>
      </w:r>
      <w:r w:rsidR="00E2591D">
        <w:tab/>
      </w:r>
      <w:r w:rsidR="00E2591D">
        <w:tab/>
      </w:r>
      <w:r w:rsidR="00E2591D">
        <w:tab/>
      </w:r>
      <w:r w:rsidR="00E2591D">
        <w:tab/>
      </w:r>
      <w:r w:rsidR="00E2591D">
        <w:tab/>
      </w:r>
      <w:r w:rsidR="00E2591D">
        <w:tab/>
      </w:r>
      <w:r w:rsidR="00E2591D">
        <w:tab/>
      </w:r>
      <w:r w:rsidR="00E2591D">
        <w:tab/>
      </w:r>
      <w:proofErr w:type="spellStart"/>
      <w:r w:rsidRPr="00E2591D">
        <w:t>J</w:t>
      </w:r>
      <w:r w:rsidR="0001285C" w:rsidRPr="00E2591D">
        <w:t>.R</w:t>
      </w:r>
      <w:r w:rsidRPr="00E2591D">
        <w:t>eirs</w:t>
      </w:r>
      <w:proofErr w:type="spellEnd"/>
    </w:p>
    <w:p w14:paraId="434E5E2F" w14:textId="77777777" w:rsidR="00E600EC" w:rsidRPr="00E2591D" w:rsidRDefault="00E600EC" w:rsidP="005D519B">
      <w:pPr>
        <w:spacing w:after="0" w:line="240" w:lineRule="auto"/>
        <w:jc w:val="both"/>
        <w:rPr>
          <w:rFonts w:ascii="Times New Roman" w:hAnsi="Times New Roman" w:cs="Times New Roman"/>
          <w:sz w:val="24"/>
          <w:szCs w:val="24"/>
        </w:rPr>
      </w:pPr>
    </w:p>
    <w:p w14:paraId="331A918E" w14:textId="6A654013" w:rsidR="005D519B" w:rsidRPr="00E2591D" w:rsidRDefault="00AF3B8B" w:rsidP="005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5D519B" w:rsidRPr="00E2591D">
        <w:rPr>
          <w:rFonts w:ascii="Times New Roman" w:hAnsi="Times New Roman" w:cs="Times New Roman"/>
          <w:sz w:val="24"/>
          <w:szCs w:val="24"/>
        </w:rPr>
        <w:t>.</w:t>
      </w:r>
      <w:r w:rsidR="00BE3555">
        <w:rPr>
          <w:rFonts w:ascii="Times New Roman" w:hAnsi="Times New Roman" w:cs="Times New Roman"/>
          <w:sz w:val="24"/>
          <w:szCs w:val="24"/>
        </w:rPr>
        <w:t>08</w:t>
      </w:r>
      <w:r w:rsidR="004D04BA" w:rsidRPr="00E2591D">
        <w:rPr>
          <w:rFonts w:ascii="Times New Roman" w:hAnsi="Times New Roman" w:cs="Times New Roman"/>
          <w:sz w:val="24"/>
          <w:szCs w:val="24"/>
        </w:rPr>
        <w:t>.2015</w:t>
      </w:r>
      <w:r w:rsidR="005D519B" w:rsidRPr="00E2591D">
        <w:rPr>
          <w:rFonts w:ascii="Times New Roman" w:hAnsi="Times New Roman" w:cs="Times New Roman"/>
          <w:sz w:val="24"/>
          <w:szCs w:val="24"/>
        </w:rPr>
        <w:t xml:space="preserve"> </w:t>
      </w:r>
      <w:r w:rsidR="00045D82" w:rsidRPr="00E2591D">
        <w:rPr>
          <w:rFonts w:ascii="Times New Roman" w:hAnsi="Times New Roman" w:cs="Times New Roman"/>
          <w:sz w:val="24"/>
          <w:szCs w:val="24"/>
        </w:rPr>
        <w:t>10</w:t>
      </w:r>
      <w:r w:rsidR="005D519B" w:rsidRPr="00E2591D">
        <w:rPr>
          <w:rFonts w:ascii="Times New Roman" w:hAnsi="Times New Roman" w:cs="Times New Roman"/>
          <w:sz w:val="24"/>
          <w:szCs w:val="24"/>
        </w:rPr>
        <w:t>:</w:t>
      </w:r>
      <w:r w:rsidR="00045D82" w:rsidRPr="00E2591D">
        <w:rPr>
          <w:rFonts w:ascii="Times New Roman" w:hAnsi="Times New Roman" w:cs="Times New Roman"/>
          <w:sz w:val="24"/>
          <w:szCs w:val="24"/>
        </w:rPr>
        <w:t>39</w:t>
      </w:r>
    </w:p>
    <w:p w14:paraId="1D4EC357" w14:textId="29A309C2" w:rsidR="005D519B" w:rsidRDefault="00083A5C" w:rsidP="00FD68DE">
      <w:pPr>
        <w:tabs>
          <w:tab w:val="left" w:pos="11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C67C6">
        <w:rPr>
          <w:rFonts w:ascii="Times New Roman" w:hAnsi="Times New Roman" w:cs="Times New Roman"/>
          <w:sz w:val="24"/>
          <w:szCs w:val="24"/>
        </w:rPr>
        <w:t xml:space="preserve"> </w:t>
      </w:r>
      <w:r w:rsidR="000A0405">
        <w:rPr>
          <w:rFonts w:ascii="Times New Roman" w:hAnsi="Times New Roman" w:cs="Times New Roman"/>
          <w:sz w:val="24"/>
          <w:szCs w:val="24"/>
        </w:rPr>
        <w:t>368</w:t>
      </w:r>
    </w:p>
    <w:p w14:paraId="05FCF60D" w14:textId="77777777" w:rsidR="00BE3555" w:rsidRPr="00E2591D" w:rsidRDefault="00BE3555" w:rsidP="00FD68DE">
      <w:pPr>
        <w:tabs>
          <w:tab w:val="left" w:pos="1100"/>
        </w:tabs>
        <w:spacing w:after="0" w:line="240" w:lineRule="auto"/>
        <w:jc w:val="both"/>
        <w:rPr>
          <w:rFonts w:ascii="Times New Roman" w:hAnsi="Times New Roman" w:cs="Times New Roman"/>
          <w:sz w:val="24"/>
          <w:szCs w:val="24"/>
        </w:rPr>
      </w:pPr>
    </w:p>
    <w:p w14:paraId="71A89068" w14:textId="75E076E1" w:rsidR="005D519B" w:rsidRPr="00BE3555" w:rsidRDefault="002E5ACB" w:rsidP="005D519B">
      <w:pPr>
        <w:spacing w:after="0" w:line="240" w:lineRule="auto"/>
        <w:jc w:val="both"/>
        <w:rPr>
          <w:rFonts w:ascii="Times New Roman" w:hAnsi="Times New Roman" w:cs="Times New Roman"/>
          <w:sz w:val="20"/>
          <w:szCs w:val="20"/>
        </w:rPr>
      </w:pPr>
      <w:proofErr w:type="spellStart"/>
      <w:r w:rsidRPr="00BE3555">
        <w:rPr>
          <w:rFonts w:ascii="Times New Roman" w:hAnsi="Times New Roman" w:cs="Times New Roman"/>
          <w:sz w:val="20"/>
          <w:szCs w:val="20"/>
        </w:rPr>
        <w:t>E.Zandbergs</w:t>
      </w:r>
      <w:proofErr w:type="spellEnd"/>
      <w:r w:rsidR="005D519B" w:rsidRPr="00BE3555">
        <w:rPr>
          <w:rFonts w:ascii="Times New Roman" w:hAnsi="Times New Roman" w:cs="Times New Roman"/>
          <w:sz w:val="20"/>
          <w:szCs w:val="20"/>
        </w:rPr>
        <w:t>,</w:t>
      </w:r>
    </w:p>
    <w:p w14:paraId="6AB8E1A3" w14:textId="77777777" w:rsidR="005D519B" w:rsidRPr="00BE3555" w:rsidRDefault="005D519B" w:rsidP="005D519B">
      <w:pPr>
        <w:spacing w:after="0" w:line="240" w:lineRule="auto"/>
        <w:jc w:val="both"/>
        <w:rPr>
          <w:rFonts w:ascii="Times New Roman" w:hAnsi="Times New Roman" w:cs="Times New Roman"/>
          <w:sz w:val="20"/>
          <w:szCs w:val="20"/>
        </w:rPr>
      </w:pPr>
      <w:r w:rsidRPr="00BE3555">
        <w:rPr>
          <w:rFonts w:ascii="Times New Roman" w:hAnsi="Times New Roman" w:cs="Times New Roman"/>
          <w:sz w:val="20"/>
          <w:szCs w:val="20"/>
        </w:rPr>
        <w:t>Finanšu ministrijas</w:t>
      </w:r>
    </w:p>
    <w:p w14:paraId="51B50DCB" w14:textId="60EE098E" w:rsidR="005D519B" w:rsidRPr="00BE3555" w:rsidRDefault="005D519B" w:rsidP="005D519B">
      <w:pPr>
        <w:spacing w:after="0" w:line="240" w:lineRule="auto"/>
        <w:jc w:val="both"/>
        <w:rPr>
          <w:rFonts w:ascii="Times New Roman" w:hAnsi="Times New Roman" w:cs="Times New Roman"/>
          <w:sz w:val="20"/>
          <w:szCs w:val="20"/>
        </w:rPr>
      </w:pPr>
      <w:r w:rsidRPr="00BE3555">
        <w:rPr>
          <w:rFonts w:ascii="Times New Roman" w:hAnsi="Times New Roman" w:cs="Times New Roman"/>
          <w:sz w:val="20"/>
          <w:szCs w:val="20"/>
        </w:rPr>
        <w:t xml:space="preserve">Eiropas Savienības fondu vadības </w:t>
      </w:r>
      <w:r w:rsidR="004D04BA" w:rsidRPr="00BE3555">
        <w:rPr>
          <w:rFonts w:ascii="Times New Roman" w:hAnsi="Times New Roman" w:cs="Times New Roman"/>
          <w:sz w:val="20"/>
          <w:szCs w:val="20"/>
        </w:rPr>
        <w:t xml:space="preserve">un kontroles </w:t>
      </w:r>
      <w:r w:rsidRPr="00BE3555">
        <w:rPr>
          <w:rFonts w:ascii="Times New Roman" w:hAnsi="Times New Roman" w:cs="Times New Roman"/>
          <w:sz w:val="20"/>
          <w:szCs w:val="20"/>
        </w:rPr>
        <w:t>departamenta</w:t>
      </w:r>
    </w:p>
    <w:p w14:paraId="29DF0DF2" w14:textId="47E2D209" w:rsidR="005D519B" w:rsidRPr="00BE3555" w:rsidRDefault="005D519B" w:rsidP="005D519B">
      <w:pPr>
        <w:spacing w:after="0" w:line="240" w:lineRule="auto"/>
        <w:jc w:val="both"/>
        <w:rPr>
          <w:rFonts w:ascii="Times New Roman" w:hAnsi="Times New Roman" w:cs="Times New Roman"/>
          <w:sz w:val="20"/>
          <w:szCs w:val="20"/>
        </w:rPr>
      </w:pPr>
      <w:r w:rsidRPr="00BE3555">
        <w:rPr>
          <w:rFonts w:ascii="Times New Roman" w:hAnsi="Times New Roman" w:cs="Times New Roman"/>
          <w:sz w:val="20"/>
          <w:szCs w:val="20"/>
        </w:rPr>
        <w:t xml:space="preserve">Eiropas Savienības fondu </w:t>
      </w:r>
      <w:r w:rsidR="002E5ACB" w:rsidRPr="00BE3555">
        <w:rPr>
          <w:rFonts w:ascii="Times New Roman" w:hAnsi="Times New Roman" w:cs="Times New Roman"/>
          <w:sz w:val="20"/>
          <w:szCs w:val="20"/>
        </w:rPr>
        <w:t xml:space="preserve">ieviešanas </w:t>
      </w:r>
      <w:r w:rsidR="004D04BA" w:rsidRPr="00BE3555">
        <w:rPr>
          <w:rFonts w:ascii="Times New Roman" w:hAnsi="Times New Roman" w:cs="Times New Roman"/>
          <w:sz w:val="20"/>
          <w:szCs w:val="20"/>
        </w:rPr>
        <w:t>vadības</w:t>
      </w:r>
      <w:r w:rsidRPr="00BE3555">
        <w:rPr>
          <w:rFonts w:ascii="Times New Roman" w:hAnsi="Times New Roman" w:cs="Times New Roman"/>
          <w:sz w:val="20"/>
          <w:szCs w:val="20"/>
        </w:rPr>
        <w:t xml:space="preserve"> nodaļas</w:t>
      </w:r>
    </w:p>
    <w:p w14:paraId="6D26D7A6" w14:textId="103125A8" w:rsidR="005D519B" w:rsidRPr="00BE3555" w:rsidRDefault="002E5ACB" w:rsidP="005D519B">
      <w:pPr>
        <w:spacing w:after="0" w:line="240" w:lineRule="auto"/>
        <w:jc w:val="both"/>
        <w:rPr>
          <w:rFonts w:ascii="Times New Roman" w:hAnsi="Times New Roman" w:cs="Times New Roman"/>
          <w:sz w:val="20"/>
          <w:szCs w:val="20"/>
        </w:rPr>
      </w:pPr>
      <w:r w:rsidRPr="00BE3555">
        <w:rPr>
          <w:rFonts w:ascii="Times New Roman" w:hAnsi="Times New Roman" w:cs="Times New Roman"/>
          <w:sz w:val="20"/>
          <w:szCs w:val="20"/>
        </w:rPr>
        <w:t>Vecākais eksperts</w:t>
      </w:r>
    </w:p>
    <w:p w14:paraId="0FE1C4B7" w14:textId="54780180" w:rsidR="00703B86" w:rsidRPr="00E2591D" w:rsidRDefault="002E5ACB">
      <w:pPr>
        <w:spacing w:after="0" w:line="240" w:lineRule="auto"/>
        <w:jc w:val="both"/>
        <w:rPr>
          <w:rFonts w:ascii="Times New Roman" w:hAnsi="Times New Roman" w:cs="Times New Roman"/>
          <w:sz w:val="24"/>
          <w:szCs w:val="24"/>
        </w:rPr>
      </w:pPr>
      <w:r w:rsidRPr="00BE3555">
        <w:rPr>
          <w:rFonts w:ascii="Times New Roman" w:hAnsi="Times New Roman" w:cs="Times New Roman"/>
          <w:sz w:val="20"/>
          <w:szCs w:val="20"/>
        </w:rPr>
        <w:t>67095 532, Edgars.Zandbergs</w:t>
      </w:r>
      <w:r w:rsidR="005D519B" w:rsidRPr="00BE3555">
        <w:rPr>
          <w:rFonts w:ascii="Times New Roman" w:hAnsi="Times New Roman" w:cs="Times New Roman"/>
          <w:sz w:val="20"/>
          <w:szCs w:val="20"/>
        </w:rPr>
        <w:t>@fm.gov.lv</w:t>
      </w:r>
    </w:p>
    <w:sectPr w:rsidR="00703B86" w:rsidRPr="00E2591D" w:rsidSect="00045D82">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3EAE2" w14:textId="77777777" w:rsidR="00F4380C" w:rsidRDefault="00F4380C" w:rsidP="004369B2">
      <w:pPr>
        <w:spacing w:after="0" w:line="240" w:lineRule="auto"/>
      </w:pPr>
      <w:r>
        <w:separator/>
      </w:r>
    </w:p>
  </w:endnote>
  <w:endnote w:type="continuationSeparator" w:id="0">
    <w:p w14:paraId="196B54F7" w14:textId="77777777" w:rsidR="00F4380C" w:rsidRDefault="00F4380C" w:rsidP="004369B2">
      <w:pPr>
        <w:spacing w:after="0" w:line="240" w:lineRule="auto"/>
      </w:pPr>
      <w:r>
        <w:continuationSeparator/>
      </w:r>
    </w:p>
  </w:endnote>
  <w:endnote w:type="continuationNotice" w:id="1">
    <w:p w14:paraId="3D631D3C" w14:textId="77777777" w:rsidR="00F4380C" w:rsidRDefault="00F438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AAC0B" w14:textId="7A2512F9" w:rsidR="004A57B8" w:rsidRPr="00572859" w:rsidRDefault="004A57B8" w:rsidP="002231C8">
    <w:pPr>
      <w:pStyle w:val="Footer"/>
      <w:jc w:val="both"/>
      <w:rPr>
        <w:sz w:val="20"/>
        <w:szCs w:val="20"/>
      </w:rPr>
    </w:pPr>
    <w:r w:rsidRPr="00C3198A">
      <w:rPr>
        <w:rFonts w:ascii="Times New Roman" w:hAnsi="Times New Roman" w:cs="Times New Roman"/>
        <w:sz w:val="18"/>
        <w:szCs w:val="20"/>
      </w:rPr>
      <w:t>FMAnot_</w:t>
    </w:r>
    <w:r w:rsidR="00B63AF0">
      <w:rPr>
        <w:rFonts w:ascii="Times New Roman" w:hAnsi="Times New Roman" w:cs="Times New Roman"/>
        <w:sz w:val="18"/>
        <w:szCs w:val="20"/>
      </w:rPr>
      <w:t>17</w:t>
    </w:r>
    <w:r>
      <w:rPr>
        <w:rFonts w:ascii="Times New Roman" w:hAnsi="Times New Roman" w:cs="Times New Roman"/>
        <w:sz w:val="18"/>
        <w:szCs w:val="20"/>
      </w:rPr>
      <w:t>0815_TP14-20</w:t>
    </w:r>
    <w:r w:rsidRPr="00C3198A">
      <w:rPr>
        <w:rFonts w:ascii="Times New Roman" w:hAnsi="Times New Roman" w:cs="Times New Roman"/>
        <w:sz w:val="18"/>
        <w:szCs w:val="20"/>
      </w:rPr>
      <w:t xml:space="preserve">; </w:t>
    </w:r>
    <w:r w:rsidRPr="00572859">
      <w:rPr>
        <w:rFonts w:ascii="Times New Roman" w:hAnsi="Times New Roman"/>
        <w:sz w:val="20"/>
        <w:szCs w:val="20"/>
      </w:rPr>
      <w:t>Ministru kabineta noteikumu projekta „</w:t>
    </w:r>
    <w:r>
      <w:rPr>
        <w:rFonts w:ascii="Times New Roman" w:eastAsia="Times New Roman" w:hAnsi="Times New Roman" w:cs="Times New Roman"/>
        <w:bCs/>
        <w:sz w:val="20"/>
        <w:szCs w:val="20"/>
      </w:rPr>
      <w:t>D</w:t>
    </w:r>
    <w:r w:rsidRPr="00572859">
      <w:rPr>
        <w:rFonts w:ascii="Times New Roman" w:eastAsia="Times New Roman" w:hAnsi="Times New Roman" w:cs="Times New Roman"/>
        <w:bCs/>
        <w:sz w:val="20"/>
        <w:szCs w:val="20"/>
      </w:rPr>
      <w:t>arbības programmas "Izaugsme un nodarbinātība" papildinājuma</w:t>
    </w:r>
    <w:r>
      <w:rPr>
        <w:rFonts w:ascii="Times New Roman" w:eastAsia="Times New Roman" w:hAnsi="Times New Roman" w:cs="Times New Roman"/>
        <w:bCs/>
        <w:sz w:val="20"/>
        <w:szCs w:val="20"/>
      </w:rPr>
      <w:t xml:space="preserve"> 2.10.</w:t>
    </w:r>
    <w:r w:rsidRPr="00572859">
      <w:rPr>
        <w:rFonts w:ascii="Times New Roman" w:eastAsia="Times New Roman" w:hAnsi="Times New Roman" w:cs="Times New Roman"/>
        <w:bCs/>
        <w:sz w:val="20"/>
        <w:szCs w:val="20"/>
      </w:rPr>
      <w:t xml:space="preserve"> prioritārā virziena „Tehniskā palīdzība „ESF atbalsts KP fondu ieviešanai un vadībai””, </w:t>
    </w:r>
    <w:r>
      <w:rPr>
        <w:rFonts w:ascii="Times New Roman" w:eastAsia="Times New Roman" w:hAnsi="Times New Roman" w:cs="Times New Roman"/>
        <w:bCs/>
        <w:sz w:val="20"/>
        <w:szCs w:val="20"/>
      </w:rPr>
      <w:t xml:space="preserve">2.11. </w:t>
    </w:r>
    <w:r w:rsidRPr="00572859">
      <w:rPr>
        <w:rFonts w:ascii="Times New Roman" w:eastAsia="Times New Roman" w:hAnsi="Times New Roman" w:cs="Times New Roman"/>
        <w:bCs/>
        <w:sz w:val="20"/>
        <w:szCs w:val="20"/>
      </w:rPr>
      <w:t xml:space="preserve">prioritārā virziena „Tehniskā palīdzība „ERAF atbalsts KP fondu ieviešanai un vadībai”” un </w:t>
    </w:r>
    <w:r>
      <w:rPr>
        <w:rFonts w:ascii="Times New Roman" w:eastAsia="Times New Roman" w:hAnsi="Times New Roman" w:cs="Times New Roman"/>
        <w:bCs/>
        <w:sz w:val="20"/>
        <w:szCs w:val="20"/>
      </w:rPr>
      <w:t xml:space="preserve">2.12. </w:t>
    </w:r>
    <w:r w:rsidRPr="00572859">
      <w:rPr>
        <w:rFonts w:ascii="Times New Roman" w:eastAsia="Times New Roman" w:hAnsi="Times New Roman" w:cs="Times New Roman"/>
        <w:bCs/>
        <w:sz w:val="20"/>
        <w:szCs w:val="20"/>
      </w:rPr>
      <w:t>prioritārā virziena „Tehniskā palīdzība „KF atbalsts KP fondu ieviešanai un vadībai”” p</w:t>
    </w:r>
    <w:r>
      <w:rPr>
        <w:rFonts w:ascii="Times New Roman" w:eastAsia="Times New Roman" w:hAnsi="Times New Roman" w:cs="Times New Roman"/>
        <w:bCs/>
        <w:sz w:val="20"/>
        <w:szCs w:val="20"/>
      </w:rPr>
      <w:t>rojektu iesniegumu atlases pirmās kārtas noteikumi</w:t>
    </w:r>
    <w:r w:rsidRPr="00572859">
      <w:rPr>
        <w:rFonts w:ascii="Times New Roman" w:hAnsi="Times New Roman"/>
        <w:sz w:val="20"/>
        <w:szCs w:val="20"/>
      </w:rPr>
      <w:t>”</w:t>
    </w:r>
    <w:r w:rsidRPr="00572859">
      <w:rPr>
        <w:rFonts w:ascii="Times New Roman" w:hAnsi="Times New Roman" w:cs="Times New Roman"/>
        <w:sz w:val="20"/>
        <w:szCs w:val="20"/>
      </w:rPr>
      <w:t xml:space="preserve"> sākotnējās ietekmes novērtējuma ziņojums (anotācija)</w:t>
    </w:r>
  </w:p>
  <w:p w14:paraId="7EE8FEA8" w14:textId="1B105CBE" w:rsidR="004A57B8" w:rsidRPr="00572859" w:rsidRDefault="004A57B8" w:rsidP="00572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0906C" w14:textId="25902FB7" w:rsidR="004A57B8" w:rsidRPr="00572859" w:rsidRDefault="004A57B8" w:rsidP="00E601A7">
    <w:pPr>
      <w:pStyle w:val="Footer"/>
      <w:jc w:val="both"/>
      <w:rPr>
        <w:sz w:val="20"/>
        <w:szCs w:val="20"/>
      </w:rPr>
    </w:pPr>
    <w:r w:rsidRPr="00C3198A">
      <w:rPr>
        <w:rFonts w:ascii="Times New Roman" w:hAnsi="Times New Roman" w:cs="Times New Roman"/>
        <w:sz w:val="18"/>
        <w:szCs w:val="20"/>
      </w:rPr>
      <w:t>FMAnot_</w:t>
    </w:r>
    <w:r w:rsidR="00B63AF0">
      <w:rPr>
        <w:rFonts w:ascii="Times New Roman" w:hAnsi="Times New Roman" w:cs="Times New Roman"/>
        <w:sz w:val="18"/>
        <w:szCs w:val="20"/>
      </w:rPr>
      <w:t>17</w:t>
    </w:r>
    <w:r>
      <w:rPr>
        <w:rFonts w:ascii="Times New Roman" w:hAnsi="Times New Roman" w:cs="Times New Roman"/>
        <w:sz w:val="18"/>
        <w:szCs w:val="20"/>
      </w:rPr>
      <w:t>0815_TP14-20</w:t>
    </w:r>
    <w:r w:rsidRPr="00C3198A">
      <w:rPr>
        <w:rFonts w:ascii="Times New Roman" w:hAnsi="Times New Roman" w:cs="Times New Roman"/>
        <w:sz w:val="18"/>
        <w:szCs w:val="20"/>
      </w:rPr>
      <w:t xml:space="preserve">; </w:t>
    </w:r>
    <w:r w:rsidRPr="00572859">
      <w:rPr>
        <w:rFonts w:ascii="Times New Roman" w:hAnsi="Times New Roman"/>
        <w:sz w:val="20"/>
        <w:szCs w:val="20"/>
      </w:rPr>
      <w:t>Ministru kabineta noteikumu projekta „</w:t>
    </w:r>
    <w:r>
      <w:rPr>
        <w:rFonts w:ascii="Times New Roman" w:eastAsia="Times New Roman" w:hAnsi="Times New Roman" w:cs="Times New Roman"/>
        <w:bCs/>
        <w:sz w:val="20"/>
        <w:szCs w:val="20"/>
      </w:rPr>
      <w:t>D</w:t>
    </w:r>
    <w:r w:rsidRPr="00572859">
      <w:rPr>
        <w:rFonts w:ascii="Times New Roman" w:eastAsia="Times New Roman" w:hAnsi="Times New Roman" w:cs="Times New Roman"/>
        <w:bCs/>
        <w:sz w:val="20"/>
        <w:szCs w:val="20"/>
      </w:rPr>
      <w:t>arbības programmas "Izaugsme un nodarbinātība" papildinājuma</w:t>
    </w:r>
    <w:r>
      <w:rPr>
        <w:rFonts w:ascii="Times New Roman" w:eastAsia="Times New Roman" w:hAnsi="Times New Roman" w:cs="Times New Roman"/>
        <w:bCs/>
        <w:sz w:val="20"/>
        <w:szCs w:val="20"/>
      </w:rPr>
      <w:t xml:space="preserve"> 2.10.</w:t>
    </w:r>
    <w:r w:rsidRPr="00572859">
      <w:rPr>
        <w:rFonts w:ascii="Times New Roman" w:eastAsia="Times New Roman" w:hAnsi="Times New Roman" w:cs="Times New Roman"/>
        <w:bCs/>
        <w:sz w:val="20"/>
        <w:szCs w:val="20"/>
      </w:rPr>
      <w:t xml:space="preserve"> prioritārā virziena „Tehniskā palīdzība „ESF atbalsts KP fondu ieviešanai un vadībai””, </w:t>
    </w:r>
    <w:r>
      <w:rPr>
        <w:rFonts w:ascii="Times New Roman" w:eastAsia="Times New Roman" w:hAnsi="Times New Roman" w:cs="Times New Roman"/>
        <w:bCs/>
        <w:sz w:val="20"/>
        <w:szCs w:val="20"/>
      </w:rPr>
      <w:t xml:space="preserve">2.11. </w:t>
    </w:r>
    <w:r w:rsidRPr="00572859">
      <w:rPr>
        <w:rFonts w:ascii="Times New Roman" w:eastAsia="Times New Roman" w:hAnsi="Times New Roman" w:cs="Times New Roman"/>
        <w:bCs/>
        <w:sz w:val="20"/>
        <w:szCs w:val="20"/>
      </w:rPr>
      <w:t xml:space="preserve">prioritārā virziena „Tehniskā palīdzība „ERAF atbalsts KP fondu ieviešanai un vadībai”” un </w:t>
    </w:r>
    <w:r>
      <w:rPr>
        <w:rFonts w:ascii="Times New Roman" w:eastAsia="Times New Roman" w:hAnsi="Times New Roman" w:cs="Times New Roman"/>
        <w:bCs/>
        <w:sz w:val="20"/>
        <w:szCs w:val="20"/>
      </w:rPr>
      <w:t xml:space="preserve">2.12. </w:t>
    </w:r>
    <w:r w:rsidRPr="00572859">
      <w:rPr>
        <w:rFonts w:ascii="Times New Roman" w:eastAsia="Times New Roman" w:hAnsi="Times New Roman" w:cs="Times New Roman"/>
        <w:bCs/>
        <w:sz w:val="20"/>
        <w:szCs w:val="20"/>
      </w:rPr>
      <w:t>prioritārā virziena „Tehniskā palīdzība „KF atbalsts KP fondu ieviešanai un vadībai”” p</w:t>
    </w:r>
    <w:r>
      <w:rPr>
        <w:rFonts w:ascii="Times New Roman" w:eastAsia="Times New Roman" w:hAnsi="Times New Roman" w:cs="Times New Roman"/>
        <w:bCs/>
        <w:sz w:val="20"/>
        <w:szCs w:val="20"/>
      </w:rPr>
      <w:t>rojektu iesniegumu atlases pirmās kārtas noteikumi</w:t>
    </w:r>
    <w:r w:rsidRPr="00572859">
      <w:rPr>
        <w:rFonts w:ascii="Times New Roman" w:hAnsi="Times New Roman"/>
        <w:sz w:val="20"/>
        <w:szCs w:val="20"/>
      </w:rPr>
      <w:t>”</w:t>
    </w:r>
    <w:r w:rsidRPr="00572859">
      <w:rPr>
        <w:rFonts w:ascii="Times New Roman" w:hAnsi="Times New Roman" w:cs="Times New Roman"/>
        <w:sz w:val="20"/>
        <w:szCs w:val="20"/>
      </w:rPr>
      <w:t xml:space="preserve"> sākotnējās ietekmes novērtējuma ziņojums (anotācija)</w:t>
    </w:r>
  </w:p>
  <w:p w14:paraId="58B748C7" w14:textId="5F158EC0" w:rsidR="004A57B8" w:rsidRPr="00C3198A" w:rsidRDefault="004A57B8" w:rsidP="00C319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1F2D" w14:textId="396B1489" w:rsidR="004A57B8" w:rsidRPr="00572859" w:rsidRDefault="004A57B8" w:rsidP="004F07F8">
    <w:pPr>
      <w:pStyle w:val="Footer"/>
      <w:jc w:val="both"/>
      <w:rPr>
        <w:sz w:val="20"/>
        <w:szCs w:val="20"/>
      </w:rPr>
    </w:pPr>
    <w:r w:rsidRPr="00C3198A">
      <w:rPr>
        <w:rFonts w:ascii="Times New Roman" w:hAnsi="Times New Roman" w:cs="Times New Roman"/>
        <w:sz w:val="18"/>
        <w:szCs w:val="20"/>
      </w:rPr>
      <w:t>FMAnot_</w:t>
    </w:r>
    <w:r w:rsidR="00B63AF0">
      <w:rPr>
        <w:rFonts w:ascii="Times New Roman" w:hAnsi="Times New Roman" w:cs="Times New Roman"/>
        <w:sz w:val="18"/>
        <w:szCs w:val="20"/>
      </w:rPr>
      <w:t>17</w:t>
    </w:r>
    <w:r>
      <w:rPr>
        <w:rFonts w:ascii="Times New Roman" w:hAnsi="Times New Roman" w:cs="Times New Roman"/>
        <w:sz w:val="18"/>
        <w:szCs w:val="20"/>
      </w:rPr>
      <w:t>0815_TP14-20</w:t>
    </w:r>
    <w:r w:rsidRPr="00C3198A">
      <w:rPr>
        <w:rFonts w:ascii="Times New Roman" w:hAnsi="Times New Roman" w:cs="Times New Roman"/>
        <w:sz w:val="18"/>
        <w:szCs w:val="20"/>
      </w:rPr>
      <w:t xml:space="preserve">; </w:t>
    </w:r>
    <w:r w:rsidRPr="00572859">
      <w:rPr>
        <w:rFonts w:ascii="Times New Roman" w:hAnsi="Times New Roman"/>
        <w:sz w:val="20"/>
        <w:szCs w:val="20"/>
      </w:rPr>
      <w:t>Ministru kabineta noteikumu projekta „</w:t>
    </w:r>
    <w:r>
      <w:rPr>
        <w:rFonts w:ascii="Times New Roman" w:eastAsia="Times New Roman" w:hAnsi="Times New Roman" w:cs="Times New Roman"/>
        <w:bCs/>
        <w:sz w:val="20"/>
        <w:szCs w:val="20"/>
      </w:rPr>
      <w:t>D</w:t>
    </w:r>
    <w:r w:rsidRPr="00572859">
      <w:rPr>
        <w:rFonts w:ascii="Times New Roman" w:eastAsia="Times New Roman" w:hAnsi="Times New Roman" w:cs="Times New Roman"/>
        <w:bCs/>
        <w:sz w:val="20"/>
        <w:szCs w:val="20"/>
      </w:rPr>
      <w:t>arbības programmas "Izaugsme un nodarbinātība" papildinājuma</w:t>
    </w:r>
    <w:r>
      <w:rPr>
        <w:rFonts w:ascii="Times New Roman" w:eastAsia="Times New Roman" w:hAnsi="Times New Roman" w:cs="Times New Roman"/>
        <w:bCs/>
        <w:sz w:val="20"/>
        <w:szCs w:val="20"/>
      </w:rPr>
      <w:t xml:space="preserve"> 2.10.</w:t>
    </w:r>
    <w:r w:rsidRPr="00572859">
      <w:rPr>
        <w:rFonts w:ascii="Times New Roman" w:eastAsia="Times New Roman" w:hAnsi="Times New Roman" w:cs="Times New Roman"/>
        <w:bCs/>
        <w:sz w:val="20"/>
        <w:szCs w:val="20"/>
      </w:rPr>
      <w:t xml:space="preserve"> prioritārā virziena „Tehniskā palīdzība „ESF atbalsts KP fondu ieviešanai un vadībai””, </w:t>
    </w:r>
    <w:r>
      <w:rPr>
        <w:rFonts w:ascii="Times New Roman" w:eastAsia="Times New Roman" w:hAnsi="Times New Roman" w:cs="Times New Roman"/>
        <w:bCs/>
        <w:sz w:val="20"/>
        <w:szCs w:val="20"/>
      </w:rPr>
      <w:t xml:space="preserve">2.11. </w:t>
    </w:r>
    <w:r w:rsidRPr="00572859">
      <w:rPr>
        <w:rFonts w:ascii="Times New Roman" w:eastAsia="Times New Roman" w:hAnsi="Times New Roman" w:cs="Times New Roman"/>
        <w:bCs/>
        <w:sz w:val="20"/>
        <w:szCs w:val="20"/>
      </w:rPr>
      <w:t xml:space="preserve">prioritārā virziena „Tehniskā palīdzība „ERAF atbalsts KP fondu ieviešanai un vadībai”” un </w:t>
    </w:r>
    <w:r>
      <w:rPr>
        <w:rFonts w:ascii="Times New Roman" w:eastAsia="Times New Roman" w:hAnsi="Times New Roman" w:cs="Times New Roman"/>
        <w:bCs/>
        <w:sz w:val="20"/>
        <w:szCs w:val="20"/>
      </w:rPr>
      <w:t xml:space="preserve">2.12. </w:t>
    </w:r>
    <w:r w:rsidRPr="00572859">
      <w:rPr>
        <w:rFonts w:ascii="Times New Roman" w:eastAsia="Times New Roman" w:hAnsi="Times New Roman" w:cs="Times New Roman"/>
        <w:bCs/>
        <w:sz w:val="20"/>
        <w:szCs w:val="20"/>
      </w:rPr>
      <w:t>prioritārā virziena „Tehniskā palīdzība „KF atbalsts KP fondu ieviešanai un vadībai”” p</w:t>
    </w:r>
    <w:r>
      <w:rPr>
        <w:rFonts w:ascii="Times New Roman" w:eastAsia="Times New Roman" w:hAnsi="Times New Roman" w:cs="Times New Roman"/>
        <w:bCs/>
        <w:sz w:val="20"/>
        <w:szCs w:val="20"/>
      </w:rPr>
      <w:t>rojektu iesniegumu atlases pirmās kārtas noteikumi</w:t>
    </w:r>
    <w:r w:rsidRPr="00572859">
      <w:rPr>
        <w:rFonts w:ascii="Times New Roman" w:hAnsi="Times New Roman"/>
        <w:sz w:val="20"/>
        <w:szCs w:val="20"/>
      </w:rPr>
      <w:t>”</w:t>
    </w:r>
    <w:r w:rsidRPr="00572859">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80DD8" w14:textId="77777777" w:rsidR="00F4380C" w:rsidRDefault="00F4380C" w:rsidP="004369B2">
      <w:pPr>
        <w:spacing w:after="0" w:line="240" w:lineRule="auto"/>
      </w:pPr>
      <w:r>
        <w:separator/>
      </w:r>
    </w:p>
  </w:footnote>
  <w:footnote w:type="continuationSeparator" w:id="0">
    <w:p w14:paraId="671E3A8B" w14:textId="77777777" w:rsidR="00F4380C" w:rsidRDefault="00F4380C" w:rsidP="004369B2">
      <w:pPr>
        <w:spacing w:after="0" w:line="240" w:lineRule="auto"/>
      </w:pPr>
      <w:r>
        <w:continuationSeparator/>
      </w:r>
    </w:p>
  </w:footnote>
  <w:footnote w:type="continuationNotice" w:id="1">
    <w:p w14:paraId="055B2209" w14:textId="77777777" w:rsidR="00F4380C" w:rsidRDefault="00F4380C">
      <w:pPr>
        <w:spacing w:after="0" w:line="240" w:lineRule="auto"/>
      </w:pPr>
    </w:p>
  </w:footnote>
  <w:footnote w:id="2">
    <w:p w14:paraId="5FF0533A" w14:textId="692068BD" w:rsidR="004A57B8" w:rsidRDefault="004A57B8" w:rsidP="00DC7C20">
      <w:pPr>
        <w:pStyle w:val="FootnoteText"/>
        <w:jc w:val="both"/>
      </w:pPr>
      <w:r>
        <w:rPr>
          <w:rStyle w:val="FootnoteReference"/>
        </w:rPr>
        <w:footnoteRef/>
      </w:r>
      <w:r>
        <w:t xml:space="preserve"> Ministru kabineta 2007.gada 18.decembra noteikumi Nr.918 “</w:t>
      </w:r>
      <w:r w:rsidRPr="00DC7C20">
        <w:rPr>
          <w:rFonts w:cs="Times New Roman"/>
          <w:bCs/>
          <w:color w:val="414142"/>
          <w:sz w:val="16"/>
          <w:szCs w:val="16"/>
        </w:rPr>
        <w:t>Noteikumi par darbības programmas “Cilvēkresursi un nodarbinātība” papildinājuma 1.6.1.1.aktivitāti “Programmas vadības un atbalsta funkciju nodrošināšana”, darbības programmas “Uzņēmējdarbība un inovācijas” papildinājuma 2.4.1.1.aktivitāti “Programmas vadības un atbalsta funkciju nodrošināšana”, darbības programmas “Infrastruktūra un pakalpojumi” papildinājuma 3.7.1.1.aktivitāti “Programmas vadības un atbalsta funkciju nodrošināšana” un 3.8.1.1.aktivitāti “Programmas vadības un atbalsta funkciju nodrošināšana”</w:t>
      </w:r>
      <w:r>
        <w:rPr>
          <w:rFonts w:cs="Times New Roman"/>
          <w:bCs/>
          <w:color w:val="414142"/>
          <w:sz w:val="16"/>
          <w:szCs w:val="16"/>
        </w:rPr>
        <w:t>”</w:t>
      </w:r>
    </w:p>
  </w:footnote>
  <w:footnote w:id="3">
    <w:p w14:paraId="04165617" w14:textId="554567B7" w:rsidR="004A57B8" w:rsidRDefault="004A57B8" w:rsidP="00A55400">
      <w:pPr>
        <w:pStyle w:val="FootnoteText"/>
        <w:jc w:val="both"/>
      </w:pPr>
      <w:r>
        <w:rPr>
          <w:rStyle w:val="FootnoteReference"/>
        </w:rPr>
        <w:footnoteRef/>
      </w:r>
      <w:r>
        <w:t xml:space="preserve"> </w:t>
      </w:r>
      <w:r>
        <w:t>Ministru kabineta 2015.gada 24.februāra noteikumi Nr.108 “Kārtība, kādā uzrauga un izvērtē Eiropas Savienības struktūrfondu un Kohēzijas fonda ieviešanu, kā arī izveido un izmanto Kohēzijas politikas fondu vadības informācijas sistēmu 2014.–2020.gadam”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4DC67F5E" w:rsidR="004A57B8" w:rsidRPr="00171D36" w:rsidRDefault="004A57B8">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123970">
          <w:rPr>
            <w:rFonts w:ascii="Times New Roman" w:hAnsi="Times New Roman" w:cs="Times New Roman"/>
            <w:noProof/>
            <w:sz w:val="24"/>
          </w:rPr>
          <w:t>20</w:t>
        </w:r>
        <w:r w:rsidRPr="00171D36">
          <w:rPr>
            <w:rFonts w:ascii="Times New Roman" w:hAnsi="Times New Roman" w:cs="Times New Roman"/>
            <w:noProof/>
            <w:sz w:val="24"/>
          </w:rPr>
          <w:fldChar w:fldCharType="end"/>
        </w:r>
      </w:p>
    </w:sdtContent>
  </w:sdt>
  <w:p w14:paraId="5EDF1F2A" w14:textId="77777777" w:rsidR="004A57B8" w:rsidRDefault="004A5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0E3D1C66" w:rsidR="004A57B8" w:rsidRPr="00171D36" w:rsidRDefault="004A57B8">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123970">
          <w:rPr>
            <w:rFonts w:ascii="Times New Roman" w:hAnsi="Times New Roman" w:cs="Times New Roman"/>
            <w:noProof/>
            <w:sz w:val="24"/>
          </w:rPr>
          <w:t>19</w:t>
        </w:r>
        <w:r w:rsidRPr="00171D36">
          <w:rPr>
            <w:rFonts w:ascii="Times New Roman" w:hAnsi="Times New Roman" w:cs="Times New Roman"/>
            <w:noProof/>
            <w:sz w:val="24"/>
          </w:rPr>
          <w:fldChar w:fldCharType="end"/>
        </w:r>
      </w:p>
    </w:sdtContent>
  </w:sdt>
  <w:p w14:paraId="0D2BB5B5" w14:textId="77777777" w:rsidR="004A57B8" w:rsidRDefault="004A57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F7FC" w14:textId="54E8996E" w:rsidR="004A57B8" w:rsidRPr="00682179" w:rsidRDefault="004A57B8" w:rsidP="00682179">
    <w:pPr>
      <w:pStyle w:val="Header"/>
      <w:jc w:val="right"/>
      <w:rPr>
        <w:rFonts w:ascii="Times New Roman" w:hAnsi="Times New Roman" w:cs="Times New Roman"/>
      </w:rPr>
    </w:pPr>
    <w:r w:rsidRPr="00682179">
      <w:rPr>
        <w:rFonts w:ascii="Times New Roman" w:hAnsi="Times New Roman" w:cs="Times New Roman"/>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16F5"/>
    <w:multiLevelType w:val="hybridMultilevel"/>
    <w:tmpl w:val="C5D62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C378DF"/>
    <w:multiLevelType w:val="multilevel"/>
    <w:tmpl w:val="C5446898"/>
    <w:lvl w:ilvl="0">
      <w:start w:val="1"/>
      <w:numFmt w:val="decimal"/>
      <w:lvlText w:val="%1."/>
      <w:lvlJc w:val="left"/>
      <w:pPr>
        <w:ind w:left="4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577" w:hanging="1080"/>
      </w:pPr>
      <w:rPr>
        <w:rFonts w:hint="default"/>
      </w:rPr>
    </w:lvl>
    <w:lvl w:ilvl="5">
      <w:start w:val="1"/>
      <w:numFmt w:val="decimal"/>
      <w:isLgl/>
      <w:lvlText w:val="%1.%2.%3.%4.%5.%6."/>
      <w:lvlJc w:val="left"/>
      <w:pPr>
        <w:ind w:left="2937" w:hanging="1080"/>
      </w:pPr>
      <w:rPr>
        <w:rFonts w:hint="default"/>
      </w:rPr>
    </w:lvl>
    <w:lvl w:ilvl="6">
      <w:start w:val="1"/>
      <w:numFmt w:val="decimal"/>
      <w:isLgl/>
      <w:lvlText w:val="%1.%2.%3.%4.%5.%6.%7."/>
      <w:lvlJc w:val="left"/>
      <w:pPr>
        <w:ind w:left="3657" w:hanging="144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737" w:hanging="1800"/>
      </w:pPr>
      <w:rPr>
        <w:rFonts w:hint="default"/>
      </w:rPr>
    </w:lvl>
  </w:abstractNum>
  <w:abstractNum w:abstractNumId="2">
    <w:nsid w:val="19AA5185"/>
    <w:multiLevelType w:val="hybridMultilevel"/>
    <w:tmpl w:val="E2686BAA"/>
    <w:lvl w:ilvl="0" w:tplc="068A235C">
      <w:start w:val="3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C637A0"/>
    <w:multiLevelType w:val="hybridMultilevel"/>
    <w:tmpl w:val="25848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E866E3C"/>
    <w:multiLevelType w:val="hybridMultilevel"/>
    <w:tmpl w:val="8F38D2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33E2F27"/>
    <w:multiLevelType w:val="hybridMultilevel"/>
    <w:tmpl w:val="4BB4CB1E"/>
    <w:lvl w:ilvl="0" w:tplc="BDFE2A1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nsid w:val="5D8034CC"/>
    <w:multiLevelType w:val="hybridMultilevel"/>
    <w:tmpl w:val="19E4C4C4"/>
    <w:lvl w:ilvl="0" w:tplc="F6C2206C">
      <w:start w:val="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D58173B"/>
    <w:multiLevelType w:val="hybridMultilevel"/>
    <w:tmpl w:val="25848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0"/>
  </w:num>
  <w:num w:numId="6">
    <w:abstractNumId w:val="4"/>
  </w:num>
  <w:num w:numId="7">
    <w:abstractNumId w:val="3"/>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274"/>
    <w:rsid w:val="00001C19"/>
    <w:rsid w:val="00002A70"/>
    <w:rsid w:val="00002AC4"/>
    <w:rsid w:val="00003F2D"/>
    <w:rsid w:val="000044FD"/>
    <w:rsid w:val="000066F2"/>
    <w:rsid w:val="00007445"/>
    <w:rsid w:val="0001177D"/>
    <w:rsid w:val="00011A47"/>
    <w:rsid w:val="0001285C"/>
    <w:rsid w:val="00012F4F"/>
    <w:rsid w:val="000136A3"/>
    <w:rsid w:val="00013DA3"/>
    <w:rsid w:val="00016528"/>
    <w:rsid w:val="00016E0A"/>
    <w:rsid w:val="00022A31"/>
    <w:rsid w:val="00024D59"/>
    <w:rsid w:val="00025D50"/>
    <w:rsid w:val="0002742F"/>
    <w:rsid w:val="000277B3"/>
    <w:rsid w:val="00034F6A"/>
    <w:rsid w:val="000457FC"/>
    <w:rsid w:val="00045D82"/>
    <w:rsid w:val="00047C66"/>
    <w:rsid w:val="00053DD9"/>
    <w:rsid w:val="000545E6"/>
    <w:rsid w:val="00056305"/>
    <w:rsid w:val="000612C8"/>
    <w:rsid w:val="000627FE"/>
    <w:rsid w:val="00062FE4"/>
    <w:rsid w:val="00064268"/>
    <w:rsid w:val="00064E7B"/>
    <w:rsid w:val="000658AD"/>
    <w:rsid w:val="00067D02"/>
    <w:rsid w:val="00067F85"/>
    <w:rsid w:val="0007017D"/>
    <w:rsid w:val="00070D8C"/>
    <w:rsid w:val="00071243"/>
    <w:rsid w:val="00071906"/>
    <w:rsid w:val="00072A6D"/>
    <w:rsid w:val="00076EDE"/>
    <w:rsid w:val="0008256D"/>
    <w:rsid w:val="00083A5C"/>
    <w:rsid w:val="0008462E"/>
    <w:rsid w:val="000850CD"/>
    <w:rsid w:val="00085ADE"/>
    <w:rsid w:val="00085D9E"/>
    <w:rsid w:val="00092D60"/>
    <w:rsid w:val="00096822"/>
    <w:rsid w:val="00097EFC"/>
    <w:rsid w:val="000A0405"/>
    <w:rsid w:val="000A0B88"/>
    <w:rsid w:val="000A150F"/>
    <w:rsid w:val="000A3A53"/>
    <w:rsid w:val="000A6B02"/>
    <w:rsid w:val="000A6BCF"/>
    <w:rsid w:val="000A76F1"/>
    <w:rsid w:val="000B26CD"/>
    <w:rsid w:val="000B40C4"/>
    <w:rsid w:val="000B4579"/>
    <w:rsid w:val="000B5F8D"/>
    <w:rsid w:val="000B625F"/>
    <w:rsid w:val="000B6F71"/>
    <w:rsid w:val="000B7633"/>
    <w:rsid w:val="000B7FC9"/>
    <w:rsid w:val="000C04B7"/>
    <w:rsid w:val="000C2751"/>
    <w:rsid w:val="000C28BC"/>
    <w:rsid w:val="000C3185"/>
    <w:rsid w:val="000C674A"/>
    <w:rsid w:val="000C7217"/>
    <w:rsid w:val="000D1A7F"/>
    <w:rsid w:val="000D3ADB"/>
    <w:rsid w:val="000D4D06"/>
    <w:rsid w:val="000D65B6"/>
    <w:rsid w:val="000D685C"/>
    <w:rsid w:val="000E0EF3"/>
    <w:rsid w:val="000E2525"/>
    <w:rsid w:val="000F04A2"/>
    <w:rsid w:val="000F56D3"/>
    <w:rsid w:val="000F6068"/>
    <w:rsid w:val="001002B8"/>
    <w:rsid w:val="00101FF4"/>
    <w:rsid w:val="001028F2"/>
    <w:rsid w:val="00105804"/>
    <w:rsid w:val="00106654"/>
    <w:rsid w:val="00106E13"/>
    <w:rsid w:val="00107BB6"/>
    <w:rsid w:val="0011155F"/>
    <w:rsid w:val="00112295"/>
    <w:rsid w:val="001128FC"/>
    <w:rsid w:val="00115F3C"/>
    <w:rsid w:val="00117C3F"/>
    <w:rsid w:val="001213C6"/>
    <w:rsid w:val="0012183D"/>
    <w:rsid w:val="001228B8"/>
    <w:rsid w:val="00123970"/>
    <w:rsid w:val="0012464B"/>
    <w:rsid w:val="00124A07"/>
    <w:rsid w:val="0012627C"/>
    <w:rsid w:val="0012659F"/>
    <w:rsid w:val="00127DB5"/>
    <w:rsid w:val="0013023A"/>
    <w:rsid w:val="001315BE"/>
    <w:rsid w:val="00131FCC"/>
    <w:rsid w:val="0013211F"/>
    <w:rsid w:val="00133132"/>
    <w:rsid w:val="00133320"/>
    <w:rsid w:val="001343C0"/>
    <w:rsid w:val="00135FC5"/>
    <w:rsid w:val="001378DE"/>
    <w:rsid w:val="0014072A"/>
    <w:rsid w:val="00140738"/>
    <w:rsid w:val="0014085B"/>
    <w:rsid w:val="00142E74"/>
    <w:rsid w:val="00147090"/>
    <w:rsid w:val="00147245"/>
    <w:rsid w:val="00147AED"/>
    <w:rsid w:val="001542A5"/>
    <w:rsid w:val="00155DE8"/>
    <w:rsid w:val="00163A60"/>
    <w:rsid w:val="00164829"/>
    <w:rsid w:val="00166EA2"/>
    <w:rsid w:val="001671D7"/>
    <w:rsid w:val="00170036"/>
    <w:rsid w:val="00170DA9"/>
    <w:rsid w:val="00171335"/>
    <w:rsid w:val="001719E3"/>
    <w:rsid w:val="00171D17"/>
    <w:rsid w:val="00171D36"/>
    <w:rsid w:val="0017274F"/>
    <w:rsid w:val="00172F0E"/>
    <w:rsid w:val="001730E1"/>
    <w:rsid w:val="001733B9"/>
    <w:rsid w:val="00174AC6"/>
    <w:rsid w:val="00175420"/>
    <w:rsid w:val="00176624"/>
    <w:rsid w:val="00176CB2"/>
    <w:rsid w:val="00177133"/>
    <w:rsid w:val="00177A5E"/>
    <w:rsid w:val="0018354B"/>
    <w:rsid w:val="00184133"/>
    <w:rsid w:val="00184AED"/>
    <w:rsid w:val="00185097"/>
    <w:rsid w:val="00186BBF"/>
    <w:rsid w:val="001904E8"/>
    <w:rsid w:val="001919D8"/>
    <w:rsid w:val="00192975"/>
    <w:rsid w:val="00193EC5"/>
    <w:rsid w:val="001943F4"/>
    <w:rsid w:val="001952C4"/>
    <w:rsid w:val="001A03C5"/>
    <w:rsid w:val="001A1164"/>
    <w:rsid w:val="001A2000"/>
    <w:rsid w:val="001A30FE"/>
    <w:rsid w:val="001A3439"/>
    <w:rsid w:val="001A5941"/>
    <w:rsid w:val="001A5E56"/>
    <w:rsid w:val="001A6A7F"/>
    <w:rsid w:val="001A7231"/>
    <w:rsid w:val="001A7D41"/>
    <w:rsid w:val="001B0121"/>
    <w:rsid w:val="001B1210"/>
    <w:rsid w:val="001B1A2D"/>
    <w:rsid w:val="001B1D27"/>
    <w:rsid w:val="001B2D57"/>
    <w:rsid w:val="001B42C1"/>
    <w:rsid w:val="001B6DD2"/>
    <w:rsid w:val="001C01DD"/>
    <w:rsid w:val="001C144E"/>
    <w:rsid w:val="001C5C43"/>
    <w:rsid w:val="001C67C6"/>
    <w:rsid w:val="001D0291"/>
    <w:rsid w:val="001D02BD"/>
    <w:rsid w:val="001D0391"/>
    <w:rsid w:val="001D09A2"/>
    <w:rsid w:val="001D0BAB"/>
    <w:rsid w:val="001D0E62"/>
    <w:rsid w:val="001D14F5"/>
    <w:rsid w:val="001D1F5D"/>
    <w:rsid w:val="001D2A1D"/>
    <w:rsid w:val="001E2011"/>
    <w:rsid w:val="001E35DD"/>
    <w:rsid w:val="001E3DE9"/>
    <w:rsid w:val="001E4F58"/>
    <w:rsid w:val="001E69FC"/>
    <w:rsid w:val="001F004D"/>
    <w:rsid w:val="001F0072"/>
    <w:rsid w:val="001F0256"/>
    <w:rsid w:val="001F04D5"/>
    <w:rsid w:val="001F1CE7"/>
    <w:rsid w:val="001F1EAC"/>
    <w:rsid w:val="001F30D4"/>
    <w:rsid w:val="001F353C"/>
    <w:rsid w:val="001F4044"/>
    <w:rsid w:val="001F5B33"/>
    <w:rsid w:val="001F6648"/>
    <w:rsid w:val="001F6940"/>
    <w:rsid w:val="00200C89"/>
    <w:rsid w:val="00200F15"/>
    <w:rsid w:val="0020233E"/>
    <w:rsid w:val="002023FA"/>
    <w:rsid w:val="002030E5"/>
    <w:rsid w:val="00205DB2"/>
    <w:rsid w:val="00205F39"/>
    <w:rsid w:val="00206258"/>
    <w:rsid w:val="00207E38"/>
    <w:rsid w:val="00210649"/>
    <w:rsid w:val="002116D6"/>
    <w:rsid w:val="002121D7"/>
    <w:rsid w:val="00212E84"/>
    <w:rsid w:val="002130ED"/>
    <w:rsid w:val="00215CA6"/>
    <w:rsid w:val="0021652A"/>
    <w:rsid w:val="00216601"/>
    <w:rsid w:val="00222807"/>
    <w:rsid w:val="002231C8"/>
    <w:rsid w:val="00223421"/>
    <w:rsid w:val="00225759"/>
    <w:rsid w:val="002277D8"/>
    <w:rsid w:val="00227A3B"/>
    <w:rsid w:val="002308BB"/>
    <w:rsid w:val="0023149A"/>
    <w:rsid w:val="00232B4D"/>
    <w:rsid w:val="00232EA5"/>
    <w:rsid w:val="00232F12"/>
    <w:rsid w:val="00233B1F"/>
    <w:rsid w:val="00233CDB"/>
    <w:rsid w:val="00233D8E"/>
    <w:rsid w:val="00234A68"/>
    <w:rsid w:val="00235345"/>
    <w:rsid w:val="00236887"/>
    <w:rsid w:val="00241207"/>
    <w:rsid w:val="002441D0"/>
    <w:rsid w:val="002456B7"/>
    <w:rsid w:val="00247E19"/>
    <w:rsid w:val="00247EBD"/>
    <w:rsid w:val="00250602"/>
    <w:rsid w:val="00253005"/>
    <w:rsid w:val="00256C84"/>
    <w:rsid w:val="002609B6"/>
    <w:rsid w:val="002615AC"/>
    <w:rsid w:val="00262144"/>
    <w:rsid w:val="00265558"/>
    <w:rsid w:val="002731B1"/>
    <w:rsid w:val="0027384E"/>
    <w:rsid w:val="00274308"/>
    <w:rsid w:val="00274407"/>
    <w:rsid w:val="00276EAD"/>
    <w:rsid w:val="00277B1F"/>
    <w:rsid w:val="00277FC1"/>
    <w:rsid w:val="00280188"/>
    <w:rsid w:val="0028042E"/>
    <w:rsid w:val="0028065B"/>
    <w:rsid w:val="0028174B"/>
    <w:rsid w:val="00282C29"/>
    <w:rsid w:val="00282EDB"/>
    <w:rsid w:val="00283726"/>
    <w:rsid w:val="00284D83"/>
    <w:rsid w:val="00285418"/>
    <w:rsid w:val="002909AD"/>
    <w:rsid w:val="002917F8"/>
    <w:rsid w:val="00292449"/>
    <w:rsid w:val="00296224"/>
    <w:rsid w:val="0029664A"/>
    <w:rsid w:val="002A0ADB"/>
    <w:rsid w:val="002A12EE"/>
    <w:rsid w:val="002A5481"/>
    <w:rsid w:val="002B37D6"/>
    <w:rsid w:val="002B3996"/>
    <w:rsid w:val="002B412F"/>
    <w:rsid w:val="002B438A"/>
    <w:rsid w:val="002B4604"/>
    <w:rsid w:val="002B548A"/>
    <w:rsid w:val="002C01B4"/>
    <w:rsid w:val="002C0BE9"/>
    <w:rsid w:val="002C10EA"/>
    <w:rsid w:val="002C21ED"/>
    <w:rsid w:val="002C3769"/>
    <w:rsid w:val="002C3B8C"/>
    <w:rsid w:val="002C583D"/>
    <w:rsid w:val="002C58C2"/>
    <w:rsid w:val="002C5BB1"/>
    <w:rsid w:val="002C6C8C"/>
    <w:rsid w:val="002D13E4"/>
    <w:rsid w:val="002D14F4"/>
    <w:rsid w:val="002D1DBA"/>
    <w:rsid w:val="002D1E59"/>
    <w:rsid w:val="002D2CBA"/>
    <w:rsid w:val="002D2E02"/>
    <w:rsid w:val="002E0392"/>
    <w:rsid w:val="002E0C12"/>
    <w:rsid w:val="002E1C28"/>
    <w:rsid w:val="002E1CDB"/>
    <w:rsid w:val="002E1DFC"/>
    <w:rsid w:val="002E2F44"/>
    <w:rsid w:val="002E2FD1"/>
    <w:rsid w:val="002E52AA"/>
    <w:rsid w:val="002E5350"/>
    <w:rsid w:val="002E5ACB"/>
    <w:rsid w:val="002E60B5"/>
    <w:rsid w:val="002E65A9"/>
    <w:rsid w:val="002F29D1"/>
    <w:rsid w:val="002F700B"/>
    <w:rsid w:val="00303132"/>
    <w:rsid w:val="003033B2"/>
    <w:rsid w:val="00304533"/>
    <w:rsid w:val="00305E8A"/>
    <w:rsid w:val="00306387"/>
    <w:rsid w:val="0031152D"/>
    <w:rsid w:val="00311AFF"/>
    <w:rsid w:val="00311EA5"/>
    <w:rsid w:val="00322046"/>
    <w:rsid w:val="0032258D"/>
    <w:rsid w:val="00325324"/>
    <w:rsid w:val="0032763C"/>
    <w:rsid w:val="003309A7"/>
    <w:rsid w:val="00331BC9"/>
    <w:rsid w:val="003320A3"/>
    <w:rsid w:val="003333D3"/>
    <w:rsid w:val="00333499"/>
    <w:rsid w:val="00333A9B"/>
    <w:rsid w:val="00333EB5"/>
    <w:rsid w:val="00334411"/>
    <w:rsid w:val="00335D25"/>
    <w:rsid w:val="00337461"/>
    <w:rsid w:val="00343428"/>
    <w:rsid w:val="00345E67"/>
    <w:rsid w:val="00347D7A"/>
    <w:rsid w:val="00347E9A"/>
    <w:rsid w:val="00352DF3"/>
    <w:rsid w:val="00353520"/>
    <w:rsid w:val="00360D2B"/>
    <w:rsid w:val="00361F61"/>
    <w:rsid w:val="0036259D"/>
    <w:rsid w:val="00363686"/>
    <w:rsid w:val="003638B4"/>
    <w:rsid w:val="003654AA"/>
    <w:rsid w:val="0036773F"/>
    <w:rsid w:val="003714C5"/>
    <w:rsid w:val="003722FD"/>
    <w:rsid w:val="00374075"/>
    <w:rsid w:val="00375B76"/>
    <w:rsid w:val="00377119"/>
    <w:rsid w:val="00380812"/>
    <w:rsid w:val="00380F8B"/>
    <w:rsid w:val="003855FF"/>
    <w:rsid w:val="00386316"/>
    <w:rsid w:val="00386F32"/>
    <w:rsid w:val="003925B4"/>
    <w:rsid w:val="00392B74"/>
    <w:rsid w:val="00392E77"/>
    <w:rsid w:val="00393CFF"/>
    <w:rsid w:val="0039446F"/>
    <w:rsid w:val="00397763"/>
    <w:rsid w:val="003A0EF8"/>
    <w:rsid w:val="003A1256"/>
    <w:rsid w:val="003A1663"/>
    <w:rsid w:val="003A365C"/>
    <w:rsid w:val="003A3F7F"/>
    <w:rsid w:val="003A45C7"/>
    <w:rsid w:val="003B0C60"/>
    <w:rsid w:val="003B1968"/>
    <w:rsid w:val="003B1F58"/>
    <w:rsid w:val="003C04B5"/>
    <w:rsid w:val="003C08F2"/>
    <w:rsid w:val="003C586B"/>
    <w:rsid w:val="003D2E0A"/>
    <w:rsid w:val="003D2E6B"/>
    <w:rsid w:val="003D38D2"/>
    <w:rsid w:val="003D3C00"/>
    <w:rsid w:val="003D50B4"/>
    <w:rsid w:val="003D664D"/>
    <w:rsid w:val="003E1193"/>
    <w:rsid w:val="003E31C1"/>
    <w:rsid w:val="003E3801"/>
    <w:rsid w:val="003F036F"/>
    <w:rsid w:val="003F3473"/>
    <w:rsid w:val="003F6A64"/>
    <w:rsid w:val="003F74A9"/>
    <w:rsid w:val="0040070B"/>
    <w:rsid w:val="00401A15"/>
    <w:rsid w:val="00402A9A"/>
    <w:rsid w:val="00405BC6"/>
    <w:rsid w:val="00410051"/>
    <w:rsid w:val="00410A22"/>
    <w:rsid w:val="00411BBF"/>
    <w:rsid w:val="00411E32"/>
    <w:rsid w:val="004124CE"/>
    <w:rsid w:val="00415E3D"/>
    <w:rsid w:val="00415F33"/>
    <w:rsid w:val="00421E6F"/>
    <w:rsid w:val="004226D9"/>
    <w:rsid w:val="004229F8"/>
    <w:rsid w:val="004246AB"/>
    <w:rsid w:val="0042542C"/>
    <w:rsid w:val="00425B38"/>
    <w:rsid w:val="0042708E"/>
    <w:rsid w:val="004278E2"/>
    <w:rsid w:val="004279A1"/>
    <w:rsid w:val="00427F59"/>
    <w:rsid w:val="004308A6"/>
    <w:rsid w:val="00432B5F"/>
    <w:rsid w:val="0043316C"/>
    <w:rsid w:val="004369B2"/>
    <w:rsid w:val="00441F04"/>
    <w:rsid w:val="0044312F"/>
    <w:rsid w:val="004431BD"/>
    <w:rsid w:val="00443695"/>
    <w:rsid w:val="004442E0"/>
    <w:rsid w:val="00444F92"/>
    <w:rsid w:val="0044749C"/>
    <w:rsid w:val="00452691"/>
    <w:rsid w:val="00453A34"/>
    <w:rsid w:val="004544D2"/>
    <w:rsid w:val="00455475"/>
    <w:rsid w:val="00456A3A"/>
    <w:rsid w:val="00461917"/>
    <w:rsid w:val="00463447"/>
    <w:rsid w:val="00466B9E"/>
    <w:rsid w:val="004709AC"/>
    <w:rsid w:val="00472613"/>
    <w:rsid w:val="00474EEF"/>
    <w:rsid w:val="004751DA"/>
    <w:rsid w:val="00476A1F"/>
    <w:rsid w:val="0047700D"/>
    <w:rsid w:val="004777E2"/>
    <w:rsid w:val="00477B03"/>
    <w:rsid w:val="00481B1F"/>
    <w:rsid w:val="004822D6"/>
    <w:rsid w:val="00485D16"/>
    <w:rsid w:val="00485E95"/>
    <w:rsid w:val="00486E31"/>
    <w:rsid w:val="00487A04"/>
    <w:rsid w:val="004900D0"/>
    <w:rsid w:val="00492774"/>
    <w:rsid w:val="00493108"/>
    <w:rsid w:val="0049352B"/>
    <w:rsid w:val="00495CFB"/>
    <w:rsid w:val="004A0EFE"/>
    <w:rsid w:val="004A0FA2"/>
    <w:rsid w:val="004A30A9"/>
    <w:rsid w:val="004A57B8"/>
    <w:rsid w:val="004A758F"/>
    <w:rsid w:val="004B056A"/>
    <w:rsid w:val="004B06D2"/>
    <w:rsid w:val="004B247B"/>
    <w:rsid w:val="004B263A"/>
    <w:rsid w:val="004B3377"/>
    <w:rsid w:val="004B3942"/>
    <w:rsid w:val="004B6275"/>
    <w:rsid w:val="004B639E"/>
    <w:rsid w:val="004C187A"/>
    <w:rsid w:val="004C67B2"/>
    <w:rsid w:val="004C731E"/>
    <w:rsid w:val="004D04BA"/>
    <w:rsid w:val="004D1F71"/>
    <w:rsid w:val="004D3382"/>
    <w:rsid w:val="004D6D5B"/>
    <w:rsid w:val="004E16A6"/>
    <w:rsid w:val="004E1B12"/>
    <w:rsid w:val="004E2021"/>
    <w:rsid w:val="004E5B70"/>
    <w:rsid w:val="004E70BA"/>
    <w:rsid w:val="004F0369"/>
    <w:rsid w:val="004F07F8"/>
    <w:rsid w:val="004F111E"/>
    <w:rsid w:val="004F12C2"/>
    <w:rsid w:val="004F1CA3"/>
    <w:rsid w:val="004F1F14"/>
    <w:rsid w:val="004F2C94"/>
    <w:rsid w:val="004F527E"/>
    <w:rsid w:val="004F5916"/>
    <w:rsid w:val="004F6068"/>
    <w:rsid w:val="004F6353"/>
    <w:rsid w:val="004F6F09"/>
    <w:rsid w:val="00500402"/>
    <w:rsid w:val="00502937"/>
    <w:rsid w:val="00503049"/>
    <w:rsid w:val="00504770"/>
    <w:rsid w:val="0050499F"/>
    <w:rsid w:val="00505DF4"/>
    <w:rsid w:val="005076C0"/>
    <w:rsid w:val="00507ECC"/>
    <w:rsid w:val="0051056F"/>
    <w:rsid w:val="005119D6"/>
    <w:rsid w:val="00514E2C"/>
    <w:rsid w:val="005159BC"/>
    <w:rsid w:val="00515FBF"/>
    <w:rsid w:val="00517601"/>
    <w:rsid w:val="00522B81"/>
    <w:rsid w:val="00524E56"/>
    <w:rsid w:val="005258CC"/>
    <w:rsid w:val="00526AB8"/>
    <w:rsid w:val="00527D30"/>
    <w:rsid w:val="005307DD"/>
    <w:rsid w:val="0053272A"/>
    <w:rsid w:val="00534462"/>
    <w:rsid w:val="00541141"/>
    <w:rsid w:val="00541276"/>
    <w:rsid w:val="00541CC6"/>
    <w:rsid w:val="00542124"/>
    <w:rsid w:val="0054344C"/>
    <w:rsid w:val="00545FF6"/>
    <w:rsid w:val="00546129"/>
    <w:rsid w:val="00550879"/>
    <w:rsid w:val="00551058"/>
    <w:rsid w:val="00551741"/>
    <w:rsid w:val="0055314C"/>
    <w:rsid w:val="005561E6"/>
    <w:rsid w:val="00557CDC"/>
    <w:rsid w:val="00560C94"/>
    <w:rsid w:val="005612E9"/>
    <w:rsid w:val="005618A9"/>
    <w:rsid w:val="00561976"/>
    <w:rsid w:val="0056254F"/>
    <w:rsid w:val="00564E80"/>
    <w:rsid w:val="00565D93"/>
    <w:rsid w:val="005675C4"/>
    <w:rsid w:val="00567E5D"/>
    <w:rsid w:val="005706B8"/>
    <w:rsid w:val="00572859"/>
    <w:rsid w:val="005729AD"/>
    <w:rsid w:val="005748E8"/>
    <w:rsid w:val="00576E0D"/>
    <w:rsid w:val="00580BB3"/>
    <w:rsid w:val="005840B6"/>
    <w:rsid w:val="00584507"/>
    <w:rsid w:val="00584879"/>
    <w:rsid w:val="00585200"/>
    <w:rsid w:val="00585B64"/>
    <w:rsid w:val="00585D50"/>
    <w:rsid w:val="00585F65"/>
    <w:rsid w:val="005860F4"/>
    <w:rsid w:val="0058698C"/>
    <w:rsid w:val="005906C4"/>
    <w:rsid w:val="005907DB"/>
    <w:rsid w:val="005920D3"/>
    <w:rsid w:val="00592AE3"/>
    <w:rsid w:val="005949B3"/>
    <w:rsid w:val="00596F47"/>
    <w:rsid w:val="00597631"/>
    <w:rsid w:val="005A17DE"/>
    <w:rsid w:val="005A1D14"/>
    <w:rsid w:val="005A3CE6"/>
    <w:rsid w:val="005A5076"/>
    <w:rsid w:val="005A5A37"/>
    <w:rsid w:val="005A5CDD"/>
    <w:rsid w:val="005A6697"/>
    <w:rsid w:val="005B22B7"/>
    <w:rsid w:val="005B2780"/>
    <w:rsid w:val="005B4E4B"/>
    <w:rsid w:val="005B5063"/>
    <w:rsid w:val="005C0486"/>
    <w:rsid w:val="005C2ABD"/>
    <w:rsid w:val="005C2D62"/>
    <w:rsid w:val="005C2DF1"/>
    <w:rsid w:val="005C3613"/>
    <w:rsid w:val="005D164B"/>
    <w:rsid w:val="005D3233"/>
    <w:rsid w:val="005D4EAE"/>
    <w:rsid w:val="005D519B"/>
    <w:rsid w:val="005D5576"/>
    <w:rsid w:val="005E056B"/>
    <w:rsid w:val="005E0738"/>
    <w:rsid w:val="005E26F3"/>
    <w:rsid w:val="005E2F3F"/>
    <w:rsid w:val="005E3BAB"/>
    <w:rsid w:val="005E3EB7"/>
    <w:rsid w:val="005E6A88"/>
    <w:rsid w:val="005F06BB"/>
    <w:rsid w:val="005F11AC"/>
    <w:rsid w:val="005F20B3"/>
    <w:rsid w:val="005F3251"/>
    <w:rsid w:val="005F3F1F"/>
    <w:rsid w:val="005F464D"/>
    <w:rsid w:val="005F5CE0"/>
    <w:rsid w:val="005F6B51"/>
    <w:rsid w:val="005F73B9"/>
    <w:rsid w:val="006112F6"/>
    <w:rsid w:val="006119A1"/>
    <w:rsid w:val="00611B0A"/>
    <w:rsid w:val="0061257E"/>
    <w:rsid w:val="00613E3F"/>
    <w:rsid w:val="00614DD5"/>
    <w:rsid w:val="006155B9"/>
    <w:rsid w:val="00615F74"/>
    <w:rsid w:val="00617970"/>
    <w:rsid w:val="00622C4C"/>
    <w:rsid w:val="00624377"/>
    <w:rsid w:val="006270EB"/>
    <w:rsid w:val="00630A94"/>
    <w:rsid w:val="006310D3"/>
    <w:rsid w:val="00632F0A"/>
    <w:rsid w:val="006358E7"/>
    <w:rsid w:val="006363DB"/>
    <w:rsid w:val="00636CEA"/>
    <w:rsid w:val="006377DE"/>
    <w:rsid w:val="006403E2"/>
    <w:rsid w:val="006406B2"/>
    <w:rsid w:val="00643263"/>
    <w:rsid w:val="00643421"/>
    <w:rsid w:val="0064586E"/>
    <w:rsid w:val="006472DA"/>
    <w:rsid w:val="00651B2D"/>
    <w:rsid w:val="00652C95"/>
    <w:rsid w:val="006552BE"/>
    <w:rsid w:val="00655C42"/>
    <w:rsid w:val="006562E0"/>
    <w:rsid w:val="006578D6"/>
    <w:rsid w:val="0066088D"/>
    <w:rsid w:val="006613D6"/>
    <w:rsid w:val="00662CA0"/>
    <w:rsid w:val="006644B8"/>
    <w:rsid w:val="00665314"/>
    <w:rsid w:val="00665490"/>
    <w:rsid w:val="00665874"/>
    <w:rsid w:val="00666C0C"/>
    <w:rsid w:val="006671FC"/>
    <w:rsid w:val="00667E5F"/>
    <w:rsid w:val="0067092B"/>
    <w:rsid w:val="00670E96"/>
    <w:rsid w:val="00672B73"/>
    <w:rsid w:val="0067310B"/>
    <w:rsid w:val="00673238"/>
    <w:rsid w:val="00675CB7"/>
    <w:rsid w:val="006775F6"/>
    <w:rsid w:val="0067767F"/>
    <w:rsid w:val="00677EC7"/>
    <w:rsid w:val="00680E39"/>
    <w:rsid w:val="00681068"/>
    <w:rsid w:val="00681548"/>
    <w:rsid w:val="0068178A"/>
    <w:rsid w:val="00682179"/>
    <w:rsid w:val="0068292C"/>
    <w:rsid w:val="00682BFD"/>
    <w:rsid w:val="00684406"/>
    <w:rsid w:val="00684C24"/>
    <w:rsid w:val="00684C8D"/>
    <w:rsid w:val="00686232"/>
    <w:rsid w:val="00686DA3"/>
    <w:rsid w:val="006878C6"/>
    <w:rsid w:val="0069095C"/>
    <w:rsid w:val="00690AF5"/>
    <w:rsid w:val="00693210"/>
    <w:rsid w:val="00694617"/>
    <w:rsid w:val="00694926"/>
    <w:rsid w:val="00694976"/>
    <w:rsid w:val="0069556E"/>
    <w:rsid w:val="00696872"/>
    <w:rsid w:val="006977EC"/>
    <w:rsid w:val="006A0835"/>
    <w:rsid w:val="006A293E"/>
    <w:rsid w:val="006A326F"/>
    <w:rsid w:val="006A7F89"/>
    <w:rsid w:val="006B02BF"/>
    <w:rsid w:val="006B07EE"/>
    <w:rsid w:val="006B0A7D"/>
    <w:rsid w:val="006B142D"/>
    <w:rsid w:val="006B1612"/>
    <w:rsid w:val="006B2115"/>
    <w:rsid w:val="006B284F"/>
    <w:rsid w:val="006B2DC9"/>
    <w:rsid w:val="006B4287"/>
    <w:rsid w:val="006B5D1F"/>
    <w:rsid w:val="006B5F4D"/>
    <w:rsid w:val="006C18C0"/>
    <w:rsid w:val="006C309B"/>
    <w:rsid w:val="006C4D67"/>
    <w:rsid w:val="006C4EC8"/>
    <w:rsid w:val="006C62AB"/>
    <w:rsid w:val="006C67D7"/>
    <w:rsid w:val="006C6FEF"/>
    <w:rsid w:val="006C719C"/>
    <w:rsid w:val="006C7FFB"/>
    <w:rsid w:val="006D4642"/>
    <w:rsid w:val="006D5818"/>
    <w:rsid w:val="006E2085"/>
    <w:rsid w:val="006E412A"/>
    <w:rsid w:val="006E4A36"/>
    <w:rsid w:val="006E5856"/>
    <w:rsid w:val="006E646D"/>
    <w:rsid w:val="006E77A0"/>
    <w:rsid w:val="006E7B52"/>
    <w:rsid w:val="006F225F"/>
    <w:rsid w:val="006F6554"/>
    <w:rsid w:val="006F7810"/>
    <w:rsid w:val="00700A10"/>
    <w:rsid w:val="00703183"/>
    <w:rsid w:val="00703B86"/>
    <w:rsid w:val="007059C6"/>
    <w:rsid w:val="007079D9"/>
    <w:rsid w:val="00711057"/>
    <w:rsid w:val="0071422E"/>
    <w:rsid w:val="007153BD"/>
    <w:rsid w:val="00717AFF"/>
    <w:rsid w:val="00721279"/>
    <w:rsid w:val="007214D8"/>
    <w:rsid w:val="0072182D"/>
    <w:rsid w:val="007253C1"/>
    <w:rsid w:val="00725CEA"/>
    <w:rsid w:val="007262C7"/>
    <w:rsid w:val="00732388"/>
    <w:rsid w:val="00733273"/>
    <w:rsid w:val="00734405"/>
    <w:rsid w:val="0073592E"/>
    <w:rsid w:val="00735E9A"/>
    <w:rsid w:val="0073620D"/>
    <w:rsid w:val="007367C4"/>
    <w:rsid w:val="00741D88"/>
    <w:rsid w:val="007427FF"/>
    <w:rsid w:val="00742A0A"/>
    <w:rsid w:val="0074439C"/>
    <w:rsid w:val="00744716"/>
    <w:rsid w:val="007505EB"/>
    <w:rsid w:val="00752A06"/>
    <w:rsid w:val="00753A6D"/>
    <w:rsid w:val="0075496E"/>
    <w:rsid w:val="00756A78"/>
    <w:rsid w:val="00757A25"/>
    <w:rsid w:val="00757B9E"/>
    <w:rsid w:val="0076207F"/>
    <w:rsid w:val="007654E3"/>
    <w:rsid w:val="00765D24"/>
    <w:rsid w:val="00765E16"/>
    <w:rsid w:val="00767188"/>
    <w:rsid w:val="0077079B"/>
    <w:rsid w:val="007714E7"/>
    <w:rsid w:val="00771A61"/>
    <w:rsid w:val="00772E1E"/>
    <w:rsid w:val="00773F7A"/>
    <w:rsid w:val="00774CDA"/>
    <w:rsid w:val="00774E67"/>
    <w:rsid w:val="00776E44"/>
    <w:rsid w:val="00776F04"/>
    <w:rsid w:val="00780F05"/>
    <w:rsid w:val="00783B3F"/>
    <w:rsid w:val="00784413"/>
    <w:rsid w:val="00784F70"/>
    <w:rsid w:val="00786848"/>
    <w:rsid w:val="00787650"/>
    <w:rsid w:val="00787732"/>
    <w:rsid w:val="0078790A"/>
    <w:rsid w:val="00792628"/>
    <w:rsid w:val="00795A44"/>
    <w:rsid w:val="00795BDA"/>
    <w:rsid w:val="00796885"/>
    <w:rsid w:val="00796E59"/>
    <w:rsid w:val="00797147"/>
    <w:rsid w:val="007978F5"/>
    <w:rsid w:val="007A2DC5"/>
    <w:rsid w:val="007A4496"/>
    <w:rsid w:val="007A4902"/>
    <w:rsid w:val="007A5414"/>
    <w:rsid w:val="007A5716"/>
    <w:rsid w:val="007B1281"/>
    <w:rsid w:val="007B2372"/>
    <w:rsid w:val="007B29CD"/>
    <w:rsid w:val="007B2B91"/>
    <w:rsid w:val="007B74D7"/>
    <w:rsid w:val="007B7B6C"/>
    <w:rsid w:val="007C2883"/>
    <w:rsid w:val="007C7070"/>
    <w:rsid w:val="007C7FF8"/>
    <w:rsid w:val="007D03DA"/>
    <w:rsid w:val="007D4963"/>
    <w:rsid w:val="007D5708"/>
    <w:rsid w:val="007D6F0D"/>
    <w:rsid w:val="007E376D"/>
    <w:rsid w:val="007E4E1C"/>
    <w:rsid w:val="007E673B"/>
    <w:rsid w:val="007E6C75"/>
    <w:rsid w:val="007F047A"/>
    <w:rsid w:val="007F1507"/>
    <w:rsid w:val="007F1EDB"/>
    <w:rsid w:val="007F2821"/>
    <w:rsid w:val="007F303A"/>
    <w:rsid w:val="007F32B9"/>
    <w:rsid w:val="007F45CD"/>
    <w:rsid w:val="007F487E"/>
    <w:rsid w:val="008012F9"/>
    <w:rsid w:val="008023D7"/>
    <w:rsid w:val="008053B2"/>
    <w:rsid w:val="008079EB"/>
    <w:rsid w:val="008106E6"/>
    <w:rsid w:val="00812798"/>
    <w:rsid w:val="00812E53"/>
    <w:rsid w:val="00816043"/>
    <w:rsid w:val="00817EC7"/>
    <w:rsid w:val="00824B32"/>
    <w:rsid w:val="00827576"/>
    <w:rsid w:val="00827808"/>
    <w:rsid w:val="008310F4"/>
    <w:rsid w:val="008313C7"/>
    <w:rsid w:val="00831777"/>
    <w:rsid w:val="008331FB"/>
    <w:rsid w:val="008342BE"/>
    <w:rsid w:val="00836902"/>
    <w:rsid w:val="00837384"/>
    <w:rsid w:val="00843465"/>
    <w:rsid w:val="00843663"/>
    <w:rsid w:val="00843AFD"/>
    <w:rsid w:val="00844B59"/>
    <w:rsid w:val="00846103"/>
    <w:rsid w:val="0084646A"/>
    <w:rsid w:val="00846FE1"/>
    <w:rsid w:val="00847000"/>
    <w:rsid w:val="00851D1E"/>
    <w:rsid w:val="008522BD"/>
    <w:rsid w:val="0085451E"/>
    <w:rsid w:val="00855A21"/>
    <w:rsid w:val="00857099"/>
    <w:rsid w:val="008608FC"/>
    <w:rsid w:val="00860B04"/>
    <w:rsid w:val="00862FD3"/>
    <w:rsid w:val="008633F1"/>
    <w:rsid w:val="00863D85"/>
    <w:rsid w:val="00864F8C"/>
    <w:rsid w:val="00865C2B"/>
    <w:rsid w:val="00867305"/>
    <w:rsid w:val="0087130E"/>
    <w:rsid w:val="0087162F"/>
    <w:rsid w:val="008740B9"/>
    <w:rsid w:val="00874568"/>
    <w:rsid w:val="00874E9D"/>
    <w:rsid w:val="0087502C"/>
    <w:rsid w:val="008769A0"/>
    <w:rsid w:val="00876B5D"/>
    <w:rsid w:val="00876D02"/>
    <w:rsid w:val="008833EC"/>
    <w:rsid w:val="00885312"/>
    <w:rsid w:val="00886C4A"/>
    <w:rsid w:val="008870F6"/>
    <w:rsid w:val="00887E4B"/>
    <w:rsid w:val="00892C67"/>
    <w:rsid w:val="00893C1F"/>
    <w:rsid w:val="00893F49"/>
    <w:rsid w:val="00896DF9"/>
    <w:rsid w:val="008A1B18"/>
    <w:rsid w:val="008A23A9"/>
    <w:rsid w:val="008A2B5A"/>
    <w:rsid w:val="008A39EC"/>
    <w:rsid w:val="008A41D2"/>
    <w:rsid w:val="008A5837"/>
    <w:rsid w:val="008A68A8"/>
    <w:rsid w:val="008A7536"/>
    <w:rsid w:val="008B2A22"/>
    <w:rsid w:val="008B2F04"/>
    <w:rsid w:val="008B627E"/>
    <w:rsid w:val="008C181C"/>
    <w:rsid w:val="008C3018"/>
    <w:rsid w:val="008C434C"/>
    <w:rsid w:val="008C56D9"/>
    <w:rsid w:val="008D063B"/>
    <w:rsid w:val="008D166B"/>
    <w:rsid w:val="008D1A24"/>
    <w:rsid w:val="008D287B"/>
    <w:rsid w:val="008D4D8F"/>
    <w:rsid w:val="008D6C68"/>
    <w:rsid w:val="008D7791"/>
    <w:rsid w:val="008E1FAC"/>
    <w:rsid w:val="008E261C"/>
    <w:rsid w:val="008E441B"/>
    <w:rsid w:val="008E5E5C"/>
    <w:rsid w:val="008E6B46"/>
    <w:rsid w:val="008E731F"/>
    <w:rsid w:val="008F04F9"/>
    <w:rsid w:val="008F09CE"/>
    <w:rsid w:val="008F381B"/>
    <w:rsid w:val="008F3FB9"/>
    <w:rsid w:val="008F5EE6"/>
    <w:rsid w:val="008F625D"/>
    <w:rsid w:val="008F6CFF"/>
    <w:rsid w:val="00901B16"/>
    <w:rsid w:val="00903473"/>
    <w:rsid w:val="00906011"/>
    <w:rsid w:val="0090638D"/>
    <w:rsid w:val="00906A70"/>
    <w:rsid w:val="00906D29"/>
    <w:rsid w:val="00907095"/>
    <w:rsid w:val="00907E8C"/>
    <w:rsid w:val="0091049A"/>
    <w:rsid w:val="00911B7D"/>
    <w:rsid w:val="00920261"/>
    <w:rsid w:val="0092098F"/>
    <w:rsid w:val="0092231D"/>
    <w:rsid w:val="009253C9"/>
    <w:rsid w:val="00925405"/>
    <w:rsid w:val="00925F4E"/>
    <w:rsid w:val="00930C42"/>
    <w:rsid w:val="009310B9"/>
    <w:rsid w:val="00933528"/>
    <w:rsid w:val="00933534"/>
    <w:rsid w:val="00933948"/>
    <w:rsid w:val="00933EBA"/>
    <w:rsid w:val="0093452E"/>
    <w:rsid w:val="00934722"/>
    <w:rsid w:val="0093487E"/>
    <w:rsid w:val="00935DFE"/>
    <w:rsid w:val="00935E93"/>
    <w:rsid w:val="0093739F"/>
    <w:rsid w:val="0094035E"/>
    <w:rsid w:val="00941AA6"/>
    <w:rsid w:val="00941E0D"/>
    <w:rsid w:val="00942B9F"/>
    <w:rsid w:val="00943368"/>
    <w:rsid w:val="0094686C"/>
    <w:rsid w:val="00947872"/>
    <w:rsid w:val="00950A46"/>
    <w:rsid w:val="009530D9"/>
    <w:rsid w:val="0095372D"/>
    <w:rsid w:val="0095461A"/>
    <w:rsid w:val="00955686"/>
    <w:rsid w:val="00955714"/>
    <w:rsid w:val="00955D91"/>
    <w:rsid w:val="00957476"/>
    <w:rsid w:val="009651A9"/>
    <w:rsid w:val="00965471"/>
    <w:rsid w:val="00965B97"/>
    <w:rsid w:val="00966AE4"/>
    <w:rsid w:val="00967D9D"/>
    <w:rsid w:val="00975321"/>
    <w:rsid w:val="009812C8"/>
    <w:rsid w:val="00982933"/>
    <w:rsid w:val="00983615"/>
    <w:rsid w:val="00984C24"/>
    <w:rsid w:val="009854D0"/>
    <w:rsid w:val="009878EB"/>
    <w:rsid w:val="00991419"/>
    <w:rsid w:val="00991558"/>
    <w:rsid w:val="00991586"/>
    <w:rsid w:val="00991CA4"/>
    <w:rsid w:val="00991CBE"/>
    <w:rsid w:val="009930CE"/>
    <w:rsid w:val="00993EEC"/>
    <w:rsid w:val="009943F6"/>
    <w:rsid w:val="00994E4B"/>
    <w:rsid w:val="00995E9B"/>
    <w:rsid w:val="0099605F"/>
    <w:rsid w:val="009A05FB"/>
    <w:rsid w:val="009A0A1E"/>
    <w:rsid w:val="009A3179"/>
    <w:rsid w:val="009A5868"/>
    <w:rsid w:val="009A6922"/>
    <w:rsid w:val="009B00CA"/>
    <w:rsid w:val="009B3312"/>
    <w:rsid w:val="009B3852"/>
    <w:rsid w:val="009B5F8C"/>
    <w:rsid w:val="009B7A5E"/>
    <w:rsid w:val="009C0B2C"/>
    <w:rsid w:val="009C190D"/>
    <w:rsid w:val="009C51AD"/>
    <w:rsid w:val="009C724A"/>
    <w:rsid w:val="009C7B2D"/>
    <w:rsid w:val="009D152C"/>
    <w:rsid w:val="009D5F0F"/>
    <w:rsid w:val="009D713F"/>
    <w:rsid w:val="009D781E"/>
    <w:rsid w:val="009E0F59"/>
    <w:rsid w:val="009E1574"/>
    <w:rsid w:val="009E2187"/>
    <w:rsid w:val="009E296D"/>
    <w:rsid w:val="009E4889"/>
    <w:rsid w:val="009E7B4D"/>
    <w:rsid w:val="009F0AA4"/>
    <w:rsid w:val="009F21E6"/>
    <w:rsid w:val="009F57CF"/>
    <w:rsid w:val="009F7855"/>
    <w:rsid w:val="00A02881"/>
    <w:rsid w:val="00A03063"/>
    <w:rsid w:val="00A045E2"/>
    <w:rsid w:val="00A078FF"/>
    <w:rsid w:val="00A11782"/>
    <w:rsid w:val="00A127ED"/>
    <w:rsid w:val="00A14165"/>
    <w:rsid w:val="00A14413"/>
    <w:rsid w:val="00A14481"/>
    <w:rsid w:val="00A15EE4"/>
    <w:rsid w:val="00A16489"/>
    <w:rsid w:val="00A166F4"/>
    <w:rsid w:val="00A20D3E"/>
    <w:rsid w:val="00A22875"/>
    <w:rsid w:val="00A23B32"/>
    <w:rsid w:val="00A259C9"/>
    <w:rsid w:val="00A25AF9"/>
    <w:rsid w:val="00A26455"/>
    <w:rsid w:val="00A271C7"/>
    <w:rsid w:val="00A27965"/>
    <w:rsid w:val="00A31174"/>
    <w:rsid w:val="00A3474A"/>
    <w:rsid w:val="00A413B2"/>
    <w:rsid w:val="00A416B1"/>
    <w:rsid w:val="00A425E4"/>
    <w:rsid w:val="00A42881"/>
    <w:rsid w:val="00A45722"/>
    <w:rsid w:val="00A45D99"/>
    <w:rsid w:val="00A45F83"/>
    <w:rsid w:val="00A4717D"/>
    <w:rsid w:val="00A478CE"/>
    <w:rsid w:val="00A47FDA"/>
    <w:rsid w:val="00A51A4F"/>
    <w:rsid w:val="00A51AE5"/>
    <w:rsid w:val="00A5268E"/>
    <w:rsid w:val="00A54E12"/>
    <w:rsid w:val="00A54E2A"/>
    <w:rsid w:val="00A5504B"/>
    <w:rsid w:val="00A55113"/>
    <w:rsid w:val="00A55400"/>
    <w:rsid w:val="00A56C9A"/>
    <w:rsid w:val="00A6009E"/>
    <w:rsid w:val="00A62884"/>
    <w:rsid w:val="00A640B2"/>
    <w:rsid w:val="00A6542C"/>
    <w:rsid w:val="00A65F57"/>
    <w:rsid w:val="00A67636"/>
    <w:rsid w:val="00A73BC3"/>
    <w:rsid w:val="00A744D9"/>
    <w:rsid w:val="00A77B55"/>
    <w:rsid w:val="00A82F51"/>
    <w:rsid w:val="00A87078"/>
    <w:rsid w:val="00A87ABE"/>
    <w:rsid w:val="00A9056B"/>
    <w:rsid w:val="00A915A6"/>
    <w:rsid w:val="00A93753"/>
    <w:rsid w:val="00A96656"/>
    <w:rsid w:val="00A97AC6"/>
    <w:rsid w:val="00AA1969"/>
    <w:rsid w:val="00AA21AA"/>
    <w:rsid w:val="00AA22DE"/>
    <w:rsid w:val="00AA5DE6"/>
    <w:rsid w:val="00AA7697"/>
    <w:rsid w:val="00AB1123"/>
    <w:rsid w:val="00AB1825"/>
    <w:rsid w:val="00AB4526"/>
    <w:rsid w:val="00AB54A5"/>
    <w:rsid w:val="00AB5683"/>
    <w:rsid w:val="00AB57D0"/>
    <w:rsid w:val="00AB5C28"/>
    <w:rsid w:val="00AB7BFF"/>
    <w:rsid w:val="00AB7CF8"/>
    <w:rsid w:val="00AC0E03"/>
    <w:rsid w:val="00AC687B"/>
    <w:rsid w:val="00AC7A3B"/>
    <w:rsid w:val="00AD2647"/>
    <w:rsid w:val="00AD473A"/>
    <w:rsid w:val="00AD5ACB"/>
    <w:rsid w:val="00AD5EBC"/>
    <w:rsid w:val="00AE0371"/>
    <w:rsid w:val="00AE0651"/>
    <w:rsid w:val="00AE54F6"/>
    <w:rsid w:val="00AE66FF"/>
    <w:rsid w:val="00AF0385"/>
    <w:rsid w:val="00AF09E5"/>
    <w:rsid w:val="00AF3B8B"/>
    <w:rsid w:val="00AF3EC9"/>
    <w:rsid w:val="00AF424C"/>
    <w:rsid w:val="00AF44D5"/>
    <w:rsid w:val="00AF57D0"/>
    <w:rsid w:val="00AF5B36"/>
    <w:rsid w:val="00AF5F37"/>
    <w:rsid w:val="00B03955"/>
    <w:rsid w:val="00B0451C"/>
    <w:rsid w:val="00B04BBD"/>
    <w:rsid w:val="00B1000C"/>
    <w:rsid w:val="00B1096C"/>
    <w:rsid w:val="00B1286E"/>
    <w:rsid w:val="00B12EB3"/>
    <w:rsid w:val="00B22D39"/>
    <w:rsid w:val="00B2334D"/>
    <w:rsid w:val="00B23443"/>
    <w:rsid w:val="00B23AC9"/>
    <w:rsid w:val="00B241FD"/>
    <w:rsid w:val="00B30007"/>
    <w:rsid w:val="00B320D4"/>
    <w:rsid w:val="00B33D4D"/>
    <w:rsid w:val="00B34110"/>
    <w:rsid w:val="00B35037"/>
    <w:rsid w:val="00B36309"/>
    <w:rsid w:val="00B377DD"/>
    <w:rsid w:val="00B430D5"/>
    <w:rsid w:val="00B430D9"/>
    <w:rsid w:val="00B464C0"/>
    <w:rsid w:val="00B4681E"/>
    <w:rsid w:val="00B53607"/>
    <w:rsid w:val="00B53ECD"/>
    <w:rsid w:val="00B62F93"/>
    <w:rsid w:val="00B63AF0"/>
    <w:rsid w:val="00B64BD4"/>
    <w:rsid w:val="00B666B2"/>
    <w:rsid w:val="00B70264"/>
    <w:rsid w:val="00B70707"/>
    <w:rsid w:val="00B70895"/>
    <w:rsid w:val="00B73471"/>
    <w:rsid w:val="00B73DDD"/>
    <w:rsid w:val="00B75D56"/>
    <w:rsid w:val="00B77B7B"/>
    <w:rsid w:val="00B820B4"/>
    <w:rsid w:val="00B824EA"/>
    <w:rsid w:val="00B865E0"/>
    <w:rsid w:val="00B8758E"/>
    <w:rsid w:val="00B90127"/>
    <w:rsid w:val="00B91B8A"/>
    <w:rsid w:val="00B92F86"/>
    <w:rsid w:val="00B96385"/>
    <w:rsid w:val="00B96DF0"/>
    <w:rsid w:val="00B97A36"/>
    <w:rsid w:val="00BA5100"/>
    <w:rsid w:val="00BB1C14"/>
    <w:rsid w:val="00BB26FE"/>
    <w:rsid w:val="00BB2807"/>
    <w:rsid w:val="00BB2B72"/>
    <w:rsid w:val="00BB3C6E"/>
    <w:rsid w:val="00BB54B1"/>
    <w:rsid w:val="00BB5B31"/>
    <w:rsid w:val="00BB7545"/>
    <w:rsid w:val="00BC1250"/>
    <w:rsid w:val="00BC36F4"/>
    <w:rsid w:val="00BC6BE9"/>
    <w:rsid w:val="00BC6C97"/>
    <w:rsid w:val="00BD0175"/>
    <w:rsid w:val="00BD1005"/>
    <w:rsid w:val="00BD19AE"/>
    <w:rsid w:val="00BD1CE1"/>
    <w:rsid w:val="00BD2436"/>
    <w:rsid w:val="00BD31B4"/>
    <w:rsid w:val="00BD67FD"/>
    <w:rsid w:val="00BD7770"/>
    <w:rsid w:val="00BE0B3D"/>
    <w:rsid w:val="00BE1116"/>
    <w:rsid w:val="00BE2D49"/>
    <w:rsid w:val="00BE3555"/>
    <w:rsid w:val="00BE5DE8"/>
    <w:rsid w:val="00BE66B1"/>
    <w:rsid w:val="00BE7C4D"/>
    <w:rsid w:val="00BF00C2"/>
    <w:rsid w:val="00BF5966"/>
    <w:rsid w:val="00BF6E02"/>
    <w:rsid w:val="00C0265D"/>
    <w:rsid w:val="00C03E09"/>
    <w:rsid w:val="00C05026"/>
    <w:rsid w:val="00C0563A"/>
    <w:rsid w:val="00C10625"/>
    <w:rsid w:val="00C1149C"/>
    <w:rsid w:val="00C11B25"/>
    <w:rsid w:val="00C12D4E"/>
    <w:rsid w:val="00C1415C"/>
    <w:rsid w:val="00C15E62"/>
    <w:rsid w:val="00C178F2"/>
    <w:rsid w:val="00C20021"/>
    <w:rsid w:val="00C207CF"/>
    <w:rsid w:val="00C20EE2"/>
    <w:rsid w:val="00C27B1D"/>
    <w:rsid w:val="00C3198A"/>
    <w:rsid w:val="00C31B0F"/>
    <w:rsid w:val="00C32E20"/>
    <w:rsid w:val="00C3328D"/>
    <w:rsid w:val="00C34026"/>
    <w:rsid w:val="00C34A63"/>
    <w:rsid w:val="00C357B0"/>
    <w:rsid w:val="00C36AD7"/>
    <w:rsid w:val="00C37D5A"/>
    <w:rsid w:val="00C40C4E"/>
    <w:rsid w:val="00C42795"/>
    <w:rsid w:val="00C433BB"/>
    <w:rsid w:val="00C444BE"/>
    <w:rsid w:val="00C44706"/>
    <w:rsid w:val="00C45271"/>
    <w:rsid w:val="00C47345"/>
    <w:rsid w:val="00C473A0"/>
    <w:rsid w:val="00C52438"/>
    <w:rsid w:val="00C54FF3"/>
    <w:rsid w:val="00C57DE7"/>
    <w:rsid w:val="00C607A9"/>
    <w:rsid w:val="00C624CB"/>
    <w:rsid w:val="00C65499"/>
    <w:rsid w:val="00C66814"/>
    <w:rsid w:val="00C70207"/>
    <w:rsid w:val="00C702CD"/>
    <w:rsid w:val="00C72DA9"/>
    <w:rsid w:val="00C7379D"/>
    <w:rsid w:val="00C76627"/>
    <w:rsid w:val="00C850E3"/>
    <w:rsid w:val="00C8641D"/>
    <w:rsid w:val="00C86B50"/>
    <w:rsid w:val="00C90A26"/>
    <w:rsid w:val="00C92004"/>
    <w:rsid w:val="00C930BD"/>
    <w:rsid w:val="00C947C2"/>
    <w:rsid w:val="00C95025"/>
    <w:rsid w:val="00C95529"/>
    <w:rsid w:val="00C967A7"/>
    <w:rsid w:val="00C97D27"/>
    <w:rsid w:val="00CA13F6"/>
    <w:rsid w:val="00CA598F"/>
    <w:rsid w:val="00CA6915"/>
    <w:rsid w:val="00CB0A00"/>
    <w:rsid w:val="00CB2E5A"/>
    <w:rsid w:val="00CB33B0"/>
    <w:rsid w:val="00CB3C7E"/>
    <w:rsid w:val="00CB3CB7"/>
    <w:rsid w:val="00CB67F0"/>
    <w:rsid w:val="00CB779C"/>
    <w:rsid w:val="00CC1E89"/>
    <w:rsid w:val="00CC285D"/>
    <w:rsid w:val="00CC3519"/>
    <w:rsid w:val="00CC507F"/>
    <w:rsid w:val="00CC525F"/>
    <w:rsid w:val="00CC68FE"/>
    <w:rsid w:val="00CC730E"/>
    <w:rsid w:val="00CC745B"/>
    <w:rsid w:val="00CD1B47"/>
    <w:rsid w:val="00CD1D55"/>
    <w:rsid w:val="00CD234C"/>
    <w:rsid w:val="00CD47E3"/>
    <w:rsid w:val="00CD6F61"/>
    <w:rsid w:val="00CD7CF0"/>
    <w:rsid w:val="00CE07DF"/>
    <w:rsid w:val="00CE1498"/>
    <w:rsid w:val="00CE16BB"/>
    <w:rsid w:val="00CE3D2C"/>
    <w:rsid w:val="00CE4560"/>
    <w:rsid w:val="00CE48BE"/>
    <w:rsid w:val="00CE48F9"/>
    <w:rsid w:val="00CE6D18"/>
    <w:rsid w:val="00CE6FFF"/>
    <w:rsid w:val="00CF0360"/>
    <w:rsid w:val="00CF3ECA"/>
    <w:rsid w:val="00CF413F"/>
    <w:rsid w:val="00CF6620"/>
    <w:rsid w:val="00CF6995"/>
    <w:rsid w:val="00D00066"/>
    <w:rsid w:val="00D01D49"/>
    <w:rsid w:val="00D0266D"/>
    <w:rsid w:val="00D0466F"/>
    <w:rsid w:val="00D06EA2"/>
    <w:rsid w:val="00D10A8A"/>
    <w:rsid w:val="00D1132B"/>
    <w:rsid w:val="00D11600"/>
    <w:rsid w:val="00D13B93"/>
    <w:rsid w:val="00D2066F"/>
    <w:rsid w:val="00D20A69"/>
    <w:rsid w:val="00D20B04"/>
    <w:rsid w:val="00D2104D"/>
    <w:rsid w:val="00D21EF7"/>
    <w:rsid w:val="00D22BCF"/>
    <w:rsid w:val="00D23C4A"/>
    <w:rsid w:val="00D24398"/>
    <w:rsid w:val="00D263C9"/>
    <w:rsid w:val="00D2777F"/>
    <w:rsid w:val="00D31FDC"/>
    <w:rsid w:val="00D3560F"/>
    <w:rsid w:val="00D36792"/>
    <w:rsid w:val="00D37992"/>
    <w:rsid w:val="00D37DE9"/>
    <w:rsid w:val="00D40F2B"/>
    <w:rsid w:val="00D41028"/>
    <w:rsid w:val="00D41DFB"/>
    <w:rsid w:val="00D421CB"/>
    <w:rsid w:val="00D42CFA"/>
    <w:rsid w:val="00D445E3"/>
    <w:rsid w:val="00D4599A"/>
    <w:rsid w:val="00D46F0A"/>
    <w:rsid w:val="00D53448"/>
    <w:rsid w:val="00D54966"/>
    <w:rsid w:val="00D555E6"/>
    <w:rsid w:val="00D56E11"/>
    <w:rsid w:val="00D57287"/>
    <w:rsid w:val="00D60D8B"/>
    <w:rsid w:val="00D61BBA"/>
    <w:rsid w:val="00D62EEC"/>
    <w:rsid w:val="00D657C4"/>
    <w:rsid w:val="00D658E8"/>
    <w:rsid w:val="00D66CB9"/>
    <w:rsid w:val="00D723D3"/>
    <w:rsid w:val="00D725FE"/>
    <w:rsid w:val="00D76B99"/>
    <w:rsid w:val="00D76ED0"/>
    <w:rsid w:val="00D811F6"/>
    <w:rsid w:val="00D83E6F"/>
    <w:rsid w:val="00D847A8"/>
    <w:rsid w:val="00D86085"/>
    <w:rsid w:val="00D864E4"/>
    <w:rsid w:val="00D870D7"/>
    <w:rsid w:val="00D90807"/>
    <w:rsid w:val="00D953B3"/>
    <w:rsid w:val="00D95A41"/>
    <w:rsid w:val="00D96D1B"/>
    <w:rsid w:val="00DA0CB1"/>
    <w:rsid w:val="00DA202C"/>
    <w:rsid w:val="00DA3674"/>
    <w:rsid w:val="00DA4A19"/>
    <w:rsid w:val="00DA5A1C"/>
    <w:rsid w:val="00DA6C86"/>
    <w:rsid w:val="00DB0122"/>
    <w:rsid w:val="00DB0903"/>
    <w:rsid w:val="00DB0A96"/>
    <w:rsid w:val="00DB2102"/>
    <w:rsid w:val="00DB26DC"/>
    <w:rsid w:val="00DB37E2"/>
    <w:rsid w:val="00DB40E4"/>
    <w:rsid w:val="00DB4C9E"/>
    <w:rsid w:val="00DB4CBB"/>
    <w:rsid w:val="00DC023D"/>
    <w:rsid w:val="00DC0370"/>
    <w:rsid w:val="00DC0BEB"/>
    <w:rsid w:val="00DC1273"/>
    <w:rsid w:val="00DC3B3C"/>
    <w:rsid w:val="00DC3E80"/>
    <w:rsid w:val="00DC46D8"/>
    <w:rsid w:val="00DC5C3F"/>
    <w:rsid w:val="00DC6733"/>
    <w:rsid w:val="00DC6DCB"/>
    <w:rsid w:val="00DC7C20"/>
    <w:rsid w:val="00DC7DA1"/>
    <w:rsid w:val="00DD16BE"/>
    <w:rsid w:val="00DD47C8"/>
    <w:rsid w:val="00DD49B6"/>
    <w:rsid w:val="00DD5098"/>
    <w:rsid w:val="00DD5C13"/>
    <w:rsid w:val="00DD635F"/>
    <w:rsid w:val="00DD707E"/>
    <w:rsid w:val="00DD7205"/>
    <w:rsid w:val="00DE002F"/>
    <w:rsid w:val="00DE0781"/>
    <w:rsid w:val="00DE3EE8"/>
    <w:rsid w:val="00DE4554"/>
    <w:rsid w:val="00DE4713"/>
    <w:rsid w:val="00DE5547"/>
    <w:rsid w:val="00DE5AAD"/>
    <w:rsid w:val="00DE5F35"/>
    <w:rsid w:val="00DE6036"/>
    <w:rsid w:val="00DE6610"/>
    <w:rsid w:val="00DF219B"/>
    <w:rsid w:val="00DF2501"/>
    <w:rsid w:val="00DF300E"/>
    <w:rsid w:val="00DF3429"/>
    <w:rsid w:val="00DF41AA"/>
    <w:rsid w:val="00DF444B"/>
    <w:rsid w:val="00DF51A8"/>
    <w:rsid w:val="00DF5521"/>
    <w:rsid w:val="00DF6772"/>
    <w:rsid w:val="00DF7C48"/>
    <w:rsid w:val="00E0039C"/>
    <w:rsid w:val="00E0686D"/>
    <w:rsid w:val="00E1065F"/>
    <w:rsid w:val="00E10681"/>
    <w:rsid w:val="00E137C0"/>
    <w:rsid w:val="00E141B2"/>
    <w:rsid w:val="00E14A76"/>
    <w:rsid w:val="00E163C4"/>
    <w:rsid w:val="00E208B9"/>
    <w:rsid w:val="00E25165"/>
    <w:rsid w:val="00E2591D"/>
    <w:rsid w:val="00E25CAD"/>
    <w:rsid w:val="00E26539"/>
    <w:rsid w:val="00E26BDF"/>
    <w:rsid w:val="00E3106D"/>
    <w:rsid w:val="00E3189E"/>
    <w:rsid w:val="00E3324E"/>
    <w:rsid w:val="00E376EA"/>
    <w:rsid w:val="00E404DB"/>
    <w:rsid w:val="00E42943"/>
    <w:rsid w:val="00E43215"/>
    <w:rsid w:val="00E436B6"/>
    <w:rsid w:val="00E45E69"/>
    <w:rsid w:val="00E4726D"/>
    <w:rsid w:val="00E50FC9"/>
    <w:rsid w:val="00E52099"/>
    <w:rsid w:val="00E52FB5"/>
    <w:rsid w:val="00E53271"/>
    <w:rsid w:val="00E544F6"/>
    <w:rsid w:val="00E563A4"/>
    <w:rsid w:val="00E57CC3"/>
    <w:rsid w:val="00E57FCE"/>
    <w:rsid w:val="00E600EC"/>
    <w:rsid w:val="00E601A7"/>
    <w:rsid w:val="00E60E6E"/>
    <w:rsid w:val="00E62D69"/>
    <w:rsid w:val="00E66391"/>
    <w:rsid w:val="00E66600"/>
    <w:rsid w:val="00E70959"/>
    <w:rsid w:val="00E71B57"/>
    <w:rsid w:val="00E722D4"/>
    <w:rsid w:val="00E72CE0"/>
    <w:rsid w:val="00E74E50"/>
    <w:rsid w:val="00E80A81"/>
    <w:rsid w:val="00E82DCB"/>
    <w:rsid w:val="00E83ABC"/>
    <w:rsid w:val="00E86166"/>
    <w:rsid w:val="00E862B5"/>
    <w:rsid w:val="00E8633C"/>
    <w:rsid w:val="00E8652F"/>
    <w:rsid w:val="00E877B0"/>
    <w:rsid w:val="00E92466"/>
    <w:rsid w:val="00E927CB"/>
    <w:rsid w:val="00E93018"/>
    <w:rsid w:val="00E94311"/>
    <w:rsid w:val="00E96220"/>
    <w:rsid w:val="00E9643A"/>
    <w:rsid w:val="00EA09C1"/>
    <w:rsid w:val="00EA2C51"/>
    <w:rsid w:val="00EA365B"/>
    <w:rsid w:val="00EA5AF1"/>
    <w:rsid w:val="00EA6DDF"/>
    <w:rsid w:val="00EB037E"/>
    <w:rsid w:val="00EB1C58"/>
    <w:rsid w:val="00EB2669"/>
    <w:rsid w:val="00EB2EC5"/>
    <w:rsid w:val="00EB36D3"/>
    <w:rsid w:val="00EB4033"/>
    <w:rsid w:val="00EB5637"/>
    <w:rsid w:val="00EB57A8"/>
    <w:rsid w:val="00EB6311"/>
    <w:rsid w:val="00EC015F"/>
    <w:rsid w:val="00EC100E"/>
    <w:rsid w:val="00EC194D"/>
    <w:rsid w:val="00EC4B3D"/>
    <w:rsid w:val="00EC5E31"/>
    <w:rsid w:val="00EC6E85"/>
    <w:rsid w:val="00EC7BBC"/>
    <w:rsid w:val="00EC7D66"/>
    <w:rsid w:val="00ED01C8"/>
    <w:rsid w:val="00ED09E2"/>
    <w:rsid w:val="00ED0CC5"/>
    <w:rsid w:val="00ED33E6"/>
    <w:rsid w:val="00ED4614"/>
    <w:rsid w:val="00ED4FD7"/>
    <w:rsid w:val="00ED556C"/>
    <w:rsid w:val="00ED5C3F"/>
    <w:rsid w:val="00ED7D50"/>
    <w:rsid w:val="00EE1D30"/>
    <w:rsid w:val="00EE2493"/>
    <w:rsid w:val="00EE24A7"/>
    <w:rsid w:val="00EE2F22"/>
    <w:rsid w:val="00EE3291"/>
    <w:rsid w:val="00EE5156"/>
    <w:rsid w:val="00EE5232"/>
    <w:rsid w:val="00EE5574"/>
    <w:rsid w:val="00EE6D99"/>
    <w:rsid w:val="00EF324E"/>
    <w:rsid w:val="00EF4784"/>
    <w:rsid w:val="00EF47D1"/>
    <w:rsid w:val="00EF7BBB"/>
    <w:rsid w:val="00F007B7"/>
    <w:rsid w:val="00F01085"/>
    <w:rsid w:val="00F01460"/>
    <w:rsid w:val="00F0244D"/>
    <w:rsid w:val="00F0451B"/>
    <w:rsid w:val="00F0661D"/>
    <w:rsid w:val="00F071C9"/>
    <w:rsid w:val="00F1174D"/>
    <w:rsid w:val="00F122F5"/>
    <w:rsid w:val="00F1254B"/>
    <w:rsid w:val="00F12A40"/>
    <w:rsid w:val="00F1338C"/>
    <w:rsid w:val="00F143AE"/>
    <w:rsid w:val="00F152F9"/>
    <w:rsid w:val="00F1638F"/>
    <w:rsid w:val="00F16CA9"/>
    <w:rsid w:val="00F16D0A"/>
    <w:rsid w:val="00F17392"/>
    <w:rsid w:val="00F17467"/>
    <w:rsid w:val="00F1759A"/>
    <w:rsid w:val="00F208BC"/>
    <w:rsid w:val="00F2490D"/>
    <w:rsid w:val="00F2646E"/>
    <w:rsid w:val="00F30042"/>
    <w:rsid w:val="00F30272"/>
    <w:rsid w:val="00F32311"/>
    <w:rsid w:val="00F33780"/>
    <w:rsid w:val="00F36003"/>
    <w:rsid w:val="00F437F3"/>
    <w:rsid w:val="00F4380C"/>
    <w:rsid w:val="00F43CFB"/>
    <w:rsid w:val="00F442CE"/>
    <w:rsid w:val="00F44FAE"/>
    <w:rsid w:val="00F46D80"/>
    <w:rsid w:val="00F46E28"/>
    <w:rsid w:val="00F46E2E"/>
    <w:rsid w:val="00F5272C"/>
    <w:rsid w:val="00F530C7"/>
    <w:rsid w:val="00F538F4"/>
    <w:rsid w:val="00F54F41"/>
    <w:rsid w:val="00F55B0A"/>
    <w:rsid w:val="00F561D7"/>
    <w:rsid w:val="00F56EA8"/>
    <w:rsid w:val="00F571BA"/>
    <w:rsid w:val="00F57E68"/>
    <w:rsid w:val="00F611EC"/>
    <w:rsid w:val="00F61F43"/>
    <w:rsid w:val="00F62A6A"/>
    <w:rsid w:val="00F62F8F"/>
    <w:rsid w:val="00F637F1"/>
    <w:rsid w:val="00F70A14"/>
    <w:rsid w:val="00F72FAE"/>
    <w:rsid w:val="00F73424"/>
    <w:rsid w:val="00F76B7F"/>
    <w:rsid w:val="00F76C64"/>
    <w:rsid w:val="00F7764D"/>
    <w:rsid w:val="00F779B3"/>
    <w:rsid w:val="00F81190"/>
    <w:rsid w:val="00F81E8D"/>
    <w:rsid w:val="00F8287F"/>
    <w:rsid w:val="00F8319D"/>
    <w:rsid w:val="00F84618"/>
    <w:rsid w:val="00F9141E"/>
    <w:rsid w:val="00F921B5"/>
    <w:rsid w:val="00F9283B"/>
    <w:rsid w:val="00F92F50"/>
    <w:rsid w:val="00F943FB"/>
    <w:rsid w:val="00F96427"/>
    <w:rsid w:val="00F96571"/>
    <w:rsid w:val="00FA1208"/>
    <w:rsid w:val="00FA2523"/>
    <w:rsid w:val="00FA2F18"/>
    <w:rsid w:val="00FA44E8"/>
    <w:rsid w:val="00FA4E41"/>
    <w:rsid w:val="00FA679D"/>
    <w:rsid w:val="00FB020F"/>
    <w:rsid w:val="00FB066B"/>
    <w:rsid w:val="00FB3F85"/>
    <w:rsid w:val="00FC02B0"/>
    <w:rsid w:val="00FC0FAB"/>
    <w:rsid w:val="00FC183C"/>
    <w:rsid w:val="00FC3B9D"/>
    <w:rsid w:val="00FC44C4"/>
    <w:rsid w:val="00FC5432"/>
    <w:rsid w:val="00FC612C"/>
    <w:rsid w:val="00FC6921"/>
    <w:rsid w:val="00FD2671"/>
    <w:rsid w:val="00FD2B16"/>
    <w:rsid w:val="00FD37A7"/>
    <w:rsid w:val="00FD5062"/>
    <w:rsid w:val="00FD68DE"/>
    <w:rsid w:val="00FE03EC"/>
    <w:rsid w:val="00FE2432"/>
    <w:rsid w:val="00FE26B3"/>
    <w:rsid w:val="00FE3E56"/>
    <w:rsid w:val="00FE4001"/>
    <w:rsid w:val="00FE4768"/>
    <w:rsid w:val="00FE478C"/>
    <w:rsid w:val="00FE59CF"/>
    <w:rsid w:val="00FE5AEF"/>
    <w:rsid w:val="00FF05E3"/>
    <w:rsid w:val="00FF0C89"/>
    <w:rsid w:val="00FF2742"/>
    <w:rsid w:val="00FF395B"/>
    <w:rsid w:val="00FF5875"/>
    <w:rsid w:val="00FF6D10"/>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1D1C"/>
  <w15:docId w15:val="{8CF01065-59EF-4386-887D-1DF4D64C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amp;P List Paragraph"/>
    <w:basedOn w:val="Normal"/>
    <w:link w:val="ListParagraphChar"/>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3942"/>
    <w:pPr>
      <w:spacing w:after="0" w:line="240" w:lineRule="auto"/>
    </w:pPr>
  </w:style>
  <w:style w:type="character" w:customStyle="1" w:styleId="ListParagraphChar">
    <w:name w:val="List Paragraph Char"/>
    <w:aliases w:val="H&amp;P List Paragraph Char"/>
    <w:link w:val="ListParagraph"/>
    <w:locked/>
    <w:rsid w:val="00580BB3"/>
  </w:style>
  <w:style w:type="paragraph" w:customStyle="1" w:styleId="Default">
    <w:name w:val="Default"/>
    <w:rsid w:val="00345E6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32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4206">
      <w:bodyDiv w:val="1"/>
      <w:marLeft w:val="0"/>
      <w:marRight w:val="0"/>
      <w:marTop w:val="0"/>
      <w:marBottom w:val="0"/>
      <w:divBdr>
        <w:top w:val="none" w:sz="0" w:space="0" w:color="auto"/>
        <w:left w:val="none" w:sz="0" w:space="0" w:color="auto"/>
        <w:bottom w:val="none" w:sz="0" w:space="0" w:color="auto"/>
        <w:right w:val="none" w:sz="0" w:space="0" w:color="auto"/>
      </w:divBdr>
    </w:div>
    <w:div w:id="303850508">
      <w:bodyDiv w:val="1"/>
      <w:marLeft w:val="0"/>
      <w:marRight w:val="0"/>
      <w:marTop w:val="0"/>
      <w:marBottom w:val="0"/>
      <w:divBdr>
        <w:top w:val="none" w:sz="0" w:space="0" w:color="auto"/>
        <w:left w:val="none" w:sz="0" w:space="0" w:color="auto"/>
        <w:bottom w:val="none" w:sz="0" w:space="0" w:color="auto"/>
        <w:right w:val="none" w:sz="0" w:space="0" w:color="auto"/>
      </w:divBdr>
    </w:div>
    <w:div w:id="489832439">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11074331">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16768991">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596474443">
      <w:bodyDiv w:val="1"/>
      <w:marLeft w:val="0"/>
      <w:marRight w:val="0"/>
      <w:marTop w:val="0"/>
      <w:marBottom w:val="0"/>
      <w:divBdr>
        <w:top w:val="none" w:sz="0" w:space="0" w:color="auto"/>
        <w:left w:val="none" w:sz="0" w:space="0" w:color="auto"/>
        <w:bottom w:val="none" w:sz="0" w:space="0" w:color="auto"/>
        <w:right w:val="none" w:sz="0" w:space="0" w:color="auto"/>
      </w:divBdr>
    </w:div>
    <w:div w:id="1681397555">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0627B24-F9CC-43D2-AF89-8488EEE8555F}">
  <ds:schemaRefs>
    <ds:schemaRef ds:uri="http://schemas.openxmlformats.org/officeDocument/2006/bibliography"/>
  </ds:schemaRefs>
</ds:datastoreItem>
</file>

<file path=customXml/itemProps2.xml><?xml version="1.0" encoding="utf-8"?>
<ds:datastoreItem xmlns:ds="http://schemas.openxmlformats.org/officeDocument/2006/customXml" ds:itemID="{AC901752-CB2D-4DC9-8F9A-4744DC7AF5E1}">
  <ds:schemaRefs>
    <ds:schemaRef ds:uri="http://schemas.openxmlformats.org/officeDocument/2006/bibliography"/>
  </ds:schemaRefs>
</ds:datastoreItem>
</file>

<file path=customXml/itemProps3.xml><?xml version="1.0" encoding="utf-8"?>
<ds:datastoreItem xmlns:ds="http://schemas.openxmlformats.org/officeDocument/2006/customXml" ds:itemID="{0A59FBBB-FED0-4B24-9F8A-00A046D2095A}">
  <ds:schemaRefs>
    <ds:schemaRef ds:uri="http://schemas.openxmlformats.org/officeDocument/2006/bibliography"/>
  </ds:schemaRefs>
</ds:datastoreItem>
</file>

<file path=customXml/itemProps4.xml><?xml version="1.0" encoding="utf-8"?>
<ds:datastoreItem xmlns:ds="http://schemas.openxmlformats.org/officeDocument/2006/customXml" ds:itemID="{5D716CA3-BFCF-4A89-928B-CC8EA432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27396</Words>
  <Characters>15616</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
    </vt:vector>
  </TitlesOfParts>
  <Company>FM</Company>
  <LinksUpToDate>false</LinksUpToDate>
  <CharactersWithSpaces>42927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pirmās kārtas noteikumi” sākotnējās ietekmes novērtējuma ziņojums (anotācija)</dc:title>
  <dc:subject>Anotācija</dc:subject>
  <dc:creator>edgars.zandbergs@fm.gov.lv</dc:creator>
  <cp:keywords/>
  <dc:description>67095 532, Edgars.Zandbergs@fm.gov.lv</dc:description>
  <cp:lastModifiedBy>Finanšu ministrija</cp:lastModifiedBy>
  <cp:revision>131</cp:revision>
  <cp:lastPrinted>2015-08-17T11:40:00Z</cp:lastPrinted>
  <dcterms:created xsi:type="dcterms:W3CDTF">2015-07-23T11:13:00Z</dcterms:created>
  <dcterms:modified xsi:type="dcterms:W3CDTF">2015-08-17T12:11:00Z</dcterms:modified>
</cp:coreProperties>
</file>