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DD" w:rsidRDefault="00A36EDD" w:rsidP="00932742">
      <w:pPr>
        <w:jc w:val="center"/>
        <w:rPr>
          <w:b/>
          <w:sz w:val="28"/>
          <w:szCs w:val="28"/>
        </w:rPr>
      </w:pPr>
      <w:bookmarkStart w:id="0" w:name="OLE_LINK3"/>
      <w:bookmarkStart w:id="1" w:name="OLE_LINK4"/>
      <w:bookmarkStart w:id="2" w:name="OLE_LINK1"/>
      <w:bookmarkStart w:id="3" w:name="_GoBack"/>
      <w:bookmarkEnd w:id="3"/>
    </w:p>
    <w:p w:rsidR="005D6B8A" w:rsidRPr="009B2F21" w:rsidRDefault="005D6B8A" w:rsidP="00932742">
      <w:pPr>
        <w:jc w:val="center"/>
        <w:rPr>
          <w:b/>
          <w:sz w:val="28"/>
          <w:szCs w:val="28"/>
        </w:rPr>
      </w:pPr>
      <w:r w:rsidRPr="009B2F21">
        <w:rPr>
          <w:b/>
          <w:sz w:val="28"/>
          <w:szCs w:val="28"/>
        </w:rPr>
        <w:t>Ministru kabineta rīkojuma projekta</w:t>
      </w:r>
    </w:p>
    <w:p w:rsidR="00585B7B" w:rsidRPr="009B2F21" w:rsidRDefault="008C03E0" w:rsidP="00932742">
      <w:pPr>
        <w:pStyle w:val="BodyText"/>
        <w:spacing w:after="0"/>
        <w:jc w:val="center"/>
        <w:rPr>
          <w:b/>
          <w:sz w:val="28"/>
          <w:szCs w:val="28"/>
        </w:rPr>
      </w:pPr>
      <w:r w:rsidRPr="008C03E0">
        <w:rPr>
          <w:b/>
          <w:sz w:val="28"/>
          <w:szCs w:val="28"/>
        </w:rPr>
        <w:t>“Par finanšu līdzekļu piešķiršanu no valsts budžeta programmas "Līdzekļi neparedzētiem gadījumiem””</w:t>
      </w:r>
      <w:r>
        <w:rPr>
          <w:b/>
          <w:sz w:val="28"/>
          <w:szCs w:val="28"/>
        </w:rPr>
        <w:t xml:space="preserve"> </w:t>
      </w:r>
      <w:r w:rsidR="00585B7B" w:rsidRPr="009B2F21">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9B2F21">
          <w:rPr>
            <w:b/>
            <w:sz w:val="28"/>
            <w:szCs w:val="28"/>
          </w:rPr>
          <w:t>ziņojums</w:t>
        </w:r>
      </w:smartTag>
      <w:r w:rsidR="00585B7B" w:rsidRPr="009B2F21">
        <w:rPr>
          <w:b/>
          <w:sz w:val="28"/>
          <w:szCs w:val="28"/>
        </w:rPr>
        <w:t xml:space="preserve"> (anotācija)</w:t>
      </w:r>
    </w:p>
    <w:p w:rsidR="00055608" w:rsidRDefault="00055608" w:rsidP="00932742">
      <w:pPr>
        <w:jc w:val="center"/>
        <w:rPr>
          <w:b/>
          <w:sz w:val="26"/>
          <w:szCs w:val="26"/>
        </w:rPr>
      </w:pPr>
    </w:p>
    <w:p w:rsidR="00A36EDD" w:rsidRPr="00C13B05" w:rsidRDefault="00A36EDD" w:rsidP="00932742">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8C03E0" w:rsidRPr="008C03E0" w:rsidRDefault="006B3C16" w:rsidP="008C03E0">
            <w:pPr>
              <w:jc w:val="both"/>
              <w:rPr>
                <w:sz w:val="25"/>
                <w:szCs w:val="25"/>
              </w:rPr>
            </w:pPr>
            <w:r w:rsidRPr="008C03E0">
              <w:rPr>
                <w:sz w:val="25"/>
                <w:szCs w:val="25"/>
              </w:rPr>
              <w:t>Rīkojuma projekts ir izstrādāts</w:t>
            </w:r>
            <w:r w:rsidR="008C03E0" w:rsidRPr="008C03E0">
              <w:rPr>
                <w:sz w:val="25"/>
                <w:szCs w:val="25"/>
              </w:rPr>
              <w:t>:</w:t>
            </w:r>
          </w:p>
          <w:p w:rsidR="0052659E" w:rsidRPr="008C03E0" w:rsidRDefault="00B34A76" w:rsidP="008C03E0">
            <w:pPr>
              <w:pStyle w:val="ListParagraph"/>
              <w:numPr>
                <w:ilvl w:val="0"/>
                <w:numId w:val="11"/>
              </w:numPr>
              <w:jc w:val="both"/>
              <w:rPr>
                <w:rFonts w:eastAsia="Times New Roman"/>
                <w:sz w:val="25"/>
                <w:szCs w:val="25"/>
              </w:rPr>
            </w:pPr>
            <w:r w:rsidRPr="008C03E0">
              <w:rPr>
                <w:sz w:val="25"/>
                <w:szCs w:val="25"/>
              </w:rPr>
              <w:t xml:space="preserve">pamatojoties </w:t>
            </w:r>
            <w:r w:rsidR="006B3C16" w:rsidRPr="008C03E0">
              <w:rPr>
                <w:sz w:val="25"/>
                <w:szCs w:val="25"/>
              </w:rPr>
              <w:t xml:space="preserve">uz </w:t>
            </w:r>
            <w:r w:rsidR="00A51DA5" w:rsidRPr="008C03E0">
              <w:rPr>
                <w:sz w:val="25"/>
                <w:szCs w:val="25"/>
              </w:rPr>
              <w:t>Ministru prezidentes 2015.gada 17.septembra rezolūcij</w:t>
            </w:r>
            <w:r w:rsidR="006B3C16" w:rsidRPr="008C03E0">
              <w:rPr>
                <w:sz w:val="25"/>
                <w:szCs w:val="25"/>
              </w:rPr>
              <w:t>u</w:t>
            </w:r>
            <w:r w:rsidR="00A51DA5" w:rsidRPr="008C03E0">
              <w:rPr>
                <w:sz w:val="25"/>
                <w:szCs w:val="25"/>
              </w:rPr>
              <w:t xml:space="preserve"> Nr. 20/L-1848-jur, kurā tika uzdots</w:t>
            </w:r>
            <w:r w:rsidR="006B3C16" w:rsidRPr="008C03E0">
              <w:rPr>
                <w:sz w:val="25"/>
                <w:szCs w:val="25"/>
              </w:rPr>
              <w:t xml:space="preserve"> </w:t>
            </w:r>
            <w:r w:rsidR="006B3C16" w:rsidRPr="008C03E0">
              <w:rPr>
                <w:rFonts w:eastAsia="Times New Roman"/>
                <w:sz w:val="25"/>
                <w:szCs w:val="25"/>
              </w:rPr>
              <w:t>steidzami izskatīt biedrības „Latvijas Basketbola Savienība” lūgumu par finansējuma piešķiršanu Latvijas Nacionālās vīriešu basketbola izlases spēļu publiskās skatīšanās zonas darbības nodrošināšanai pie Brīvības pieminekļa līdz 2015.gada 19.septembrim un rast iespējamo risinājumu</w:t>
            </w:r>
            <w:r w:rsidR="008C03E0" w:rsidRPr="008C03E0">
              <w:rPr>
                <w:rFonts w:eastAsia="Times New Roman"/>
                <w:sz w:val="25"/>
                <w:szCs w:val="25"/>
              </w:rPr>
              <w:t>;</w:t>
            </w:r>
          </w:p>
          <w:p w:rsidR="008C03E0" w:rsidRPr="008C03E0" w:rsidRDefault="008C03E0" w:rsidP="008C03E0">
            <w:pPr>
              <w:pStyle w:val="ListParagraph"/>
              <w:numPr>
                <w:ilvl w:val="0"/>
                <w:numId w:val="11"/>
              </w:numPr>
              <w:jc w:val="both"/>
              <w:rPr>
                <w:sz w:val="25"/>
                <w:szCs w:val="25"/>
              </w:rPr>
            </w:pPr>
            <w:r w:rsidRPr="008C03E0">
              <w:rPr>
                <w:sz w:val="25"/>
                <w:szCs w:val="25"/>
              </w:rPr>
              <w:t>atbilstoši Ministru kabineta 2009.gada 22.decembra noteikumu Nr.1644 “Kārtība, kādā pieprasa un izlieto budžeta programmas "Līdzekļi neparedzētiem gadījumiem" līdzekļus” 3.punktam</w:t>
            </w:r>
            <w:r w:rsidR="00B34A76">
              <w:rPr>
                <w:sz w:val="25"/>
                <w:szCs w:val="25"/>
              </w:rPr>
              <w:t>.</w:t>
            </w:r>
          </w:p>
        </w:tc>
      </w:tr>
      <w:tr w:rsidR="00585B7B" w:rsidRPr="00C13B05" w:rsidTr="00F66B51">
        <w:trPr>
          <w:trHeight w:val="1266"/>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940C5" w:rsidP="00916055">
            <w:pPr>
              <w:pStyle w:val="naiskr"/>
              <w:tabs>
                <w:tab w:val="left" w:pos="170"/>
              </w:tabs>
              <w:spacing w:before="0" w:after="0"/>
              <w:ind w:left="141"/>
              <w:rPr>
                <w:sz w:val="26"/>
                <w:szCs w:val="26"/>
              </w:rPr>
            </w:pPr>
            <w:r w:rsidRPr="009F1E12">
              <w:rPr>
                <w:sz w:val="25"/>
                <w:szCs w:val="25"/>
              </w:rPr>
              <w:t>Pašreizējā situācija un problēmas, kuru risināšanai tiesību akta projekts izstrādāts, tiesiskā regulējuma mērķis un būtība</w:t>
            </w:r>
          </w:p>
        </w:tc>
        <w:tc>
          <w:tcPr>
            <w:tcW w:w="6506" w:type="dxa"/>
          </w:tcPr>
          <w:p w:rsidR="00A51DA5" w:rsidRPr="008C03E0" w:rsidRDefault="008E2F46" w:rsidP="00A51DA5">
            <w:pPr>
              <w:ind w:left="142" w:right="127"/>
              <w:jc w:val="both"/>
              <w:rPr>
                <w:sz w:val="25"/>
                <w:szCs w:val="25"/>
              </w:rPr>
            </w:pPr>
            <w:r w:rsidRPr="008C03E0">
              <w:rPr>
                <w:sz w:val="25"/>
                <w:szCs w:val="25"/>
              </w:rPr>
              <w:tab/>
            </w:r>
            <w:r w:rsidR="00A51DA5" w:rsidRPr="008C03E0">
              <w:rPr>
                <w:sz w:val="25"/>
                <w:szCs w:val="25"/>
              </w:rPr>
              <w:t xml:space="preserve"> </w:t>
            </w:r>
          </w:p>
          <w:p w:rsidR="00A51DA5" w:rsidRPr="008C03E0" w:rsidRDefault="006B3C16" w:rsidP="00A51DA5">
            <w:pPr>
              <w:ind w:left="142" w:right="127"/>
              <w:jc w:val="both"/>
              <w:rPr>
                <w:sz w:val="25"/>
                <w:szCs w:val="25"/>
              </w:rPr>
            </w:pPr>
            <w:r w:rsidRPr="008C03E0">
              <w:rPr>
                <w:sz w:val="25"/>
                <w:szCs w:val="25"/>
              </w:rPr>
              <w:t>N</w:t>
            </w:r>
            <w:r w:rsidR="00A51DA5" w:rsidRPr="008C03E0">
              <w:rPr>
                <w:sz w:val="25"/>
                <w:szCs w:val="25"/>
              </w:rPr>
              <w:t>o valsts budžeta līdzekļiem 2014.gadā  saistībā ar 2015.gada Eiropas čempionāta basketbolā grupu turnīra (turpmāk – Čempionāts) rīkošanu Latvijā tika nodrošināts:</w:t>
            </w:r>
          </w:p>
          <w:p w:rsidR="00A51DA5" w:rsidRPr="008C03E0" w:rsidRDefault="00A51DA5" w:rsidP="00A51DA5">
            <w:pPr>
              <w:ind w:left="142" w:right="127"/>
              <w:jc w:val="both"/>
              <w:rPr>
                <w:sz w:val="25"/>
                <w:szCs w:val="25"/>
              </w:rPr>
            </w:pPr>
            <w:r w:rsidRPr="008C03E0">
              <w:rPr>
                <w:sz w:val="25"/>
                <w:szCs w:val="25"/>
              </w:rPr>
              <w:t>1. licences maksājums 1 200 000 euro apmērā;</w:t>
            </w:r>
          </w:p>
          <w:p w:rsidR="00A51DA5" w:rsidRPr="008C03E0" w:rsidRDefault="00A51DA5" w:rsidP="00A51DA5">
            <w:pPr>
              <w:ind w:left="142" w:right="127"/>
              <w:jc w:val="both"/>
              <w:rPr>
                <w:sz w:val="25"/>
                <w:szCs w:val="25"/>
              </w:rPr>
            </w:pPr>
            <w:r w:rsidRPr="008C03E0">
              <w:rPr>
                <w:sz w:val="25"/>
                <w:szCs w:val="25"/>
              </w:rPr>
              <w:t xml:space="preserve">2. drošības depozīta maksājuma segšana 150 000 euro apmērā; </w:t>
            </w:r>
          </w:p>
          <w:p w:rsidR="00A51DA5" w:rsidRPr="008C03E0" w:rsidRDefault="00A51DA5" w:rsidP="00A51DA5">
            <w:pPr>
              <w:ind w:left="142" w:right="127"/>
              <w:jc w:val="both"/>
              <w:rPr>
                <w:sz w:val="25"/>
                <w:szCs w:val="25"/>
              </w:rPr>
            </w:pPr>
            <w:r w:rsidRPr="008C03E0">
              <w:rPr>
                <w:sz w:val="25"/>
                <w:szCs w:val="25"/>
              </w:rPr>
              <w:t xml:space="preserve">3. </w:t>
            </w:r>
            <w:r w:rsidR="008C03E0" w:rsidRPr="008C03E0">
              <w:rPr>
                <w:sz w:val="25"/>
                <w:szCs w:val="25"/>
              </w:rPr>
              <w:t>n</w:t>
            </w:r>
            <w:r w:rsidRPr="008C03E0">
              <w:rPr>
                <w:sz w:val="25"/>
                <w:szCs w:val="25"/>
              </w:rPr>
              <w:t>o 2015.gada Izglītības un zinātnes ministrijas budžeta apakšprogrammas 09.16.00 “Dotācija nacionālās nozīmes starptautisku sporta pasākumu organizēšanai Latvijā” 150 000 euro apmērā Čempionāta organizēšanai, kur netika iekļauti izdevumi Čempionāta spēļu publiskās skatīšanās zonas darbības nodrošināšanai Rīgā, pie Brīvības pieminekļa.</w:t>
            </w:r>
          </w:p>
          <w:p w:rsidR="00CB3583" w:rsidRDefault="00CB3583" w:rsidP="008C03E0">
            <w:pPr>
              <w:jc w:val="both"/>
              <w:rPr>
                <w:sz w:val="25"/>
                <w:szCs w:val="25"/>
              </w:rPr>
            </w:pPr>
            <w:r w:rsidRPr="008C03E0">
              <w:rPr>
                <w:sz w:val="25"/>
                <w:szCs w:val="25"/>
              </w:rPr>
              <w:t xml:space="preserve">Publiskās skatīšanas zonas izveidei pie Brīvības pieminekļa Savienība </w:t>
            </w:r>
            <w:r>
              <w:rPr>
                <w:sz w:val="25"/>
                <w:szCs w:val="25"/>
              </w:rPr>
              <w:t>š.g. 25.jūnij</w:t>
            </w:r>
            <w:r w:rsidR="008F1B65">
              <w:rPr>
                <w:sz w:val="25"/>
                <w:szCs w:val="25"/>
              </w:rPr>
              <w:t>a vēstulē Nr.03</w:t>
            </w:r>
            <w:r>
              <w:rPr>
                <w:sz w:val="25"/>
                <w:szCs w:val="25"/>
              </w:rPr>
              <w:t xml:space="preserve"> </w:t>
            </w:r>
            <w:r w:rsidR="008F1B65">
              <w:rPr>
                <w:sz w:val="25"/>
                <w:szCs w:val="25"/>
              </w:rPr>
              <w:t xml:space="preserve">Izglītības un zinātnes ministrijai </w:t>
            </w:r>
            <w:r w:rsidRPr="008C03E0">
              <w:rPr>
                <w:sz w:val="25"/>
                <w:szCs w:val="25"/>
              </w:rPr>
              <w:t xml:space="preserve">bija </w:t>
            </w:r>
            <w:r w:rsidR="008F1B65">
              <w:rPr>
                <w:sz w:val="25"/>
                <w:szCs w:val="25"/>
              </w:rPr>
              <w:t>informējusi par</w:t>
            </w:r>
            <w:r w:rsidR="008F1B65" w:rsidRPr="008C03E0">
              <w:rPr>
                <w:sz w:val="25"/>
                <w:szCs w:val="25"/>
              </w:rPr>
              <w:t xml:space="preserve"> </w:t>
            </w:r>
            <w:r w:rsidR="008F1B65">
              <w:rPr>
                <w:sz w:val="25"/>
                <w:szCs w:val="25"/>
              </w:rPr>
              <w:t xml:space="preserve">nepieciešamo </w:t>
            </w:r>
            <w:r w:rsidRPr="008C03E0">
              <w:rPr>
                <w:sz w:val="25"/>
                <w:szCs w:val="25"/>
              </w:rPr>
              <w:t xml:space="preserve">papildu finansējumu 155 000 </w:t>
            </w:r>
            <w:r w:rsidRPr="008F1B65">
              <w:rPr>
                <w:i/>
                <w:sz w:val="25"/>
                <w:szCs w:val="25"/>
              </w:rPr>
              <w:t xml:space="preserve">euro </w:t>
            </w:r>
            <w:r w:rsidRPr="008C03E0">
              <w:rPr>
                <w:sz w:val="25"/>
                <w:szCs w:val="25"/>
              </w:rPr>
              <w:t xml:space="preserve">apmērā un ņemot vērā, ka minētais finansējums no valsts budžeta netika piešķirts, šos izdevumus </w:t>
            </w:r>
            <w:r w:rsidR="00B34A76">
              <w:rPr>
                <w:sz w:val="25"/>
                <w:szCs w:val="25"/>
              </w:rPr>
              <w:t xml:space="preserve">biedrība “Latvijas Basketbola savienība” (turpmāk – </w:t>
            </w:r>
            <w:r w:rsidRPr="008C03E0">
              <w:rPr>
                <w:sz w:val="25"/>
                <w:szCs w:val="25"/>
              </w:rPr>
              <w:t>Savienība</w:t>
            </w:r>
            <w:r w:rsidR="00B34A76">
              <w:rPr>
                <w:sz w:val="25"/>
                <w:szCs w:val="25"/>
              </w:rPr>
              <w:t>)</w:t>
            </w:r>
            <w:r w:rsidRPr="008C03E0">
              <w:rPr>
                <w:sz w:val="25"/>
                <w:szCs w:val="25"/>
              </w:rPr>
              <w:t xml:space="preserve"> plānoja segt no Čempionāta biļešu realizācijas ieņēmumiem un sponsoru līdzekļiem.</w:t>
            </w:r>
            <w:r w:rsidR="008F1B65">
              <w:rPr>
                <w:sz w:val="25"/>
                <w:szCs w:val="25"/>
              </w:rPr>
              <w:t xml:space="preserve"> </w:t>
            </w:r>
            <w:r w:rsidR="008F1B65" w:rsidRPr="008C03E0">
              <w:rPr>
                <w:sz w:val="25"/>
                <w:szCs w:val="25"/>
              </w:rPr>
              <w:t>Čempionāta spēļu publiskās skatīšanās zonas darbības nodrošināšan</w:t>
            </w:r>
            <w:r w:rsidR="008F1B65">
              <w:rPr>
                <w:sz w:val="25"/>
                <w:szCs w:val="25"/>
              </w:rPr>
              <w:t>u</w:t>
            </w:r>
            <w:r w:rsidR="008F1B65" w:rsidRPr="008C03E0">
              <w:rPr>
                <w:sz w:val="25"/>
                <w:szCs w:val="25"/>
              </w:rPr>
              <w:t xml:space="preserve"> Rīgā pie Brīvības pieminekļa</w:t>
            </w:r>
            <w:r w:rsidR="008F1B65">
              <w:rPr>
                <w:sz w:val="25"/>
                <w:szCs w:val="25"/>
              </w:rPr>
              <w:t xml:space="preserve"> Savienība no saviem un sponsoru līdzekļiem varēja nodrošināt </w:t>
            </w:r>
            <w:r w:rsidR="00B34A76">
              <w:rPr>
                <w:sz w:val="25"/>
                <w:szCs w:val="25"/>
              </w:rPr>
              <w:t xml:space="preserve">tikai </w:t>
            </w:r>
            <w:r w:rsidR="008F1B65">
              <w:rPr>
                <w:sz w:val="25"/>
                <w:szCs w:val="25"/>
              </w:rPr>
              <w:t>līdz š.g. 12.septembrim.</w:t>
            </w:r>
            <w:r w:rsidR="00B34A76">
              <w:rPr>
                <w:sz w:val="25"/>
                <w:szCs w:val="25"/>
              </w:rPr>
              <w:t xml:space="preserve"> Tomēr, ņemot vērā iedzīvotāju lielo atsaucību un pozitīvās atsauksmes, tika izskatītas iespējas termiņa pagarinājumam, kas iepriek</w:t>
            </w:r>
            <w:r w:rsidR="00A36EDD">
              <w:rPr>
                <w:sz w:val="25"/>
                <w:szCs w:val="25"/>
              </w:rPr>
              <w:t>š nebija paredzē</w:t>
            </w:r>
            <w:r w:rsidR="00B34A76">
              <w:rPr>
                <w:sz w:val="25"/>
                <w:szCs w:val="25"/>
              </w:rPr>
              <w:t>ts.</w:t>
            </w:r>
          </w:p>
          <w:p w:rsidR="008C03E0" w:rsidRPr="008C03E0" w:rsidRDefault="00CB3583" w:rsidP="008C03E0">
            <w:pPr>
              <w:jc w:val="both"/>
              <w:rPr>
                <w:sz w:val="25"/>
                <w:szCs w:val="25"/>
              </w:rPr>
            </w:pPr>
            <w:r w:rsidRPr="008C03E0">
              <w:rPr>
                <w:sz w:val="25"/>
                <w:szCs w:val="25"/>
              </w:rPr>
              <w:lastRenderedPageBreak/>
              <w:t xml:space="preserve">Finanšu ministrija ir saņēmusi biedrības “Latvijas Basketbola savienība” (turpmāk – Savienība) 2015.gada 14.septembra vēstuli Nr.03/143 un 17.septembra vēstuli Nr.03/145 kurā tiek lūgts piešķirt papildus valsts budžeta līdzekļus 84 016,91 </w:t>
            </w:r>
            <w:r w:rsidRPr="008C03E0">
              <w:rPr>
                <w:i/>
                <w:sz w:val="25"/>
                <w:szCs w:val="25"/>
              </w:rPr>
              <w:t>euro</w:t>
            </w:r>
            <w:r w:rsidRPr="008C03E0">
              <w:rPr>
                <w:sz w:val="25"/>
                <w:szCs w:val="25"/>
              </w:rPr>
              <w:t xml:space="preserve"> apmērā Latvijas Nacionālās vīriešu basketbola izlases spēļu publiskās skatīšanās zonas darbības nodrošināšanai Rīgā pie Brīvības pieminekļa</w:t>
            </w:r>
            <w:r w:rsidR="008F1B65">
              <w:rPr>
                <w:sz w:val="25"/>
                <w:szCs w:val="25"/>
              </w:rPr>
              <w:t xml:space="preserve"> no š.g. 13.septembra līdz 19.septembrim</w:t>
            </w:r>
            <w:r w:rsidRPr="008C03E0">
              <w:rPr>
                <w:sz w:val="25"/>
                <w:szCs w:val="25"/>
              </w:rPr>
              <w:t>.</w:t>
            </w:r>
          </w:p>
          <w:p w:rsidR="00A51DA5" w:rsidRPr="008C03E0" w:rsidRDefault="00CB3583" w:rsidP="008C03E0">
            <w:pPr>
              <w:jc w:val="both"/>
              <w:rPr>
                <w:sz w:val="25"/>
                <w:szCs w:val="25"/>
              </w:rPr>
            </w:pPr>
            <w:r>
              <w:rPr>
                <w:sz w:val="25"/>
                <w:szCs w:val="25"/>
              </w:rPr>
              <w:t>Ņemot vērā Latvijas Nacionālās vīriešu basketbola izlases veiksmīgo startu Eiropas Čempionātā Rīgā, kā arī iekļ</w:t>
            </w:r>
            <w:r w:rsidR="00A36EDD">
              <w:rPr>
                <w:sz w:val="25"/>
                <w:szCs w:val="25"/>
              </w:rPr>
              <w:t>ū</w:t>
            </w:r>
            <w:r>
              <w:rPr>
                <w:sz w:val="25"/>
                <w:szCs w:val="25"/>
              </w:rPr>
              <w:t>šanu EuroBasket2015 ceturtdaļfinālā, kas norisinās Lillē (Francijā) un</w:t>
            </w:r>
            <w:r w:rsidR="00A51DA5" w:rsidRPr="008C03E0">
              <w:rPr>
                <w:sz w:val="25"/>
                <w:szCs w:val="25"/>
              </w:rPr>
              <w:t xml:space="preserve">, </w:t>
            </w:r>
            <w:r w:rsidR="006B3C16" w:rsidRPr="008C03E0">
              <w:rPr>
                <w:sz w:val="25"/>
                <w:szCs w:val="25"/>
              </w:rPr>
              <w:t>lai veicinātu sabiedrības valstiskās pašapziņas, saliedētības un patriotisma jūtas</w:t>
            </w:r>
            <w:r>
              <w:rPr>
                <w:sz w:val="25"/>
                <w:szCs w:val="25"/>
              </w:rPr>
              <w:t xml:space="preserve"> pie Brīvības pieminekļa spēļu skatīšanas zonā (katru</w:t>
            </w:r>
            <w:r>
              <w:t xml:space="preserve"> </w:t>
            </w:r>
            <w:r w:rsidRPr="00CB3583">
              <w:rPr>
                <w:sz w:val="25"/>
                <w:szCs w:val="25"/>
              </w:rPr>
              <w:t>Latvijas Nacionālās vīriešu basketbola izlases</w:t>
            </w:r>
            <w:r>
              <w:rPr>
                <w:sz w:val="25"/>
                <w:szCs w:val="25"/>
              </w:rPr>
              <w:t xml:space="preserve"> spēli noskatās aptuveni 2 000 skatītāji)</w:t>
            </w:r>
            <w:r w:rsidR="006B3C16" w:rsidRPr="008C03E0">
              <w:rPr>
                <w:sz w:val="25"/>
                <w:szCs w:val="25"/>
              </w:rPr>
              <w:t>,</w:t>
            </w:r>
            <w:r>
              <w:rPr>
                <w:sz w:val="25"/>
                <w:szCs w:val="25"/>
              </w:rPr>
              <w:t xml:space="preserve"> </w:t>
            </w:r>
            <w:r w:rsidR="00A51DA5" w:rsidRPr="008C03E0">
              <w:rPr>
                <w:sz w:val="25"/>
                <w:szCs w:val="25"/>
              </w:rPr>
              <w:t>Finanšu ministrija ir izstrādājusi Ministru kabineta rīkojuma projektu “</w:t>
            </w:r>
            <w:bookmarkStart w:id="4" w:name="OLE_LINK5"/>
            <w:bookmarkStart w:id="5" w:name="OLE_LINK6"/>
            <w:r w:rsidR="00A51DA5" w:rsidRPr="008C03E0">
              <w:rPr>
                <w:bCs/>
                <w:sz w:val="25"/>
                <w:szCs w:val="25"/>
              </w:rPr>
              <w:t xml:space="preserve">Par finanšu līdzekļu piešķiršanu no valsts budžeta programmas </w:t>
            </w:r>
            <w:r w:rsidR="00A36EDD">
              <w:rPr>
                <w:bCs/>
                <w:sz w:val="25"/>
                <w:szCs w:val="25"/>
              </w:rPr>
              <w:t>“</w:t>
            </w:r>
            <w:r w:rsidR="00A51DA5" w:rsidRPr="008C03E0">
              <w:rPr>
                <w:bCs/>
                <w:sz w:val="25"/>
                <w:szCs w:val="25"/>
              </w:rPr>
              <w:t>Līdzekļi neparedzētiem gadījumiem</w:t>
            </w:r>
            <w:bookmarkEnd w:id="4"/>
            <w:bookmarkEnd w:id="5"/>
            <w:r w:rsidR="006B3C16" w:rsidRPr="008C03E0">
              <w:rPr>
                <w:bCs/>
                <w:sz w:val="25"/>
                <w:szCs w:val="25"/>
              </w:rPr>
              <w:t>”</w:t>
            </w:r>
            <w:r w:rsidR="00A51DA5" w:rsidRPr="008C03E0">
              <w:rPr>
                <w:sz w:val="25"/>
                <w:szCs w:val="25"/>
              </w:rPr>
              <w:t>” (turpmāk – Rīkojuma projekts), kurš paredz:</w:t>
            </w:r>
          </w:p>
          <w:p w:rsidR="00A51DA5" w:rsidRPr="008C03E0" w:rsidRDefault="00A51DA5" w:rsidP="00A51DA5">
            <w:pPr>
              <w:pStyle w:val="ListParagraph"/>
              <w:numPr>
                <w:ilvl w:val="0"/>
                <w:numId w:val="10"/>
              </w:numPr>
              <w:jc w:val="both"/>
              <w:rPr>
                <w:sz w:val="25"/>
                <w:szCs w:val="25"/>
              </w:rPr>
            </w:pPr>
            <w:r w:rsidRPr="008C03E0">
              <w:rPr>
                <w:sz w:val="25"/>
                <w:szCs w:val="25"/>
              </w:rPr>
              <w:t xml:space="preserve">  Finanšu ministrijai no valsts budžeta programmas 02.00.00 „Līdzekļi neparedzētiem gadījumiem” piešķirt Izglītības un zinātnes ministrijai 67 214 </w:t>
            </w:r>
            <w:r w:rsidRPr="008C03E0">
              <w:rPr>
                <w:i/>
                <w:sz w:val="25"/>
                <w:szCs w:val="25"/>
              </w:rPr>
              <w:t xml:space="preserve">euro </w:t>
            </w:r>
            <w:r w:rsidRPr="008C03E0">
              <w:rPr>
                <w:sz w:val="25"/>
                <w:szCs w:val="25"/>
              </w:rPr>
              <w:t>(80% apmērā no pieprasītās summas) pārskaitīšanai biedrībai “Latvijas Basketbola savienība” Latvijas Nacionālās vīriešu basketbola izlases spēļu publiskās skatīšanas zonas darbības nodrošināšanai Rīgā pie Brīvības pieminekļa.</w:t>
            </w:r>
          </w:p>
          <w:p w:rsidR="00A51DA5" w:rsidRPr="008C03E0" w:rsidRDefault="00A51DA5" w:rsidP="00A51DA5">
            <w:pPr>
              <w:pStyle w:val="ListParagraph"/>
              <w:numPr>
                <w:ilvl w:val="0"/>
                <w:numId w:val="10"/>
              </w:numPr>
              <w:jc w:val="both"/>
              <w:rPr>
                <w:sz w:val="25"/>
                <w:szCs w:val="25"/>
              </w:rPr>
            </w:pPr>
            <w:r w:rsidRPr="008C03E0">
              <w:rPr>
                <w:sz w:val="25"/>
                <w:szCs w:val="25"/>
              </w:rPr>
              <w:t>Izglītības un zinātnes ministrijai uzdot veikt kontroli, lai pārliecinātos, ka šā rīkojuma 1. punktā minētais finansējums un plānotais līdzfinansējums (20% apmēr</w:t>
            </w:r>
            <w:r w:rsidR="00A36EDD">
              <w:rPr>
                <w:sz w:val="25"/>
                <w:szCs w:val="25"/>
              </w:rPr>
              <w:t>ā</w:t>
            </w:r>
            <w:r w:rsidRPr="008C03E0">
              <w:rPr>
                <w:sz w:val="25"/>
                <w:szCs w:val="25"/>
              </w:rPr>
              <w:t xml:space="preserve">, kas ir 16 803 </w:t>
            </w:r>
            <w:r w:rsidRPr="008C03E0">
              <w:rPr>
                <w:i/>
                <w:sz w:val="25"/>
                <w:szCs w:val="25"/>
              </w:rPr>
              <w:t>euro</w:t>
            </w:r>
            <w:r w:rsidRPr="008C03E0">
              <w:rPr>
                <w:sz w:val="25"/>
                <w:szCs w:val="25"/>
              </w:rPr>
              <w:t xml:space="preserve">) līdz 2015.gada 1.novembrim ir pārskaitīts organizatoriem, nodrošinot pilnīgu saistību izpildi. </w:t>
            </w:r>
          </w:p>
          <w:p w:rsidR="00A51DA5" w:rsidRPr="008C03E0" w:rsidRDefault="00A51DA5" w:rsidP="00A51DA5">
            <w:pPr>
              <w:ind w:left="142" w:right="127"/>
              <w:jc w:val="both"/>
              <w:rPr>
                <w:sz w:val="25"/>
                <w:szCs w:val="25"/>
              </w:rPr>
            </w:pPr>
          </w:p>
          <w:p w:rsidR="00A51DA5" w:rsidRPr="008C03E0" w:rsidRDefault="00A51DA5" w:rsidP="00A51DA5">
            <w:pPr>
              <w:ind w:left="142" w:right="127"/>
              <w:jc w:val="both"/>
              <w:rPr>
                <w:sz w:val="25"/>
                <w:szCs w:val="25"/>
              </w:rPr>
            </w:pPr>
          </w:p>
          <w:p w:rsidR="005940C5" w:rsidRPr="008C03E0" w:rsidRDefault="00815BCE" w:rsidP="008C03E0">
            <w:pPr>
              <w:ind w:left="142" w:right="127"/>
              <w:jc w:val="both"/>
              <w:rPr>
                <w:sz w:val="25"/>
                <w:szCs w:val="25"/>
              </w:rPr>
            </w:pPr>
            <w:r w:rsidRPr="008C03E0">
              <w:rPr>
                <w:sz w:val="25"/>
                <w:szCs w:val="25"/>
              </w:rPr>
              <w:tab/>
            </w:r>
          </w:p>
        </w:tc>
      </w:tr>
      <w:tr w:rsidR="00585B7B" w:rsidRPr="00C13B05" w:rsidTr="002637C0">
        <w:tc>
          <w:tcPr>
            <w:tcW w:w="998" w:type="dxa"/>
          </w:tcPr>
          <w:p w:rsidR="00585B7B" w:rsidRPr="00C13B05" w:rsidRDefault="005940C5" w:rsidP="00BD696A">
            <w:pPr>
              <w:pStyle w:val="naiskr"/>
              <w:spacing w:before="0" w:after="0"/>
              <w:jc w:val="center"/>
              <w:rPr>
                <w:sz w:val="26"/>
                <w:szCs w:val="26"/>
              </w:rPr>
            </w:pPr>
            <w:r>
              <w:rPr>
                <w:sz w:val="26"/>
                <w:szCs w:val="26"/>
              </w:rPr>
              <w:lastRenderedPageBreak/>
              <w:t>3</w:t>
            </w:r>
            <w:r w:rsidR="00585B7B" w:rsidRPr="00C13B05">
              <w:rPr>
                <w:sz w:val="26"/>
                <w:szCs w:val="26"/>
              </w:rPr>
              <w:t>.</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585B7B" w:rsidRPr="008C03E0" w:rsidRDefault="00C53A8B" w:rsidP="00A36EDD">
            <w:pPr>
              <w:ind w:left="114" w:right="127"/>
              <w:jc w:val="both"/>
              <w:rPr>
                <w:sz w:val="25"/>
                <w:szCs w:val="25"/>
              </w:rPr>
            </w:pPr>
            <w:r w:rsidRPr="008C03E0">
              <w:rPr>
                <w:sz w:val="25"/>
                <w:szCs w:val="25"/>
              </w:rPr>
              <w:tab/>
            </w:r>
            <w:r w:rsidR="004923A6" w:rsidRPr="008C03E0">
              <w:rPr>
                <w:sz w:val="25"/>
                <w:szCs w:val="25"/>
              </w:rPr>
              <w:t>Ministru kabineta rīkojuma projekts tiešā veidā attiecas uz sporta politik</w:t>
            </w:r>
            <w:r w:rsidR="00A36EDD">
              <w:rPr>
                <w:sz w:val="25"/>
                <w:szCs w:val="25"/>
              </w:rPr>
              <w:t>as jomu</w:t>
            </w:r>
            <w:r w:rsidR="004923A6" w:rsidRPr="008C03E0">
              <w:rPr>
                <w:sz w:val="25"/>
                <w:szCs w:val="25"/>
              </w:rPr>
              <w:t>. Pastarpināti Ministru kabineta rīkojuma projekts attiecas uz budžeta un finanšu politiku.</w:t>
            </w:r>
            <w:r w:rsidR="004923A6" w:rsidRPr="008C03E0">
              <w:rPr>
                <w:sz w:val="25"/>
                <w:szCs w:val="25"/>
              </w:rPr>
              <w:tab/>
            </w:r>
          </w:p>
        </w:tc>
      </w:tr>
    </w:tbl>
    <w:p w:rsidR="00506F79" w:rsidRDefault="00506F79" w:rsidP="005C3A56">
      <w:pPr>
        <w:pStyle w:val="naisf"/>
        <w:tabs>
          <w:tab w:val="left" w:pos="3819"/>
        </w:tabs>
        <w:spacing w:before="0" w:after="0"/>
        <w:rPr>
          <w:sz w:val="26"/>
          <w:szCs w:val="26"/>
        </w:rPr>
      </w:pPr>
    </w:p>
    <w:p w:rsidR="00A36EDD" w:rsidRDefault="00A36EDD" w:rsidP="005C3A56">
      <w:pPr>
        <w:pStyle w:val="naisf"/>
        <w:tabs>
          <w:tab w:val="left" w:pos="3819"/>
        </w:tabs>
        <w:spacing w:before="0" w:after="0"/>
        <w:rPr>
          <w:sz w:val="26"/>
          <w:szCs w:val="26"/>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20"/>
      </w:tblGrid>
      <w:tr w:rsidR="008737B2" w:rsidRPr="0006125D" w:rsidTr="008737B2">
        <w:trPr>
          <w:trHeight w:val="361"/>
          <w:jc w:val="center"/>
        </w:trPr>
        <w:tc>
          <w:tcPr>
            <w:tcW w:w="10275" w:type="dxa"/>
            <w:gridSpan w:val="6"/>
            <w:vAlign w:val="center"/>
          </w:tcPr>
          <w:p w:rsidR="008737B2" w:rsidRPr="0006125D" w:rsidRDefault="008737B2" w:rsidP="006B3C16">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8737B2" w:rsidRPr="0006125D" w:rsidTr="008737B2">
        <w:trPr>
          <w:jc w:val="center"/>
        </w:trPr>
        <w:tc>
          <w:tcPr>
            <w:tcW w:w="3589" w:type="dxa"/>
            <w:vMerge w:val="restart"/>
            <w:vAlign w:val="center"/>
          </w:tcPr>
          <w:p w:rsidR="008737B2" w:rsidRPr="0006125D" w:rsidRDefault="008737B2" w:rsidP="006B3C16">
            <w:pPr>
              <w:jc w:val="center"/>
              <w:rPr>
                <w:b/>
                <w:sz w:val="26"/>
                <w:szCs w:val="26"/>
              </w:rPr>
            </w:pPr>
            <w:r w:rsidRPr="0006125D">
              <w:rPr>
                <w:b/>
                <w:sz w:val="26"/>
                <w:szCs w:val="26"/>
              </w:rPr>
              <w:t>Rādītāji</w:t>
            </w:r>
          </w:p>
        </w:tc>
        <w:tc>
          <w:tcPr>
            <w:tcW w:w="2912" w:type="dxa"/>
            <w:gridSpan w:val="2"/>
            <w:vMerge w:val="restart"/>
            <w:vAlign w:val="center"/>
          </w:tcPr>
          <w:p w:rsidR="008737B2" w:rsidRPr="0006125D" w:rsidRDefault="008737B2" w:rsidP="00AF68DD">
            <w:pPr>
              <w:jc w:val="center"/>
              <w:rPr>
                <w:b/>
                <w:sz w:val="26"/>
                <w:szCs w:val="26"/>
              </w:rPr>
            </w:pPr>
            <w:r w:rsidRPr="0006125D">
              <w:rPr>
                <w:b/>
                <w:sz w:val="26"/>
                <w:szCs w:val="26"/>
              </w:rPr>
              <w:t>201</w:t>
            </w:r>
            <w:r w:rsidR="00AF68DD">
              <w:rPr>
                <w:b/>
                <w:sz w:val="26"/>
                <w:szCs w:val="26"/>
              </w:rPr>
              <w:t>5</w:t>
            </w:r>
          </w:p>
        </w:tc>
        <w:tc>
          <w:tcPr>
            <w:tcW w:w="3774" w:type="dxa"/>
            <w:gridSpan w:val="3"/>
            <w:vAlign w:val="center"/>
          </w:tcPr>
          <w:p w:rsidR="008737B2" w:rsidRPr="0006125D" w:rsidRDefault="008737B2" w:rsidP="006B3C16">
            <w:pPr>
              <w:jc w:val="center"/>
              <w:rPr>
                <w:b/>
                <w:i/>
                <w:sz w:val="26"/>
                <w:szCs w:val="26"/>
              </w:rPr>
            </w:pPr>
            <w:r w:rsidRPr="0006125D">
              <w:rPr>
                <w:sz w:val="26"/>
                <w:szCs w:val="26"/>
              </w:rPr>
              <w:t>Turpmākie trīs gadi (</w:t>
            </w:r>
            <w:r w:rsidRPr="0006125D">
              <w:rPr>
                <w:i/>
                <w:sz w:val="26"/>
                <w:szCs w:val="26"/>
              </w:rPr>
              <w:t>euro</w:t>
            </w:r>
            <w:r w:rsidRPr="0006125D">
              <w:rPr>
                <w:sz w:val="26"/>
                <w:szCs w:val="26"/>
              </w:rPr>
              <w:t>)</w:t>
            </w:r>
          </w:p>
        </w:tc>
      </w:tr>
      <w:tr w:rsidR="008737B2" w:rsidRPr="0006125D" w:rsidTr="008737B2">
        <w:trPr>
          <w:jc w:val="center"/>
        </w:trPr>
        <w:tc>
          <w:tcPr>
            <w:tcW w:w="3589" w:type="dxa"/>
            <w:vMerge/>
            <w:vAlign w:val="center"/>
          </w:tcPr>
          <w:p w:rsidR="008737B2" w:rsidRPr="0006125D" w:rsidRDefault="008737B2" w:rsidP="006B3C16">
            <w:pPr>
              <w:jc w:val="center"/>
              <w:rPr>
                <w:b/>
                <w:i/>
                <w:sz w:val="26"/>
                <w:szCs w:val="26"/>
              </w:rPr>
            </w:pPr>
          </w:p>
        </w:tc>
        <w:tc>
          <w:tcPr>
            <w:tcW w:w="2912" w:type="dxa"/>
            <w:gridSpan w:val="2"/>
            <w:vMerge/>
            <w:vAlign w:val="center"/>
          </w:tcPr>
          <w:p w:rsidR="008737B2" w:rsidRPr="0006125D" w:rsidRDefault="008737B2" w:rsidP="006B3C16">
            <w:pPr>
              <w:jc w:val="center"/>
              <w:rPr>
                <w:b/>
                <w:i/>
                <w:sz w:val="26"/>
                <w:szCs w:val="26"/>
              </w:rPr>
            </w:pPr>
          </w:p>
        </w:tc>
        <w:tc>
          <w:tcPr>
            <w:tcW w:w="1227"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6</w:t>
            </w:r>
          </w:p>
        </w:tc>
        <w:tc>
          <w:tcPr>
            <w:tcW w:w="1227"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7</w:t>
            </w:r>
          </w:p>
        </w:tc>
        <w:tc>
          <w:tcPr>
            <w:tcW w:w="1320"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8</w:t>
            </w:r>
          </w:p>
        </w:tc>
      </w:tr>
      <w:tr w:rsidR="008737B2" w:rsidRPr="0006125D" w:rsidTr="008737B2">
        <w:trPr>
          <w:jc w:val="center"/>
        </w:trPr>
        <w:tc>
          <w:tcPr>
            <w:tcW w:w="3589" w:type="dxa"/>
            <w:vMerge/>
            <w:vAlign w:val="center"/>
          </w:tcPr>
          <w:p w:rsidR="008737B2" w:rsidRPr="0006125D" w:rsidRDefault="008737B2" w:rsidP="006B3C16">
            <w:pPr>
              <w:jc w:val="center"/>
              <w:rPr>
                <w:b/>
                <w:i/>
                <w:sz w:val="26"/>
                <w:szCs w:val="26"/>
              </w:rPr>
            </w:pPr>
          </w:p>
        </w:tc>
        <w:tc>
          <w:tcPr>
            <w:tcW w:w="1529" w:type="dxa"/>
            <w:vAlign w:val="center"/>
          </w:tcPr>
          <w:p w:rsidR="008737B2" w:rsidRPr="0006125D" w:rsidRDefault="008737B2" w:rsidP="006B3C16">
            <w:pPr>
              <w:jc w:val="center"/>
              <w:rPr>
                <w:b/>
                <w:i/>
                <w:sz w:val="26"/>
                <w:szCs w:val="26"/>
              </w:rPr>
            </w:pPr>
            <w:r w:rsidRPr="0006125D">
              <w:rPr>
                <w:sz w:val="26"/>
                <w:szCs w:val="26"/>
              </w:rPr>
              <w:t>saskaņā ar valsts budžetu kārtējam gadam</w:t>
            </w:r>
          </w:p>
        </w:tc>
        <w:tc>
          <w:tcPr>
            <w:tcW w:w="1383" w:type="dxa"/>
            <w:vAlign w:val="center"/>
          </w:tcPr>
          <w:p w:rsidR="008737B2" w:rsidRPr="0006125D" w:rsidRDefault="008737B2" w:rsidP="006B3C16">
            <w:pPr>
              <w:jc w:val="center"/>
              <w:rPr>
                <w:b/>
                <w:i/>
                <w:sz w:val="26"/>
                <w:szCs w:val="26"/>
              </w:rPr>
            </w:pPr>
            <w:r w:rsidRPr="0006125D">
              <w:rPr>
                <w:sz w:val="26"/>
                <w:szCs w:val="26"/>
              </w:rPr>
              <w:t xml:space="preserve">izmaiņas kārtējā gadā, salīdzinot ar budžetu </w:t>
            </w:r>
            <w:r w:rsidRPr="0006125D">
              <w:rPr>
                <w:sz w:val="26"/>
                <w:szCs w:val="26"/>
              </w:rPr>
              <w:lastRenderedPageBreak/>
              <w:t>kārtējam gadam</w:t>
            </w:r>
          </w:p>
        </w:tc>
        <w:tc>
          <w:tcPr>
            <w:tcW w:w="1227" w:type="dxa"/>
            <w:vAlign w:val="center"/>
          </w:tcPr>
          <w:p w:rsidR="008737B2" w:rsidRPr="0006125D" w:rsidRDefault="008737B2" w:rsidP="006B3C16">
            <w:pPr>
              <w:jc w:val="center"/>
              <w:rPr>
                <w:b/>
                <w:i/>
                <w:sz w:val="26"/>
                <w:szCs w:val="26"/>
              </w:rPr>
            </w:pPr>
            <w:r w:rsidRPr="0006125D">
              <w:rPr>
                <w:sz w:val="26"/>
                <w:szCs w:val="26"/>
              </w:rPr>
              <w:lastRenderedPageBreak/>
              <w:t>izmaiņas, salīdzinot ar kārtējo  gadu</w:t>
            </w:r>
          </w:p>
        </w:tc>
        <w:tc>
          <w:tcPr>
            <w:tcW w:w="1227" w:type="dxa"/>
            <w:vAlign w:val="center"/>
          </w:tcPr>
          <w:p w:rsidR="008737B2" w:rsidRPr="0006125D" w:rsidRDefault="008737B2" w:rsidP="006B3C16">
            <w:pPr>
              <w:jc w:val="center"/>
              <w:rPr>
                <w:b/>
                <w:i/>
                <w:sz w:val="26"/>
                <w:szCs w:val="26"/>
              </w:rPr>
            </w:pPr>
            <w:r w:rsidRPr="0006125D">
              <w:rPr>
                <w:sz w:val="26"/>
                <w:szCs w:val="26"/>
              </w:rPr>
              <w:t>izmaiņas, salīdzinot ar kārtējo  gadu</w:t>
            </w:r>
          </w:p>
        </w:tc>
        <w:tc>
          <w:tcPr>
            <w:tcW w:w="1320" w:type="dxa"/>
            <w:vAlign w:val="center"/>
          </w:tcPr>
          <w:p w:rsidR="008737B2" w:rsidRPr="0006125D" w:rsidRDefault="008737B2" w:rsidP="006B3C16">
            <w:pPr>
              <w:jc w:val="center"/>
              <w:rPr>
                <w:b/>
                <w:i/>
                <w:sz w:val="26"/>
                <w:szCs w:val="26"/>
              </w:rPr>
            </w:pPr>
            <w:r w:rsidRPr="0006125D">
              <w:rPr>
                <w:sz w:val="26"/>
                <w:szCs w:val="26"/>
              </w:rPr>
              <w:t>izmaiņas, salīdzinot ar kārtējo  gadu</w:t>
            </w:r>
          </w:p>
        </w:tc>
      </w:tr>
      <w:tr w:rsidR="008737B2" w:rsidRPr="0006125D" w:rsidTr="008737B2">
        <w:trPr>
          <w:jc w:val="center"/>
        </w:trPr>
        <w:tc>
          <w:tcPr>
            <w:tcW w:w="3589" w:type="dxa"/>
            <w:vAlign w:val="center"/>
          </w:tcPr>
          <w:p w:rsidR="008737B2" w:rsidRPr="0006125D" w:rsidRDefault="008737B2" w:rsidP="006B3C16">
            <w:pPr>
              <w:jc w:val="center"/>
              <w:rPr>
                <w:bCs/>
                <w:sz w:val="26"/>
                <w:szCs w:val="26"/>
              </w:rPr>
            </w:pPr>
            <w:r w:rsidRPr="0006125D">
              <w:rPr>
                <w:bCs/>
                <w:sz w:val="26"/>
                <w:szCs w:val="26"/>
              </w:rPr>
              <w:lastRenderedPageBreak/>
              <w:t>1</w:t>
            </w:r>
          </w:p>
        </w:tc>
        <w:tc>
          <w:tcPr>
            <w:tcW w:w="1529" w:type="dxa"/>
            <w:vAlign w:val="center"/>
          </w:tcPr>
          <w:p w:rsidR="008737B2" w:rsidRPr="0006125D" w:rsidRDefault="008737B2" w:rsidP="006B3C16">
            <w:pPr>
              <w:jc w:val="center"/>
              <w:rPr>
                <w:bCs/>
                <w:sz w:val="26"/>
                <w:szCs w:val="26"/>
              </w:rPr>
            </w:pPr>
            <w:r w:rsidRPr="0006125D">
              <w:rPr>
                <w:bCs/>
                <w:sz w:val="26"/>
                <w:szCs w:val="26"/>
              </w:rPr>
              <w:t>2</w:t>
            </w:r>
          </w:p>
        </w:tc>
        <w:tc>
          <w:tcPr>
            <w:tcW w:w="1383" w:type="dxa"/>
            <w:vAlign w:val="center"/>
          </w:tcPr>
          <w:p w:rsidR="008737B2" w:rsidRPr="0006125D" w:rsidRDefault="008737B2" w:rsidP="006B3C16">
            <w:pPr>
              <w:jc w:val="center"/>
              <w:rPr>
                <w:bCs/>
                <w:sz w:val="26"/>
                <w:szCs w:val="26"/>
              </w:rPr>
            </w:pPr>
            <w:r w:rsidRPr="0006125D">
              <w:rPr>
                <w:bCs/>
                <w:sz w:val="26"/>
                <w:szCs w:val="26"/>
              </w:rPr>
              <w:t>3</w:t>
            </w:r>
          </w:p>
        </w:tc>
        <w:tc>
          <w:tcPr>
            <w:tcW w:w="1227" w:type="dxa"/>
            <w:vAlign w:val="center"/>
          </w:tcPr>
          <w:p w:rsidR="008737B2" w:rsidRPr="0006125D" w:rsidRDefault="008737B2" w:rsidP="006B3C16">
            <w:pPr>
              <w:jc w:val="center"/>
              <w:rPr>
                <w:bCs/>
                <w:sz w:val="26"/>
                <w:szCs w:val="26"/>
              </w:rPr>
            </w:pPr>
            <w:r w:rsidRPr="0006125D">
              <w:rPr>
                <w:bCs/>
                <w:sz w:val="26"/>
                <w:szCs w:val="26"/>
              </w:rPr>
              <w:t>4</w:t>
            </w:r>
          </w:p>
        </w:tc>
        <w:tc>
          <w:tcPr>
            <w:tcW w:w="1227" w:type="dxa"/>
            <w:vAlign w:val="center"/>
          </w:tcPr>
          <w:p w:rsidR="008737B2" w:rsidRPr="0006125D" w:rsidRDefault="008737B2" w:rsidP="006B3C16">
            <w:pPr>
              <w:jc w:val="center"/>
              <w:rPr>
                <w:bCs/>
                <w:sz w:val="26"/>
                <w:szCs w:val="26"/>
              </w:rPr>
            </w:pPr>
            <w:r w:rsidRPr="0006125D">
              <w:rPr>
                <w:bCs/>
                <w:sz w:val="26"/>
                <w:szCs w:val="26"/>
              </w:rPr>
              <w:t>5</w:t>
            </w:r>
          </w:p>
        </w:tc>
        <w:tc>
          <w:tcPr>
            <w:tcW w:w="1320" w:type="dxa"/>
            <w:vAlign w:val="center"/>
          </w:tcPr>
          <w:p w:rsidR="008737B2" w:rsidRPr="0006125D" w:rsidRDefault="008737B2" w:rsidP="006B3C16">
            <w:pPr>
              <w:jc w:val="center"/>
              <w:rPr>
                <w:bCs/>
                <w:sz w:val="26"/>
                <w:szCs w:val="26"/>
              </w:rPr>
            </w:pPr>
            <w:r w:rsidRPr="0006125D">
              <w:rPr>
                <w:bCs/>
                <w:sz w:val="26"/>
                <w:szCs w:val="26"/>
              </w:rPr>
              <w:t>6</w:t>
            </w:r>
          </w:p>
        </w:tc>
      </w:tr>
      <w:tr w:rsidR="008737B2" w:rsidRPr="0006125D" w:rsidTr="008737B2">
        <w:trPr>
          <w:jc w:val="center"/>
        </w:trPr>
        <w:tc>
          <w:tcPr>
            <w:tcW w:w="3589" w:type="dxa"/>
          </w:tcPr>
          <w:p w:rsidR="008737B2" w:rsidRPr="0006125D" w:rsidRDefault="008737B2" w:rsidP="006B3C16">
            <w:pPr>
              <w:rPr>
                <w:i/>
                <w:sz w:val="26"/>
                <w:szCs w:val="26"/>
              </w:rPr>
            </w:pPr>
            <w:r w:rsidRPr="0006125D">
              <w:rPr>
                <w:sz w:val="26"/>
                <w:szCs w:val="26"/>
              </w:rPr>
              <w:t>1. Budžeta ieņēmumi:</w:t>
            </w:r>
          </w:p>
        </w:tc>
        <w:tc>
          <w:tcPr>
            <w:tcW w:w="1529" w:type="dxa"/>
          </w:tcPr>
          <w:p w:rsidR="008737B2" w:rsidRPr="0006125D" w:rsidRDefault="001B1714" w:rsidP="001B1714">
            <w:pPr>
              <w:jc w:val="center"/>
              <w:rPr>
                <w:b/>
                <w:sz w:val="26"/>
                <w:szCs w:val="26"/>
              </w:rPr>
            </w:pPr>
            <w:r>
              <w:rPr>
                <w:b/>
                <w:sz w:val="25"/>
                <w:szCs w:val="25"/>
              </w:rPr>
              <w:t>1 048 803</w:t>
            </w:r>
            <w:r w:rsidR="00CD3509">
              <w:rPr>
                <w:b/>
                <w:sz w:val="25"/>
                <w:szCs w:val="25"/>
              </w:rPr>
              <w:t xml:space="preserve"> </w:t>
            </w:r>
          </w:p>
        </w:tc>
        <w:tc>
          <w:tcPr>
            <w:tcW w:w="1383" w:type="dxa"/>
          </w:tcPr>
          <w:p w:rsidR="008737B2" w:rsidRPr="0006125D" w:rsidRDefault="008737B2" w:rsidP="006B3C16">
            <w:pPr>
              <w:jc w:val="center"/>
              <w:rPr>
                <w:b/>
                <w:sz w:val="26"/>
                <w:szCs w:val="26"/>
              </w:rPr>
            </w:pPr>
            <w:r w:rsidRPr="0006125D">
              <w:rPr>
                <w:b/>
                <w:sz w:val="26"/>
                <w:szCs w:val="26"/>
              </w:rPr>
              <w:t>0</w:t>
            </w:r>
          </w:p>
        </w:tc>
        <w:tc>
          <w:tcPr>
            <w:tcW w:w="1227" w:type="dxa"/>
          </w:tcPr>
          <w:p w:rsidR="008737B2" w:rsidRPr="0006125D" w:rsidRDefault="008737B2" w:rsidP="006B3C16">
            <w:pPr>
              <w:jc w:val="center"/>
              <w:rPr>
                <w:b/>
                <w:sz w:val="26"/>
                <w:szCs w:val="26"/>
              </w:rPr>
            </w:pPr>
            <w:r w:rsidRPr="0006125D">
              <w:rPr>
                <w:b/>
                <w:sz w:val="26"/>
                <w:szCs w:val="26"/>
              </w:rPr>
              <w:t>0</w:t>
            </w:r>
          </w:p>
        </w:tc>
        <w:tc>
          <w:tcPr>
            <w:tcW w:w="1227" w:type="dxa"/>
          </w:tcPr>
          <w:p w:rsidR="008737B2" w:rsidRPr="0006125D" w:rsidRDefault="008737B2" w:rsidP="006B3C16">
            <w:pPr>
              <w:jc w:val="center"/>
              <w:rPr>
                <w:b/>
                <w:sz w:val="26"/>
                <w:szCs w:val="26"/>
              </w:rPr>
            </w:pPr>
            <w:r w:rsidRPr="0006125D">
              <w:rPr>
                <w:b/>
                <w:sz w:val="26"/>
                <w:szCs w:val="26"/>
              </w:rPr>
              <w:t>0</w:t>
            </w:r>
          </w:p>
        </w:tc>
        <w:tc>
          <w:tcPr>
            <w:tcW w:w="1320" w:type="dxa"/>
          </w:tcPr>
          <w:p w:rsidR="008737B2" w:rsidRPr="0006125D" w:rsidRDefault="008737B2" w:rsidP="006B3C16">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6B3C16">
            <w:pPr>
              <w:rPr>
                <w:i/>
                <w:sz w:val="26"/>
                <w:szCs w:val="26"/>
              </w:rPr>
            </w:pPr>
            <w:r w:rsidRPr="0006125D">
              <w:rPr>
                <w:sz w:val="26"/>
                <w:szCs w:val="26"/>
              </w:rPr>
              <w:t>1.1. valsts pamatbudžets, tai skaitā ieņēmumi no maksas pakalpojumiem un citi pašu ieņēmumi</w:t>
            </w:r>
          </w:p>
        </w:tc>
        <w:tc>
          <w:tcPr>
            <w:tcW w:w="1529" w:type="dxa"/>
          </w:tcPr>
          <w:p w:rsidR="008737B2" w:rsidRPr="0006125D" w:rsidRDefault="001B1714" w:rsidP="006B3C16">
            <w:pPr>
              <w:jc w:val="center"/>
              <w:rPr>
                <w:i/>
                <w:sz w:val="26"/>
                <w:szCs w:val="26"/>
              </w:rPr>
            </w:pPr>
            <w:r w:rsidRPr="001B1714">
              <w:rPr>
                <w:b/>
                <w:sz w:val="25"/>
                <w:szCs w:val="25"/>
              </w:rPr>
              <w:t>1 048 803</w:t>
            </w:r>
          </w:p>
        </w:tc>
        <w:tc>
          <w:tcPr>
            <w:tcW w:w="1383" w:type="dxa"/>
          </w:tcPr>
          <w:p w:rsidR="008737B2" w:rsidRPr="0006125D" w:rsidRDefault="008737B2" w:rsidP="006B3C16">
            <w:pPr>
              <w:jc w:val="center"/>
              <w:rPr>
                <w:i/>
                <w:sz w:val="26"/>
                <w:szCs w:val="26"/>
              </w:rPr>
            </w:pPr>
          </w:p>
        </w:tc>
        <w:tc>
          <w:tcPr>
            <w:tcW w:w="1227" w:type="dxa"/>
          </w:tcPr>
          <w:p w:rsidR="008737B2" w:rsidRPr="0006125D" w:rsidRDefault="008737B2" w:rsidP="006B3C16">
            <w:pPr>
              <w:jc w:val="center"/>
              <w:rPr>
                <w:i/>
                <w:sz w:val="26"/>
                <w:szCs w:val="26"/>
              </w:rPr>
            </w:pPr>
          </w:p>
        </w:tc>
        <w:tc>
          <w:tcPr>
            <w:tcW w:w="1227" w:type="dxa"/>
          </w:tcPr>
          <w:p w:rsidR="008737B2" w:rsidRPr="0006125D" w:rsidRDefault="008737B2" w:rsidP="006B3C16">
            <w:pPr>
              <w:jc w:val="center"/>
              <w:rPr>
                <w:i/>
                <w:sz w:val="26"/>
                <w:szCs w:val="26"/>
              </w:rPr>
            </w:pPr>
          </w:p>
        </w:tc>
        <w:tc>
          <w:tcPr>
            <w:tcW w:w="1320" w:type="dxa"/>
          </w:tcPr>
          <w:p w:rsidR="008737B2" w:rsidRPr="0006125D" w:rsidRDefault="008737B2" w:rsidP="006B3C16">
            <w:pPr>
              <w:jc w:val="center"/>
              <w:rPr>
                <w:i/>
                <w:sz w:val="26"/>
                <w:szCs w:val="26"/>
              </w:rPr>
            </w:pPr>
          </w:p>
        </w:tc>
      </w:tr>
      <w:tr w:rsidR="008737B2" w:rsidRPr="0006125D" w:rsidTr="008737B2">
        <w:trPr>
          <w:jc w:val="center"/>
        </w:trPr>
        <w:tc>
          <w:tcPr>
            <w:tcW w:w="3589" w:type="dxa"/>
          </w:tcPr>
          <w:p w:rsidR="008737B2" w:rsidRPr="0006125D" w:rsidRDefault="008737B2" w:rsidP="006B3C16">
            <w:pPr>
              <w:rPr>
                <w:i/>
                <w:sz w:val="26"/>
                <w:szCs w:val="26"/>
              </w:rPr>
            </w:pPr>
            <w:r w:rsidRPr="0006125D">
              <w:rPr>
                <w:sz w:val="26"/>
                <w:szCs w:val="26"/>
              </w:rPr>
              <w:t>1.2. valsts speciālais budžets</w:t>
            </w:r>
          </w:p>
        </w:tc>
        <w:tc>
          <w:tcPr>
            <w:tcW w:w="1529" w:type="dxa"/>
          </w:tcPr>
          <w:p w:rsidR="008737B2" w:rsidRPr="0006125D" w:rsidRDefault="008737B2" w:rsidP="006B3C16">
            <w:pPr>
              <w:jc w:val="center"/>
              <w:rPr>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i/>
                <w:sz w:val="26"/>
                <w:szCs w:val="26"/>
              </w:rPr>
            </w:pPr>
            <w:r w:rsidRPr="0006125D">
              <w:rPr>
                <w:sz w:val="26"/>
                <w:szCs w:val="26"/>
              </w:rPr>
              <w:t>1.3. pašvaldību budžets</w:t>
            </w:r>
          </w:p>
        </w:tc>
        <w:tc>
          <w:tcPr>
            <w:tcW w:w="1529" w:type="dxa"/>
          </w:tcPr>
          <w:p w:rsidR="008737B2" w:rsidRPr="0006125D" w:rsidRDefault="008737B2" w:rsidP="006B3C16">
            <w:pPr>
              <w:jc w:val="center"/>
              <w:rPr>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2. Budžeta izdevumi:</w:t>
            </w:r>
          </w:p>
        </w:tc>
        <w:tc>
          <w:tcPr>
            <w:tcW w:w="1529" w:type="dxa"/>
          </w:tcPr>
          <w:p w:rsidR="008737B2" w:rsidRPr="0006125D" w:rsidRDefault="001B1714" w:rsidP="006B3C16">
            <w:pPr>
              <w:jc w:val="center"/>
              <w:rPr>
                <w:b/>
                <w:sz w:val="26"/>
                <w:szCs w:val="26"/>
              </w:rPr>
            </w:pPr>
            <w:r w:rsidRPr="001B1714">
              <w:rPr>
                <w:b/>
                <w:sz w:val="25"/>
                <w:szCs w:val="25"/>
              </w:rPr>
              <w:t>1 048 803</w:t>
            </w:r>
          </w:p>
        </w:tc>
        <w:tc>
          <w:tcPr>
            <w:tcW w:w="1383" w:type="dxa"/>
          </w:tcPr>
          <w:p w:rsidR="008737B2" w:rsidRPr="0006125D" w:rsidRDefault="001B1714" w:rsidP="001B1714">
            <w:pPr>
              <w:jc w:val="center"/>
              <w:rPr>
                <w:b/>
                <w:sz w:val="26"/>
                <w:szCs w:val="26"/>
              </w:rPr>
            </w:pPr>
            <w:r>
              <w:rPr>
                <w:b/>
                <w:sz w:val="26"/>
                <w:szCs w:val="26"/>
              </w:rPr>
              <w:t>67 214</w:t>
            </w:r>
          </w:p>
        </w:tc>
        <w:tc>
          <w:tcPr>
            <w:tcW w:w="1227" w:type="dxa"/>
          </w:tcPr>
          <w:p w:rsidR="008737B2" w:rsidRPr="0006125D" w:rsidRDefault="008737B2" w:rsidP="006B3C16">
            <w:pPr>
              <w:jc w:val="center"/>
              <w:rPr>
                <w:b/>
                <w:sz w:val="26"/>
                <w:szCs w:val="26"/>
              </w:rPr>
            </w:pPr>
            <w:r w:rsidRPr="0006125D">
              <w:rPr>
                <w:b/>
                <w:sz w:val="26"/>
                <w:szCs w:val="26"/>
              </w:rPr>
              <w:t>0</w:t>
            </w:r>
          </w:p>
        </w:tc>
        <w:tc>
          <w:tcPr>
            <w:tcW w:w="1227" w:type="dxa"/>
          </w:tcPr>
          <w:p w:rsidR="008737B2" w:rsidRPr="0006125D" w:rsidRDefault="008737B2" w:rsidP="006B3C16">
            <w:pPr>
              <w:jc w:val="center"/>
              <w:rPr>
                <w:b/>
                <w:sz w:val="26"/>
                <w:szCs w:val="26"/>
              </w:rPr>
            </w:pPr>
            <w:r w:rsidRPr="0006125D">
              <w:rPr>
                <w:b/>
                <w:sz w:val="26"/>
                <w:szCs w:val="26"/>
              </w:rPr>
              <w:t>0</w:t>
            </w:r>
          </w:p>
        </w:tc>
        <w:tc>
          <w:tcPr>
            <w:tcW w:w="1320" w:type="dxa"/>
          </w:tcPr>
          <w:p w:rsidR="008737B2" w:rsidRPr="0006125D" w:rsidRDefault="008737B2" w:rsidP="006B3C16">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2.1. valsts pamatbudžets</w:t>
            </w:r>
          </w:p>
        </w:tc>
        <w:tc>
          <w:tcPr>
            <w:tcW w:w="1529" w:type="dxa"/>
          </w:tcPr>
          <w:p w:rsidR="008737B2" w:rsidRPr="0006125D" w:rsidRDefault="001B1714" w:rsidP="006B3C16">
            <w:pPr>
              <w:jc w:val="center"/>
              <w:rPr>
                <w:i/>
                <w:sz w:val="26"/>
                <w:szCs w:val="26"/>
              </w:rPr>
            </w:pPr>
            <w:r w:rsidRPr="001B1714">
              <w:rPr>
                <w:b/>
                <w:sz w:val="25"/>
                <w:szCs w:val="25"/>
              </w:rPr>
              <w:t>1 048 803</w:t>
            </w:r>
          </w:p>
        </w:tc>
        <w:tc>
          <w:tcPr>
            <w:tcW w:w="1383" w:type="dxa"/>
          </w:tcPr>
          <w:p w:rsidR="008737B2" w:rsidRPr="008C03E0" w:rsidRDefault="001B1714" w:rsidP="001B1714">
            <w:pPr>
              <w:jc w:val="center"/>
              <w:rPr>
                <w:b/>
                <w:sz w:val="26"/>
                <w:szCs w:val="26"/>
              </w:rPr>
            </w:pPr>
            <w:r w:rsidRPr="008C03E0">
              <w:rPr>
                <w:b/>
                <w:sz w:val="26"/>
                <w:szCs w:val="26"/>
              </w:rPr>
              <w:t>67 214</w:t>
            </w:r>
          </w:p>
        </w:tc>
        <w:tc>
          <w:tcPr>
            <w:tcW w:w="1227" w:type="dxa"/>
          </w:tcPr>
          <w:p w:rsidR="008737B2" w:rsidRPr="0006125D" w:rsidRDefault="008737B2" w:rsidP="006B3C16">
            <w:pPr>
              <w:jc w:val="center"/>
              <w:rPr>
                <w:i/>
                <w:sz w:val="26"/>
                <w:szCs w:val="26"/>
              </w:rPr>
            </w:pPr>
            <w:r w:rsidRPr="0006125D">
              <w:rPr>
                <w:i/>
                <w:sz w:val="26"/>
                <w:szCs w:val="26"/>
              </w:rPr>
              <w:t>0</w:t>
            </w:r>
          </w:p>
        </w:tc>
        <w:tc>
          <w:tcPr>
            <w:tcW w:w="1227" w:type="dxa"/>
          </w:tcPr>
          <w:p w:rsidR="008737B2" w:rsidRPr="0006125D" w:rsidRDefault="008737B2" w:rsidP="006B3C16">
            <w:pPr>
              <w:jc w:val="center"/>
              <w:rPr>
                <w:i/>
                <w:sz w:val="26"/>
                <w:szCs w:val="26"/>
              </w:rPr>
            </w:pPr>
            <w:r w:rsidRPr="0006125D">
              <w:rPr>
                <w:i/>
                <w:sz w:val="26"/>
                <w:szCs w:val="26"/>
              </w:rPr>
              <w:t>0</w:t>
            </w:r>
          </w:p>
        </w:tc>
        <w:tc>
          <w:tcPr>
            <w:tcW w:w="1320" w:type="dxa"/>
          </w:tcPr>
          <w:p w:rsidR="008737B2" w:rsidRPr="0006125D" w:rsidRDefault="008737B2" w:rsidP="006B3C16">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2.2. valsts speciālais budžets</w:t>
            </w:r>
          </w:p>
        </w:tc>
        <w:tc>
          <w:tcPr>
            <w:tcW w:w="1529" w:type="dxa"/>
          </w:tcPr>
          <w:p w:rsidR="008737B2" w:rsidRPr="0006125D" w:rsidRDefault="008737B2" w:rsidP="006B3C16">
            <w:pPr>
              <w:jc w:val="center"/>
              <w:rPr>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 xml:space="preserve">2.3. pašvaldību budžets </w:t>
            </w:r>
          </w:p>
        </w:tc>
        <w:tc>
          <w:tcPr>
            <w:tcW w:w="1529" w:type="dxa"/>
          </w:tcPr>
          <w:p w:rsidR="008737B2" w:rsidRPr="0006125D" w:rsidRDefault="008737B2" w:rsidP="006B3C16">
            <w:pPr>
              <w:jc w:val="center"/>
              <w:rPr>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3. Finansiālā ietekme:</w:t>
            </w:r>
          </w:p>
        </w:tc>
        <w:tc>
          <w:tcPr>
            <w:tcW w:w="1529" w:type="dxa"/>
            <w:shd w:val="clear" w:color="auto" w:fill="auto"/>
          </w:tcPr>
          <w:p w:rsidR="008737B2" w:rsidRPr="0006125D" w:rsidRDefault="008737B2" w:rsidP="006B3C16">
            <w:pPr>
              <w:jc w:val="center"/>
              <w:rPr>
                <w:b/>
                <w:sz w:val="26"/>
                <w:szCs w:val="26"/>
              </w:rPr>
            </w:pPr>
            <w:r w:rsidRPr="0006125D">
              <w:rPr>
                <w:b/>
                <w:sz w:val="26"/>
                <w:szCs w:val="26"/>
              </w:rPr>
              <w:t>0</w:t>
            </w:r>
          </w:p>
        </w:tc>
        <w:tc>
          <w:tcPr>
            <w:tcW w:w="1383" w:type="dxa"/>
          </w:tcPr>
          <w:p w:rsidR="008737B2" w:rsidRPr="0006125D" w:rsidRDefault="00815BCE" w:rsidP="001B1714">
            <w:pPr>
              <w:jc w:val="center"/>
              <w:rPr>
                <w:b/>
                <w:sz w:val="26"/>
                <w:szCs w:val="26"/>
              </w:rPr>
            </w:pPr>
            <w:r>
              <w:rPr>
                <w:b/>
                <w:sz w:val="26"/>
                <w:szCs w:val="26"/>
              </w:rPr>
              <w:t>-</w:t>
            </w:r>
            <w:r w:rsidR="001B1714">
              <w:rPr>
                <w:b/>
                <w:sz w:val="26"/>
                <w:szCs w:val="26"/>
              </w:rPr>
              <w:t>67</w:t>
            </w:r>
            <w:r>
              <w:rPr>
                <w:b/>
                <w:sz w:val="26"/>
                <w:szCs w:val="26"/>
              </w:rPr>
              <w:t xml:space="preserve"> </w:t>
            </w:r>
            <w:r w:rsidR="001B1714">
              <w:rPr>
                <w:b/>
                <w:sz w:val="26"/>
                <w:szCs w:val="26"/>
              </w:rPr>
              <w:t>214</w:t>
            </w:r>
          </w:p>
        </w:tc>
        <w:tc>
          <w:tcPr>
            <w:tcW w:w="1227" w:type="dxa"/>
          </w:tcPr>
          <w:p w:rsidR="008737B2" w:rsidRPr="0006125D" w:rsidRDefault="008737B2" w:rsidP="006B3C16">
            <w:pPr>
              <w:jc w:val="center"/>
              <w:rPr>
                <w:b/>
                <w:sz w:val="26"/>
                <w:szCs w:val="26"/>
              </w:rPr>
            </w:pPr>
            <w:r w:rsidRPr="0006125D">
              <w:rPr>
                <w:b/>
                <w:sz w:val="26"/>
                <w:szCs w:val="26"/>
              </w:rPr>
              <w:t>0</w:t>
            </w:r>
          </w:p>
        </w:tc>
        <w:tc>
          <w:tcPr>
            <w:tcW w:w="1227" w:type="dxa"/>
          </w:tcPr>
          <w:p w:rsidR="008737B2" w:rsidRPr="0006125D" w:rsidRDefault="008737B2" w:rsidP="006B3C16">
            <w:pPr>
              <w:jc w:val="center"/>
              <w:rPr>
                <w:b/>
                <w:sz w:val="26"/>
                <w:szCs w:val="26"/>
              </w:rPr>
            </w:pPr>
            <w:r w:rsidRPr="0006125D">
              <w:rPr>
                <w:b/>
                <w:sz w:val="26"/>
                <w:szCs w:val="26"/>
              </w:rPr>
              <w:t>0</w:t>
            </w:r>
          </w:p>
        </w:tc>
        <w:tc>
          <w:tcPr>
            <w:tcW w:w="1320" w:type="dxa"/>
          </w:tcPr>
          <w:p w:rsidR="008737B2" w:rsidRPr="0006125D" w:rsidRDefault="008737B2" w:rsidP="006B3C16">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3.1. valsts pamatbudžets</w:t>
            </w:r>
          </w:p>
        </w:tc>
        <w:tc>
          <w:tcPr>
            <w:tcW w:w="1529" w:type="dxa"/>
            <w:shd w:val="clear" w:color="auto" w:fill="auto"/>
          </w:tcPr>
          <w:p w:rsidR="008737B2" w:rsidRPr="0006125D" w:rsidRDefault="008737B2" w:rsidP="006B3C16">
            <w:pPr>
              <w:jc w:val="center"/>
              <w:rPr>
                <w:i/>
                <w:sz w:val="26"/>
                <w:szCs w:val="26"/>
              </w:rPr>
            </w:pPr>
            <w:r w:rsidRPr="0006125D">
              <w:rPr>
                <w:i/>
                <w:sz w:val="26"/>
                <w:szCs w:val="26"/>
              </w:rPr>
              <w:t>0</w:t>
            </w:r>
          </w:p>
        </w:tc>
        <w:tc>
          <w:tcPr>
            <w:tcW w:w="1383" w:type="dxa"/>
          </w:tcPr>
          <w:p w:rsidR="008737B2" w:rsidRPr="0006125D" w:rsidRDefault="00815BCE" w:rsidP="001B1714">
            <w:pPr>
              <w:jc w:val="center"/>
              <w:rPr>
                <w:i/>
                <w:sz w:val="26"/>
                <w:szCs w:val="26"/>
              </w:rPr>
            </w:pPr>
            <w:r>
              <w:rPr>
                <w:i/>
                <w:sz w:val="26"/>
                <w:szCs w:val="26"/>
              </w:rPr>
              <w:t>-</w:t>
            </w:r>
            <w:r w:rsidR="001B1714" w:rsidRPr="008C03E0">
              <w:rPr>
                <w:b/>
                <w:sz w:val="26"/>
                <w:szCs w:val="26"/>
              </w:rPr>
              <w:t>67</w:t>
            </w:r>
            <w:r w:rsidRPr="008C03E0">
              <w:rPr>
                <w:b/>
                <w:sz w:val="26"/>
                <w:szCs w:val="26"/>
              </w:rPr>
              <w:t xml:space="preserve"> </w:t>
            </w:r>
            <w:r w:rsidR="001B1714" w:rsidRPr="008C03E0">
              <w:rPr>
                <w:b/>
                <w:sz w:val="26"/>
                <w:szCs w:val="26"/>
              </w:rPr>
              <w:t>214</w:t>
            </w:r>
          </w:p>
        </w:tc>
        <w:tc>
          <w:tcPr>
            <w:tcW w:w="1227" w:type="dxa"/>
          </w:tcPr>
          <w:p w:rsidR="008737B2" w:rsidRPr="0006125D" w:rsidRDefault="008737B2" w:rsidP="006B3C16">
            <w:pPr>
              <w:jc w:val="center"/>
              <w:rPr>
                <w:i/>
                <w:sz w:val="26"/>
                <w:szCs w:val="26"/>
              </w:rPr>
            </w:pPr>
            <w:r w:rsidRPr="0006125D">
              <w:rPr>
                <w:i/>
                <w:sz w:val="26"/>
                <w:szCs w:val="26"/>
              </w:rPr>
              <w:t>0</w:t>
            </w:r>
          </w:p>
        </w:tc>
        <w:tc>
          <w:tcPr>
            <w:tcW w:w="1227" w:type="dxa"/>
          </w:tcPr>
          <w:p w:rsidR="008737B2" w:rsidRPr="0006125D" w:rsidRDefault="008737B2" w:rsidP="006B3C16">
            <w:pPr>
              <w:jc w:val="center"/>
              <w:rPr>
                <w:i/>
                <w:sz w:val="26"/>
                <w:szCs w:val="26"/>
              </w:rPr>
            </w:pPr>
            <w:r w:rsidRPr="0006125D">
              <w:rPr>
                <w:i/>
                <w:sz w:val="26"/>
                <w:szCs w:val="26"/>
              </w:rPr>
              <w:t>0</w:t>
            </w:r>
          </w:p>
        </w:tc>
        <w:tc>
          <w:tcPr>
            <w:tcW w:w="1320" w:type="dxa"/>
          </w:tcPr>
          <w:p w:rsidR="008737B2" w:rsidRPr="0006125D" w:rsidRDefault="008737B2" w:rsidP="006B3C16">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3.2. speciālais budžets</w:t>
            </w:r>
          </w:p>
        </w:tc>
        <w:tc>
          <w:tcPr>
            <w:tcW w:w="1529" w:type="dxa"/>
            <w:shd w:val="clear" w:color="auto" w:fill="auto"/>
          </w:tcPr>
          <w:p w:rsidR="008737B2" w:rsidRPr="0006125D" w:rsidRDefault="008737B2" w:rsidP="006B3C16">
            <w:pPr>
              <w:jc w:val="center"/>
              <w:rPr>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 xml:space="preserve">3.3. pašvaldību budžets </w:t>
            </w:r>
          </w:p>
        </w:tc>
        <w:tc>
          <w:tcPr>
            <w:tcW w:w="1529" w:type="dxa"/>
            <w:shd w:val="clear" w:color="auto" w:fill="auto"/>
          </w:tcPr>
          <w:p w:rsidR="008737B2" w:rsidRPr="0006125D" w:rsidRDefault="008737B2" w:rsidP="006B3C16">
            <w:pPr>
              <w:jc w:val="center"/>
              <w:rPr>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vMerge w:val="restart"/>
          </w:tcPr>
          <w:p w:rsidR="008737B2" w:rsidRPr="0006125D" w:rsidRDefault="008737B2" w:rsidP="006B3C16">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8737B2" w:rsidRPr="0006125D" w:rsidRDefault="008737B2" w:rsidP="006B3C16">
            <w:pPr>
              <w:jc w:val="center"/>
              <w:rPr>
                <w:i/>
                <w:sz w:val="26"/>
                <w:szCs w:val="26"/>
              </w:rPr>
            </w:pPr>
            <w:r w:rsidRPr="0006125D">
              <w:rPr>
                <w:sz w:val="26"/>
                <w:szCs w:val="26"/>
              </w:rPr>
              <w:t>X</w:t>
            </w:r>
          </w:p>
        </w:tc>
        <w:tc>
          <w:tcPr>
            <w:tcW w:w="1383" w:type="dxa"/>
          </w:tcPr>
          <w:p w:rsidR="008737B2" w:rsidRPr="008C03E0" w:rsidRDefault="001B1714" w:rsidP="006B3C16">
            <w:pPr>
              <w:jc w:val="center"/>
              <w:rPr>
                <w:b/>
                <w:sz w:val="26"/>
                <w:szCs w:val="26"/>
              </w:rPr>
            </w:pPr>
            <w:r w:rsidRPr="008C03E0">
              <w:rPr>
                <w:b/>
                <w:sz w:val="26"/>
                <w:szCs w:val="26"/>
              </w:rPr>
              <w:t>67 214</w:t>
            </w:r>
          </w:p>
        </w:tc>
        <w:tc>
          <w:tcPr>
            <w:tcW w:w="1227" w:type="dxa"/>
          </w:tcPr>
          <w:p w:rsidR="008737B2" w:rsidRPr="0006125D" w:rsidRDefault="008737B2" w:rsidP="006B3C16">
            <w:pPr>
              <w:jc w:val="center"/>
              <w:rPr>
                <w:sz w:val="26"/>
                <w:szCs w:val="26"/>
              </w:rPr>
            </w:pPr>
            <w:r w:rsidRPr="0006125D">
              <w:rPr>
                <w:sz w:val="26"/>
                <w:szCs w:val="26"/>
              </w:rPr>
              <w:t>0</w:t>
            </w:r>
          </w:p>
        </w:tc>
        <w:tc>
          <w:tcPr>
            <w:tcW w:w="1227" w:type="dxa"/>
          </w:tcPr>
          <w:p w:rsidR="008737B2" w:rsidRPr="0006125D" w:rsidRDefault="008737B2" w:rsidP="006B3C16">
            <w:pPr>
              <w:jc w:val="center"/>
              <w:rPr>
                <w:sz w:val="26"/>
                <w:szCs w:val="26"/>
              </w:rPr>
            </w:pPr>
            <w:r w:rsidRPr="0006125D">
              <w:rPr>
                <w:sz w:val="26"/>
                <w:szCs w:val="26"/>
              </w:rPr>
              <w:t>0</w:t>
            </w:r>
          </w:p>
        </w:tc>
        <w:tc>
          <w:tcPr>
            <w:tcW w:w="1320" w:type="dxa"/>
          </w:tcPr>
          <w:p w:rsidR="008737B2" w:rsidRPr="0006125D" w:rsidRDefault="008737B2" w:rsidP="006B3C16">
            <w:pPr>
              <w:jc w:val="center"/>
              <w:rPr>
                <w:sz w:val="26"/>
                <w:szCs w:val="26"/>
              </w:rPr>
            </w:pPr>
            <w:r w:rsidRPr="0006125D">
              <w:rPr>
                <w:sz w:val="26"/>
                <w:szCs w:val="26"/>
              </w:rPr>
              <w:t>0</w:t>
            </w:r>
          </w:p>
        </w:tc>
      </w:tr>
      <w:tr w:rsidR="008737B2" w:rsidRPr="0006125D" w:rsidTr="008737B2">
        <w:trPr>
          <w:jc w:val="center"/>
        </w:trPr>
        <w:tc>
          <w:tcPr>
            <w:tcW w:w="3589" w:type="dxa"/>
            <w:vMerge/>
          </w:tcPr>
          <w:p w:rsidR="008737B2" w:rsidRPr="0006125D" w:rsidRDefault="008737B2" w:rsidP="006B3C16">
            <w:pPr>
              <w:rPr>
                <w:sz w:val="26"/>
                <w:szCs w:val="26"/>
              </w:rPr>
            </w:pPr>
          </w:p>
        </w:tc>
        <w:tc>
          <w:tcPr>
            <w:tcW w:w="1529" w:type="dxa"/>
            <w:vMerge/>
          </w:tcPr>
          <w:p w:rsidR="008737B2" w:rsidRPr="0006125D" w:rsidRDefault="008737B2" w:rsidP="006B3C16">
            <w:pPr>
              <w:jc w:val="center"/>
              <w:rPr>
                <w:i/>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vMerge/>
          </w:tcPr>
          <w:p w:rsidR="008737B2" w:rsidRPr="0006125D" w:rsidRDefault="008737B2" w:rsidP="006B3C16">
            <w:pPr>
              <w:rPr>
                <w:sz w:val="26"/>
                <w:szCs w:val="26"/>
              </w:rPr>
            </w:pPr>
          </w:p>
        </w:tc>
        <w:tc>
          <w:tcPr>
            <w:tcW w:w="1529" w:type="dxa"/>
            <w:vMerge/>
          </w:tcPr>
          <w:p w:rsidR="008737B2" w:rsidRPr="0006125D" w:rsidRDefault="008737B2" w:rsidP="006B3C16">
            <w:pPr>
              <w:jc w:val="center"/>
              <w:rPr>
                <w:i/>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5. Precizēta finansiālā ietekme:</w:t>
            </w:r>
          </w:p>
        </w:tc>
        <w:tc>
          <w:tcPr>
            <w:tcW w:w="1529" w:type="dxa"/>
            <w:vMerge w:val="restart"/>
          </w:tcPr>
          <w:p w:rsidR="008737B2" w:rsidRPr="0006125D" w:rsidRDefault="008737B2" w:rsidP="006B3C16">
            <w:pPr>
              <w:jc w:val="center"/>
              <w:rPr>
                <w:i/>
                <w:sz w:val="26"/>
                <w:szCs w:val="26"/>
              </w:rPr>
            </w:pPr>
            <w:r w:rsidRPr="0006125D">
              <w:rPr>
                <w:sz w:val="26"/>
                <w:szCs w:val="26"/>
              </w:rPr>
              <w:t>X</w:t>
            </w:r>
          </w:p>
        </w:tc>
        <w:tc>
          <w:tcPr>
            <w:tcW w:w="1383" w:type="dxa"/>
          </w:tcPr>
          <w:p w:rsidR="008737B2" w:rsidRPr="0006125D" w:rsidRDefault="008737B2" w:rsidP="006B3C16">
            <w:pPr>
              <w:jc w:val="center"/>
              <w:rPr>
                <w:b/>
                <w:sz w:val="26"/>
                <w:szCs w:val="26"/>
              </w:rPr>
            </w:pPr>
            <w:r w:rsidRPr="0006125D">
              <w:rPr>
                <w:b/>
                <w:sz w:val="26"/>
                <w:szCs w:val="26"/>
              </w:rPr>
              <w:t>0</w:t>
            </w:r>
          </w:p>
        </w:tc>
        <w:tc>
          <w:tcPr>
            <w:tcW w:w="1227" w:type="dxa"/>
          </w:tcPr>
          <w:p w:rsidR="008737B2" w:rsidRPr="0006125D" w:rsidRDefault="008737B2" w:rsidP="006B3C16">
            <w:pPr>
              <w:jc w:val="center"/>
              <w:rPr>
                <w:b/>
                <w:sz w:val="26"/>
                <w:szCs w:val="26"/>
              </w:rPr>
            </w:pPr>
            <w:r w:rsidRPr="0006125D">
              <w:rPr>
                <w:b/>
                <w:sz w:val="26"/>
                <w:szCs w:val="26"/>
              </w:rPr>
              <w:t>0</w:t>
            </w:r>
          </w:p>
        </w:tc>
        <w:tc>
          <w:tcPr>
            <w:tcW w:w="1227" w:type="dxa"/>
          </w:tcPr>
          <w:p w:rsidR="008737B2" w:rsidRPr="0006125D" w:rsidRDefault="008737B2" w:rsidP="006B3C16">
            <w:pPr>
              <w:jc w:val="center"/>
              <w:rPr>
                <w:b/>
                <w:sz w:val="26"/>
                <w:szCs w:val="26"/>
              </w:rPr>
            </w:pPr>
            <w:r w:rsidRPr="0006125D">
              <w:rPr>
                <w:b/>
                <w:sz w:val="26"/>
                <w:szCs w:val="26"/>
              </w:rPr>
              <w:t>0</w:t>
            </w:r>
          </w:p>
        </w:tc>
        <w:tc>
          <w:tcPr>
            <w:tcW w:w="1320" w:type="dxa"/>
          </w:tcPr>
          <w:p w:rsidR="008737B2" w:rsidRPr="0006125D" w:rsidRDefault="008737B2" w:rsidP="006B3C16">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5.1. valsts pamatbudžets</w:t>
            </w:r>
          </w:p>
        </w:tc>
        <w:tc>
          <w:tcPr>
            <w:tcW w:w="1529" w:type="dxa"/>
            <w:vMerge/>
            <w:vAlign w:val="center"/>
          </w:tcPr>
          <w:p w:rsidR="008737B2" w:rsidRPr="0006125D" w:rsidRDefault="008737B2" w:rsidP="006B3C16">
            <w:pPr>
              <w:jc w:val="center"/>
              <w:rPr>
                <w:i/>
                <w:sz w:val="26"/>
                <w:szCs w:val="26"/>
              </w:rPr>
            </w:pPr>
          </w:p>
        </w:tc>
        <w:tc>
          <w:tcPr>
            <w:tcW w:w="1383" w:type="dxa"/>
          </w:tcPr>
          <w:p w:rsidR="008737B2" w:rsidRPr="0006125D" w:rsidRDefault="008737B2" w:rsidP="006B3C16">
            <w:pPr>
              <w:jc w:val="center"/>
              <w:rPr>
                <w:i/>
                <w:sz w:val="26"/>
                <w:szCs w:val="26"/>
              </w:rPr>
            </w:pPr>
            <w:r w:rsidRPr="0006125D">
              <w:rPr>
                <w:i/>
                <w:sz w:val="26"/>
                <w:szCs w:val="26"/>
              </w:rPr>
              <w:t>0</w:t>
            </w:r>
          </w:p>
        </w:tc>
        <w:tc>
          <w:tcPr>
            <w:tcW w:w="1227" w:type="dxa"/>
          </w:tcPr>
          <w:p w:rsidR="008737B2" w:rsidRPr="0006125D" w:rsidRDefault="008737B2" w:rsidP="006B3C16">
            <w:pPr>
              <w:jc w:val="center"/>
              <w:rPr>
                <w:i/>
                <w:sz w:val="26"/>
                <w:szCs w:val="26"/>
              </w:rPr>
            </w:pPr>
            <w:r w:rsidRPr="0006125D">
              <w:rPr>
                <w:i/>
                <w:sz w:val="26"/>
                <w:szCs w:val="26"/>
              </w:rPr>
              <w:t>0</w:t>
            </w:r>
          </w:p>
        </w:tc>
        <w:tc>
          <w:tcPr>
            <w:tcW w:w="1227" w:type="dxa"/>
          </w:tcPr>
          <w:p w:rsidR="008737B2" w:rsidRPr="0006125D" w:rsidRDefault="008737B2" w:rsidP="006B3C16">
            <w:pPr>
              <w:jc w:val="center"/>
              <w:rPr>
                <w:i/>
                <w:sz w:val="26"/>
                <w:szCs w:val="26"/>
              </w:rPr>
            </w:pPr>
            <w:r w:rsidRPr="0006125D">
              <w:rPr>
                <w:i/>
                <w:sz w:val="26"/>
                <w:szCs w:val="26"/>
              </w:rPr>
              <w:t>0</w:t>
            </w:r>
          </w:p>
        </w:tc>
        <w:tc>
          <w:tcPr>
            <w:tcW w:w="1320" w:type="dxa"/>
          </w:tcPr>
          <w:p w:rsidR="008737B2" w:rsidRPr="0006125D" w:rsidRDefault="008737B2" w:rsidP="006B3C16">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5.2. speciālais budžets</w:t>
            </w:r>
          </w:p>
        </w:tc>
        <w:tc>
          <w:tcPr>
            <w:tcW w:w="1529" w:type="dxa"/>
            <w:vMerge/>
            <w:vAlign w:val="center"/>
          </w:tcPr>
          <w:p w:rsidR="008737B2" w:rsidRPr="0006125D" w:rsidRDefault="008737B2" w:rsidP="006B3C16">
            <w:pPr>
              <w:jc w:val="center"/>
              <w:rPr>
                <w:i/>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 xml:space="preserve">5.3. pašvaldību budžets </w:t>
            </w:r>
          </w:p>
        </w:tc>
        <w:tc>
          <w:tcPr>
            <w:tcW w:w="1529" w:type="dxa"/>
            <w:vMerge/>
            <w:vAlign w:val="center"/>
          </w:tcPr>
          <w:p w:rsidR="008737B2" w:rsidRPr="0006125D" w:rsidRDefault="008737B2" w:rsidP="006B3C16">
            <w:pPr>
              <w:jc w:val="center"/>
              <w:rPr>
                <w:i/>
                <w:sz w:val="26"/>
                <w:szCs w:val="26"/>
              </w:rPr>
            </w:pPr>
          </w:p>
        </w:tc>
        <w:tc>
          <w:tcPr>
            <w:tcW w:w="1383"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227" w:type="dxa"/>
          </w:tcPr>
          <w:p w:rsidR="008737B2" w:rsidRPr="0006125D" w:rsidRDefault="008737B2" w:rsidP="006B3C16">
            <w:pPr>
              <w:jc w:val="center"/>
              <w:rPr>
                <w:sz w:val="26"/>
                <w:szCs w:val="26"/>
              </w:rPr>
            </w:pPr>
          </w:p>
        </w:tc>
        <w:tc>
          <w:tcPr>
            <w:tcW w:w="1320" w:type="dxa"/>
          </w:tcPr>
          <w:p w:rsidR="008737B2" w:rsidRPr="0006125D" w:rsidRDefault="008737B2" w:rsidP="006B3C16">
            <w:pPr>
              <w:jc w:val="center"/>
              <w:rPr>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6. Detalizēts ieņēmumu un izdevumu aprēķins (ja nepie</w:t>
            </w:r>
            <w:r w:rsidRPr="0006125D">
              <w:rPr>
                <w:sz w:val="26"/>
                <w:szCs w:val="26"/>
              </w:rPr>
              <w:softHyphen/>
              <w:t>ciešams, detalizētu ieņēmumu un izdevumu aprēķinu var pie</w:t>
            </w:r>
            <w:r w:rsidRPr="0006125D">
              <w:rPr>
                <w:sz w:val="26"/>
                <w:szCs w:val="26"/>
              </w:rPr>
              <w:softHyphen/>
              <w:t>vienot anotācijas pielikumā):</w:t>
            </w:r>
          </w:p>
        </w:tc>
        <w:tc>
          <w:tcPr>
            <w:tcW w:w="6686" w:type="dxa"/>
            <w:gridSpan w:val="5"/>
            <w:vMerge w:val="restart"/>
            <w:shd w:val="clear" w:color="auto" w:fill="auto"/>
          </w:tcPr>
          <w:p w:rsidR="008737B2" w:rsidRPr="002730CE" w:rsidRDefault="001B1714" w:rsidP="00BB4CA4">
            <w:pPr>
              <w:jc w:val="both"/>
              <w:rPr>
                <w:sz w:val="26"/>
                <w:szCs w:val="26"/>
              </w:rPr>
            </w:pPr>
            <w:r>
              <w:rPr>
                <w:sz w:val="26"/>
                <w:szCs w:val="26"/>
              </w:rPr>
              <w:t>skatīt pielikumā pievienoto izdevumu tāmi.</w:t>
            </w: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6.1. detalizēts ieņēmumu aprēķins</w:t>
            </w:r>
          </w:p>
        </w:tc>
        <w:tc>
          <w:tcPr>
            <w:tcW w:w="6686" w:type="dxa"/>
            <w:gridSpan w:val="5"/>
            <w:vMerge/>
            <w:shd w:val="clear" w:color="auto" w:fill="auto"/>
          </w:tcPr>
          <w:p w:rsidR="008737B2" w:rsidRPr="00BB4CA4" w:rsidRDefault="008737B2" w:rsidP="006B3C16">
            <w:pPr>
              <w:rPr>
                <w:b/>
                <w:i/>
                <w:sz w:val="26"/>
                <w:szCs w:val="26"/>
              </w:rPr>
            </w:pPr>
          </w:p>
        </w:tc>
      </w:tr>
      <w:tr w:rsidR="008737B2" w:rsidRPr="0006125D" w:rsidTr="008737B2">
        <w:trPr>
          <w:jc w:val="center"/>
        </w:trPr>
        <w:tc>
          <w:tcPr>
            <w:tcW w:w="3589" w:type="dxa"/>
          </w:tcPr>
          <w:p w:rsidR="008737B2" w:rsidRPr="0006125D" w:rsidRDefault="008737B2" w:rsidP="006B3C16">
            <w:pPr>
              <w:rPr>
                <w:sz w:val="26"/>
                <w:szCs w:val="26"/>
              </w:rPr>
            </w:pPr>
            <w:r w:rsidRPr="0006125D">
              <w:rPr>
                <w:sz w:val="26"/>
                <w:szCs w:val="26"/>
              </w:rPr>
              <w:t>6.2. detalizēts izdevumu aprēķins</w:t>
            </w:r>
          </w:p>
        </w:tc>
        <w:tc>
          <w:tcPr>
            <w:tcW w:w="6686" w:type="dxa"/>
            <w:gridSpan w:val="5"/>
            <w:vMerge/>
            <w:shd w:val="clear" w:color="auto" w:fill="auto"/>
          </w:tcPr>
          <w:p w:rsidR="008737B2" w:rsidRPr="00BB4CA4" w:rsidRDefault="008737B2" w:rsidP="006B3C16">
            <w:pPr>
              <w:rPr>
                <w:b/>
                <w:i/>
                <w:sz w:val="26"/>
                <w:szCs w:val="26"/>
              </w:rPr>
            </w:pPr>
          </w:p>
        </w:tc>
      </w:tr>
      <w:tr w:rsidR="008737B2" w:rsidRPr="0006125D" w:rsidTr="008737B2">
        <w:trPr>
          <w:trHeight w:val="399"/>
          <w:jc w:val="center"/>
        </w:trPr>
        <w:tc>
          <w:tcPr>
            <w:tcW w:w="3589" w:type="dxa"/>
          </w:tcPr>
          <w:p w:rsidR="008737B2" w:rsidRPr="0006125D" w:rsidRDefault="008737B2" w:rsidP="006B3C16">
            <w:pPr>
              <w:rPr>
                <w:sz w:val="26"/>
                <w:szCs w:val="26"/>
              </w:rPr>
            </w:pPr>
            <w:r w:rsidRPr="0006125D">
              <w:rPr>
                <w:sz w:val="26"/>
                <w:szCs w:val="26"/>
              </w:rPr>
              <w:t>7. Cita informācija</w:t>
            </w:r>
          </w:p>
        </w:tc>
        <w:tc>
          <w:tcPr>
            <w:tcW w:w="6686" w:type="dxa"/>
            <w:gridSpan w:val="5"/>
            <w:shd w:val="clear" w:color="auto" w:fill="auto"/>
          </w:tcPr>
          <w:p w:rsidR="008737B2" w:rsidRPr="00BB4CA4" w:rsidRDefault="00CD3509" w:rsidP="00B34A76">
            <w:pPr>
              <w:jc w:val="both"/>
              <w:rPr>
                <w:sz w:val="26"/>
                <w:szCs w:val="26"/>
              </w:rPr>
            </w:pPr>
            <w:r>
              <w:rPr>
                <w:sz w:val="25"/>
                <w:szCs w:val="25"/>
              </w:rPr>
              <w:tab/>
            </w:r>
            <w:r w:rsidR="001B1714">
              <w:rPr>
                <w:sz w:val="25"/>
                <w:szCs w:val="25"/>
              </w:rPr>
              <w:t xml:space="preserve">Šobrīd valsts atbalsts </w:t>
            </w:r>
            <w:r w:rsidR="001B1714" w:rsidRPr="001B1714">
              <w:rPr>
                <w:sz w:val="25"/>
                <w:szCs w:val="25"/>
              </w:rPr>
              <w:t xml:space="preserve">nacionālas nozīmes starptautisku sporta pasākumu organizēšanai Latvijā </w:t>
            </w:r>
            <w:r w:rsidR="001B1714">
              <w:rPr>
                <w:sz w:val="25"/>
                <w:szCs w:val="25"/>
              </w:rPr>
              <w:t>tiek nodrošināts no Izglītības un zinātnes ministrijas budžeta apakšprogrammas 09.16.00 “</w:t>
            </w:r>
            <w:r w:rsidR="001B1714" w:rsidRPr="001B1714">
              <w:rPr>
                <w:sz w:val="25"/>
                <w:szCs w:val="25"/>
              </w:rPr>
              <w:t>Dotācija nacionālas nozīmes starptautisku sporta pasākumu organizēšanai Latvijā</w:t>
            </w:r>
            <w:r w:rsidR="001B1714">
              <w:rPr>
                <w:sz w:val="25"/>
                <w:szCs w:val="25"/>
              </w:rPr>
              <w:t xml:space="preserve">”. </w:t>
            </w:r>
            <w:r w:rsidR="00815BCE" w:rsidRPr="009F1E12">
              <w:rPr>
                <w:sz w:val="25"/>
                <w:szCs w:val="25"/>
              </w:rPr>
              <w:t>Rīkojuma projektā paredzēt</w:t>
            </w:r>
            <w:r w:rsidR="001B1714">
              <w:rPr>
                <w:sz w:val="25"/>
                <w:szCs w:val="25"/>
              </w:rPr>
              <w:t>ai</w:t>
            </w:r>
            <w:r w:rsidR="00815BCE" w:rsidRPr="009F1E12">
              <w:rPr>
                <w:sz w:val="25"/>
                <w:szCs w:val="25"/>
              </w:rPr>
              <w:t xml:space="preserve">s </w:t>
            </w:r>
            <w:r w:rsidR="001B1714">
              <w:rPr>
                <w:sz w:val="25"/>
                <w:szCs w:val="25"/>
              </w:rPr>
              <w:t>valsts līdzfinansējums</w:t>
            </w:r>
            <w:r w:rsidR="00815BCE" w:rsidRPr="009F1E12">
              <w:rPr>
                <w:sz w:val="25"/>
                <w:szCs w:val="25"/>
              </w:rPr>
              <w:t xml:space="preserve"> </w:t>
            </w:r>
            <w:r w:rsidR="001B1714">
              <w:rPr>
                <w:sz w:val="25"/>
                <w:szCs w:val="25"/>
              </w:rPr>
              <w:t>80% apmērā no pieprasītā finansējuma (67</w:t>
            </w:r>
            <w:r w:rsidR="00815BCE" w:rsidRPr="009F1E12">
              <w:rPr>
                <w:sz w:val="25"/>
                <w:szCs w:val="25"/>
              </w:rPr>
              <w:t> </w:t>
            </w:r>
            <w:r w:rsidR="001B1714">
              <w:rPr>
                <w:sz w:val="25"/>
                <w:szCs w:val="25"/>
              </w:rPr>
              <w:t>214</w:t>
            </w:r>
            <w:r w:rsidR="00815BCE" w:rsidRPr="009F1E12">
              <w:rPr>
                <w:sz w:val="25"/>
                <w:szCs w:val="25"/>
              </w:rPr>
              <w:t xml:space="preserve"> </w:t>
            </w:r>
            <w:r w:rsidR="00815BCE" w:rsidRPr="009F1E12">
              <w:rPr>
                <w:i/>
                <w:sz w:val="25"/>
                <w:szCs w:val="25"/>
              </w:rPr>
              <w:t>euro</w:t>
            </w:r>
            <w:r w:rsidR="00815BCE" w:rsidRPr="009F1E12">
              <w:rPr>
                <w:sz w:val="25"/>
                <w:szCs w:val="25"/>
              </w:rPr>
              <w:t xml:space="preserve"> apmērā</w:t>
            </w:r>
            <w:r w:rsidR="001B1714">
              <w:rPr>
                <w:sz w:val="25"/>
                <w:szCs w:val="25"/>
              </w:rPr>
              <w:t xml:space="preserve">) </w:t>
            </w:r>
            <w:r w:rsidR="001B1714" w:rsidRPr="001B1714">
              <w:rPr>
                <w:sz w:val="25"/>
                <w:szCs w:val="25"/>
              </w:rPr>
              <w:t xml:space="preserve">Latvijas Nacionālās vīriešu basketbola izlases spēļu publiskās skatīšanas zonas darbības nodrošināšanai Rīgā pie Brīvības pieminekļa </w:t>
            </w:r>
            <w:r w:rsidR="00815BCE" w:rsidRPr="009F1E12">
              <w:rPr>
                <w:sz w:val="25"/>
                <w:szCs w:val="25"/>
              </w:rPr>
              <w:t xml:space="preserve">tiks </w:t>
            </w:r>
            <w:r w:rsidR="001B1714">
              <w:rPr>
                <w:sz w:val="25"/>
                <w:szCs w:val="25"/>
              </w:rPr>
              <w:t>nodrošināts</w:t>
            </w:r>
            <w:r w:rsidR="001B1714" w:rsidRPr="009F1E12">
              <w:rPr>
                <w:sz w:val="25"/>
                <w:szCs w:val="25"/>
              </w:rPr>
              <w:t xml:space="preserve"> </w:t>
            </w:r>
            <w:r w:rsidR="00815BCE" w:rsidRPr="009F1E12">
              <w:rPr>
                <w:sz w:val="25"/>
                <w:szCs w:val="25"/>
              </w:rPr>
              <w:t xml:space="preserve">no </w:t>
            </w:r>
            <w:r w:rsidR="00815BCE">
              <w:rPr>
                <w:sz w:val="25"/>
                <w:szCs w:val="25"/>
              </w:rPr>
              <w:t xml:space="preserve">Izglītības un zinātnes ministrijai piešķirtajiem līdzekļiem no </w:t>
            </w:r>
            <w:r w:rsidR="00815BCE" w:rsidRPr="009F1E12">
              <w:rPr>
                <w:sz w:val="25"/>
                <w:szCs w:val="25"/>
              </w:rPr>
              <w:t xml:space="preserve">valsts budžeta programmas 02.00.00 </w:t>
            </w:r>
            <w:r w:rsidR="008C5C04">
              <w:rPr>
                <w:sz w:val="25"/>
                <w:szCs w:val="25"/>
              </w:rPr>
              <w:t>“</w:t>
            </w:r>
            <w:r w:rsidR="00815BCE" w:rsidRPr="009F1E12">
              <w:rPr>
                <w:sz w:val="25"/>
                <w:szCs w:val="25"/>
              </w:rPr>
              <w:t xml:space="preserve">Līdzekļi neparedzētiem </w:t>
            </w:r>
            <w:r w:rsidR="00815BCE" w:rsidRPr="009F1E12">
              <w:rPr>
                <w:sz w:val="25"/>
                <w:szCs w:val="25"/>
              </w:rPr>
              <w:lastRenderedPageBreak/>
              <w:t>gadījumiem”.</w:t>
            </w:r>
            <w:r w:rsidR="00815BCE">
              <w:rPr>
                <w:sz w:val="25"/>
                <w:szCs w:val="25"/>
              </w:rPr>
              <w:t xml:space="preserve"> </w:t>
            </w:r>
            <w:r w:rsidR="00B34A76" w:rsidRPr="00B34A76">
              <w:rPr>
                <w:sz w:val="25"/>
                <w:szCs w:val="25"/>
              </w:rPr>
              <w:t>Savienība no saviem līdzekļiem nodro</w:t>
            </w:r>
            <w:r w:rsidR="00B34A76" w:rsidRPr="00A36EDD">
              <w:rPr>
                <w:sz w:val="25"/>
                <w:szCs w:val="25"/>
              </w:rPr>
              <w:t xml:space="preserve">šinās līdzfinansējumu 20% apmēra, kas ir 16 803 </w:t>
            </w:r>
            <w:r w:rsidR="00B34A76" w:rsidRPr="00A36EDD">
              <w:rPr>
                <w:i/>
                <w:sz w:val="25"/>
                <w:szCs w:val="25"/>
              </w:rPr>
              <w:t>euro</w:t>
            </w:r>
            <w:r w:rsidR="00B34A76" w:rsidRPr="00B34A76">
              <w:rPr>
                <w:sz w:val="25"/>
                <w:szCs w:val="25"/>
              </w:rPr>
              <w:t>.</w:t>
            </w:r>
          </w:p>
        </w:tc>
      </w:tr>
    </w:tbl>
    <w:p w:rsidR="008737B2" w:rsidRDefault="008737B2" w:rsidP="005C3A56">
      <w:pPr>
        <w:pStyle w:val="naisf"/>
        <w:tabs>
          <w:tab w:val="left" w:pos="3819"/>
        </w:tabs>
        <w:spacing w:before="0" w:after="0"/>
        <w:rPr>
          <w:sz w:val="26"/>
          <w:szCs w:val="26"/>
        </w:rPr>
      </w:pPr>
    </w:p>
    <w:p w:rsidR="00BB4CA4" w:rsidRPr="0006125D" w:rsidRDefault="00BB4CA4" w:rsidP="00BB4CA4">
      <w:pPr>
        <w:ind w:left="-567" w:right="-427"/>
        <w:jc w:val="both"/>
        <w:rPr>
          <w:i/>
          <w:sz w:val="26"/>
          <w:szCs w:val="26"/>
        </w:rPr>
      </w:pPr>
      <w:r w:rsidRPr="0006125D">
        <w:rPr>
          <w:i/>
          <w:sz w:val="26"/>
          <w:szCs w:val="26"/>
        </w:rPr>
        <w:t>Anotācijas II, IV, V, VI un VII sadaļa – Ministru kabineta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A36EDD" w:rsidRDefault="00A36EDD" w:rsidP="00C7220E">
      <w:pPr>
        <w:pStyle w:val="BodyText2"/>
        <w:spacing w:after="0" w:line="240" w:lineRule="auto"/>
        <w:ind w:firstLine="720"/>
        <w:jc w:val="both"/>
        <w:rPr>
          <w:sz w:val="26"/>
          <w:szCs w:val="26"/>
        </w:rPr>
      </w:pPr>
    </w:p>
    <w:p w:rsidR="00617D7A" w:rsidRDefault="008C03E0" w:rsidP="00C7220E">
      <w:pPr>
        <w:pStyle w:val="BodyText2"/>
        <w:spacing w:after="0" w:line="240" w:lineRule="auto"/>
        <w:ind w:firstLine="720"/>
        <w:jc w:val="both"/>
        <w:rPr>
          <w:sz w:val="26"/>
          <w:szCs w:val="26"/>
        </w:rPr>
      </w:pPr>
      <w:r>
        <w:rPr>
          <w:sz w:val="26"/>
          <w:szCs w:val="26"/>
        </w:rPr>
        <w:t>Finanšu</w:t>
      </w:r>
      <w:r w:rsidR="008F245F" w:rsidRPr="00C13B05">
        <w:rPr>
          <w:sz w:val="26"/>
          <w:szCs w:val="26"/>
        </w:rPr>
        <w:t xml:space="preserve"> ministr</w:t>
      </w:r>
      <w:r>
        <w:rPr>
          <w:sz w:val="26"/>
          <w:szCs w:val="26"/>
        </w:rPr>
        <w:t>s</w:t>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Pr>
          <w:sz w:val="26"/>
          <w:szCs w:val="26"/>
        </w:rPr>
        <w:t>J.Reirs</w:t>
      </w:r>
    </w:p>
    <w:p w:rsidR="00585B7B" w:rsidRPr="00C13B05" w:rsidRDefault="00585B7B" w:rsidP="00D96FCD">
      <w:pPr>
        <w:rPr>
          <w:sz w:val="26"/>
          <w:szCs w:val="26"/>
        </w:rPr>
      </w:pPr>
    </w:p>
    <w:p w:rsidR="004560F5" w:rsidRPr="00C13B05" w:rsidRDefault="004560F5" w:rsidP="00D96FCD">
      <w:pPr>
        <w:rPr>
          <w:sz w:val="26"/>
          <w:szCs w:val="26"/>
        </w:rPr>
      </w:pPr>
    </w:p>
    <w:p w:rsidR="0077133D" w:rsidRDefault="008C03E0" w:rsidP="008F1B65">
      <w:pPr>
        <w:ind w:left="709"/>
        <w:rPr>
          <w:sz w:val="22"/>
          <w:szCs w:val="22"/>
        </w:rPr>
      </w:pPr>
      <w:r>
        <w:rPr>
          <w:sz w:val="26"/>
          <w:szCs w:val="26"/>
          <w:lang w:eastAsia="en-US"/>
        </w:rPr>
        <w:t>Valsts sekretāre</w:t>
      </w:r>
      <w:r w:rsidR="00CD3509">
        <w:rPr>
          <w:sz w:val="26"/>
          <w:szCs w:val="26"/>
          <w:lang w:eastAsia="en-US"/>
        </w:rPr>
        <w:tab/>
      </w:r>
      <w:r>
        <w:rPr>
          <w:sz w:val="26"/>
          <w:szCs w:val="26"/>
          <w:lang w:eastAsia="en-US"/>
        </w:rPr>
        <w:t xml:space="preserve">                                            B.Bāne</w:t>
      </w:r>
    </w:p>
    <w:p w:rsidR="00C451CB" w:rsidRDefault="00FE3245" w:rsidP="00FE3245">
      <w:pPr>
        <w:tabs>
          <w:tab w:val="left" w:pos="6495"/>
        </w:tabs>
        <w:jc w:val="both"/>
        <w:rPr>
          <w:sz w:val="22"/>
          <w:szCs w:val="22"/>
        </w:rPr>
      </w:pPr>
      <w:r>
        <w:rPr>
          <w:sz w:val="22"/>
          <w:szCs w:val="22"/>
        </w:rPr>
        <w:tab/>
      </w:r>
    </w:p>
    <w:p w:rsidR="00C451CB" w:rsidRDefault="00C451CB" w:rsidP="00D96FCD">
      <w:pPr>
        <w:jc w:val="both"/>
        <w:rPr>
          <w:sz w:val="22"/>
          <w:szCs w:val="22"/>
        </w:rPr>
      </w:pPr>
    </w:p>
    <w:p w:rsidR="00CF7C34" w:rsidRDefault="00CF7C34" w:rsidP="00D96FCD">
      <w:pPr>
        <w:jc w:val="both"/>
        <w:rPr>
          <w:sz w:val="22"/>
          <w:szCs w:val="22"/>
        </w:rPr>
      </w:pPr>
    </w:p>
    <w:p w:rsidR="00CD3509" w:rsidRDefault="00CD3509"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A36EDD" w:rsidRDefault="00A36EDD" w:rsidP="00D96FCD">
      <w:pPr>
        <w:jc w:val="both"/>
        <w:rPr>
          <w:sz w:val="22"/>
          <w:szCs w:val="22"/>
        </w:rPr>
      </w:pPr>
    </w:p>
    <w:p w:rsidR="00CD3509" w:rsidRDefault="00CD3509" w:rsidP="00D96FCD">
      <w:pPr>
        <w:jc w:val="both"/>
        <w:rPr>
          <w:sz w:val="22"/>
          <w:szCs w:val="22"/>
        </w:rPr>
      </w:pPr>
    </w:p>
    <w:p w:rsidR="00CD3509" w:rsidRPr="004816F6" w:rsidRDefault="00CD3509" w:rsidP="00D96FCD">
      <w:pPr>
        <w:jc w:val="both"/>
        <w:rPr>
          <w:sz w:val="22"/>
          <w:szCs w:val="22"/>
        </w:rPr>
      </w:pPr>
    </w:p>
    <w:p w:rsidR="000912B2" w:rsidRPr="004816F6" w:rsidRDefault="00AF68DD" w:rsidP="000912B2">
      <w:pPr>
        <w:ind w:firstLine="709"/>
        <w:jc w:val="both"/>
        <w:rPr>
          <w:sz w:val="22"/>
          <w:szCs w:val="22"/>
        </w:rPr>
      </w:pPr>
      <w:r>
        <w:rPr>
          <w:sz w:val="22"/>
          <w:szCs w:val="22"/>
        </w:rPr>
        <w:t>1</w:t>
      </w:r>
      <w:r w:rsidR="008C03E0">
        <w:rPr>
          <w:sz w:val="22"/>
          <w:szCs w:val="22"/>
        </w:rPr>
        <w:t>7</w:t>
      </w:r>
      <w:r>
        <w:rPr>
          <w:sz w:val="22"/>
          <w:szCs w:val="22"/>
        </w:rPr>
        <w:t>.0</w:t>
      </w:r>
      <w:r w:rsidR="008C03E0">
        <w:rPr>
          <w:sz w:val="22"/>
          <w:szCs w:val="22"/>
        </w:rPr>
        <w:t>9</w:t>
      </w:r>
      <w:r w:rsidR="000912B2" w:rsidRPr="004816F6">
        <w:rPr>
          <w:sz w:val="22"/>
          <w:szCs w:val="22"/>
        </w:rPr>
        <w:t>.201</w:t>
      </w:r>
      <w:r>
        <w:rPr>
          <w:sz w:val="22"/>
          <w:szCs w:val="22"/>
        </w:rPr>
        <w:t>5</w:t>
      </w:r>
      <w:r w:rsidR="000912B2" w:rsidRPr="004816F6">
        <w:rPr>
          <w:sz w:val="22"/>
          <w:szCs w:val="22"/>
        </w:rPr>
        <w:t xml:space="preserve">. </w:t>
      </w:r>
      <w:r w:rsidR="00F114EA">
        <w:rPr>
          <w:sz w:val="22"/>
          <w:szCs w:val="22"/>
        </w:rPr>
        <w:t>1</w:t>
      </w:r>
      <w:r w:rsidR="00A36EDD">
        <w:rPr>
          <w:sz w:val="22"/>
          <w:szCs w:val="22"/>
        </w:rPr>
        <w:t>6</w:t>
      </w:r>
      <w:r w:rsidR="000912B2" w:rsidRPr="004816F6">
        <w:rPr>
          <w:sz w:val="22"/>
          <w:szCs w:val="22"/>
        </w:rPr>
        <w:t>:</w:t>
      </w:r>
      <w:r w:rsidR="00F114EA">
        <w:rPr>
          <w:sz w:val="22"/>
          <w:szCs w:val="22"/>
        </w:rPr>
        <w:t>01</w:t>
      </w:r>
    </w:p>
    <w:p w:rsidR="000912B2" w:rsidRPr="004816F6" w:rsidRDefault="00A36EDD" w:rsidP="000912B2">
      <w:pPr>
        <w:ind w:firstLine="709"/>
        <w:jc w:val="both"/>
        <w:rPr>
          <w:sz w:val="22"/>
          <w:szCs w:val="22"/>
        </w:rPr>
      </w:pPr>
      <w:r>
        <w:rPr>
          <w:sz w:val="22"/>
          <w:szCs w:val="22"/>
        </w:rPr>
        <w:t>841</w:t>
      </w:r>
    </w:p>
    <w:p w:rsidR="000912B2" w:rsidRPr="004816F6" w:rsidRDefault="008C03E0" w:rsidP="000912B2">
      <w:pPr>
        <w:ind w:firstLine="709"/>
        <w:rPr>
          <w:b/>
          <w:sz w:val="22"/>
          <w:szCs w:val="22"/>
        </w:rPr>
      </w:pPr>
      <w:r>
        <w:rPr>
          <w:sz w:val="22"/>
          <w:szCs w:val="22"/>
        </w:rPr>
        <w:t>J.Antropova</w:t>
      </w:r>
    </w:p>
    <w:p w:rsidR="008C03E0" w:rsidRDefault="000912B2" w:rsidP="00E80F7A">
      <w:pPr>
        <w:ind w:firstLine="709"/>
        <w:jc w:val="both"/>
        <w:rPr>
          <w:sz w:val="22"/>
          <w:szCs w:val="22"/>
        </w:rPr>
      </w:pPr>
      <w:r w:rsidRPr="004816F6">
        <w:rPr>
          <w:sz w:val="22"/>
          <w:szCs w:val="22"/>
        </w:rPr>
        <w:t>670</w:t>
      </w:r>
      <w:r w:rsidR="008C03E0">
        <w:rPr>
          <w:sz w:val="22"/>
          <w:szCs w:val="22"/>
        </w:rPr>
        <w:t>95445</w:t>
      </w:r>
      <w:r w:rsidRPr="004816F6">
        <w:rPr>
          <w:sz w:val="22"/>
          <w:szCs w:val="22"/>
        </w:rPr>
        <w:t xml:space="preserve">, </w:t>
      </w:r>
    </w:p>
    <w:p w:rsidR="000912B2" w:rsidRPr="00055608" w:rsidRDefault="008C03E0" w:rsidP="00E80F7A">
      <w:pPr>
        <w:ind w:firstLine="709"/>
        <w:jc w:val="both"/>
        <w:rPr>
          <w:sz w:val="22"/>
          <w:szCs w:val="22"/>
        </w:rPr>
      </w:pPr>
      <w:r>
        <w:rPr>
          <w:sz w:val="22"/>
          <w:szCs w:val="22"/>
        </w:rPr>
        <w:t>jelena.antropova</w:t>
      </w:r>
      <w:r w:rsidR="000912B2" w:rsidRPr="004816F6">
        <w:rPr>
          <w:sz w:val="22"/>
          <w:szCs w:val="22"/>
        </w:rPr>
        <w:t>@</w:t>
      </w:r>
      <w:r>
        <w:rPr>
          <w:sz w:val="22"/>
          <w:szCs w:val="22"/>
        </w:rPr>
        <w:t>fm</w:t>
      </w:r>
      <w:r w:rsidR="000912B2" w:rsidRPr="004816F6">
        <w:rPr>
          <w:sz w:val="22"/>
          <w:szCs w:val="22"/>
        </w:rPr>
        <w:t>.gov.lv</w:t>
      </w:r>
    </w:p>
    <w:sectPr w:rsidR="000912B2" w:rsidRPr="00055608" w:rsidSect="00F66B51">
      <w:headerReference w:type="default" r:id="rId8"/>
      <w:footerReference w:type="default" r:id="rId9"/>
      <w:footerReference w:type="first" r:id="rId10"/>
      <w:pgSz w:w="11906" w:h="16838" w:code="9"/>
      <w:pgMar w:top="1134" w:right="1134" w:bottom="1134" w:left="1701" w:header="567"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1F" w:rsidRDefault="006A691F" w:rsidP="00123E9B">
      <w:r>
        <w:separator/>
      </w:r>
    </w:p>
  </w:endnote>
  <w:endnote w:type="continuationSeparator" w:id="0">
    <w:p w:rsidR="006A691F" w:rsidRDefault="006A691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7" w:rsidRPr="0079257F" w:rsidRDefault="008C03E0" w:rsidP="001D3147">
    <w:pPr>
      <w:jc w:val="both"/>
      <w:rPr>
        <w:sz w:val="22"/>
        <w:szCs w:val="22"/>
      </w:rPr>
    </w:pPr>
    <w:r>
      <w:rPr>
        <w:sz w:val="22"/>
        <w:szCs w:val="22"/>
      </w:rPr>
      <w:t>FMAnot</w:t>
    </w:r>
    <w:r w:rsidR="00293807">
      <w:rPr>
        <w:sz w:val="22"/>
        <w:szCs w:val="22"/>
      </w:rPr>
      <w:t>_</w:t>
    </w:r>
    <w:r w:rsidR="00AF68DD">
      <w:rPr>
        <w:sz w:val="22"/>
        <w:szCs w:val="22"/>
      </w:rPr>
      <w:t>1</w:t>
    </w:r>
    <w:r>
      <w:rPr>
        <w:sz w:val="22"/>
        <w:szCs w:val="22"/>
      </w:rPr>
      <w:t>7</w:t>
    </w:r>
    <w:r w:rsidR="00AF68DD">
      <w:rPr>
        <w:sz w:val="22"/>
        <w:szCs w:val="22"/>
      </w:rPr>
      <w:t>0</w:t>
    </w:r>
    <w:r>
      <w:rPr>
        <w:sz w:val="22"/>
        <w:szCs w:val="22"/>
      </w:rPr>
      <w:t>9</w:t>
    </w:r>
    <w:r w:rsidR="00AF68DD">
      <w:rPr>
        <w:sz w:val="22"/>
        <w:szCs w:val="22"/>
      </w:rPr>
      <w:t>15</w:t>
    </w:r>
    <w:r w:rsidR="004F788C" w:rsidRPr="0079257F">
      <w:rPr>
        <w:sz w:val="22"/>
        <w:szCs w:val="22"/>
      </w:rPr>
      <w:t>_</w:t>
    </w:r>
    <w:r>
      <w:rPr>
        <w:sz w:val="22"/>
        <w:szCs w:val="22"/>
      </w:rPr>
      <w:t>LNG_LBS</w:t>
    </w:r>
    <w:r w:rsidR="001D3147" w:rsidRPr="0079257F">
      <w:rPr>
        <w:sz w:val="22"/>
        <w:szCs w:val="22"/>
      </w:rPr>
      <w:t xml:space="preserve">; Ministru kabineta rīkojuma projekta </w:t>
    </w:r>
    <w:r w:rsidRPr="008C03E0">
      <w:rPr>
        <w:sz w:val="22"/>
        <w:szCs w:val="22"/>
      </w:rPr>
      <w:t>“Par finanšu līdzekļu piešķiršanu no valsts budžeta programmas "Līdzekļi neparedzētiem gadījumiem””</w:t>
    </w:r>
    <w:r w:rsidR="001D3147" w:rsidRPr="0079257F">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0" w:rsidRPr="0079257F" w:rsidRDefault="008C03E0" w:rsidP="008C03E0">
    <w:pPr>
      <w:jc w:val="both"/>
      <w:rPr>
        <w:sz w:val="22"/>
        <w:szCs w:val="22"/>
      </w:rPr>
    </w:pPr>
    <w:r>
      <w:rPr>
        <w:sz w:val="22"/>
        <w:szCs w:val="22"/>
      </w:rPr>
      <w:t>FMAnot_170915</w:t>
    </w:r>
    <w:r w:rsidRPr="0079257F">
      <w:rPr>
        <w:sz w:val="22"/>
        <w:szCs w:val="22"/>
      </w:rPr>
      <w:t>_</w:t>
    </w:r>
    <w:r>
      <w:rPr>
        <w:sz w:val="22"/>
        <w:szCs w:val="22"/>
      </w:rPr>
      <w:t>LNG_LBS</w:t>
    </w:r>
    <w:r w:rsidRPr="0079257F">
      <w:rPr>
        <w:sz w:val="22"/>
        <w:szCs w:val="22"/>
      </w:rPr>
      <w:t xml:space="preserve">; Ministru kabineta rīkojuma projekta </w:t>
    </w:r>
    <w:r w:rsidRPr="008C03E0">
      <w:rPr>
        <w:sz w:val="22"/>
        <w:szCs w:val="22"/>
      </w:rPr>
      <w:t>“Par finanšu līdzekļu piešķiršanu no valsts budžeta programmas "Līdzekļi neparedzētiem gadījumiem””</w:t>
    </w:r>
    <w:r w:rsidRPr="0079257F">
      <w:rPr>
        <w:sz w:val="22"/>
        <w:szCs w:val="22"/>
      </w:rPr>
      <w:t xml:space="preserve"> sākotnējās ietekmes novērtējuma ziņojums (anotācija)</w:t>
    </w:r>
  </w:p>
  <w:p w:rsidR="00036977" w:rsidRPr="00293807" w:rsidRDefault="00036977" w:rsidP="00293807">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1F" w:rsidRDefault="006A691F" w:rsidP="00123E9B">
      <w:r>
        <w:separator/>
      </w:r>
    </w:p>
  </w:footnote>
  <w:footnote w:type="continuationSeparator" w:id="0">
    <w:p w:rsidR="006A691F" w:rsidRDefault="006A691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77" w:rsidRDefault="00EA2658">
    <w:pPr>
      <w:pStyle w:val="Header"/>
      <w:jc w:val="center"/>
    </w:pPr>
    <w:r>
      <w:fldChar w:fldCharType="begin"/>
    </w:r>
    <w:r w:rsidR="008723BF">
      <w:instrText xml:space="preserve"> PAGE   \* MERGEFORMAT </w:instrText>
    </w:r>
    <w:r>
      <w:fldChar w:fldCharType="separate"/>
    </w:r>
    <w:r w:rsidR="00D8766A">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36522AF4"/>
    <w:multiLevelType w:val="hybridMultilevel"/>
    <w:tmpl w:val="99803E8A"/>
    <w:lvl w:ilvl="0" w:tplc="600ADA4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3">
    <w:nsid w:val="3A0B7D31"/>
    <w:multiLevelType w:val="hybridMultilevel"/>
    <w:tmpl w:val="A5820A3E"/>
    <w:lvl w:ilvl="0" w:tplc="E2D23760">
      <w:start w:val="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B8F295D"/>
    <w:multiLevelType w:val="hybridMultilevel"/>
    <w:tmpl w:val="D7243DD0"/>
    <w:lvl w:ilvl="0" w:tplc="7E9468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C6469F1"/>
    <w:multiLevelType w:val="hybridMultilevel"/>
    <w:tmpl w:val="C5748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5"/>
  </w:num>
  <w:num w:numId="6">
    <w:abstractNumId w:val="6"/>
  </w:num>
  <w:num w:numId="7">
    <w:abstractNumId w:val="0"/>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CE0"/>
    <w:rsid w:val="00000DEA"/>
    <w:rsid w:val="00002604"/>
    <w:rsid w:val="00002DDF"/>
    <w:rsid w:val="0000524B"/>
    <w:rsid w:val="00006D42"/>
    <w:rsid w:val="00010140"/>
    <w:rsid w:val="00010590"/>
    <w:rsid w:val="000120DA"/>
    <w:rsid w:val="00012EAE"/>
    <w:rsid w:val="00027346"/>
    <w:rsid w:val="00027AE4"/>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477"/>
    <w:rsid w:val="00081CEB"/>
    <w:rsid w:val="000849C2"/>
    <w:rsid w:val="00084C38"/>
    <w:rsid w:val="00090BFF"/>
    <w:rsid w:val="000912B2"/>
    <w:rsid w:val="000934D5"/>
    <w:rsid w:val="00094F13"/>
    <w:rsid w:val="00095992"/>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2670"/>
    <w:rsid w:val="001673FC"/>
    <w:rsid w:val="00172A25"/>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1714"/>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60A8"/>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67A35"/>
    <w:rsid w:val="00270E39"/>
    <w:rsid w:val="00272248"/>
    <w:rsid w:val="002730CE"/>
    <w:rsid w:val="00273D63"/>
    <w:rsid w:val="00274E8A"/>
    <w:rsid w:val="002761F4"/>
    <w:rsid w:val="002819CC"/>
    <w:rsid w:val="0028791A"/>
    <w:rsid w:val="002903DB"/>
    <w:rsid w:val="00290940"/>
    <w:rsid w:val="0029164A"/>
    <w:rsid w:val="002918AC"/>
    <w:rsid w:val="00291A48"/>
    <w:rsid w:val="00293807"/>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0BF1"/>
    <w:rsid w:val="00312022"/>
    <w:rsid w:val="0031483B"/>
    <w:rsid w:val="00314876"/>
    <w:rsid w:val="00315B70"/>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5347"/>
    <w:rsid w:val="003C691E"/>
    <w:rsid w:val="003D4908"/>
    <w:rsid w:val="003E6E62"/>
    <w:rsid w:val="003F1F82"/>
    <w:rsid w:val="003F43C8"/>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3FE3"/>
    <w:rsid w:val="004475CC"/>
    <w:rsid w:val="00450BED"/>
    <w:rsid w:val="00450CC2"/>
    <w:rsid w:val="00451063"/>
    <w:rsid w:val="004513C2"/>
    <w:rsid w:val="00451ABA"/>
    <w:rsid w:val="00453435"/>
    <w:rsid w:val="00454E29"/>
    <w:rsid w:val="004560F5"/>
    <w:rsid w:val="004569F4"/>
    <w:rsid w:val="00456B4A"/>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3A6"/>
    <w:rsid w:val="004925F7"/>
    <w:rsid w:val="004940B7"/>
    <w:rsid w:val="0049673D"/>
    <w:rsid w:val="004A1976"/>
    <w:rsid w:val="004A1F56"/>
    <w:rsid w:val="004A2074"/>
    <w:rsid w:val="004A5933"/>
    <w:rsid w:val="004A6A93"/>
    <w:rsid w:val="004A6E2E"/>
    <w:rsid w:val="004B0198"/>
    <w:rsid w:val="004B3DE6"/>
    <w:rsid w:val="004B550F"/>
    <w:rsid w:val="004B617C"/>
    <w:rsid w:val="004B7C13"/>
    <w:rsid w:val="004C673C"/>
    <w:rsid w:val="004C6E14"/>
    <w:rsid w:val="004C7662"/>
    <w:rsid w:val="004D202D"/>
    <w:rsid w:val="004D40E3"/>
    <w:rsid w:val="004D6A71"/>
    <w:rsid w:val="004E0F6A"/>
    <w:rsid w:val="004E12FF"/>
    <w:rsid w:val="004E4B60"/>
    <w:rsid w:val="004E607D"/>
    <w:rsid w:val="004F14C5"/>
    <w:rsid w:val="004F3806"/>
    <w:rsid w:val="004F3D0D"/>
    <w:rsid w:val="004F405E"/>
    <w:rsid w:val="004F788C"/>
    <w:rsid w:val="00504DBF"/>
    <w:rsid w:val="00506F79"/>
    <w:rsid w:val="00514C25"/>
    <w:rsid w:val="00516733"/>
    <w:rsid w:val="0052372C"/>
    <w:rsid w:val="00524879"/>
    <w:rsid w:val="0052503E"/>
    <w:rsid w:val="0052659E"/>
    <w:rsid w:val="00526BBC"/>
    <w:rsid w:val="005303DD"/>
    <w:rsid w:val="005306CD"/>
    <w:rsid w:val="00530EBE"/>
    <w:rsid w:val="005316FB"/>
    <w:rsid w:val="005333E2"/>
    <w:rsid w:val="00533BE9"/>
    <w:rsid w:val="005344F2"/>
    <w:rsid w:val="00534712"/>
    <w:rsid w:val="00535B15"/>
    <w:rsid w:val="0054241F"/>
    <w:rsid w:val="005431CC"/>
    <w:rsid w:val="0054456F"/>
    <w:rsid w:val="00545639"/>
    <w:rsid w:val="00545AE6"/>
    <w:rsid w:val="005462AF"/>
    <w:rsid w:val="005511F9"/>
    <w:rsid w:val="00551AA8"/>
    <w:rsid w:val="00554CE1"/>
    <w:rsid w:val="00557E2F"/>
    <w:rsid w:val="00560101"/>
    <w:rsid w:val="005637B7"/>
    <w:rsid w:val="00564A7F"/>
    <w:rsid w:val="00565777"/>
    <w:rsid w:val="005714B2"/>
    <w:rsid w:val="00573C60"/>
    <w:rsid w:val="0057494E"/>
    <w:rsid w:val="0058573F"/>
    <w:rsid w:val="00585B7B"/>
    <w:rsid w:val="00587C74"/>
    <w:rsid w:val="00590DD0"/>
    <w:rsid w:val="00591268"/>
    <w:rsid w:val="0059354C"/>
    <w:rsid w:val="005940C5"/>
    <w:rsid w:val="00594DEF"/>
    <w:rsid w:val="005A02DC"/>
    <w:rsid w:val="005A03DE"/>
    <w:rsid w:val="005A077D"/>
    <w:rsid w:val="005A0EAC"/>
    <w:rsid w:val="005A518B"/>
    <w:rsid w:val="005A7608"/>
    <w:rsid w:val="005B1E9C"/>
    <w:rsid w:val="005B31E6"/>
    <w:rsid w:val="005B3D7A"/>
    <w:rsid w:val="005B4B22"/>
    <w:rsid w:val="005B5C5C"/>
    <w:rsid w:val="005C0446"/>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A0F"/>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93071"/>
    <w:rsid w:val="00693E2C"/>
    <w:rsid w:val="00697E73"/>
    <w:rsid w:val="006A20B2"/>
    <w:rsid w:val="006A5B29"/>
    <w:rsid w:val="006A691F"/>
    <w:rsid w:val="006A7A10"/>
    <w:rsid w:val="006B01F8"/>
    <w:rsid w:val="006B0766"/>
    <w:rsid w:val="006B1546"/>
    <w:rsid w:val="006B2095"/>
    <w:rsid w:val="006B232C"/>
    <w:rsid w:val="006B25C7"/>
    <w:rsid w:val="006B3C16"/>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28FD"/>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4B92"/>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5BCE"/>
    <w:rsid w:val="0081654C"/>
    <w:rsid w:val="00816572"/>
    <w:rsid w:val="0081704B"/>
    <w:rsid w:val="008212A7"/>
    <w:rsid w:val="0082231A"/>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7B2"/>
    <w:rsid w:val="00873AFB"/>
    <w:rsid w:val="00873ED2"/>
    <w:rsid w:val="0088273C"/>
    <w:rsid w:val="00887353"/>
    <w:rsid w:val="00892CEB"/>
    <w:rsid w:val="00892DC2"/>
    <w:rsid w:val="0089323C"/>
    <w:rsid w:val="00893CD2"/>
    <w:rsid w:val="008A17E9"/>
    <w:rsid w:val="008A60A4"/>
    <w:rsid w:val="008B27BF"/>
    <w:rsid w:val="008B53EA"/>
    <w:rsid w:val="008B55F4"/>
    <w:rsid w:val="008C03E0"/>
    <w:rsid w:val="008C06F7"/>
    <w:rsid w:val="008C28CD"/>
    <w:rsid w:val="008C5C04"/>
    <w:rsid w:val="008C716F"/>
    <w:rsid w:val="008D1C7C"/>
    <w:rsid w:val="008D28DE"/>
    <w:rsid w:val="008D2C97"/>
    <w:rsid w:val="008D645D"/>
    <w:rsid w:val="008D7B3A"/>
    <w:rsid w:val="008D7D52"/>
    <w:rsid w:val="008E08B5"/>
    <w:rsid w:val="008E120E"/>
    <w:rsid w:val="008E2F46"/>
    <w:rsid w:val="008E2F5F"/>
    <w:rsid w:val="008E4101"/>
    <w:rsid w:val="008F11A3"/>
    <w:rsid w:val="008F1B65"/>
    <w:rsid w:val="008F240C"/>
    <w:rsid w:val="008F245F"/>
    <w:rsid w:val="008F5CF2"/>
    <w:rsid w:val="008F62DB"/>
    <w:rsid w:val="008F643F"/>
    <w:rsid w:val="00900426"/>
    <w:rsid w:val="00901B63"/>
    <w:rsid w:val="00903206"/>
    <w:rsid w:val="009063BF"/>
    <w:rsid w:val="00907E6F"/>
    <w:rsid w:val="00910FB5"/>
    <w:rsid w:val="0091172F"/>
    <w:rsid w:val="00911B5F"/>
    <w:rsid w:val="009122A7"/>
    <w:rsid w:val="00913388"/>
    <w:rsid w:val="00916055"/>
    <w:rsid w:val="009179FA"/>
    <w:rsid w:val="00920AFE"/>
    <w:rsid w:val="009212E2"/>
    <w:rsid w:val="00921F54"/>
    <w:rsid w:val="00923486"/>
    <w:rsid w:val="009254BE"/>
    <w:rsid w:val="00930905"/>
    <w:rsid w:val="009321E2"/>
    <w:rsid w:val="00932742"/>
    <w:rsid w:val="009343C2"/>
    <w:rsid w:val="00935F6C"/>
    <w:rsid w:val="00942D3A"/>
    <w:rsid w:val="00943700"/>
    <w:rsid w:val="00943C3C"/>
    <w:rsid w:val="00944333"/>
    <w:rsid w:val="00944E24"/>
    <w:rsid w:val="00951967"/>
    <w:rsid w:val="0095432B"/>
    <w:rsid w:val="0095436E"/>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17CE"/>
    <w:rsid w:val="009D45E8"/>
    <w:rsid w:val="009D482E"/>
    <w:rsid w:val="009D54A8"/>
    <w:rsid w:val="009D5CF1"/>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38D2"/>
    <w:rsid w:val="00A24920"/>
    <w:rsid w:val="00A354B5"/>
    <w:rsid w:val="00A36173"/>
    <w:rsid w:val="00A36EDD"/>
    <w:rsid w:val="00A373E1"/>
    <w:rsid w:val="00A400FE"/>
    <w:rsid w:val="00A43A10"/>
    <w:rsid w:val="00A43A41"/>
    <w:rsid w:val="00A444EC"/>
    <w:rsid w:val="00A45BBB"/>
    <w:rsid w:val="00A46C40"/>
    <w:rsid w:val="00A51DA5"/>
    <w:rsid w:val="00A51F07"/>
    <w:rsid w:val="00A524B8"/>
    <w:rsid w:val="00A562C5"/>
    <w:rsid w:val="00A57753"/>
    <w:rsid w:val="00A62569"/>
    <w:rsid w:val="00A631A3"/>
    <w:rsid w:val="00A64217"/>
    <w:rsid w:val="00A6630D"/>
    <w:rsid w:val="00A7205F"/>
    <w:rsid w:val="00A720FA"/>
    <w:rsid w:val="00A7341A"/>
    <w:rsid w:val="00A739AB"/>
    <w:rsid w:val="00A81A75"/>
    <w:rsid w:val="00A8211B"/>
    <w:rsid w:val="00A8706A"/>
    <w:rsid w:val="00A877FE"/>
    <w:rsid w:val="00A9391C"/>
    <w:rsid w:val="00A960A0"/>
    <w:rsid w:val="00AA0527"/>
    <w:rsid w:val="00AA2CC8"/>
    <w:rsid w:val="00AA3C68"/>
    <w:rsid w:val="00AA5CA7"/>
    <w:rsid w:val="00AB1ED1"/>
    <w:rsid w:val="00AB1FD4"/>
    <w:rsid w:val="00AB3339"/>
    <w:rsid w:val="00AB3A31"/>
    <w:rsid w:val="00AB7722"/>
    <w:rsid w:val="00AC0B9F"/>
    <w:rsid w:val="00AC4230"/>
    <w:rsid w:val="00AC624B"/>
    <w:rsid w:val="00AD02C1"/>
    <w:rsid w:val="00AD1E01"/>
    <w:rsid w:val="00AD32CE"/>
    <w:rsid w:val="00AD4674"/>
    <w:rsid w:val="00AD4F07"/>
    <w:rsid w:val="00AE3049"/>
    <w:rsid w:val="00AE38F5"/>
    <w:rsid w:val="00AE4B54"/>
    <w:rsid w:val="00AE5461"/>
    <w:rsid w:val="00AF0996"/>
    <w:rsid w:val="00AF3580"/>
    <w:rsid w:val="00AF68DD"/>
    <w:rsid w:val="00B002F8"/>
    <w:rsid w:val="00B010A9"/>
    <w:rsid w:val="00B039A9"/>
    <w:rsid w:val="00B0417C"/>
    <w:rsid w:val="00B0437E"/>
    <w:rsid w:val="00B06326"/>
    <w:rsid w:val="00B106F1"/>
    <w:rsid w:val="00B109B1"/>
    <w:rsid w:val="00B10B0B"/>
    <w:rsid w:val="00B1425E"/>
    <w:rsid w:val="00B15C97"/>
    <w:rsid w:val="00B244D4"/>
    <w:rsid w:val="00B25F1D"/>
    <w:rsid w:val="00B2782A"/>
    <w:rsid w:val="00B324F4"/>
    <w:rsid w:val="00B336D8"/>
    <w:rsid w:val="00B34A76"/>
    <w:rsid w:val="00B34BFA"/>
    <w:rsid w:val="00B356A4"/>
    <w:rsid w:val="00B36044"/>
    <w:rsid w:val="00B411EC"/>
    <w:rsid w:val="00B429CA"/>
    <w:rsid w:val="00B45EDD"/>
    <w:rsid w:val="00B45F3D"/>
    <w:rsid w:val="00B50F81"/>
    <w:rsid w:val="00B5360F"/>
    <w:rsid w:val="00B57455"/>
    <w:rsid w:val="00B61F69"/>
    <w:rsid w:val="00B6216C"/>
    <w:rsid w:val="00B70B33"/>
    <w:rsid w:val="00B760A2"/>
    <w:rsid w:val="00B80C47"/>
    <w:rsid w:val="00B81322"/>
    <w:rsid w:val="00B862CD"/>
    <w:rsid w:val="00B92E1A"/>
    <w:rsid w:val="00B94951"/>
    <w:rsid w:val="00B95D33"/>
    <w:rsid w:val="00B96B6E"/>
    <w:rsid w:val="00B96CA3"/>
    <w:rsid w:val="00B97591"/>
    <w:rsid w:val="00BA006C"/>
    <w:rsid w:val="00BA20B0"/>
    <w:rsid w:val="00BA3159"/>
    <w:rsid w:val="00BA372F"/>
    <w:rsid w:val="00BA7940"/>
    <w:rsid w:val="00BB302C"/>
    <w:rsid w:val="00BB4CA4"/>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60B"/>
    <w:rsid w:val="00BF6FE8"/>
    <w:rsid w:val="00BF7C57"/>
    <w:rsid w:val="00C06955"/>
    <w:rsid w:val="00C1044D"/>
    <w:rsid w:val="00C13B05"/>
    <w:rsid w:val="00C1447B"/>
    <w:rsid w:val="00C221FB"/>
    <w:rsid w:val="00C23CCC"/>
    <w:rsid w:val="00C24859"/>
    <w:rsid w:val="00C25CDA"/>
    <w:rsid w:val="00C301CF"/>
    <w:rsid w:val="00C31183"/>
    <w:rsid w:val="00C31C0D"/>
    <w:rsid w:val="00C33847"/>
    <w:rsid w:val="00C378BC"/>
    <w:rsid w:val="00C40D08"/>
    <w:rsid w:val="00C41BA9"/>
    <w:rsid w:val="00C42121"/>
    <w:rsid w:val="00C451CB"/>
    <w:rsid w:val="00C45FB0"/>
    <w:rsid w:val="00C46F8F"/>
    <w:rsid w:val="00C53A8B"/>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CEA"/>
    <w:rsid w:val="00CA41C9"/>
    <w:rsid w:val="00CA6985"/>
    <w:rsid w:val="00CA7F67"/>
    <w:rsid w:val="00CB15EC"/>
    <w:rsid w:val="00CB3583"/>
    <w:rsid w:val="00CB483C"/>
    <w:rsid w:val="00CB5545"/>
    <w:rsid w:val="00CB5F57"/>
    <w:rsid w:val="00CB6605"/>
    <w:rsid w:val="00CB7A72"/>
    <w:rsid w:val="00CC3E80"/>
    <w:rsid w:val="00CC49D6"/>
    <w:rsid w:val="00CD3509"/>
    <w:rsid w:val="00CD39F8"/>
    <w:rsid w:val="00CD5672"/>
    <w:rsid w:val="00CD7C93"/>
    <w:rsid w:val="00CE0B01"/>
    <w:rsid w:val="00CE133F"/>
    <w:rsid w:val="00CE2B81"/>
    <w:rsid w:val="00CF037E"/>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40B"/>
    <w:rsid w:val="00D35AF6"/>
    <w:rsid w:val="00D364D3"/>
    <w:rsid w:val="00D4125D"/>
    <w:rsid w:val="00D43C39"/>
    <w:rsid w:val="00D50C0B"/>
    <w:rsid w:val="00D51380"/>
    <w:rsid w:val="00D551F2"/>
    <w:rsid w:val="00D61A7B"/>
    <w:rsid w:val="00D714BA"/>
    <w:rsid w:val="00D75260"/>
    <w:rsid w:val="00D75B70"/>
    <w:rsid w:val="00D7749B"/>
    <w:rsid w:val="00D820D1"/>
    <w:rsid w:val="00D82401"/>
    <w:rsid w:val="00D82AE2"/>
    <w:rsid w:val="00D83D61"/>
    <w:rsid w:val="00D850A4"/>
    <w:rsid w:val="00D85715"/>
    <w:rsid w:val="00D8766A"/>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457B"/>
    <w:rsid w:val="00DF5003"/>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0A04"/>
    <w:rsid w:val="00E41552"/>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2658"/>
    <w:rsid w:val="00EA709C"/>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14EA"/>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66B51"/>
    <w:rsid w:val="00F66BD1"/>
    <w:rsid w:val="00F70A6B"/>
    <w:rsid w:val="00F71637"/>
    <w:rsid w:val="00F7194C"/>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E03"/>
    <w:rsid w:val="00FE1F85"/>
    <w:rsid w:val="00FE3245"/>
    <w:rsid w:val="00FE3414"/>
    <w:rsid w:val="00FE3673"/>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E0"/>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E0"/>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4322</Words>
  <Characters>2465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Izglītības un zinātnes ministrija, Sporta departaments</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Jeļena Antropova</dc:creator>
  <cp:keywords>841</cp:keywords>
  <dc:description>J.Antropova 
67095445, 
jelena.antropova@fm.gov.lv</dc:description>
  <cp:lastModifiedBy>Laimdota Adlere</cp:lastModifiedBy>
  <cp:revision>4</cp:revision>
  <cp:lastPrinted>2015-09-17T14:27:00Z</cp:lastPrinted>
  <dcterms:created xsi:type="dcterms:W3CDTF">2015-09-18T10:23:00Z</dcterms:created>
  <dcterms:modified xsi:type="dcterms:W3CDTF">2015-09-18T10:24:00Z</dcterms:modified>
</cp:coreProperties>
</file>