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AFB2" w14:textId="7C31AE70" w:rsidR="00BF6E3F" w:rsidRPr="008E596C" w:rsidRDefault="00BF6E3F" w:rsidP="006D0922">
      <w:pPr>
        <w:pStyle w:val="naislab"/>
        <w:spacing w:before="0" w:after="0"/>
        <w:jc w:val="center"/>
        <w:rPr>
          <w:b/>
          <w:sz w:val="26"/>
          <w:szCs w:val="26"/>
        </w:rPr>
      </w:pPr>
      <w:bookmarkStart w:id="0" w:name="_GoBack"/>
      <w:bookmarkEnd w:id="0"/>
      <w:r w:rsidRPr="008E596C">
        <w:rPr>
          <w:b/>
          <w:sz w:val="26"/>
          <w:szCs w:val="26"/>
        </w:rPr>
        <w:t xml:space="preserve">Likumprojekta </w:t>
      </w:r>
      <w:r w:rsidR="002A3822" w:rsidRPr="008E596C">
        <w:t>“</w:t>
      </w:r>
      <w:r w:rsidR="00EC65E7" w:rsidRPr="008E596C">
        <w:rPr>
          <w:b/>
          <w:sz w:val="26"/>
          <w:szCs w:val="26"/>
        </w:rPr>
        <w:t>Grozī</w:t>
      </w:r>
      <w:r w:rsidR="003B75A0" w:rsidRPr="008E596C">
        <w:rPr>
          <w:b/>
          <w:sz w:val="26"/>
          <w:szCs w:val="26"/>
        </w:rPr>
        <w:t xml:space="preserve">jumi </w:t>
      </w:r>
      <w:r w:rsidRPr="008E596C">
        <w:rPr>
          <w:b/>
          <w:sz w:val="26"/>
          <w:szCs w:val="26"/>
        </w:rPr>
        <w:t>Azartspēļu un izložu likum</w:t>
      </w:r>
      <w:r w:rsidR="003B75A0" w:rsidRPr="008E596C">
        <w:rPr>
          <w:b/>
          <w:sz w:val="26"/>
          <w:szCs w:val="26"/>
        </w:rPr>
        <w:t>ā</w:t>
      </w:r>
      <w:r w:rsidRPr="008E596C">
        <w:rPr>
          <w:b/>
          <w:sz w:val="26"/>
          <w:szCs w:val="26"/>
        </w:rPr>
        <w:t xml:space="preserve">” </w:t>
      </w:r>
    </w:p>
    <w:p w14:paraId="415C0F03" w14:textId="77777777" w:rsidR="009F30B3" w:rsidRDefault="00BF6E3F" w:rsidP="006D0922">
      <w:pPr>
        <w:pStyle w:val="naislab"/>
        <w:spacing w:before="0" w:after="0"/>
        <w:jc w:val="center"/>
        <w:rPr>
          <w:b/>
          <w:sz w:val="26"/>
          <w:szCs w:val="26"/>
        </w:rPr>
      </w:pPr>
      <w:r w:rsidRPr="008E596C">
        <w:rPr>
          <w:b/>
          <w:sz w:val="26"/>
          <w:szCs w:val="26"/>
        </w:rPr>
        <w:t>sākotnējās ietekmes novērtējuma ziņojums (anotācija)</w:t>
      </w:r>
    </w:p>
    <w:p w14:paraId="77752A1E" w14:textId="77777777" w:rsidR="002E33E1" w:rsidRPr="008E596C" w:rsidRDefault="002E33E1" w:rsidP="006D0922">
      <w:pPr>
        <w:pStyle w:val="naislab"/>
        <w:spacing w:before="0" w:after="0"/>
        <w:jc w:val="center"/>
        <w:rPr>
          <w:b/>
          <w:sz w:val="16"/>
          <w:szCs w:val="16"/>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913"/>
      </w:tblGrid>
      <w:tr w:rsidR="008F2155" w:rsidRPr="008E596C" w14:paraId="63B5E777" w14:textId="77777777" w:rsidTr="00D10323">
        <w:tc>
          <w:tcPr>
            <w:tcW w:w="9351" w:type="dxa"/>
            <w:gridSpan w:val="3"/>
            <w:vAlign w:val="center"/>
          </w:tcPr>
          <w:p w14:paraId="03B8CDA5" w14:textId="77777777" w:rsidR="00852042" w:rsidRPr="008E596C" w:rsidRDefault="00852042" w:rsidP="00097549">
            <w:pPr>
              <w:pStyle w:val="naisnod"/>
              <w:spacing w:before="0" w:after="60"/>
            </w:pPr>
            <w:r w:rsidRPr="008E596C">
              <w:t>I</w:t>
            </w:r>
            <w:r w:rsidR="000941C5" w:rsidRPr="008E596C">
              <w:t>.</w:t>
            </w:r>
            <w:r w:rsidRPr="008E596C">
              <w:t xml:space="preserve"> Tiesību akta </w:t>
            </w:r>
            <w:r w:rsidR="002E3FF4" w:rsidRPr="008E596C">
              <w:t xml:space="preserve">projekta </w:t>
            </w:r>
            <w:r w:rsidRPr="008E596C">
              <w:t>izstrādes nepieciešamība</w:t>
            </w:r>
          </w:p>
        </w:tc>
      </w:tr>
      <w:tr w:rsidR="008F2155" w:rsidRPr="008E596C" w14:paraId="25A46AC6" w14:textId="77777777" w:rsidTr="00D10323">
        <w:trPr>
          <w:trHeight w:val="267"/>
        </w:trPr>
        <w:tc>
          <w:tcPr>
            <w:tcW w:w="414" w:type="dxa"/>
          </w:tcPr>
          <w:p w14:paraId="547DA6BB" w14:textId="77777777" w:rsidR="00262E2B" w:rsidRPr="008E596C" w:rsidRDefault="00262E2B" w:rsidP="006D0922">
            <w:pPr>
              <w:pStyle w:val="naiskr"/>
              <w:spacing w:before="0" w:after="0"/>
              <w:jc w:val="center"/>
            </w:pPr>
            <w:r w:rsidRPr="008E596C">
              <w:t>1.</w:t>
            </w:r>
          </w:p>
        </w:tc>
        <w:tc>
          <w:tcPr>
            <w:tcW w:w="3024" w:type="dxa"/>
          </w:tcPr>
          <w:p w14:paraId="7372405A" w14:textId="77777777" w:rsidR="009A60A2" w:rsidRPr="008E596C" w:rsidRDefault="002D7F54" w:rsidP="00FB5BAF">
            <w:pPr>
              <w:pStyle w:val="naiskr"/>
              <w:spacing w:before="0" w:after="0"/>
            </w:pPr>
            <w:r w:rsidRPr="008E596C">
              <w:t>Pamatojums</w:t>
            </w:r>
          </w:p>
          <w:p w14:paraId="011BB688" w14:textId="77777777" w:rsidR="009A60A2" w:rsidRPr="008E596C" w:rsidRDefault="009A60A2" w:rsidP="00386242"/>
          <w:p w14:paraId="1F36405F" w14:textId="77777777" w:rsidR="009A60A2" w:rsidRPr="008E596C" w:rsidRDefault="009A60A2" w:rsidP="009A60A2"/>
          <w:p w14:paraId="7F50427E" w14:textId="77777777" w:rsidR="00262E2B" w:rsidRPr="008E596C" w:rsidRDefault="00262E2B" w:rsidP="00386242">
            <w:pPr>
              <w:ind w:firstLine="720"/>
            </w:pPr>
          </w:p>
        </w:tc>
        <w:tc>
          <w:tcPr>
            <w:tcW w:w="5913" w:type="dxa"/>
          </w:tcPr>
          <w:p w14:paraId="68469741" w14:textId="05EAEB00" w:rsidR="00E65A4F" w:rsidRPr="008E596C" w:rsidRDefault="00541C43" w:rsidP="00E65A4F">
            <w:pPr>
              <w:pStyle w:val="naiskr"/>
              <w:numPr>
                <w:ilvl w:val="0"/>
                <w:numId w:val="27"/>
              </w:numPr>
              <w:spacing w:before="0" w:after="0"/>
              <w:ind w:left="0" w:firstLine="0"/>
              <w:jc w:val="both"/>
            </w:pPr>
            <w:r w:rsidRPr="008E596C">
              <w:t>Ar Ministru kabineta 2010.gada 26.augusta rīkojum</w:t>
            </w:r>
            <w:r w:rsidR="00694CC4" w:rsidRPr="008E596C">
              <w:t>u</w:t>
            </w:r>
            <w:r w:rsidRPr="008E596C">
              <w:t xml:space="preserve"> Nr.513 </w:t>
            </w:r>
            <w:r w:rsidR="002A3822" w:rsidRPr="008E596C">
              <w:t>“</w:t>
            </w:r>
            <w:r w:rsidR="00694CC4" w:rsidRPr="008E596C">
              <w:t xml:space="preserve">Par pasākumu plānu ēnu ekonomikas apkarošanai un godīgas konkurences nodrošināšanai 2010.–2013.gadam” (prot. Nr.41 79.§) </w:t>
            </w:r>
            <w:r w:rsidRPr="008E596C">
              <w:t xml:space="preserve">apstiprinātā </w:t>
            </w:r>
            <w:r w:rsidR="00E65A4F" w:rsidRPr="008E596C">
              <w:t>p</w:t>
            </w:r>
            <w:r w:rsidRPr="008E596C">
              <w:t>asākumu plāna ēnu ekonomikas apkarošanai un godīgas konkurences nodrošināšanai 2010.–2013.gadam</w:t>
            </w:r>
            <w:r w:rsidR="004F4EE4" w:rsidRPr="008E596C">
              <w:t xml:space="preserve"> </w:t>
            </w:r>
            <w:r w:rsidR="004C46EB" w:rsidRPr="008E596C">
              <w:t>46</w:t>
            </w:r>
            <w:r w:rsidR="00F55ED3" w:rsidRPr="008E596C">
              <w:t>.</w:t>
            </w:r>
            <w:r w:rsidRPr="008E596C">
              <w:t>punkts</w:t>
            </w:r>
            <w:r w:rsidR="008A7658" w:rsidRPr="008E596C">
              <w:t>, Ministru kabineta 2012.gada 30.oktobra rīkojuma Nr.518</w:t>
            </w:r>
            <w:r w:rsidR="004F4EE4" w:rsidRPr="008E596C">
              <w:t xml:space="preserve"> </w:t>
            </w:r>
            <w:r w:rsidR="002A3822" w:rsidRPr="008E596C">
              <w:t>“</w:t>
            </w:r>
            <w:r w:rsidR="008A7658" w:rsidRPr="008E596C">
              <w:t>Par koncepciju</w:t>
            </w:r>
            <w:r w:rsidR="004F4EE4" w:rsidRPr="008E596C">
              <w:t xml:space="preserve"> </w:t>
            </w:r>
            <w:r w:rsidR="002A3822" w:rsidRPr="008E596C">
              <w:t>“</w:t>
            </w:r>
            <w:r w:rsidR="00DA4245" w:rsidRPr="008E596C">
              <w:t>Par azartspēļu automātu saslēgšanu vienotā tīklā</w:t>
            </w:r>
            <w:r w:rsidR="008A7658" w:rsidRPr="008E596C">
              <w:t>”</w:t>
            </w:r>
            <w:r w:rsidR="005E32AE" w:rsidRPr="008E596C">
              <w:t>”</w:t>
            </w:r>
            <w:r w:rsidR="008A7658" w:rsidRPr="008E596C">
              <w:t xml:space="preserve"> (prot. Nr.</w:t>
            </w:r>
            <w:r w:rsidR="00DA4245" w:rsidRPr="008E596C">
              <w:t>60 26</w:t>
            </w:r>
            <w:r w:rsidR="008A7658" w:rsidRPr="008E596C">
              <w:t>.§)</w:t>
            </w:r>
            <w:r w:rsidR="00DA4245" w:rsidRPr="008E596C">
              <w:t xml:space="preserve"> 2.1.apakšpunkts</w:t>
            </w:r>
            <w:r w:rsidR="00E65A4F" w:rsidRPr="008E596C">
              <w:t>.</w:t>
            </w:r>
            <w:r w:rsidR="002E710A" w:rsidRPr="008E596C">
              <w:t xml:space="preserve"> </w:t>
            </w:r>
          </w:p>
          <w:p w14:paraId="749027B2" w14:textId="6122A890" w:rsidR="00E65A4F" w:rsidRPr="008E596C" w:rsidRDefault="00F82F1D" w:rsidP="00E65A4F">
            <w:pPr>
              <w:pStyle w:val="naiskr"/>
              <w:numPr>
                <w:ilvl w:val="0"/>
                <w:numId w:val="27"/>
              </w:numPr>
              <w:spacing w:before="0" w:after="0"/>
              <w:ind w:left="0" w:firstLine="0"/>
              <w:jc w:val="both"/>
            </w:pPr>
            <w:r w:rsidRPr="008E596C">
              <w:rPr>
                <w:lang w:eastAsia="en-US"/>
              </w:rPr>
              <w:t>Ekonomiskās sadarbības un attīstības organizācijas (</w:t>
            </w:r>
            <w:r w:rsidR="00272FF4" w:rsidRPr="008E596C">
              <w:rPr>
                <w:lang w:eastAsia="en-US"/>
              </w:rPr>
              <w:t xml:space="preserve">turpmāk arī </w:t>
            </w:r>
            <w:r w:rsidR="00272FF4" w:rsidRPr="008E596C">
              <w:t xml:space="preserve">– </w:t>
            </w:r>
            <w:r w:rsidRPr="008E596C">
              <w:rPr>
                <w:lang w:eastAsia="en-US"/>
              </w:rPr>
              <w:t>OECD) Investīciju komitejas ziņojums p</w:t>
            </w:r>
            <w:r w:rsidRPr="008E596C">
              <w:rPr>
                <w:szCs w:val="22"/>
              </w:rPr>
              <w:t>ar Latvijas izvērtējumu OECD Investīciju komitejā</w:t>
            </w:r>
            <w:r w:rsidRPr="008E596C">
              <w:rPr>
                <w:b/>
                <w:sz w:val="22"/>
                <w:szCs w:val="22"/>
              </w:rPr>
              <w:t xml:space="preserve"> </w:t>
            </w:r>
            <w:r w:rsidRPr="008E596C">
              <w:rPr>
                <w:lang w:eastAsia="en-US"/>
              </w:rPr>
              <w:t>(</w:t>
            </w:r>
            <w:r w:rsidRPr="008E596C">
              <w:rPr>
                <w:i/>
                <w:lang w:eastAsia="en-US"/>
              </w:rPr>
              <w:t>Accession Examination Of Latvia Under The OECD Investment Instruments</w:t>
            </w:r>
            <w:r w:rsidRPr="008E596C">
              <w:rPr>
                <w:lang w:eastAsia="en-US"/>
              </w:rPr>
              <w:t>).</w:t>
            </w:r>
            <w:r w:rsidR="00E35C14" w:rsidRPr="008E596C">
              <w:t xml:space="preserve"> </w:t>
            </w:r>
          </w:p>
          <w:p w14:paraId="4513DA24" w14:textId="12C843C0" w:rsidR="00A6070A" w:rsidRPr="008E596C" w:rsidRDefault="00E65A4F" w:rsidP="00E65A4F">
            <w:pPr>
              <w:pStyle w:val="naiskr"/>
              <w:numPr>
                <w:ilvl w:val="0"/>
                <w:numId w:val="27"/>
              </w:numPr>
              <w:spacing w:before="0" w:after="0"/>
              <w:ind w:left="0" w:firstLine="0"/>
              <w:jc w:val="both"/>
            </w:pPr>
            <w:r w:rsidRPr="008E596C">
              <w:t>Ministru kabineta 2015.gada 17.marta sēdes (prot. Nr.15 8.§) 4.1.apakšpunkts.</w:t>
            </w:r>
          </w:p>
        </w:tc>
      </w:tr>
      <w:tr w:rsidR="008F2155" w:rsidRPr="008E596C" w14:paraId="73D03B94" w14:textId="77777777" w:rsidTr="00D10323">
        <w:trPr>
          <w:trHeight w:val="472"/>
        </w:trPr>
        <w:tc>
          <w:tcPr>
            <w:tcW w:w="414" w:type="dxa"/>
          </w:tcPr>
          <w:p w14:paraId="2FA103A6" w14:textId="15E6802E" w:rsidR="00E531A7" w:rsidRPr="008E596C" w:rsidRDefault="00262E2B" w:rsidP="006D0922">
            <w:pPr>
              <w:pStyle w:val="naiskr"/>
              <w:spacing w:before="0" w:after="0"/>
              <w:jc w:val="center"/>
            </w:pPr>
            <w:r w:rsidRPr="008E596C">
              <w:t>2.</w:t>
            </w:r>
          </w:p>
          <w:p w14:paraId="47862EDE" w14:textId="77777777" w:rsidR="00E531A7" w:rsidRPr="008E596C" w:rsidRDefault="00E531A7" w:rsidP="00E531A7"/>
          <w:p w14:paraId="5D991199" w14:textId="77777777" w:rsidR="00E531A7" w:rsidRPr="008E596C" w:rsidRDefault="00E531A7" w:rsidP="00E531A7"/>
          <w:p w14:paraId="76C8E03B" w14:textId="77777777" w:rsidR="00E531A7" w:rsidRPr="008E596C" w:rsidRDefault="00E531A7" w:rsidP="00E531A7"/>
          <w:p w14:paraId="5FBA69AF" w14:textId="77777777" w:rsidR="00E531A7" w:rsidRPr="008E596C" w:rsidRDefault="00E531A7" w:rsidP="00E531A7"/>
          <w:p w14:paraId="67049507" w14:textId="77777777" w:rsidR="00E531A7" w:rsidRPr="008E596C" w:rsidRDefault="00E531A7" w:rsidP="00E531A7"/>
          <w:p w14:paraId="734439F6" w14:textId="77777777" w:rsidR="00E531A7" w:rsidRPr="008E596C" w:rsidRDefault="00E531A7" w:rsidP="00E531A7"/>
          <w:p w14:paraId="49DBCF8A" w14:textId="77777777" w:rsidR="00E531A7" w:rsidRPr="008E596C" w:rsidRDefault="00E531A7" w:rsidP="00E531A7"/>
          <w:p w14:paraId="2879411F" w14:textId="77777777" w:rsidR="00E531A7" w:rsidRPr="008E596C" w:rsidRDefault="00E531A7" w:rsidP="00E531A7"/>
          <w:p w14:paraId="46D029CB" w14:textId="10B5C5FD" w:rsidR="00262E2B" w:rsidRPr="008E596C" w:rsidRDefault="00262E2B" w:rsidP="00E531A7"/>
        </w:tc>
        <w:tc>
          <w:tcPr>
            <w:tcW w:w="3024" w:type="dxa"/>
          </w:tcPr>
          <w:p w14:paraId="4F15C95A" w14:textId="77777777" w:rsidR="00A778CE" w:rsidRPr="008E596C" w:rsidRDefault="003A3C61" w:rsidP="00F16CC4">
            <w:pPr>
              <w:pStyle w:val="naiskr"/>
              <w:spacing w:before="0" w:after="0"/>
            </w:pPr>
            <w:r w:rsidRPr="008E596C">
              <w:t>Pašreizējā situācija un problēmas, kuru risināšanai tiesību akta projekts izstrādāts, tiesiskā regulējuma mērķis un būtība</w:t>
            </w:r>
          </w:p>
          <w:p w14:paraId="11DA5791" w14:textId="77777777" w:rsidR="00A778CE" w:rsidRPr="008E596C" w:rsidRDefault="0088169B" w:rsidP="0088169B">
            <w:pPr>
              <w:tabs>
                <w:tab w:val="left" w:pos="924"/>
              </w:tabs>
            </w:pPr>
            <w:r w:rsidRPr="008E596C">
              <w:tab/>
            </w:r>
          </w:p>
          <w:p w14:paraId="005E0F4D" w14:textId="77777777" w:rsidR="00A778CE" w:rsidRPr="008E596C" w:rsidRDefault="00A778CE" w:rsidP="00936A42"/>
          <w:p w14:paraId="337DA43C" w14:textId="77777777" w:rsidR="00A778CE" w:rsidRPr="008E596C" w:rsidRDefault="00A778CE" w:rsidP="00936A42"/>
          <w:p w14:paraId="76127287" w14:textId="77777777" w:rsidR="00A778CE" w:rsidRPr="008E596C" w:rsidRDefault="00A778CE" w:rsidP="00386242">
            <w:pPr>
              <w:ind w:firstLine="720"/>
            </w:pPr>
          </w:p>
          <w:p w14:paraId="3CC0A060" w14:textId="77777777" w:rsidR="00A778CE" w:rsidRPr="008E596C" w:rsidRDefault="00A778CE" w:rsidP="00936A42"/>
          <w:p w14:paraId="44D55C1D" w14:textId="77777777" w:rsidR="00A778CE" w:rsidRPr="008E596C" w:rsidRDefault="00A778CE" w:rsidP="00E531A7">
            <w:pPr>
              <w:ind w:firstLine="720"/>
            </w:pPr>
          </w:p>
          <w:p w14:paraId="483BAB30" w14:textId="77777777" w:rsidR="00A778CE" w:rsidRPr="008E596C" w:rsidRDefault="00A778CE" w:rsidP="00A778CE"/>
          <w:p w14:paraId="3423246F" w14:textId="77777777" w:rsidR="00262E2B" w:rsidRPr="008E596C" w:rsidRDefault="00262E2B" w:rsidP="00936A42"/>
        </w:tc>
        <w:tc>
          <w:tcPr>
            <w:tcW w:w="5913" w:type="dxa"/>
          </w:tcPr>
          <w:p w14:paraId="7C09A3E3" w14:textId="12ACAD07" w:rsidR="007E32FC" w:rsidRPr="008E596C" w:rsidRDefault="00C62D2B" w:rsidP="00A6070A">
            <w:pPr>
              <w:pStyle w:val="naiskr"/>
              <w:spacing w:before="0" w:after="0"/>
              <w:jc w:val="both"/>
              <w:rPr>
                <w:i/>
                <w:iCs/>
              </w:rPr>
            </w:pPr>
            <w:r w:rsidRPr="008E596C">
              <w:rPr>
                <w:i/>
                <w:iCs/>
              </w:rPr>
              <w:t xml:space="preserve">1) </w:t>
            </w:r>
            <w:r w:rsidR="0050200D" w:rsidRPr="008E596C">
              <w:rPr>
                <w:i/>
                <w:iCs/>
              </w:rPr>
              <w:t xml:space="preserve"> </w:t>
            </w:r>
            <w:r w:rsidR="00E65A4F" w:rsidRPr="008E596C">
              <w:rPr>
                <w:i/>
                <w:iCs/>
              </w:rPr>
              <w:t>Azartspēļu un izložu likuma 24.pants, 82.panta otrās daļas 6.punkts, pārejas noteikumu 17.punkts</w:t>
            </w:r>
          </w:p>
          <w:p w14:paraId="099F3E60" w14:textId="18E134A0" w:rsidR="00A6070A" w:rsidRPr="008E596C" w:rsidRDefault="00A6070A" w:rsidP="00A6070A">
            <w:pPr>
              <w:pStyle w:val="naiskr"/>
              <w:spacing w:before="0" w:after="0"/>
              <w:jc w:val="both"/>
              <w:rPr>
                <w:iCs/>
              </w:rPr>
            </w:pPr>
            <w:r w:rsidRPr="008E596C">
              <w:rPr>
                <w:iCs/>
              </w:rPr>
              <w:t xml:space="preserve">Ministru kabineta apstiprinātajā pasākumu plānā ēnu ekonomikas apkarošanai un godīgas konkurences nodrošināšanai 2010.-2013.gadam (Ministru kabineta 2010.gada 26.augusta rīkojums Nr.513) tika iekļauti vairāki pasākumi ēnu ekonomikas apkarošanai izložu un azartspēļu jomā. Viens no minētajiem pasākumiem bija izveidot sistēmu, kas pilnveidotu azartspēļu automātu darbības uzraudzību un ieņēmumu plūsmas pārskatāmību. </w:t>
            </w:r>
          </w:p>
          <w:p w14:paraId="3D288EF0" w14:textId="5692B5C2" w:rsidR="00A6070A" w:rsidRPr="008E596C" w:rsidRDefault="00A6070A" w:rsidP="00A6070A">
            <w:pPr>
              <w:pStyle w:val="naiskr"/>
              <w:spacing w:before="0" w:after="0"/>
              <w:jc w:val="both"/>
              <w:rPr>
                <w:iCs/>
              </w:rPr>
            </w:pPr>
            <w:r w:rsidRPr="008E596C">
              <w:rPr>
                <w:iCs/>
              </w:rPr>
              <w:t xml:space="preserve">Finanšu ministrija izstrādāja koncepciju </w:t>
            </w:r>
            <w:r w:rsidR="007E32FC" w:rsidRPr="008E596C">
              <w:rPr>
                <w:iCs/>
              </w:rPr>
              <w:t>“</w:t>
            </w:r>
            <w:r w:rsidRPr="008E596C">
              <w:rPr>
                <w:iCs/>
              </w:rPr>
              <w:t xml:space="preserve">Par azartspēļu automātu saslēgšanu vienotā tīklā”. </w:t>
            </w:r>
            <w:r w:rsidR="007E32FC" w:rsidRPr="008E596C">
              <w:rPr>
                <w:iCs/>
              </w:rPr>
              <w:t>L</w:t>
            </w:r>
            <w:r w:rsidRPr="008E596C">
              <w:t xml:space="preserve">ai operatīvi sekotu līdzi azartspēļu automātu tehniskajai un programmnodrošinājuma atbilstībai, kā arī skaitītāju rādījumiem, faktiskajai naudas plūsmai un azartspēļu organizētāja ieņēmumiem, </w:t>
            </w:r>
            <w:r w:rsidR="00053981" w:rsidRPr="008E596C">
              <w:t>minētajā koncepcijā tika ietverts</w:t>
            </w:r>
            <w:r w:rsidRPr="008E596C">
              <w:t xml:space="preserve"> </w:t>
            </w:r>
            <w:r w:rsidR="00BB09A4" w:rsidRPr="008E596C">
              <w:t>risinājums, kas paredz</w:t>
            </w:r>
            <w:r w:rsidRPr="008E596C">
              <w:t xml:space="preserve"> izveidot vienotu azartspēļu automātu kontroles un uzraudzības sistēmu. Tās galvenais princips ir tāds, ka visi Latvijā ekspluatētie azartspēļu automāti tiks saslēgti vienotā tīklā un centrālās datu bāzes turētājs ir Izložu un azartspēļu uzraudzības inspekcija. Pēc līdzīgiem principiem azartspēļu automātu darbības uzraudzība un kontrole notiek vairākās Eiropas valstīs – Slovēnijā, Beļģijā, Norvēģijā, Maltā, Itālijā un Igaunijā.</w:t>
            </w:r>
          </w:p>
          <w:p w14:paraId="57AF15DA" w14:textId="550F0B2E" w:rsidR="00A6070A" w:rsidRPr="00BB7AF1" w:rsidRDefault="00A6070A" w:rsidP="00A6070A">
            <w:pPr>
              <w:ind w:right="28"/>
              <w:jc w:val="both"/>
              <w:rPr>
                <w:spacing w:val="-4"/>
                <w:shd w:val="clear" w:color="auto" w:fill="FFFFFF"/>
              </w:rPr>
            </w:pPr>
            <w:r w:rsidRPr="008E596C">
              <w:rPr>
                <w:iCs/>
              </w:rPr>
              <w:t>Ministru kabinets atbalstīja minēt</w:t>
            </w:r>
            <w:r w:rsidR="00BB09A4" w:rsidRPr="008E596C">
              <w:rPr>
                <w:iCs/>
              </w:rPr>
              <w:t>ajā</w:t>
            </w:r>
            <w:r w:rsidRPr="008E596C">
              <w:rPr>
                <w:iCs/>
              </w:rPr>
              <w:t xml:space="preserve"> koncepcij</w:t>
            </w:r>
            <w:r w:rsidR="00BB09A4" w:rsidRPr="008E596C">
              <w:rPr>
                <w:iCs/>
              </w:rPr>
              <w:t>ā ietverto</w:t>
            </w:r>
            <w:r w:rsidRPr="008E596C">
              <w:rPr>
                <w:iCs/>
              </w:rPr>
              <w:t xml:space="preserve">  risinājumu, kas paredz uzsākt vienot</w:t>
            </w:r>
            <w:r w:rsidR="00B71F79" w:rsidRPr="008E596C">
              <w:rPr>
                <w:iCs/>
              </w:rPr>
              <w:t>ā</w:t>
            </w:r>
            <w:r w:rsidRPr="008E596C">
              <w:rPr>
                <w:iCs/>
              </w:rPr>
              <w:t>s azartspēļu automātu kontroles un uzraudzības sistēmas ieviešanu</w:t>
            </w:r>
            <w:r w:rsidR="00BB09A4" w:rsidRPr="008E596C">
              <w:t xml:space="preserve"> (Ministru kabineta 2012.gada 30.oktobra rīkojums Nr.518)</w:t>
            </w:r>
            <w:r w:rsidRPr="008E596C">
              <w:rPr>
                <w:iCs/>
              </w:rPr>
              <w:t xml:space="preserve">. Šīs sistēmas ieviešana ļautu sasniegt iepriekš minēto mērķi par </w:t>
            </w:r>
            <w:r w:rsidRPr="008E596C">
              <w:rPr>
                <w:iCs/>
              </w:rPr>
              <w:lastRenderedPageBreak/>
              <w:t>azartspēļu automātu darbības uzraudzību un ieņēmumu plūsmas pārskatāmības pilnveidošanu, kā arī pastiprinātu spēlētāju interešu aizsardzību un spēles drošumu un ar šo komercdarbības veidu (azartspē</w:t>
            </w:r>
            <w:r w:rsidR="00071CAB" w:rsidRPr="008E596C">
              <w:rPr>
                <w:iCs/>
              </w:rPr>
              <w:t>ļu organizēšanu</w:t>
            </w:r>
            <w:r w:rsidRPr="008E596C">
              <w:rPr>
                <w:iCs/>
              </w:rPr>
              <w:t>) saistīto risku mazināšanu (noziedzīgi iegūto līdzekļu legalizāciju, izvairīšanos no nodokļu maksāšanas un citas nelikumīgas darbības).</w:t>
            </w:r>
            <w:r w:rsidR="00304BA6" w:rsidRPr="00BB7AF1">
              <w:rPr>
                <w:spacing w:val="-4"/>
                <w:shd w:val="clear" w:color="auto" w:fill="FFFFFF"/>
              </w:rPr>
              <w:t xml:space="preserve"> </w:t>
            </w:r>
          </w:p>
          <w:p w14:paraId="4822315D" w14:textId="77777777" w:rsidR="009D5BA5" w:rsidRPr="008E596C" w:rsidRDefault="00A6070A" w:rsidP="00E87D28">
            <w:pPr>
              <w:pStyle w:val="naiskr"/>
              <w:spacing w:before="0" w:after="0"/>
              <w:jc w:val="both"/>
            </w:pPr>
            <w:r w:rsidRPr="008E596C">
              <w:t>Likumprojekts</w:t>
            </w:r>
            <w:r w:rsidR="005C3EA2" w:rsidRPr="008E596C">
              <w:t xml:space="preserve"> </w:t>
            </w:r>
            <w:r w:rsidR="002A3822" w:rsidRPr="008E596C">
              <w:t>“</w:t>
            </w:r>
            <w:r w:rsidR="005C3EA2" w:rsidRPr="008E596C">
              <w:t>Grozījumi Azartspēļu un izložu likumā” (turpmāk – likumprojekts)</w:t>
            </w:r>
            <w:r w:rsidRPr="008E596C">
              <w:t xml:space="preserve"> paredz</w:t>
            </w:r>
            <w:r w:rsidR="00EA3061" w:rsidRPr="008E596C">
              <w:t>, ka ar 2019.gada 1.janvāri drīkstēs ekspluatēt tikai</w:t>
            </w:r>
            <w:r w:rsidR="00863AB0" w:rsidRPr="008E596C">
              <w:t xml:space="preserve"> tādus azartspēļu automātus, kuri būs </w:t>
            </w:r>
            <w:r w:rsidR="00EA3061" w:rsidRPr="008E596C">
              <w:t xml:space="preserve"> saslēgt</w:t>
            </w:r>
            <w:r w:rsidR="00863AB0" w:rsidRPr="008E596C">
              <w:t>i</w:t>
            </w:r>
            <w:r w:rsidR="00EA3061" w:rsidRPr="008E596C">
              <w:t xml:space="preserve"> tīklā – Vienotās azartspēļu automātu kontroles un uzraudzības sistēmā –, nodrošinot tiešsaistes datu apmaiņu ar Izložu un azartspēļu uzraudzības inspekciju.</w:t>
            </w:r>
            <w:r w:rsidR="00E87D28" w:rsidRPr="008E596C">
              <w:t xml:space="preserve"> </w:t>
            </w:r>
          </w:p>
          <w:p w14:paraId="7EDC4819" w14:textId="77BDB3B2" w:rsidR="00863AB0" w:rsidRPr="008E596C" w:rsidRDefault="00EC1612" w:rsidP="00E87D28">
            <w:pPr>
              <w:pStyle w:val="naiskr"/>
              <w:spacing w:before="0" w:after="0"/>
              <w:jc w:val="both"/>
            </w:pPr>
            <w:r w:rsidRPr="00BB7AF1">
              <w:t>Likumprojekt</w:t>
            </w:r>
            <w:r w:rsidR="00E97E42">
              <w:t xml:space="preserve">s paredz </w:t>
            </w:r>
            <w:r w:rsidR="00E97E42" w:rsidRPr="00E97E42">
              <w:t>papildināt</w:t>
            </w:r>
            <w:r w:rsidRPr="00BB7AF1">
              <w:t xml:space="preserve"> Azartspēļu un izložu likum</w:t>
            </w:r>
            <w:r w:rsidR="00E97E42">
              <w:t>u</w:t>
            </w:r>
            <w:r w:rsidRPr="00BB7AF1">
              <w:t xml:space="preserve"> ar jaunu uzdevumu </w:t>
            </w:r>
            <w:r w:rsidRPr="008E596C">
              <w:t>Izložu un azartspēļu uzraudzības inspekcijai</w:t>
            </w:r>
            <w:r w:rsidR="00E87D28" w:rsidRPr="008E596C">
              <w:t>, p</w:t>
            </w:r>
            <w:r w:rsidR="00E97E42">
              <w:t>roti</w:t>
            </w:r>
            <w:r w:rsidRPr="00BB7AF1">
              <w:t xml:space="preserve">, tai </w:t>
            </w:r>
            <w:r w:rsidR="00471BD8" w:rsidRPr="008E596C">
              <w:t xml:space="preserve">no 2019.gada 1.janvāra </w:t>
            </w:r>
            <w:r w:rsidRPr="008E596C">
              <w:t>būs jā</w:t>
            </w:r>
            <w:r w:rsidR="00863AB0" w:rsidRPr="008E596C">
              <w:t>nodrošin</w:t>
            </w:r>
            <w:r w:rsidRPr="008E596C">
              <w:t>a</w:t>
            </w:r>
            <w:r w:rsidR="00863AB0" w:rsidRPr="008E596C">
              <w:t xml:space="preserve"> Vienotās azartspēļu  automātu kontroles un uzraudzības sistēmas darbīb</w:t>
            </w:r>
            <w:r w:rsidRPr="008E596C">
              <w:t>a</w:t>
            </w:r>
            <w:r w:rsidR="00863AB0" w:rsidRPr="008E596C">
              <w:t>, pielietojot tiešsaistes datu apmaiņu ar azartspēļu organizētājiem.</w:t>
            </w:r>
          </w:p>
          <w:p w14:paraId="5F703623" w14:textId="3D2CBC0D" w:rsidR="009D5BA5" w:rsidRPr="008E596C" w:rsidRDefault="00E87D28" w:rsidP="00A6070A">
            <w:pPr>
              <w:pStyle w:val="naiskr"/>
              <w:spacing w:before="0" w:after="0"/>
              <w:jc w:val="both"/>
            </w:pPr>
            <w:r w:rsidRPr="008E596C">
              <w:t xml:space="preserve">Likumprojekts paredz </w:t>
            </w:r>
            <w:r w:rsidR="00A6070A" w:rsidRPr="008E596C">
              <w:t xml:space="preserve">iekļaut Azartspēļu un izložu likumā pilnvarojumu </w:t>
            </w:r>
            <w:r w:rsidR="00381427" w:rsidRPr="008E596C">
              <w:t xml:space="preserve">jaunu </w:t>
            </w:r>
            <w:r w:rsidR="00A6070A" w:rsidRPr="008E596C">
              <w:t>Ministru kabineta noteikumu izstrādei</w:t>
            </w:r>
            <w:r w:rsidR="00BB09A4" w:rsidRPr="008E596C">
              <w:t>.</w:t>
            </w:r>
            <w:r w:rsidR="00381427" w:rsidRPr="008E596C">
              <w:t xml:space="preserve">  Ministru kabinetam </w:t>
            </w:r>
            <w:r w:rsidR="00BB09A4" w:rsidRPr="008E596C">
              <w:t xml:space="preserve">paredzēts </w:t>
            </w:r>
            <w:r w:rsidR="00381427" w:rsidRPr="008E596C">
              <w:t>noteikt</w:t>
            </w:r>
            <w:r w:rsidR="00A6070A" w:rsidRPr="008E596C">
              <w:t xml:space="preserve"> Vienotās azartspēļu automātu kontroles un uzraudzības sistēmas ieviešan</w:t>
            </w:r>
            <w:r w:rsidRPr="008E596C">
              <w:t xml:space="preserve">as </w:t>
            </w:r>
            <w:r w:rsidR="00381427" w:rsidRPr="008E596C">
              <w:t>un uzturēšanas kārtību, prasības attiecībā uz azartspēļu automātu pieslēgšanu Vienotajai azartspēļu automātu kontroles un uzraudzības sistēmai, kā arī minētajā sistēmā iekļaujamos datus un datu apmaiņas kārtību</w:t>
            </w:r>
            <w:r w:rsidR="00751EA0" w:rsidRPr="008E596C">
              <w:t>.</w:t>
            </w:r>
            <w:r w:rsidR="00A6070A" w:rsidRPr="008E596C">
              <w:t xml:space="preserve"> </w:t>
            </w:r>
          </w:p>
          <w:p w14:paraId="056A351F" w14:textId="354DE215" w:rsidR="00A6070A" w:rsidRPr="008E596C" w:rsidRDefault="00751EA0" w:rsidP="00A6070A">
            <w:pPr>
              <w:pStyle w:val="naiskr"/>
              <w:spacing w:before="0" w:after="0"/>
              <w:jc w:val="both"/>
            </w:pPr>
            <w:r w:rsidRPr="008E596C">
              <w:t>L</w:t>
            </w:r>
            <w:r w:rsidR="00381427" w:rsidRPr="008E596C">
              <w:t>ikumprojekt</w:t>
            </w:r>
            <w:r w:rsidRPr="008E596C">
              <w:t>s</w:t>
            </w:r>
            <w:r w:rsidR="00381427" w:rsidRPr="008E596C">
              <w:t xml:space="preserve"> paredz</w:t>
            </w:r>
            <w:r w:rsidRPr="008E596C">
              <w:t xml:space="preserve"> arī</w:t>
            </w:r>
            <w:r w:rsidR="00381427" w:rsidRPr="008E596C">
              <w:t xml:space="preserve"> </w:t>
            </w:r>
            <w:r w:rsidR="00A6070A" w:rsidRPr="008E596C">
              <w:t xml:space="preserve">papildināt </w:t>
            </w:r>
            <w:r w:rsidRPr="008E596C">
              <w:t xml:space="preserve">Azartspēļu un izložu likuma </w:t>
            </w:r>
            <w:r w:rsidR="00A6070A" w:rsidRPr="008E596C">
              <w:t xml:space="preserve">pārejas noteikumus ar </w:t>
            </w:r>
            <w:r w:rsidR="009D5BA5" w:rsidRPr="008E596C">
              <w:t xml:space="preserve">17.punktu un atbilstoši tam </w:t>
            </w:r>
            <w:r w:rsidR="00A6070A" w:rsidRPr="008E596C">
              <w:t>Vienot</w:t>
            </w:r>
            <w:r w:rsidR="009D5BA5" w:rsidRPr="008E596C">
              <w:t>ā</w:t>
            </w:r>
            <w:r w:rsidR="00A6070A" w:rsidRPr="008E596C">
              <w:t xml:space="preserve"> azartspēļu automātu kontroles un uzraudzības sistēma</w:t>
            </w:r>
            <w:r w:rsidR="00390165" w:rsidRPr="008E596C">
              <w:t xml:space="preserve"> </w:t>
            </w:r>
            <w:r w:rsidR="006234FA" w:rsidRPr="008E596C">
              <w:t xml:space="preserve">sāks darboties </w:t>
            </w:r>
            <w:r w:rsidR="00ED2F0E" w:rsidRPr="008E596C">
              <w:t xml:space="preserve">no </w:t>
            </w:r>
            <w:r w:rsidR="00A6070A" w:rsidRPr="008E596C">
              <w:rPr>
                <w:iCs/>
              </w:rPr>
              <w:t>2019.gada 1.janvār</w:t>
            </w:r>
            <w:r w:rsidR="00ED2F0E" w:rsidRPr="008E596C">
              <w:rPr>
                <w:iCs/>
              </w:rPr>
              <w:t>a</w:t>
            </w:r>
            <w:r w:rsidR="006325EE" w:rsidRPr="008E596C">
              <w:rPr>
                <w:iCs/>
              </w:rPr>
              <w:t>.</w:t>
            </w:r>
          </w:p>
          <w:p w14:paraId="1B247430" w14:textId="77777777" w:rsidR="004735D3" w:rsidRPr="008E596C" w:rsidRDefault="004735D3" w:rsidP="00136A48">
            <w:pPr>
              <w:pStyle w:val="DefaultParagraphFont1"/>
              <w:jc w:val="both"/>
              <w:rPr>
                <w:rFonts w:ascii="Times New Roman" w:hAnsi="Times New Roman"/>
                <w:i/>
                <w:iCs/>
                <w:sz w:val="24"/>
                <w:szCs w:val="24"/>
              </w:rPr>
            </w:pPr>
          </w:p>
          <w:p w14:paraId="25BD17BF" w14:textId="2C976C17" w:rsidR="00E531A7" w:rsidRPr="008E596C" w:rsidRDefault="00C62D2B" w:rsidP="00136A48">
            <w:pPr>
              <w:pStyle w:val="DefaultParagraphFont1"/>
              <w:jc w:val="both"/>
              <w:rPr>
                <w:rFonts w:ascii="Times New Roman" w:hAnsi="Times New Roman"/>
                <w:i/>
                <w:iCs/>
                <w:sz w:val="24"/>
                <w:szCs w:val="24"/>
              </w:rPr>
            </w:pPr>
            <w:r w:rsidRPr="008E596C">
              <w:rPr>
                <w:rFonts w:ascii="Times New Roman" w:hAnsi="Times New Roman"/>
                <w:i/>
                <w:iCs/>
                <w:sz w:val="24"/>
                <w:szCs w:val="24"/>
              </w:rPr>
              <w:t xml:space="preserve">2) </w:t>
            </w:r>
            <w:r w:rsidR="00E531A7" w:rsidRPr="008E596C">
              <w:rPr>
                <w:rFonts w:ascii="Times New Roman" w:hAnsi="Times New Roman"/>
                <w:i/>
                <w:iCs/>
                <w:sz w:val="24"/>
                <w:szCs w:val="24"/>
              </w:rPr>
              <w:t>Azartspēļu un izložu likuma 8.panta 2.punkts, 9.panta pirmā daļa</w:t>
            </w:r>
          </w:p>
          <w:p w14:paraId="4740623B" w14:textId="77777777" w:rsidR="00B80E5A" w:rsidRPr="00BB7AF1" w:rsidRDefault="00021A36" w:rsidP="00136A48">
            <w:pPr>
              <w:pStyle w:val="DefaultParagraphFont1"/>
              <w:jc w:val="both"/>
              <w:rPr>
                <w:rFonts w:ascii="Times New Roman" w:hAnsi="Times New Roman"/>
                <w:sz w:val="24"/>
                <w:szCs w:val="24"/>
                <w:shd w:val="clear" w:color="auto" w:fill="FFFFFF"/>
              </w:rPr>
            </w:pPr>
            <w:r w:rsidRPr="008E596C">
              <w:rPr>
                <w:rFonts w:ascii="Times New Roman" w:hAnsi="Times New Roman"/>
                <w:sz w:val="24"/>
                <w:szCs w:val="24"/>
              </w:rPr>
              <w:t>Lai saņemtu azartspēļu organizēšanas licenci, atbilstoši p</w:t>
            </w:r>
            <w:r w:rsidR="009D5BA5" w:rsidRPr="008E596C">
              <w:rPr>
                <w:rFonts w:ascii="Times New Roman" w:hAnsi="Times New Roman"/>
                <w:sz w:val="24"/>
                <w:szCs w:val="24"/>
              </w:rPr>
              <w:t>ašreiz spēkā esošā Azartspēļu</w:t>
            </w:r>
            <w:r w:rsidR="009D5BA5" w:rsidRPr="008E596C">
              <w:rPr>
                <w:sz w:val="24"/>
                <w:szCs w:val="24"/>
              </w:rPr>
              <w:t xml:space="preserve"> un izložu likuma</w:t>
            </w:r>
            <w:r w:rsidRPr="008E596C">
              <w:rPr>
                <w:sz w:val="24"/>
                <w:szCs w:val="24"/>
              </w:rPr>
              <w:t xml:space="preserve"> 8.panta 2.punkt</w:t>
            </w:r>
            <w:r w:rsidRPr="008E596C">
              <w:rPr>
                <w:rFonts w:hint="eastAsia"/>
                <w:sz w:val="24"/>
                <w:szCs w:val="24"/>
              </w:rPr>
              <w:t>ā</w:t>
            </w:r>
            <w:r w:rsidRPr="008E596C">
              <w:rPr>
                <w:sz w:val="24"/>
                <w:szCs w:val="24"/>
              </w:rPr>
              <w:t xml:space="preserve"> noteiktajam azartsp</w:t>
            </w:r>
            <w:r w:rsidRPr="008E596C">
              <w:rPr>
                <w:rFonts w:hint="eastAsia"/>
                <w:sz w:val="24"/>
                <w:szCs w:val="24"/>
              </w:rPr>
              <w:t>ēļ</w:t>
            </w:r>
            <w:r w:rsidRPr="008E596C">
              <w:rPr>
                <w:sz w:val="24"/>
                <w:szCs w:val="24"/>
              </w:rPr>
              <w:t>u organiz</w:t>
            </w:r>
            <w:r w:rsidRPr="008E596C">
              <w:rPr>
                <w:rFonts w:hint="eastAsia"/>
                <w:sz w:val="24"/>
                <w:szCs w:val="24"/>
              </w:rPr>
              <w:t>ē</w:t>
            </w:r>
            <w:r w:rsidRPr="008E596C">
              <w:rPr>
                <w:sz w:val="24"/>
                <w:szCs w:val="24"/>
              </w:rPr>
              <w:t>t</w:t>
            </w:r>
            <w:r w:rsidRPr="008E596C">
              <w:rPr>
                <w:rFonts w:hint="eastAsia"/>
                <w:sz w:val="24"/>
                <w:szCs w:val="24"/>
              </w:rPr>
              <w:t>ā</w:t>
            </w:r>
            <w:r w:rsidRPr="008E596C">
              <w:rPr>
                <w:sz w:val="24"/>
                <w:szCs w:val="24"/>
              </w:rPr>
              <w:t>jam ir j</w:t>
            </w:r>
            <w:r w:rsidRPr="008E596C">
              <w:rPr>
                <w:rFonts w:hint="eastAsia"/>
                <w:sz w:val="24"/>
                <w:szCs w:val="24"/>
              </w:rPr>
              <w:t>ā</w:t>
            </w:r>
            <w:r w:rsidRPr="008E596C">
              <w:rPr>
                <w:sz w:val="24"/>
                <w:szCs w:val="24"/>
              </w:rPr>
              <w:t>atbilst krit</w:t>
            </w:r>
            <w:r w:rsidRPr="008E596C">
              <w:rPr>
                <w:rFonts w:hint="eastAsia"/>
                <w:sz w:val="24"/>
                <w:szCs w:val="24"/>
              </w:rPr>
              <w:t>ē</w:t>
            </w:r>
            <w:r w:rsidRPr="008E596C">
              <w:rPr>
                <w:sz w:val="24"/>
                <w:szCs w:val="24"/>
              </w:rPr>
              <w:t xml:space="preserve">rijam, ka </w:t>
            </w:r>
            <w:r w:rsidRPr="008E596C">
              <w:rPr>
                <w:rFonts w:ascii="Times New Roman" w:hAnsi="Times New Roman"/>
                <w:sz w:val="24"/>
                <w:szCs w:val="24"/>
              </w:rPr>
              <w:t>ārvalstu dalībnieku vai akcionāru daļa kapitālsabiedrības pamatkapitālā nepārsniedz 49 procentus</w:t>
            </w:r>
            <w:r w:rsidRPr="008E596C">
              <w:rPr>
                <w:sz w:val="28"/>
                <w:szCs w:val="28"/>
              </w:rPr>
              <w:t xml:space="preserve">. </w:t>
            </w:r>
            <w:r w:rsidR="00B80E5A" w:rsidRPr="008E596C">
              <w:rPr>
                <w:rFonts w:ascii="Times New Roman" w:hAnsi="Times New Roman"/>
                <w:sz w:val="24"/>
                <w:szCs w:val="24"/>
              </w:rPr>
              <w:t>Pašreiz š</w:t>
            </w:r>
            <w:r w:rsidRPr="008E596C">
              <w:rPr>
                <w:rFonts w:ascii="Times New Roman" w:hAnsi="Times New Roman"/>
                <w:sz w:val="24"/>
                <w:szCs w:val="24"/>
              </w:rPr>
              <w:t>ī prasība neattiecas uz</w:t>
            </w:r>
            <w:r w:rsidR="00B80E5A" w:rsidRPr="00BB7AF1">
              <w:rPr>
                <w:rFonts w:ascii="Times New Roman" w:hAnsi="Times New Roman"/>
                <w:sz w:val="24"/>
                <w:szCs w:val="24"/>
                <w:shd w:val="clear" w:color="auto" w:fill="FFFFFF"/>
              </w:rPr>
              <w:t xml:space="preserve"> Eiropas Savienības dalībvalstu ieguldītājiem, kā arī uz gadījumiem, kad ārvalstu ieguldījumiem atšķirīgus noteikumus paredz Saeimas apstiprinātie starptautiskie līgumi.</w:t>
            </w:r>
          </w:p>
          <w:p w14:paraId="3508CB8C" w14:textId="2F4B7D0C" w:rsidR="009D5BA5" w:rsidRPr="008E596C" w:rsidRDefault="00B80E5A" w:rsidP="00136A48">
            <w:pPr>
              <w:pStyle w:val="DefaultParagraphFont1"/>
              <w:jc w:val="both"/>
              <w:rPr>
                <w:rFonts w:ascii="Times New Roman" w:hAnsi="Times New Roman"/>
                <w:sz w:val="24"/>
                <w:szCs w:val="24"/>
              </w:rPr>
            </w:pPr>
            <w:r w:rsidRPr="00BB7AF1">
              <w:rPr>
                <w:rFonts w:ascii="Times New Roman" w:hAnsi="Times New Roman"/>
                <w:sz w:val="24"/>
                <w:szCs w:val="24"/>
                <w:shd w:val="clear" w:color="auto" w:fill="FFFFFF"/>
              </w:rPr>
              <w:t>Pašreiz spēkā esošā</w:t>
            </w:r>
            <w:r w:rsidRPr="008E596C">
              <w:rPr>
                <w:rFonts w:ascii="Times New Roman" w:hAnsi="Times New Roman"/>
                <w:sz w:val="24"/>
                <w:szCs w:val="24"/>
              </w:rPr>
              <w:t xml:space="preserve"> </w:t>
            </w:r>
            <w:r w:rsidR="00021A36" w:rsidRPr="008E596C">
              <w:rPr>
                <w:rFonts w:ascii="Times New Roman" w:hAnsi="Times New Roman"/>
                <w:sz w:val="24"/>
                <w:szCs w:val="24"/>
              </w:rPr>
              <w:t xml:space="preserve"> </w:t>
            </w:r>
            <w:r w:rsidRPr="008E596C">
              <w:rPr>
                <w:rFonts w:ascii="Times New Roman" w:hAnsi="Times New Roman"/>
                <w:sz w:val="24"/>
                <w:szCs w:val="24"/>
              </w:rPr>
              <w:t>Azartspēļu un izložu likuma 9.panta pirmajā daļā ir ietvertas prasības azartspēļu organizētāja padomes un valdes locekļiem</w:t>
            </w:r>
            <w:r w:rsidR="00BB09A4" w:rsidRPr="008E596C">
              <w:rPr>
                <w:rFonts w:ascii="Times New Roman" w:hAnsi="Times New Roman"/>
                <w:sz w:val="24"/>
                <w:szCs w:val="24"/>
              </w:rPr>
              <w:t>. Minētajā tiesību normā</w:t>
            </w:r>
            <w:r w:rsidR="00B94DCE" w:rsidRPr="008E596C">
              <w:rPr>
                <w:rFonts w:ascii="Times New Roman" w:hAnsi="Times New Roman"/>
                <w:sz w:val="24"/>
                <w:szCs w:val="24"/>
              </w:rPr>
              <w:t xml:space="preserve"> noteikts</w:t>
            </w:r>
            <w:r w:rsidRPr="008E596C">
              <w:rPr>
                <w:rFonts w:ascii="Times New Roman" w:hAnsi="Times New Roman"/>
                <w:sz w:val="24"/>
                <w:szCs w:val="24"/>
              </w:rPr>
              <w:t>, ka n</w:t>
            </w:r>
            <w:r w:rsidRPr="00BB7AF1">
              <w:rPr>
                <w:rFonts w:ascii="Times New Roman" w:hAnsi="Times New Roman"/>
                <w:sz w:val="24"/>
                <w:szCs w:val="24"/>
                <w:shd w:val="clear" w:color="auto" w:fill="FFFFFF"/>
              </w:rPr>
              <w:t>e mazāk kā pusei no azartspēļu organizētāja padomes un valdes locekļiem ir jābūt iekšzemes nodokļu maksātājiem (rezidentiem).</w:t>
            </w:r>
          </w:p>
          <w:p w14:paraId="6F7F9006" w14:textId="324EA130" w:rsidR="00136A48" w:rsidRPr="008E596C" w:rsidRDefault="008F2155" w:rsidP="00136A48">
            <w:pPr>
              <w:pStyle w:val="DefaultParagraphFont1"/>
              <w:jc w:val="both"/>
              <w:rPr>
                <w:rFonts w:ascii="Times New Roman" w:hAnsi="Times New Roman"/>
                <w:sz w:val="24"/>
                <w:szCs w:val="24"/>
              </w:rPr>
            </w:pPr>
            <w:r w:rsidRPr="008E596C">
              <w:rPr>
                <w:sz w:val="24"/>
                <w:szCs w:val="24"/>
              </w:rPr>
              <w:lastRenderedPageBreak/>
              <w:t>Lai nov</w:t>
            </w:r>
            <w:r w:rsidRPr="008E596C">
              <w:rPr>
                <w:rFonts w:hint="eastAsia"/>
                <w:sz w:val="24"/>
                <w:szCs w:val="24"/>
              </w:rPr>
              <w:t>ē</w:t>
            </w:r>
            <w:r w:rsidRPr="008E596C">
              <w:rPr>
                <w:sz w:val="24"/>
                <w:szCs w:val="24"/>
              </w:rPr>
              <w:t xml:space="preserve">rstu </w:t>
            </w:r>
            <w:r w:rsidRPr="008E596C">
              <w:rPr>
                <w:sz w:val="24"/>
                <w:szCs w:val="24"/>
                <w:shd w:val="clear" w:color="auto" w:fill="FFFFFF"/>
              </w:rPr>
              <w:t>Ekonomisk</w:t>
            </w:r>
            <w:r w:rsidRPr="008E596C">
              <w:rPr>
                <w:rFonts w:hint="eastAsia"/>
                <w:sz w:val="24"/>
                <w:szCs w:val="24"/>
                <w:shd w:val="clear" w:color="auto" w:fill="FFFFFF"/>
              </w:rPr>
              <w:t>ā</w:t>
            </w:r>
            <w:r w:rsidRPr="008E596C">
              <w:rPr>
                <w:sz w:val="24"/>
                <w:szCs w:val="24"/>
                <w:shd w:val="clear" w:color="auto" w:fill="FFFFFF"/>
              </w:rPr>
              <w:t>s sadarb</w:t>
            </w:r>
            <w:r w:rsidRPr="008E596C">
              <w:rPr>
                <w:rFonts w:hint="eastAsia"/>
                <w:sz w:val="24"/>
                <w:szCs w:val="24"/>
                <w:shd w:val="clear" w:color="auto" w:fill="FFFFFF"/>
              </w:rPr>
              <w:t>ī</w:t>
            </w:r>
            <w:r w:rsidRPr="008E596C">
              <w:rPr>
                <w:sz w:val="24"/>
                <w:szCs w:val="24"/>
                <w:shd w:val="clear" w:color="auto" w:fill="FFFFFF"/>
              </w:rPr>
              <w:t>bas un att</w:t>
            </w:r>
            <w:r w:rsidRPr="008E596C">
              <w:rPr>
                <w:rFonts w:hint="eastAsia"/>
                <w:sz w:val="24"/>
                <w:szCs w:val="24"/>
                <w:shd w:val="clear" w:color="auto" w:fill="FFFFFF"/>
              </w:rPr>
              <w:t>ī</w:t>
            </w:r>
            <w:r w:rsidRPr="008E596C">
              <w:rPr>
                <w:sz w:val="24"/>
                <w:szCs w:val="24"/>
                <w:shd w:val="clear" w:color="auto" w:fill="FFFFFF"/>
              </w:rPr>
              <w:t>st</w:t>
            </w:r>
            <w:r w:rsidRPr="008E596C">
              <w:rPr>
                <w:rFonts w:hint="eastAsia"/>
                <w:sz w:val="24"/>
                <w:szCs w:val="24"/>
                <w:shd w:val="clear" w:color="auto" w:fill="FFFFFF"/>
              </w:rPr>
              <w:t>ī</w:t>
            </w:r>
            <w:r w:rsidRPr="008E596C">
              <w:rPr>
                <w:sz w:val="24"/>
                <w:szCs w:val="24"/>
                <w:shd w:val="clear" w:color="auto" w:fill="FFFFFF"/>
              </w:rPr>
              <w:t>bas organiz</w:t>
            </w:r>
            <w:r w:rsidRPr="008E596C">
              <w:rPr>
                <w:rFonts w:hint="eastAsia"/>
                <w:sz w:val="24"/>
                <w:szCs w:val="24"/>
                <w:shd w:val="clear" w:color="auto" w:fill="FFFFFF"/>
              </w:rPr>
              <w:t>ā</w:t>
            </w:r>
            <w:r w:rsidRPr="008E596C">
              <w:rPr>
                <w:sz w:val="24"/>
                <w:szCs w:val="24"/>
                <w:shd w:val="clear" w:color="auto" w:fill="FFFFFF"/>
              </w:rPr>
              <w:t xml:space="preserve">cijas </w:t>
            </w:r>
            <w:r w:rsidRPr="008E596C">
              <w:rPr>
                <w:sz w:val="24"/>
                <w:szCs w:val="24"/>
              </w:rPr>
              <w:t>dal</w:t>
            </w:r>
            <w:r w:rsidRPr="008E596C">
              <w:rPr>
                <w:rFonts w:hint="eastAsia"/>
                <w:sz w:val="24"/>
                <w:szCs w:val="24"/>
              </w:rPr>
              <w:t>ī</w:t>
            </w:r>
            <w:r w:rsidRPr="008E596C">
              <w:rPr>
                <w:sz w:val="24"/>
                <w:szCs w:val="24"/>
              </w:rPr>
              <w:t>bvalstu rezidentu diskrimin</w:t>
            </w:r>
            <w:r w:rsidRPr="008E596C">
              <w:rPr>
                <w:rFonts w:hint="eastAsia"/>
                <w:sz w:val="24"/>
                <w:szCs w:val="24"/>
              </w:rPr>
              <w:t>ā</w:t>
            </w:r>
            <w:r w:rsidRPr="008E596C">
              <w:rPr>
                <w:sz w:val="24"/>
                <w:szCs w:val="24"/>
              </w:rPr>
              <w:t>ciju,</w:t>
            </w:r>
            <w:r w:rsidRPr="008E596C">
              <w:rPr>
                <w:rFonts w:ascii="Times New Roman" w:hAnsi="Times New Roman"/>
                <w:sz w:val="24"/>
                <w:szCs w:val="24"/>
              </w:rPr>
              <w:t xml:space="preserve"> i</w:t>
            </w:r>
            <w:r w:rsidR="00E83F7E" w:rsidRPr="008E596C">
              <w:rPr>
                <w:rFonts w:ascii="Times New Roman" w:hAnsi="Times New Roman"/>
                <w:sz w:val="24"/>
                <w:szCs w:val="24"/>
              </w:rPr>
              <w:t>r nepieciešams p</w:t>
            </w:r>
            <w:r w:rsidR="00136A48" w:rsidRPr="008E596C">
              <w:rPr>
                <w:rFonts w:ascii="Times New Roman" w:hAnsi="Times New Roman"/>
                <w:sz w:val="24"/>
                <w:szCs w:val="24"/>
              </w:rPr>
              <w:t>ašreiz spēkā esošā Azartspēļu</w:t>
            </w:r>
            <w:r w:rsidR="00136A48" w:rsidRPr="008E596C">
              <w:rPr>
                <w:sz w:val="24"/>
                <w:szCs w:val="24"/>
              </w:rPr>
              <w:t xml:space="preserve"> un izložu likuma normas par ierobežojumiem azartsp</w:t>
            </w:r>
            <w:r w:rsidR="00136A48" w:rsidRPr="008E596C">
              <w:rPr>
                <w:rFonts w:hint="eastAsia"/>
                <w:sz w:val="24"/>
                <w:szCs w:val="24"/>
              </w:rPr>
              <w:t>ēļ</w:t>
            </w:r>
            <w:r w:rsidR="00136A48" w:rsidRPr="008E596C">
              <w:rPr>
                <w:sz w:val="24"/>
                <w:szCs w:val="24"/>
              </w:rPr>
              <w:t>u organiz</w:t>
            </w:r>
            <w:r w:rsidR="00136A48" w:rsidRPr="008E596C">
              <w:rPr>
                <w:rFonts w:hint="eastAsia"/>
                <w:sz w:val="24"/>
                <w:szCs w:val="24"/>
              </w:rPr>
              <w:t>ē</w:t>
            </w:r>
            <w:r w:rsidR="00136A48" w:rsidRPr="008E596C">
              <w:rPr>
                <w:sz w:val="24"/>
                <w:szCs w:val="24"/>
              </w:rPr>
              <w:t>t</w:t>
            </w:r>
            <w:r w:rsidR="00136A48" w:rsidRPr="008E596C">
              <w:rPr>
                <w:rFonts w:hint="eastAsia"/>
                <w:sz w:val="24"/>
                <w:szCs w:val="24"/>
              </w:rPr>
              <w:t>ā</w:t>
            </w:r>
            <w:r w:rsidR="00136A48" w:rsidRPr="008E596C">
              <w:rPr>
                <w:sz w:val="24"/>
                <w:szCs w:val="24"/>
              </w:rPr>
              <w:t xml:space="preserve">jiem un to </w:t>
            </w:r>
            <w:r w:rsidR="00B94DCE" w:rsidRPr="008E596C">
              <w:rPr>
                <w:sz w:val="24"/>
                <w:szCs w:val="24"/>
              </w:rPr>
              <w:t xml:space="preserve">padomes un </w:t>
            </w:r>
            <w:r w:rsidR="00136A48" w:rsidRPr="008E596C">
              <w:rPr>
                <w:sz w:val="24"/>
                <w:szCs w:val="24"/>
              </w:rPr>
              <w:t>valdes locek</w:t>
            </w:r>
            <w:r w:rsidR="00136A48" w:rsidRPr="008E596C">
              <w:rPr>
                <w:rFonts w:hint="eastAsia"/>
                <w:sz w:val="24"/>
                <w:szCs w:val="24"/>
              </w:rPr>
              <w:t>ļ</w:t>
            </w:r>
            <w:r w:rsidR="00136A48" w:rsidRPr="008E596C">
              <w:rPr>
                <w:sz w:val="24"/>
                <w:szCs w:val="24"/>
              </w:rPr>
              <w:t>iem paplašin</w:t>
            </w:r>
            <w:r w:rsidR="00136A48" w:rsidRPr="008E596C">
              <w:rPr>
                <w:rFonts w:hint="eastAsia"/>
                <w:sz w:val="24"/>
                <w:szCs w:val="24"/>
              </w:rPr>
              <w:t>ā</w:t>
            </w:r>
            <w:r w:rsidR="00136A48" w:rsidRPr="008E596C">
              <w:rPr>
                <w:sz w:val="24"/>
                <w:szCs w:val="24"/>
              </w:rPr>
              <w:t>t un attiec</w:t>
            </w:r>
            <w:r w:rsidR="00136A48" w:rsidRPr="008E596C">
              <w:rPr>
                <w:rFonts w:hint="eastAsia"/>
                <w:sz w:val="24"/>
                <w:szCs w:val="24"/>
              </w:rPr>
              <w:t>ī</w:t>
            </w:r>
            <w:r w:rsidR="00136A48" w:rsidRPr="008E596C">
              <w:rPr>
                <w:sz w:val="24"/>
                <w:szCs w:val="24"/>
              </w:rPr>
              <w:t>b</w:t>
            </w:r>
            <w:r w:rsidR="00136A48" w:rsidRPr="008E596C">
              <w:rPr>
                <w:rFonts w:hint="eastAsia"/>
                <w:sz w:val="24"/>
                <w:szCs w:val="24"/>
              </w:rPr>
              <w:t>ā</w:t>
            </w:r>
            <w:r w:rsidR="00136A48" w:rsidRPr="008E596C">
              <w:rPr>
                <w:sz w:val="24"/>
                <w:szCs w:val="24"/>
              </w:rPr>
              <w:t xml:space="preserve"> uz </w:t>
            </w:r>
            <w:r w:rsidR="00136A48" w:rsidRPr="008E596C">
              <w:rPr>
                <w:sz w:val="24"/>
                <w:szCs w:val="24"/>
                <w:shd w:val="clear" w:color="auto" w:fill="FFFFFF"/>
              </w:rPr>
              <w:t>Ekonomisk</w:t>
            </w:r>
            <w:r w:rsidR="00136A48" w:rsidRPr="008E596C">
              <w:rPr>
                <w:rFonts w:hint="eastAsia"/>
                <w:sz w:val="24"/>
                <w:szCs w:val="24"/>
                <w:shd w:val="clear" w:color="auto" w:fill="FFFFFF"/>
              </w:rPr>
              <w:t>ā</w:t>
            </w:r>
            <w:r w:rsidR="00136A48" w:rsidRPr="008E596C">
              <w:rPr>
                <w:sz w:val="24"/>
                <w:szCs w:val="24"/>
                <w:shd w:val="clear" w:color="auto" w:fill="FFFFFF"/>
              </w:rPr>
              <w:t>s sadarb</w:t>
            </w:r>
            <w:r w:rsidR="00136A48" w:rsidRPr="008E596C">
              <w:rPr>
                <w:rFonts w:hint="eastAsia"/>
                <w:sz w:val="24"/>
                <w:szCs w:val="24"/>
                <w:shd w:val="clear" w:color="auto" w:fill="FFFFFF"/>
              </w:rPr>
              <w:t>ī</w:t>
            </w:r>
            <w:r w:rsidR="00136A48" w:rsidRPr="008E596C">
              <w:rPr>
                <w:sz w:val="24"/>
                <w:szCs w:val="24"/>
                <w:shd w:val="clear" w:color="auto" w:fill="FFFFFF"/>
              </w:rPr>
              <w:t>bas un att</w:t>
            </w:r>
            <w:r w:rsidR="00136A48" w:rsidRPr="008E596C">
              <w:rPr>
                <w:rFonts w:hint="eastAsia"/>
                <w:sz w:val="24"/>
                <w:szCs w:val="24"/>
                <w:shd w:val="clear" w:color="auto" w:fill="FFFFFF"/>
              </w:rPr>
              <w:t>ī</w:t>
            </w:r>
            <w:r w:rsidR="00136A48" w:rsidRPr="008E596C">
              <w:rPr>
                <w:sz w:val="24"/>
                <w:szCs w:val="24"/>
                <w:shd w:val="clear" w:color="auto" w:fill="FFFFFF"/>
              </w:rPr>
              <w:t>st</w:t>
            </w:r>
            <w:r w:rsidR="00136A48" w:rsidRPr="008E596C">
              <w:rPr>
                <w:rFonts w:hint="eastAsia"/>
                <w:sz w:val="24"/>
                <w:szCs w:val="24"/>
                <w:shd w:val="clear" w:color="auto" w:fill="FFFFFF"/>
              </w:rPr>
              <w:t>ī</w:t>
            </w:r>
            <w:r w:rsidR="00136A48" w:rsidRPr="008E596C">
              <w:rPr>
                <w:sz w:val="24"/>
                <w:szCs w:val="24"/>
                <w:shd w:val="clear" w:color="auto" w:fill="FFFFFF"/>
              </w:rPr>
              <w:t>bas organiz</w:t>
            </w:r>
            <w:r w:rsidR="00136A48" w:rsidRPr="008E596C">
              <w:rPr>
                <w:rFonts w:hint="eastAsia"/>
                <w:sz w:val="24"/>
                <w:szCs w:val="24"/>
                <w:shd w:val="clear" w:color="auto" w:fill="FFFFFF"/>
              </w:rPr>
              <w:t>ā</w:t>
            </w:r>
            <w:r w:rsidR="00136A48" w:rsidRPr="008E596C">
              <w:rPr>
                <w:sz w:val="24"/>
                <w:szCs w:val="24"/>
                <w:shd w:val="clear" w:color="auto" w:fill="FFFFFF"/>
              </w:rPr>
              <w:t xml:space="preserve">cijas </w:t>
            </w:r>
            <w:r w:rsidR="00136A48" w:rsidRPr="008E596C">
              <w:rPr>
                <w:sz w:val="24"/>
                <w:szCs w:val="24"/>
              </w:rPr>
              <w:t>dal</w:t>
            </w:r>
            <w:r w:rsidR="00136A48" w:rsidRPr="008E596C">
              <w:rPr>
                <w:rFonts w:hint="eastAsia"/>
                <w:sz w:val="24"/>
                <w:szCs w:val="24"/>
              </w:rPr>
              <w:t>ī</w:t>
            </w:r>
            <w:r w:rsidR="00136A48" w:rsidRPr="008E596C">
              <w:rPr>
                <w:sz w:val="24"/>
                <w:szCs w:val="24"/>
              </w:rPr>
              <w:t>bvalstu rezidentiem noteikt analo</w:t>
            </w:r>
            <w:r w:rsidR="00136A48" w:rsidRPr="008E596C">
              <w:rPr>
                <w:rFonts w:hint="eastAsia"/>
                <w:sz w:val="24"/>
                <w:szCs w:val="24"/>
              </w:rPr>
              <w:t>ģ</w:t>
            </w:r>
            <w:r w:rsidR="00136A48" w:rsidRPr="008E596C">
              <w:rPr>
                <w:sz w:val="24"/>
                <w:szCs w:val="24"/>
              </w:rPr>
              <w:t>iskas ties</w:t>
            </w:r>
            <w:r w:rsidR="00136A48" w:rsidRPr="008E596C">
              <w:rPr>
                <w:rFonts w:hint="eastAsia"/>
                <w:sz w:val="24"/>
                <w:szCs w:val="24"/>
              </w:rPr>
              <w:t>ī</w:t>
            </w:r>
            <w:r w:rsidR="00136A48" w:rsidRPr="008E596C">
              <w:rPr>
                <w:sz w:val="24"/>
                <w:szCs w:val="24"/>
              </w:rPr>
              <w:t>bas k</w:t>
            </w:r>
            <w:r w:rsidR="00136A48" w:rsidRPr="008E596C">
              <w:rPr>
                <w:rFonts w:hint="eastAsia"/>
                <w:sz w:val="24"/>
                <w:szCs w:val="24"/>
              </w:rPr>
              <w:t>ā</w:t>
            </w:r>
            <w:r w:rsidR="00136A48" w:rsidRPr="008E596C">
              <w:rPr>
                <w:sz w:val="24"/>
                <w:szCs w:val="24"/>
              </w:rPr>
              <w:t xml:space="preserve"> Eiropas Savien</w:t>
            </w:r>
            <w:r w:rsidR="00136A48" w:rsidRPr="008E596C">
              <w:rPr>
                <w:rFonts w:hint="eastAsia"/>
                <w:sz w:val="24"/>
                <w:szCs w:val="24"/>
              </w:rPr>
              <w:t>ī</w:t>
            </w:r>
            <w:r w:rsidR="00136A48" w:rsidRPr="008E596C">
              <w:rPr>
                <w:sz w:val="24"/>
                <w:szCs w:val="24"/>
              </w:rPr>
              <w:t>bas dal</w:t>
            </w:r>
            <w:r w:rsidR="00136A48" w:rsidRPr="008E596C">
              <w:rPr>
                <w:rFonts w:hint="eastAsia"/>
                <w:sz w:val="24"/>
                <w:szCs w:val="24"/>
              </w:rPr>
              <w:t>ī</w:t>
            </w:r>
            <w:r w:rsidR="00136A48" w:rsidRPr="008E596C">
              <w:rPr>
                <w:sz w:val="24"/>
                <w:szCs w:val="24"/>
              </w:rPr>
              <w:t>bvalstu rezidentiem</w:t>
            </w:r>
            <w:r w:rsidRPr="008E596C">
              <w:rPr>
                <w:sz w:val="24"/>
                <w:szCs w:val="24"/>
              </w:rPr>
              <w:t>.</w:t>
            </w:r>
            <w:r w:rsidR="00136A48" w:rsidRPr="008E596C">
              <w:rPr>
                <w:sz w:val="24"/>
                <w:szCs w:val="24"/>
              </w:rPr>
              <w:t xml:space="preserve"> </w:t>
            </w:r>
          </w:p>
          <w:p w14:paraId="58A8168B" w14:textId="77777777" w:rsidR="00E83F7E" w:rsidRPr="008E596C" w:rsidRDefault="00E83F7E" w:rsidP="00136A48">
            <w:pPr>
              <w:jc w:val="both"/>
              <w:rPr>
                <w:i/>
                <w:iCs/>
              </w:rPr>
            </w:pPr>
          </w:p>
          <w:p w14:paraId="2C0F5997" w14:textId="05D4121C" w:rsidR="000D7A09" w:rsidRPr="008E596C" w:rsidRDefault="00C62D2B" w:rsidP="00136A48">
            <w:pPr>
              <w:jc w:val="both"/>
            </w:pPr>
            <w:r w:rsidRPr="008E596C">
              <w:rPr>
                <w:i/>
                <w:iCs/>
              </w:rPr>
              <w:t xml:space="preserve">3)  </w:t>
            </w:r>
            <w:r w:rsidR="00E83F7E" w:rsidRPr="008E596C">
              <w:rPr>
                <w:i/>
                <w:iCs/>
              </w:rPr>
              <w:t>Azartspēļu un izložu likuma 84.pants</w:t>
            </w:r>
          </w:p>
          <w:p w14:paraId="44700DA8" w14:textId="49FBB077" w:rsidR="009F5B2E" w:rsidRPr="008E596C" w:rsidRDefault="00272FF4" w:rsidP="00136A48">
            <w:pPr>
              <w:jc w:val="both"/>
            </w:pPr>
            <w:r w:rsidRPr="008E596C">
              <w:t xml:space="preserve">Lai saskaņotu Azartspēļu un izložu likumu ar likumprojekta </w:t>
            </w:r>
            <w:r w:rsidR="002A3822" w:rsidRPr="008E596C">
              <w:t>“</w:t>
            </w:r>
            <w:r w:rsidRPr="008E596C">
              <w:rPr>
                <w:bCs/>
              </w:rPr>
              <w:t xml:space="preserve">Gada pārskatu un konsolidēto gada pārskatu likums” normām, </w:t>
            </w:r>
            <w:r w:rsidRPr="008E596C">
              <w:t>l</w:t>
            </w:r>
            <w:r w:rsidR="000D7A09" w:rsidRPr="008E596C">
              <w:t>ikumprojektā ir nepieciešams</w:t>
            </w:r>
            <w:r w:rsidRPr="008E596C">
              <w:t xml:space="preserve"> paredzēt grozījumus </w:t>
            </w:r>
            <w:r w:rsidR="000D7A09" w:rsidRPr="008E596C">
              <w:t>Azartspēļu un izložu likuma 84.pantā</w:t>
            </w:r>
            <w:r w:rsidRPr="008E596C">
              <w:t xml:space="preserve"> un šajā  pantā</w:t>
            </w:r>
            <w:r w:rsidR="000D7A09" w:rsidRPr="008E596C">
              <w:t xml:space="preserve"> </w:t>
            </w:r>
            <w:r w:rsidRPr="008E596C">
              <w:t>lietotās atsauces precizēt</w:t>
            </w:r>
            <w:r w:rsidR="000D7A09" w:rsidRPr="008E596C">
              <w:t>,</w:t>
            </w:r>
            <w:r w:rsidR="00FE58D5" w:rsidRPr="008E596C">
              <w:t xml:space="preserve"> </w:t>
            </w:r>
            <w:r w:rsidR="000D7A09" w:rsidRPr="008E596C">
              <w:t xml:space="preserve">atsaucoties uz </w:t>
            </w:r>
            <w:r w:rsidR="000D7A09" w:rsidRPr="008E596C">
              <w:rPr>
                <w:bCs/>
              </w:rPr>
              <w:t>Gada pārskatu un konsolidēto gada pārskatu likumu</w:t>
            </w:r>
            <w:r w:rsidR="000D7A09" w:rsidRPr="008E596C">
              <w:t>.</w:t>
            </w:r>
            <w:r w:rsidR="002A2A41" w:rsidRPr="008E596C">
              <w:t xml:space="preserve"> </w:t>
            </w:r>
          </w:p>
          <w:p w14:paraId="549BB088" w14:textId="05EB7177" w:rsidR="00EC2464" w:rsidRPr="008E596C" w:rsidRDefault="009F5B2E" w:rsidP="00E92331">
            <w:pPr>
              <w:jc w:val="both"/>
            </w:pPr>
            <w:r w:rsidRPr="008E596C">
              <w:t>Ņemot vērā, ka</w:t>
            </w:r>
            <w:r w:rsidR="00B952A3" w:rsidRPr="008E596C">
              <w:t xml:space="preserve"> </w:t>
            </w:r>
            <w:r w:rsidR="00A5547B" w:rsidRPr="008E596C">
              <w:t xml:space="preserve">likumprojekta </w:t>
            </w:r>
            <w:r w:rsidR="002A3822" w:rsidRPr="008E596C">
              <w:t>“</w:t>
            </w:r>
            <w:r w:rsidR="00A5547B" w:rsidRPr="008E596C">
              <w:rPr>
                <w:bCs/>
              </w:rPr>
              <w:t xml:space="preserve">Gada pārskatu un konsolidēto gada pārskatu likums” pārejas noteikumu 3.punktā noteikts, ka </w:t>
            </w:r>
            <w:r w:rsidR="00480910" w:rsidRPr="008E596C">
              <w:rPr>
                <w:bCs/>
              </w:rPr>
              <w:t xml:space="preserve"> Gada pārskatu un konsolidēto gada pārskatu</w:t>
            </w:r>
            <w:r w:rsidR="00204054" w:rsidRPr="008E596C">
              <w:rPr>
                <w:bCs/>
              </w:rPr>
              <w:t xml:space="preserve"> </w:t>
            </w:r>
            <w:r w:rsidR="00A5547B" w:rsidRPr="008E596C">
              <w:t>likuma noteikumus piemēro gada pārskatiem un konsolidētajiem gada pārskatiem, sākot ar 2016</w:t>
            </w:r>
            <w:r w:rsidR="00A5547B" w:rsidRPr="008E596C">
              <w:rPr>
                <w:i/>
              </w:rPr>
              <w:t>.</w:t>
            </w:r>
            <w:r w:rsidR="00A5547B" w:rsidRPr="008E596C">
              <w:t xml:space="preserve">pārskata gadu (pārskata gadu, kurš sākas 2016.gada 1.janvārī vai 2016.gada laikā), </w:t>
            </w:r>
            <w:r w:rsidR="00DF1FE5" w:rsidRPr="008E596C">
              <w:t>likumprojektā</w:t>
            </w:r>
            <w:r w:rsidR="00A5547B" w:rsidRPr="008E596C">
              <w:t xml:space="preserve"> paredzēts, ka </w:t>
            </w:r>
            <w:r w:rsidR="00204054" w:rsidRPr="008E596C">
              <w:t>grozījumi Azartspēļu un izložu likuma 84.pantā</w:t>
            </w:r>
            <w:r w:rsidR="00272FF4" w:rsidRPr="008E596C">
              <w:t xml:space="preserve"> </w:t>
            </w:r>
            <w:r w:rsidR="00A5547B" w:rsidRPr="008E596C">
              <w:t>stāsies spēkā 2016.gada 1.janvārī</w:t>
            </w:r>
            <w:r w:rsidR="00272FF4" w:rsidRPr="008E596C">
              <w:t>.</w:t>
            </w:r>
          </w:p>
        </w:tc>
      </w:tr>
      <w:tr w:rsidR="008F2155" w:rsidRPr="008E596C" w14:paraId="03055C94" w14:textId="77777777" w:rsidTr="00D10323">
        <w:trPr>
          <w:trHeight w:val="476"/>
        </w:trPr>
        <w:tc>
          <w:tcPr>
            <w:tcW w:w="414" w:type="dxa"/>
          </w:tcPr>
          <w:p w14:paraId="168A855E" w14:textId="09F7F985" w:rsidR="00262E2B" w:rsidRPr="008E596C" w:rsidRDefault="003A3C61" w:rsidP="006D0922">
            <w:pPr>
              <w:pStyle w:val="naiskr"/>
              <w:spacing w:before="0" w:after="0"/>
              <w:jc w:val="center"/>
            </w:pPr>
            <w:r w:rsidRPr="008E596C">
              <w:lastRenderedPageBreak/>
              <w:t>3</w:t>
            </w:r>
            <w:r w:rsidR="00262E2B" w:rsidRPr="008E596C">
              <w:t>.</w:t>
            </w:r>
          </w:p>
        </w:tc>
        <w:tc>
          <w:tcPr>
            <w:tcW w:w="3024" w:type="dxa"/>
          </w:tcPr>
          <w:p w14:paraId="5B2B3080" w14:textId="77777777" w:rsidR="00262E2B" w:rsidRPr="008E596C" w:rsidRDefault="001A4066" w:rsidP="00B84642">
            <w:pPr>
              <w:pStyle w:val="naiskr"/>
              <w:spacing w:before="0" w:after="60"/>
            </w:pPr>
            <w:r w:rsidRPr="008E596C">
              <w:t>Projekta i</w:t>
            </w:r>
            <w:r w:rsidR="00262E2B" w:rsidRPr="008E596C">
              <w:t>zstrād</w:t>
            </w:r>
            <w:r w:rsidR="00420870" w:rsidRPr="008E596C">
              <w:t xml:space="preserve">ē </w:t>
            </w:r>
            <w:r w:rsidR="00262E2B" w:rsidRPr="008E596C">
              <w:t>iesaistītās institūcijas</w:t>
            </w:r>
          </w:p>
        </w:tc>
        <w:tc>
          <w:tcPr>
            <w:tcW w:w="5913" w:type="dxa"/>
          </w:tcPr>
          <w:p w14:paraId="22F09809" w14:textId="5915042B" w:rsidR="009C5659" w:rsidRPr="008E596C" w:rsidRDefault="00A6070A" w:rsidP="00B94DCE">
            <w:pPr>
              <w:pStyle w:val="naiskr"/>
              <w:spacing w:before="0" w:after="120"/>
              <w:jc w:val="both"/>
            </w:pPr>
            <w:r w:rsidRPr="008E596C">
              <w:rPr>
                <w:iCs/>
              </w:rPr>
              <w:t>Izložu un azartspēļu uzraudzības inspekcija.</w:t>
            </w:r>
            <w:r w:rsidR="00FE58D5" w:rsidRPr="008E596C" w:rsidDel="00FE58D5">
              <w:rPr>
                <w:iCs/>
              </w:rPr>
              <w:t xml:space="preserve"> </w:t>
            </w:r>
          </w:p>
        </w:tc>
      </w:tr>
      <w:tr w:rsidR="008F2155" w:rsidRPr="008E596C" w14:paraId="54E84745" w14:textId="77777777" w:rsidTr="00D10323">
        <w:tc>
          <w:tcPr>
            <w:tcW w:w="414" w:type="dxa"/>
          </w:tcPr>
          <w:p w14:paraId="7FBD3BEE" w14:textId="77777777" w:rsidR="00262E2B" w:rsidRPr="008E596C" w:rsidRDefault="003A3C61" w:rsidP="006D0922">
            <w:pPr>
              <w:pStyle w:val="naiskr"/>
              <w:spacing w:before="0" w:after="0"/>
              <w:jc w:val="center"/>
            </w:pPr>
            <w:r w:rsidRPr="008E596C">
              <w:t>4</w:t>
            </w:r>
            <w:r w:rsidR="00262E2B" w:rsidRPr="008E596C">
              <w:t>.</w:t>
            </w:r>
          </w:p>
        </w:tc>
        <w:tc>
          <w:tcPr>
            <w:tcW w:w="3024" w:type="dxa"/>
          </w:tcPr>
          <w:p w14:paraId="19B11313" w14:textId="77777777" w:rsidR="00262E2B" w:rsidRPr="008E596C" w:rsidRDefault="00262E2B" w:rsidP="00FB5BAF">
            <w:pPr>
              <w:pStyle w:val="naiskr"/>
              <w:spacing w:before="0" w:after="0"/>
            </w:pPr>
            <w:r w:rsidRPr="008E596C">
              <w:t>Cita informācija</w:t>
            </w:r>
          </w:p>
        </w:tc>
        <w:tc>
          <w:tcPr>
            <w:tcW w:w="5913" w:type="dxa"/>
          </w:tcPr>
          <w:p w14:paraId="393582D0" w14:textId="7D546B32" w:rsidR="004F3B5E" w:rsidRPr="008E596C" w:rsidRDefault="004E6B86" w:rsidP="00A7289D">
            <w:pPr>
              <w:pStyle w:val="naiskr"/>
              <w:spacing w:before="0" w:after="120"/>
              <w:jc w:val="both"/>
            </w:pPr>
            <w:r w:rsidRPr="008E596C">
              <w:t>Nav.</w:t>
            </w:r>
          </w:p>
        </w:tc>
      </w:tr>
    </w:tbl>
    <w:p w14:paraId="6E02F682" w14:textId="77777777" w:rsidR="00852042" w:rsidRDefault="00852042" w:rsidP="006D0922">
      <w:pPr>
        <w:pStyle w:val="naisf"/>
        <w:spacing w:before="0" w:after="0"/>
        <w:ind w:firstLine="0"/>
      </w:pPr>
    </w:p>
    <w:p w14:paraId="5368C21E" w14:textId="77777777" w:rsidR="002E33E1" w:rsidRPr="008E596C" w:rsidRDefault="002E33E1" w:rsidP="006D0922">
      <w:pPr>
        <w:pStyle w:val="naisf"/>
        <w:spacing w:before="0" w:after="0"/>
        <w:ind w:firstLine="0"/>
      </w:pPr>
    </w:p>
    <w:p w14:paraId="02B7CE45" w14:textId="77777777" w:rsidR="009D4EF6" w:rsidRPr="008E596C" w:rsidRDefault="009D4EF6" w:rsidP="006D0922">
      <w:pPr>
        <w:pStyle w:val="naisf"/>
        <w:spacing w:before="0" w:after="0"/>
        <w:ind w:firstLine="0"/>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138"/>
        <w:gridCol w:w="5934"/>
      </w:tblGrid>
      <w:tr w:rsidR="008F2155" w:rsidRPr="008E596C" w14:paraId="63D09846" w14:textId="77777777" w:rsidTr="00D10323">
        <w:trPr>
          <w:jc w:val="center"/>
        </w:trPr>
        <w:tc>
          <w:tcPr>
            <w:tcW w:w="9493" w:type="dxa"/>
            <w:gridSpan w:val="3"/>
          </w:tcPr>
          <w:p w14:paraId="6070D60D" w14:textId="77777777" w:rsidR="00FE4973" w:rsidRPr="008E596C" w:rsidRDefault="00FE4973" w:rsidP="00097549">
            <w:pPr>
              <w:pStyle w:val="naisnod"/>
              <w:spacing w:before="0" w:after="60"/>
            </w:pPr>
            <w:r w:rsidRPr="008E596C">
              <w:t>II.</w:t>
            </w:r>
            <w:r w:rsidRPr="008E596C">
              <w:rPr>
                <w:bCs w:val="0"/>
              </w:rPr>
              <w:t xml:space="preserve"> Tiesību akta projekta ietekme uz sabiedrību, tautsaimniecības attīstību un administratīvo slogu</w:t>
            </w:r>
          </w:p>
        </w:tc>
      </w:tr>
      <w:tr w:rsidR="008F2155" w:rsidRPr="008E596C" w14:paraId="50D38109" w14:textId="77777777" w:rsidTr="00D10323">
        <w:trPr>
          <w:jc w:val="center"/>
        </w:trPr>
        <w:tc>
          <w:tcPr>
            <w:tcW w:w="421" w:type="dxa"/>
          </w:tcPr>
          <w:p w14:paraId="546EA752" w14:textId="77777777" w:rsidR="00FE4973" w:rsidRPr="008E596C" w:rsidRDefault="00FE4973" w:rsidP="006D0922">
            <w:pPr>
              <w:pStyle w:val="naiskr"/>
              <w:tabs>
                <w:tab w:val="left" w:pos="2628"/>
              </w:tabs>
              <w:spacing w:before="0" w:after="0"/>
              <w:jc w:val="center"/>
              <w:rPr>
                <w:iCs/>
              </w:rPr>
            </w:pPr>
            <w:r w:rsidRPr="008E596C">
              <w:rPr>
                <w:iCs/>
              </w:rPr>
              <w:t>1.</w:t>
            </w:r>
          </w:p>
        </w:tc>
        <w:tc>
          <w:tcPr>
            <w:tcW w:w="3138" w:type="dxa"/>
          </w:tcPr>
          <w:p w14:paraId="3415D23A" w14:textId="77777777" w:rsidR="00FE4973" w:rsidRPr="008E596C" w:rsidRDefault="00FE4973" w:rsidP="006D0922">
            <w:pPr>
              <w:pStyle w:val="naiskr"/>
              <w:spacing w:before="0" w:after="0"/>
              <w:rPr>
                <w:iCs/>
              </w:rPr>
            </w:pPr>
            <w:r w:rsidRPr="008E596C">
              <w:t>Sabiedrības mērķgrupas, kuras tiesiskais regulējums ietekmē vai varētu ietekmēt</w:t>
            </w:r>
          </w:p>
        </w:tc>
        <w:tc>
          <w:tcPr>
            <w:tcW w:w="5934" w:type="dxa"/>
          </w:tcPr>
          <w:p w14:paraId="442EC1F4" w14:textId="14830DE8" w:rsidR="002D4309" w:rsidRPr="008E596C" w:rsidRDefault="002C06D0" w:rsidP="002A3822">
            <w:pPr>
              <w:pStyle w:val="naiskr"/>
              <w:tabs>
                <w:tab w:val="left" w:pos="2628"/>
              </w:tabs>
              <w:spacing w:before="0" w:after="120"/>
              <w:jc w:val="both"/>
            </w:pPr>
            <w:r w:rsidRPr="008E596C">
              <w:t xml:space="preserve">Kapitālsabiedrības, kas organizē azartspēles </w:t>
            </w:r>
            <w:r w:rsidR="009B6C8A" w:rsidRPr="008E596C">
              <w:t xml:space="preserve">vai </w:t>
            </w:r>
            <w:r w:rsidRPr="008E596C">
              <w:t>izlozes</w:t>
            </w:r>
            <w:r w:rsidR="00263AFB" w:rsidRPr="008E596C">
              <w:t>, azartspēļu spēlētāji</w:t>
            </w:r>
            <w:r w:rsidR="00816A08" w:rsidRPr="008E596C">
              <w:t>.</w:t>
            </w:r>
            <w:r w:rsidRPr="008E596C">
              <w:t xml:space="preserve"> </w:t>
            </w:r>
            <w:r w:rsidR="005F6B10" w:rsidRPr="008E596C">
              <w:t xml:space="preserve">Pašlaik Latvijā azartspēles organizē </w:t>
            </w:r>
            <w:r w:rsidR="009B6C8A" w:rsidRPr="008E596C">
              <w:t xml:space="preserve">15 </w:t>
            </w:r>
            <w:r w:rsidR="005F6B10" w:rsidRPr="008E596C">
              <w:t xml:space="preserve">azartspēļu organizētāji un izlozes organizē VAS </w:t>
            </w:r>
            <w:r w:rsidR="002A3822" w:rsidRPr="008E596C">
              <w:t>“</w:t>
            </w:r>
            <w:r w:rsidR="005F6B10" w:rsidRPr="008E596C">
              <w:t>Latvijas Loto”.</w:t>
            </w:r>
          </w:p>
        </w:tc>
      </w:tr>
      <w:tr w:rsidR="008F2155" w:rsidRPr="008E596C" w14:paraId="33600D62" w14:textId="77777777" w:rsidTr="00D10323">
        <w:trPr>
          <w:jc w:val="center"/>
        </w:trPr>
        <w:tc>
          <w:tcPr>
            <w:tcW w:w="421" w:type="dxa"/>
          </w:tcPr>
          <w:p w14:paraId="5D0A167A" w14:textId="77777777" w:rsidR="00FE4973" w:rsidRPr="008E596C" w:rsidRDefault="00FE4973" w:rsidP="006D0922">
            <w:pPr>
              <w:pStyle w:val="naiskr"/>
              <w:tabs>
                <w:tab w:val="left" w:pos="2628"/>
              </w:tabs>
              <w:spacing w:before="0" w:after="0"/>
              <w:jc w:val="center"/>
              <w:rPr>
                <w:iCs/>
              </w:rPr>
            </w:pPr>
            <w:r w:rsidRPr="008E596C">
              <w:rPr>
                <w:iCs/>
              </w:rPr>
              <w:t>2.</w:t>
            </w:r>
          </w:p>
        </w:tc>
        <w:tc>
          <w:tcPr>
            <w:tcW w:w="3138" w:type="dxa"/>
          </w:tcPr>
          <w:p w14:paraId="670D28D9" w14:textId="77777777" w:rsidR="00FE4973" w:rsidRPr="008E596C" w:rsidRDefault="00FE4973" w:rsidP="006D0922">
            <w:pPr>
              <w:pStyle w:val="naiskr"/>
              <w:spacing w:before="0" w:after="0"/>
            </w:pPr>
            <w:r w:rsidRPr="008E596C">
              <w:t>Tiesiskā regulējuma ietekme uz tautsaimniecību un administratīvo slogu</w:t>
            </w:r>
          </w:p>
        </w:tc>
        <w:tc>
          <w:tcPr>
            <w:tcW w:w="5934" w:type="dxa"/>
          </w:tcPr>
          <w:p w14:paraId="678EB3E3" w14:textId="0728102A" w:rsidR="00066C4F" w:rsidRPr="008E596C" w:rsidRDefault="002D4309" w:rsidP="008025D9">
            <w:pPr>
              <w:pStyle w:val="naiskr"/>
              <w:tabs>
                <w:tab w:val="left" w:pos="2628"/>
              </w:tabs>
              <w:spacing w:before="0" w:after="120"/>
              <w:jc w:val="both"/>
            </w:pPr>
            <w:r w:rsidRPr="008E596C">
              <w:t>Likumprojektā iekļaut</w:t>
            </w:r>
            <w:r w:rsidR="00BB09A4" w:rsidRPr="008E596C">
              <w:t>ā</w:t>
            </w:r>
            <w:r w:rsidRPr="008E596C">
              <w:t>s Vienotās azartspēļu automātu kontroles un uzraudzības sistēmas ieviešanas un uzturēšanas izmaksas</w:t>
            </w:r>
            <w:r w:rsidR="006234FA" w:rsidRPr="008E596C">
              <w:t xml:space="preserve"> </w:t>
            </w:r>
            <w:r w:rsidR="006234FA" w:rsidRPr="008E596C">
              <w:rPr>
                <w:iCs/>
              </w:rPr>
              <w:t>Izložu un azartspēļu uzraudzības inspekcijai</w:t>
            </w:r>
            <w:r w:rsidR="006234FA" w:rsidRPr="008E596C">
              <w:t xml:space="preserve"> </w:t>
            </w:r>
            <w:r w:rsidR="00BB09A4" w:rsidRPr="008E596C">
              <w:t xml:space="preserve">tiks </w:t>
            </w:r>
            <w:r w:rsidR="008E3FC1" w:rsidRPr="008E596C">
              <w:t>finansētas</w:t>
            </w:r>
            <w:r w:rsidRPr="008E596C">
              <w:t xml:space="preserve"> no valsts budžeta. Azartspēļu organizētāji savu azartspēļu automātu pieslēgšanu Vienotajai azartspēļu kontroles un uzraudzības sistēmai veiks par saviem finanšu līdzekļiem.</w:t>
            </w:r>
            <w:r w:rsidR="0028469F" w:rsidRPr="008E596C">
              <w:t xml:space="preserve"> </w:t>
            </w:r>
            <w:r w:rsidR="00B26E02">
              <w:t>Par f</w:t>
            </w:r>
            <w:r w:rsidR="006234FA" w:rsidRPr="008E596C">
              <w:t>iskālo izmaksu izvērtējum</w:t>
            </w:r>
            <w:r w:rsidR="00B26E02">
              <w:t>u</w:t>
            </w:r>
            <w:r w:rsidR="006234FA" w:rsidRPr="008E596C">
              <w:t xml:space="preserve"> ir ticis diskutēts ar </w:t>
            </w:r>
            <w:r w:rsidR="006234FA" w:rsidRPr="008E596C">
              <w:rPr>
                <w:iCs/>
              </w:rPr>
              <w:t xml:space="preserve">Latvijas Spēļu biznesa asociāciju un </w:t>
            </w:r>
            <w:r w:rsidR="00B26E02">
              <w:rPr>
                <w:iCs/>
              </w:rPr>
              <w:t xml:space="preserve">tas ir </w:t>
            </w:r>
            <w:r w:rsidR="006234FA" w:rsidRPr="008E596C">
              <w:rPr>
                <w:iCs/>
              </w:rPr>
              <w:t xml:space="preserve">atspoguļots koncepcijā “Par azartspēļu automātu saslēgšanu vienotā tīklā”. </w:t>
            </w:r>
          </w:p>
          <w:p w14:paraId="7EE50790" w14:textId="2DDAE0EB" w:rsidR="002D4309" w:rsidRPr="008E596C" w:rsidRDefault="00A665FA" w:rsidP="00A665FA">
            <w:pPr>
              <w:pStyle w:val="naiskr"/>
              <w:tabs>
                <w:tab w:val="left" w:pos="2628"/>
              </w:tabs>
              <w:spacing w:before="0" w:after="120"/>
              <w:jc w:val="both"/>
            </w:pPr>
            <w:r w:rsidRPr="008E596C">
              <w:lastRenderedPageBreak/>
              <w:t>Ar likumprojektu tiks</w:t>
            </w:r>
            <w:r w:rsidR="002D4309" w:rsidRPr="008E596C">
              <w:t xml:space="preserve"> nodrošinātas iespējas, lai pastiprinātu </w:t>
            </w:r>
            <w:r w:rsidR="00FA4226" w:rsidRPr="008E596C">
              <w:t>a</w:t>
            </w:r>
            <w:r w:rsidR="0063479E" w:rsidRPr="008E596C">
              <w:t xml:space="preserve">zartspēļu </w:t>
            </w:r>
            <w:r w:rsidR="002D4309" w:rsidRPr="008E596C">
              <w:t xml:space="preserve">spēlētāju interešu aizsardzību un spēles drošumu, </w:t>
            </w:r>
            <w:r w:rsidR="002D4309" w:rsidRPr="008E596C">
              <w:rPr>
                <w:iCs/>
              </w:rPr>
              <w:t xml:space="preserve">pilnveidotu azartspēļu automātu darbības uzraudzību un ieņēmumu plūsmas pārskatāmību un nodrošinātu ar </w:t>
            </w:r>
            <w:r w:rsidR="00FA4226" w:rsidRPr="008E596C">
              <w:rPr>
                <w:iCs/>
              </w:rPr>
              <w:t xml:space="preserve">azartspēļu jomu </w:t>
            </w:r>
            <w:r w:rsidR="002D4309" w:rsidRPr="008E596C">
              <w:rPr>
                <w:iCs/>
              </w:rPr>
              <w:t>saistīto risku mazināšanu – noziedzīgi iegūto līdzekļu legalizāciju, izvairīšanos no nodokļu maksāšanas un citas nelikumīgas darbības.</w:t>
            </w:r>
          </w:p>
        </w:tc>
      </w:tr>
      <w:tr w:rsidR="008F2155" w:rsidRPr="008E596C" w14:paraId="103CDE73" w14:textId="77777777" w:rsidTr="00D10323">
        <w:trPr>
          <w:jc w:val="center"/>
        </w:trPr>
        <w:tc>
          <w:tcPr>
            <w:tcW w:w="421" w:type="dxa"/>
          </w:tcPr>
          <w:p w14:paraId="06EE3C00" w14:textId="29A40E54" w:rsidR="00FE4973" w:rsidRPr="008E596C" w:rsidRDefault="00FE4973" w:rsidP="006D0922">
            <w:pPr>
              <w:pStyle w:val="naiskr"/>
              <w:tabs>
                <w:tab w:val="left" w:pos="2628"/>
              </w:tabs>
              <w:spacing w:before="0" w:after="0"/>
              <w:jc w:val="center"/>
              <w:rPr>
                <w:iCs/>
              </w:rPr>
            </w:pPr>
            <w:r w:rsidRPr="008E596C">
              <w:rPr>
                <w:iCs/>
              </w:rPr>
              <w:lastRenderedPageBreak/>
              <w:t>3.</w:t>
            </w:r>
          </w:p>
        </w:tc>
        <w:tc>
          <w:tcPr>
            <w:tcW w:w="3138" w:type="dxa"/>
          </w:tcPr>
          <w:p w14:paraId="7C8085D7" w14:textId="77777777" w:rsidR="00FE4973" w:rsidRPr="008E596C" w:rsidRDefault="00FE4973" w:rsidP="006D0922">
            <w:pPr>
              <w:pStyle w:val="naiskr"/>
              <w:tabs>
                <w:tab w:val="left" w:pos="2628"/>
              </w:tabs>
              <w:spacing w:before="0" w:after="0"/>
              <w:rPr>
                <w:iCs/>
              </w:rPr>
            </w:pPr>
            <w:r w:rsidRPr="008E596C">
              <w:t>Administratīvo izmaksu monetārs novērtējums</w:t>
            </w:r>
          </w:p>
        </w:tc>
        <w:tc>
          <w:tcPr>
            <w:tcW w:w="5934" w:type="dxa"/>
          </w:tcPr>
          <w:p w14:paraId="699B91FF" w14:textId="77777777" w:rsidR="00FE4973" w:rsidRPr="008E596C" w:rsidRDefault="00303F8C" w:rsidP="00506F1D">
            <w:pPr>
              <w:pStyle w:val="naiskr"/>
              <w:tabs>
                <w:tab w:val="left" w:pos="2628"/>
              </w:tabs>
              <w:spacing w:before="0" w:after="120"/>
              <w:jc w:val="both"/>
              <w:rPr>
                <w:iCs/>
              </w:rPr>
            </w:pPr>
            <w:r w:rsidRPr="008E596C">
              <w:rPr>
                <w:iCs/>
              </w:rPr>
              <w:t>Projekts šo jomu neskar.</w:t>
            </w:r>
          </w:p>
        </w:tc>
      </w:tr>
      <w:tr w:rsidR="009A0027" w:rsidRPr="008E596C" w14:paraId="12D93FA9" w14:textId="77777777" w:rsidTr="00D10323">
        <w:trPr>
          <w:jc w:val="center"/>
        </w:trPr>
        <w:tc>
          <w:tcPr>
            <w:tcW w:w="421" w:type="dxa"/>
          </w:tcPr>
          <w:p w14:paraId="0A2E8A18" w14:textId="77777777" w:rsidR="00FE4973" w:rsidRPr="008E596C" w:rsidRDefault="00FE4973" w:rsidP="006D0922">
            <w:pPr>
              <w:pStyle w:val="naiskr"/>
              <w:tabs>
                <w:tab w:val="left" w:pos="2628"/>
              </w:tabs>
              <w:spacing w:before="0" w:after="0"/>
              <w:jc w:val="center"/>
              <w:rPr>
                <w:iCs/>
              </w:rPr>
            </w:pPr>
            <w:r w:rsidRPr="008E596C">
              <w:rPr>
                <w:iCs/>
              </w:rPr>
              <w:t>4.</w:t>
            </w:r>
          </w:p>
        </w:tc>
        <w:tc>
          <w:tcPr>
            <w:tcW w:w="3138" w:type="dxa"/>
          </w:tcPr>
          <w:p w14:paraId="3674638E" w14:textId="77777777" w:rsidR="00FE4973" w:rsidRPr="008E596C" w:rsidRDefault="00FE4973" w:rsidP="006D0922">
            <w:pPr>
              <w:pStyle w:val="naiskr"/>
              <w:tabs>
                <w:tab w:val="left" w:pos="2628"/>
              </w:tabs>
              <w:spacing w:before="0" w:after="0"/>
            </w:pPr>
            <w:r w:rsidRPr="008E596C">
              <w:t>Cita informācija</w:t>
            </w:r>
          </w:p>
        </w:tc>
        <w:tc>
          <w:tcPr>
            <w:tcW w:w="5934" w:type="dxa"/>
          </w:tcPr>
          <w:p w14:paraId="2A1C1834" w14:textId="77777777" w:rsidR="00FE4973" w:rsidRPr="008E596C" w:rsidRDefault="00F64A42" w:rsidP="00506F1D">
            <w:pPr>
              <w:pStyle w:val="naiskr"/>
              <w:tabs>
                <w:tab w:val="left" w:pos="2628"/>
              </w:tabs>
              <w:spacing w:before="0" w:after="120"/>
              <w:jc w:val="both"/>
            </w:pPr>
            <w:r w:rsidRPr="008E596C">
              <w:t>Nav.</w:t>
            </w:r>
          </w:p>
        </w:tc>
      </w:tr>
    </w:tbl>
    <w:p w14:paraId="7917BA2E" w14:textId="77777777" w:rsidR="003F16C5" w:rsidRPr="008E596C" w:rsidRDefault="003F16C5" w:rsidP="003F16C5">
      <w:pPr>
        <w:pStyle w:val="naisf"/>
        <w:spacing w:before="0" w:after="0"/>
        <w:ind w:firstLine="0"/>
      </w:pPr>
    </w:p>
    <w:p w14:paraId="1E4E7797" w14:textId="77777777" w:rsidR="003F16C5" w:rsidRDefault="003F16C5" w:rsidP="003F16C5">
      <w:pPr>
        <w:pStyle w:val="naisf"/>
        <w:spacing w:before="0" w:after="0"/>
        <w:ind w:firstLine="0"/>
      </w:pPr>
    </w:p>
    <w:p w14:paraId="1F9FE033" w14:textId="77777777" w:rsidR="002E33E1" w:rsidRPr="008E596C" w:rsidRDefault="002E33E1" w:rsidP="003F16C5">
      <w:pPr>
        <w:pStyle w:val="naisf"/>
        <w:spacing w:before="0" w:after="0"/>
        <w:ind w:firstLine="0"/>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1"/>
        <w:gridCol w:w="1449"/>
        <w:gridCol w:w="1553"/>
        <w:gridCol w:w="1094"/>
        <w:gridCol w:w="1346"/>
        <w:gridCol w:w="1768"/>
      </w:tblGrid>
      <w:tr w:rsidR="008F2155" w:rsidRPr="008E596C" w14:paraId="3A4A659E" w14:textId="77777777" w:rsidTr="00D10323">
        <w:trPr>
          <w:trHeight w:val="35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34E9F84" w14:textId="77777777" w:rsidR="003F16C5" w:rsidRPr="008E596C" w:rsidRDefault="003F16C5" w:rsidP="00B70630">
            <w:pPr>
              <w:pStyle w:val="tvhtml"/>
              <w:spacing w:line="293" w:lineRule="atLeast"/>
              <w:jc w:val="center"/>
              <w:rPr>
                <w:b/>
                <w:bCs/>
              </w:rPr>
            </w:pPr>
            <w:r w:rsidRPr="008E596C">
              <w:rPr>
                <w:b/>
                <w:bCs/>
              </w:rPr>
              <w:t>III. Tiesību akta projekta ietekme uz valsts budžetu un pašvaldību budžetiem</w:t>
            </w:r>
          </w:p>
        </w:tc>
      </w:tr>
      <w:tr w:rsidR="008F2155" w:rsidRPr="008E596C" w14:paraId="7567868F" w14:textId="77777777" w:rsidTr="00D10323">
        <w:trPr>
          <w:trHeight w:val="315"/>
          <w:jc w:val="center"/>
        </w:trPr>
        <w:tc>
          <w:tcPr>
            <w:tcW w:w="1257" w:type="pct"/>
            <w:vMerge w:val="restart"/>
            <w:tcBorders>
              <w:top w:val="outset" w:sz="6" w:space="0" w:color="414142"/>
              <w:left w:val="outset" w:sz="6" w:space="0" w:color="414142"/>
              <w:bottom w:val="outset" w:sz="6" w:space="0" w:color="414142"/>
              <w:right w:val="outset" w:sz="6" w:space="0" w:color="414142"/>
            </w:tcBorders>
            <w:vAlign w:val="center"/>
            <w:hideMark/>
          </w:tcPr>
          <w:p w14:paraId="53292FFF" w14:textId="77777777" w:rsidR="003F16C5" w:rsidRPr="008E596C" w:rsidRDefault="003F16C5" w:rsidP="00B70630">
            <w:pPr>
              <w:pStyle w:val="tvhtml"/>
              <w:spacing w:line="293" w:lineRule="atLeast"/>
              <w:jc w:val="center"/>
              <w:rPr>
                <w:b/>
                <w:bCs/>
              </w:rPr>
            </w:pPr>
            <w:r w:rsidRPr="008E596C">
              <w:rPr>
                <w:b/>
                <w:bCs/>
              </w:rPr>
              <w:t>Rādītāji</w:t>
            </w:r>
          </w:p>
        </w:tc>
        <w:tc>
          <w:tcPr>
            <w:tcW w:w="15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E231C0E" w14:textId="77777777" w:rsidR="003F16C5" w:rsidRPr="008E596C" w:rsidRDefault="003F16C5" w:rsidP="00B70630">
            <w:pPr>
              <w:pStyle w:val="tvhtml"/>
              <w:spacing w:line="293" w:lineRule="atLeast"/>
              <w:jc w:val="center"/>
              <w:rPr>
                <w:b/>
                <w:bCs/>
              </w:rPr>
            </w:pPr>
            <w:r w:rsidRPr="008E596C">
              <w:rPr>
                <w:b/>
                <w:bCs/>
              </w:rPr>
              <w:t>2015</w:t>
            </w:r>
          </w:p>
        </w:tc>
        <w:tc>
          <w:tcPr>
            <w:tcW w:w="2185" w:type="pct"/>
            <w:gridSpan w:val="3"/>
            <w:tcBorders>
              <w:top w:val="outset" w:sz="6" w:space="0" w:color="414142"/>
              <w:left w:val="outset" w:sz="6" w:space="0" w:color="414142"/>
              <w:bottom w:val="outset" w:sz="6" w:space="0" w:color="414142"/>
              <w:right w:val="outset" w:sz="6" w:space="0" w:color="414142"/>
            </w:tcBorders>
            <w:vAlign w:val="center"/>
            <w:hideMark/>
          </w:tcPr>
          <w:p w14:paraId="53F83DCB" w14:textId="77777777" w:rsidR="003F16C5" w:rsidRPr="008E596C" w:rsidRDefault="003F16C5" w:rsidP="00B70630">
            <w:pPr>
              <w:pStyle w:val="tvhtml"/>
              <w:spacing w:line="293" w:lineRule="atLeast"/>
              <w:jc w:val="center"/>
            </w:pPr>
            <w:r w:rsidRPr="008E596C">
              <w:t>Turpmākie trīs gadi (</w:t>
            </w:r>
            <w:r w:rsidRPr="008E596C">
              <w:rPr>
                <w:i/>
                <w:iCs/>
              </w:rPr>
              <w:t>euro</w:t>
            </w:r>
            <w:r w:rsidRPr="008E596C">
              <w:t>)</w:t>
            </w:r>
          </w:p>
        </w:tc>
      </w:tr>
      <w:tr w:rsidR="008F2155" w:rsidRPr="008E596C" w14:paraId="0FE69510" w14:textId="77777777" w:rsidTr="00D10323">
        <w:trPr>
          <w:trHeight w:val="315"/>
          <w:jc w:val="center"/>
        </w:trPr>
        <w:tc>
          <w:tcPr>
            <w:tcW w:w="1257" w:type="pct"/>
            <w:vMerge/>
            <w:tcBorders>
              <w:top w:val="outset" w:sz="6" w:space="0" w:color="414142"/>
              <w:left w:val="outset" w:sz="6" w:space="0" w:color="414142"/>
              <w:bottom w:val="outset" w:sz="6" w:space="0" w:color="414142"/>
              <w:right w:val="outset" w:sz="6" w:space="0" w:color="414142"/>
            </w:tcBorders>
            <w:vAlign w:val="center"/>
            <w:hideMark/>
          </w:tcPr>
          <w:p w14:paraId="1FA218C8" w14:textId="77777777" w:rsidR="003F16C5" w:rsidRPr="008E596C" w:rsidRDefault="003F16C5" w:rsidP="00B70630">
            <w:pPr>
              <w:rPr>
                <w:b/>
                <w:bCs/>
              </w:rPr>
            </w:pPr>
          </w:p>
        </w:tc>
        <w:tc>
          <w:tcPr>
            <w:tcW w:w="1557" w:type="pct"/>
            <w:gridSpan w:val="2"/>
            <w:vMerge/>
            <w:tcBorders>
              <w:top w:val="outset" w:sz="6" w:space="0" w:color="414142"/>
              <w:left w:val="outset" w:sz="6" w:space="0" w:color="414142"/>
              <w:bottom w:val="outset" w:sz="6" w:space="0" w:color="414142"/>
              <w:right w:val="outset" w:sz="6" w:space="0" w:color="414142"/>
            </w:tcBorders>
            <w:vAlign w:val="center"/>
            <w:hideMark/>
          </w:tcPr>
          <w:p w14:paraId="289D7BD0" w14:textId="77777777" w:rsidR="003F16C5" w:rsidRPr="008E596C" w:rsidRDefault="003F16C5" w:rsidP="00B70630">
            <w:pPr>
              <w:rPr>
                <w:b/>
                <w:bCs/>
              </w:rPr>
            </w:pP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3CA39528" w14:textId="77777777" w:rsidR="003F16C5" w:rsidRPr="008E596C" w:rsidRDefault="003F16C5" w:rsidP="00B70630">
            <w:pPr>
              <w:pStyle w:val="tvhtml"/>
              <w:spacing w:line="293" w:lineRule="atLeast"/>
              <w:jc w:val="center"/>
              <w:rPr>
                <w:b/>
                <w:bCs/>
              </w:rPr>
            </w:pPr>
            <w:r w:rsidRPr="008E596C">
              <w:rPr>
                <w:b/>
                <w:bCs/>
              </w:rPr>
              <w:t>2016</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6A9DFB04" w14:textId="77777777" w:rsidR="003F16C5" w:rsidRPr="008E596C" w:rsidRDefault="003F16C5" w:rsidP="00B70630">
            <w:pPr>
              <w:pStyle w:val="tvhtml"/>
              <w:spacing w:line="293" w:lineRule="atLeast"/>
              <w:jc w:val="center"/>
              <w:rPr>
                <w:b/>
                <w:bCs/>
              </w:rPr>
            </w:pPr>
            <w:r w:rsidRPr="008E596C">
              <w:rPr>
                <w:b/>
                <w:bCs/>
              </w:rPr>
              <w:t>2017</w:t>
            </w:r>
          </w:p>
        </w:tc>
        <w:tc>
          <w:tcPr>
            <w:tcW w:w="917" w:type="pct"/>
            <w:tcBorders>
              <w:top w:val="outset" w:sz="6" w:space="0" w:color="414142"/>
              <w:left w:val="outset" w:sz="6" w:space="0" w:color="414142"/>
              <w:bottom w:val="outset" w:sz="6" w:space="0" w:color="414142"/>
              <w:right w:val="outset" w:sz="6" w:space="0" w:color="414142"/>
            </w:tcBorders>
            <w:vAlign w:val="center"/>
            <w:hideMark/>
          </w:tcPr>
          <w:p w14:paraId="49B3C057" w14:textId="77777777" w:rsidR="003F16C5" w:rsidRPr="008E596C" w:rsidRDefault="003F16C5" w:rsidP="00B70630">
            <w:pPr>
              <w:pStyle w:val="tvhtml"/>
              <w:spacing w:line="293" w:lineRule="atLeast"/>
              <w:jc w:val="center"/>
              <w:rPr>
                <w:b/>
                <w:bCs/>
              </w:rPr>
            </w:pPr>
            <w:r w:rsidRPr="008E596C">
              <w:rPr>
                <w:b/>
                <w:bCs/>
              </w:rPr>
              <w:t>2018</w:t>
            </w:r>
          </w:p>
        </w:tc>
      </w:tr>
      <w:tr w:rsidR="008F2155" w:rsidRPr="008E596C" w14:paraId="71D07C69" w14:textId="77777777" w:rsidTr="00D10323">
        <w:trPr>
          <w:trHeight w:val="315"/>
          <w:jc w:val="center"/>
        </w:trPr>
        <w:tc>
          <w:tcPr>
            <w:tcW w:w="1257" w:type="pct"/>
            <w:vMerge/>
            <w:tcBorders>
              <w:top w:val="outset" w:sz="6" w:space="0" w:color="414142"/>
              <w:left w:val="outset" w:sz="6" w:space="0" w:color="414142"/>
              <w:bottom w:val="outset" w:sz="6" w:space="0" w:color="414142"/>
              <w:right w:val="outset" w:sz="6" w:space="0" w:color="414142"/>
            </w:tcBorders>
            <w:vAlign w:val="center"/>
            <w:hideMark/>
          </w:tcPr>
          <w:p w14:paraId="1BF136EB" w14:textId="77777777" w:rsidR="003F16C5" w:rsidRPr="008E596C" w:rsidRDefault="003F16C5" w:rsidP="00B70630">
            <w:pPr>
              <w:rPr>
                <w:b/>
                <w:bCs/>
              </w:rPr>
            </w:pP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0FD4A061" w14:textId="77777777" w:rsidR="003F16C5" w:rsidRPr="008E596C" w:rsidRDefault="003F16C5" w:rsidP="00B70630">
            <w:pPr>
              <w:pStyle w:val="tvhtml"/>
              <w:spacing w:line="293" w:lineRule="atLeast"/>
              <w:jc w:val="center"/>
            </w:pPr>
            <w:r w:rsidRPr="008E596C">
              <w:t>saskaņā ar valsts budžetu kārtējam gadam</w:t>
            </w: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6B1955E5" w14:textId="77777777" w:rsidR="003F16C5" w:rsidRPr="008E596C" w:rsidRDefault="003F16C5" w:rsidP="00B70630">
            <w:pPr>
              <w:pStyle w:val="tvhtml"/>
              <w:spacing w:line="293" w:lineRule="atLeast"/>
              <w:jc w:val="center"/>
            </w:pPr>
            <w:r w:rsidRPr="008E596C">
              <w:t>izmaiņas kārtējā gadā, salīdzinot ar valsts budžetu kārtējam gadam</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460115EC" w14:textId="77777777" w:rsidR="003F16C5" w:rsidRPr="008E596C" w:rsidRDefault="003F16C5" w:rsidP="00B70630">
            <w:pPr>
              <w:pStyle w:val="tvhtml"/>
              <w:spacing w:line="293" w:lineRule="atLeast"/>
              <w:jc w:val="center"/>
            </w:pPr>
            <w:r w:rsidRPr="008E596C">
              <w:t>izmaiņas, salīdzinot ar kārtējo (n)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2B2CF95" w14:textId="77777777" w:rsidR="003F16C5" w:rsidRPr="008E596C" w:rsidRDefault="003F16C5" w:rsidP="00B70630">
            <w:pPr>
              <w:pStyle w:val="tvhtml"/>
              <w:spacing w:line="293" w:lineRule="atLeast"/>
              <w:jc w:val="center"/>
            </w:pPr>
            <w:r w:rsidRPr="008E596C">
              <w:t>izmaiņas, salīdzinot ar kārtējo (n) gadu</w:t>
            </w:r>
          </w:p>
        </w:tc>
        <w:tc>
          <w:tcPr>
            <w:tcW w:w="917" w:type="pct"/>
            <w:tcBorders>
              <w:top w:val="outset" w:sz="6" w:space="0" w:color="414142"/>
              <w:left w:val="outset" w:sz="6" w:space="0" w:color="414142"/>
              <w:bottom w:val="outset" w:sz="6" w:space="0" w:color="414142"/>
              <w:right w:val="outset" w:sz="6" w:space="0" w:color="414142"/>
            </w:tcBorders>
            <w:vAlign w:val="center"/>
            <w:hideMark/>
          </w:tcPr>
          <w:p w14:paraId="10D26099" w14:textId="77777777" w:rsidR="003F16C5" w:rsidRPr="008E596C" w:rsidRDefault="003F16C5" w:rsidP="00B70630">
            <w:pPr>
              <w:pStyle w:val="tvhtml"/>
              <w:spacing w:line="293" w:lineRule="atLeast"/>
              <w:jc w:val="center"/>
            </w:pPr>
            <w:r w:rsidRPr="008E596C">
              <w:t>izmaiņas, salīdzinot ar kārtējo (n) gadu</w:t>
            </w:r>
          </w:p>
        </w:tc>
      </w:tr>
      <w:tr w:rsidR="008F2155" w:rsidRPr="008E596C" w14:paraId="07037FD7" w14:textId="77777777" w:rsidTr="00D10323">
        <w:trPr>
          <w:trHeight w:val="289"/>
          <w:jc w:val="center"/>
        </w:trPr>
        <w:tc>
          <w:tcPr>
            <w:tcW w:w="1257" w:type="pct"/>
            <w:tcBorders>
              <w:top w:val="outset" w:sz="6" w:space="0" w:color="414142"/>
              <w:left w:val="outset" w:sz="6" w:space="0" w:color="414142"/>
              <w:bottom w:val="outset" w:sz="6" w:space="0" w:color="414142"/>
              <w:right w:val="outset" w:sz="6" w:space="0" w:color="414142"/>
            </w:tcBorders>
            <w:vAlign w:val="center"/>
            <w:hideMark/>
          </w:tcPr>
          <w:p w14:paraId="6641B623" w14:textId="77777777" w:rsidR="003F16C5" w:rsidRPr="008E596C" w:rsidRDefault="003F16C5" w:rsidP="00B70630">
            <w:pPr>
              <w:pStyle w:val="tvhtml"/>
              <w:spacing w:line="293" w:lineRule="atLeast"/>
              <w:jc w:val="center"/>
            </w:pPr>
            <w:r w:rsidRPr="008E596C">
              <w:t>1</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01F54F6F" w14:textId="77777777" w:rsidR="003F16C5" w:rsidRPr="008E596C" w:rsidRDefault="003F16C5" w:rsidP="00B70630">
            <w:pPr>
              <w:pStyle w:val="tvhtml"/>
              <w:spacing w:line="293" w:lineRule="atLeast"/>
              <w:jc w:val="center"/>
            </w:pPr>
            <w:r w:rsidRPr="008E596C">
              <w:t>2</w:t>
            </w: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3AF50C52" w14:textId="77777777" w:rsidR="003F16C5" w:rsidRPr="008E596C" w:rsidRDefault="003F16C5" w:rsidP="00B70630">
            <w:pPr>
              <w:pStyle w:val="tvhtml"/>
              <w:spacing w:line="293" w:lineRule="atLeast"/>
              <w:jc w:val="center"/>
            </w:pPr>
            <w:r w:rsidRPr="008E596C">
              <w:t>3</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65E68C11" w14:textId="77777777" w:rsidR="003F16C5" w:rsidRPr="008E596C" w:rsidRDefault="003F16C5" w:rsidP="00B70630">
            <w:pPr>
              <w:pStyle w:val="tvhtml"/>
              <w:spacing w:line="293" w:lineRule="atLeast"/>
              <w:jc w:val="center"/>
            </w:pPr>
            <w:r w:rsidRPr="008E596C">
              <w:t>4</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589856B2" w14:textId="77777777" w:rsidR="003F16C5" w:rsidRPr="008E596C" w:rsidRDefault="003F16C5" w:rsidP="00B70630">
            <w:pPr>
              <w:pStyle w:val="tvhtml"/>
              <w:spacing w:line="293" w:lineRule="atLeast"/>
              <w:jc w:val="center"/>
            </w:pPr>
            <w:r w:rsidRPr="008E596C">
              <w:t>5</w:t>
            </w:r>
          </w:p>
        </w:tc>
        <w:tc>
          <w:tcPr>
            <w:tcW w:w="917" w:type="pct"/>
            <w:tcBorders>
              <w:top w:val="outset" w:sz="6" w:space="0" w:color="414142"/>
              <w:left w:val="outset" w:sz="6" w:space="0" w:color="414142"/>
              <w:bottom w:val="outset" w:sz="6" w:space="0" w:color="414142"/>
              <w:right w:val="outset" w:sz="6" w:space="0" w:color="414142"/>
            </w:tcBorders>
            <w:vAlign w:val="center"/>
            <w:hideMark/>
          </w:tcPr>
          <w:p w14:paraId="6742C16E" w14:textId="77777777" w:rsidR="003F16C5" w:rsidRPr="008E596C" w:rsidRDefault="003F16C5" w:rsidP="00B70630">
            <w:pPr>
              <w:pStyle w:val="tvhtml"/>
              <w:spacing w:line="293" w:lineRule="atLeast"/>
              <w:jc w:val="center"/>
            </w:pPr>
            <w:r w:rsidRPr="008E596C">
              <w:t>6</w:t>
            </w:r>
          </w:p>
        </w:tc>
      </w:tr>
      <w:tr w:rsidR="008F2155" w:rsidRPr="008E596C" w14:paraId="4466043F" w14:textId="77777777" w:rsidTr="00D10323">
        <w:trPr>
          <w:trHeight w:val="277"/>
          <w:jc w:val="center"/>
        </w:trPr>
        <w:tc>
          <w:tcPr>
            <w:tcW w:w="1257" w:type="pct"/>
            <w:tcBorders>
              <w:top w:val="outset" w:sz="6" w:space="0" w:color="414142"/>
              <w:left w:val="outset" w:sz="6" w:space="0" w:color="414142"/>
              <w:bottom w:val="outset" w:sz="6" w:space="0" w:color="414142"/>
              <w:right w:val="outset" w:sz="6" w:space="0" w:color="414142"/>
            </w:tcBorders>
            <w:hideMark/>
          </w:tcPr>
          <w:p w14:paraId="2C4C1DA5" w14:textId="77777777" w:rsidR="003F16C5" w:rsidRPr="008E596C" w:rsidRDefault="003F16C5" w:rsidP="00B70630">
            <w:r w:rsidRPr="008E596C">
              <w:t>1. Budžeta ieņēmumi:</w:t>
            </w:r>
          </w:p>
        </w:tc>
        <w:tc>
          <w:tcPr>
            <w:tcW w:w="752" w:type="pct"/>
            <w:tcBorders>
              <w:top w:val="outset" w:sz="6" w:space="0" w:color="414142"/>
              <w:left w:val="outset" w:sz="6" w:space="0" w:color="414142"/>
              <w:bottom w:val="outset" w:sz="6" w:space="0" w:color="414142"/>
              <w:right w:val="outset" w:sz="6" w:space="0" w:color="414142"/>
            </w:tcBorders>
            <w:hideMark/>
          </w:tcPr>
          <w:p w14:paraId="7F1A01CD" w14:textId="77777777" w:rsidR="003F16C5" w:rsidRPr="008E596C" w:rsidRDefault="003F16C5" w:rsidP="00B70630">
            <w:pPr>
              <w:jc w:val="center"/>
              <w:rPr>
                <w:b/>
              </w:rPr>
            </w:pPr>
            <w:r w:rsidRPr="008E596C">
              <w:rPr>
                <w:b/>
              </w:rPr>
              <w:t>0</w:t>
            </w:r>
          </w:p>
        </w:tc>
        <w:tc>
          <w:tcPr>
            <w:tcW w:w="806" w:type="pct"/>
            <w:tcBorders>
              <w:top w:val="outset" w:sz="6" w:space="0" w:color="414142"/>
              <w:left w:val="outset" w:sz="6" w:space="0" w:color="414142"/>
              <w:bottom w:val="outset" w:sz="6" w:space="0" w:color="414142"/>
              <w:right w:val="outset" w:sz="6" w:space="0" w:color="414142"/>
            </w:tcBorders>
            <w:hideMark/>
          </w:tcPr>
          <w:p w14:paraId="23C424E3" w14:textId="77777777" w:rsidR="003F16C5" w:rsidRPr="008E596C" w:rsidRDefault="003F16C5" w:rsidP="00B70630">
            <w:pPr>
              <w:jc w:val="center"/>
              <w:rPr>
                <w:b/>
              </w:rPr>
            </w:pPr>
            <w:r w:rsidRPr="008E596C">
              <w:rPr>
                <w:b/>
              </w:rPr>
              <w:t>0</w:t>
            </w:r>
          </w:p>
        </w:tc>
        <w:tc>
          <w:tcPr>
            <w:tcW w:w="568" w:type="pct"/>
            <w:tcBorders>
              <w:top w:val="outset" w:sz="6" w:space="0" w:color="414142"/>
              <w:left w:val="outset" w:sz="6" w:space="0" w:color="414142"/>
              <w:bottom w:val="outset" w:sz="6" w:space="0" w:color="414142"/>
              <w:right w:val="outset" w:sz="6" w:space="0" w:color="414142"/>
            </w:tcBorders>
            <w:hideMark/>
          </w:tcPr>
          <w:p w14:paraId="36C7E56B" w14:textId="77777777" w:rsidR="003F16C5" w:rsidRPr="008E596C" w:rsidRDefault="003F16C5" w:rsidP="00B70630">
            <w:pPr>
              <w:jc w:val="center"/>
              <w:rPr>
                <w:b/>
              </w:rPr>
            </w:pPr>
            <w:r w:rsidRPr="008E596C">
              <w:rPr>
                <w:b/>
              </w:rPr>
              <w:t>0</w:t>
            </w:r>
          </w:p>
        </w:tc>
        <w:tc>
          <w:tcPr>
            <w:tcW w:w="699" w:type="pct"/>
            <w:tcBorders>
              <w:top w:val="outset" w:sz="6" w:space="0" w:color="414142"/>
              <w:left w:val="outset" w:sz="6" w:space="0" w:color="414142"/>
              <w:bottom w:val="outset" w:sz="6" w:space="0" w:color="414142"/>
              <w:right w:val="outset" w:sz="6" w:space="0" w:color="414142"/>
            </w:tcBorders>
            <w:hideMark/>
          </w:tcPr>
          <w:p w14:paraId="2DB90241" w14:textId="77777777" w:rsidR="003F16C5" w:rsidRPr="008E596C" w:rsidRDefault="003F16C5" w:rsidP="00B70630">
            <w:pPr>
              <w:jc w:val="center"/>
              <w:rPr>
                <w:b/>
              </w:rPr>
            </w:pPr>
            <w:r w:rsidRPr="008E596C">
              <w:rPr>
                <w:b/>
              </w:rPr>
              <w:t>0</w:t>
            </w:r>
          </w:p>
        </w:tc>
        <w:tc>
          <w:tcPr>
            <w:tcW w:w="917" w:type="pct"/>
            <w:tcBorders>
              <w:top w:val="outset" w:sz="6" w:space="0" w:color="414142"/>
              <w:left w:val="outset" w:sz="6" w:space="0" w:color="414142"/>
              <w:bottom w:val="outset" w:sz="6" w:space="0" w:color="414142"/>
              <w:right w:val="outset" w:sz="6" w:space="0" w:color="414142"/>
            </w:tcBorders>
            <w:hideMark/>
          </w:tcPr>
          <w:p w14:paraId="2D983CEC" w14:textId="77777777" w:rsidR="003F16C5" w:rsidRPr="008E596C" w:rsidRDefault="003F16C5" w:rsidP="00B70630">
            <w:pPr>
              <w:jc w:val="center"/>
              <w:rPr>
                <w:b/>
              </w:rPr>
            </w:pPr>
            <w:r w:rsidRPr="008E596C">
              <w:rPr>
                <w:b/>
              </w:rPr>
              <w:t>0</w:t>
            </w:r>
          </w:p>
        </w:tc>
      </w:tr>
      <w:tr w:rsidR="008F2155" w:rsidRPr="008E596C" w14:paraId="6975E9C5" w14:textId="77777777" w:rsidTr="00D10323">
        <w:trPr>
          <w:trHeight w:val="1349"/>
          <w:jc w:val="center"/>
        </w:trPr>
        <w:tc>
          <w:tcPr>
            <w:tcW w:w="1257" w:type="pct"/>
            <w:tcBorders>
              <w:top w:val="outset" w:sz="6" w:space="0" w:color="414142"/>
              <w:left w:val="outset" w:sz="6" w:space="0" w:color="414142"/>
              <w:bottom w:val="outset" w:sz="6" w:space="0" w:color="414142"/>
              <w:right w:val="outset" w:sz="6" w:space="0" w:color="414142"/>
            </w:tcBorders>
            <w:hideMark/>
          </w:tcPr>
          <w:p w14:paraId="18BDCEEA" w14:textId="77777777" w:rsidR="003F16C5" w:rsidRPr="008E596C" w:rsidRDefault="003F16C5" w:rsidP="00B70630">
            <w:r w:rsidRPr="008E596C">
              <w:t>1.1. valsts pamatbudžets, tai skaitā ieņēmumi no maksas pakalpojumiem un citi pašu ieņēmumi</w:t>
            </w:r>
          </w:p>
        </w:tc>
        <w:tc>
          <w:tcPr>
            <w:tcW w:w="752" w:type="pct"/>
            <w:tcBorders>
              <w:top w:val="outset" w:sz="6" w:space="0" w:color="414142"/>
              <w:left w:val="outset" w:sz="6" w:space="0" w:color="414142"/>
              <w:bottom w:val="outset" w:sz="6" w:space="0" w:color="414142"/>
              <w:right w:val="outset" w:sz="6" w:space="0" w:color="414142"/>
            </w:tcBorders>
            <w:hideMark/>
          </w:tcPr>
          <w:p w14:paraId="44B79B4F" w14:textId="77777777" w:rsidR="003F16C5" w:rsidRPr="008E596C" w:rsidRDefault="003F16C5" w:rsidP="00B70630">
            <w:pPr>
              <w:jc w:val="center"/>
            </w:pPr>
            <w:r w:rsidRPr="008E596C">
              <w:t>0</w:t>
            </w:r>
          </w:p>
        </w:tc>
        <w:tc>
          <w:tcPr>
            <w:tcW w:w="806" w:type="pct"/>
            <w:tcBorders>
              <w:top w:val="outset" w:sz="6" w:space="0" w:color="414142"/>
              <w:left w:val="outset" w:sz="6" w:space="0" w:color="414142"/>
              <w:bottom w:val="outset" w:sz="6" w:space="0" w:color="414142"/>
              <w:right w:val="outset" w:sz="6" w:space="0" w:color="414142"/>
            </w:tcBorders>
            <w:hideMark/>
          </w:tcPr>
          <w:p w14:paraId="52CDF74C"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4294F108" w14:textId="77777777" w:rsidR="003F16C5" w:rsidRPr="008E596C" w:rsidRDefault="003F16C5" w:rsidP="00B70630">
            <w:pPr>
              <w:jc w:val="center"/>
            </w:pPr>
            <w:r w:rsidRPr="008E596C">
              <w:t>0</w:t>
            </w:r>
          </w:p>
        </w:tc>
        <w:tc>
          <w:tcPr>
            <w:tcW w:w="699" w:type="pct"/>
            <w:tcBorders>
              <w:top w:val="outset" w:sz="6" w:space="0" w:color="414142"/>
              <w:left w:val="outset" w:sz="6" w:space="0" w:color="414142"/>
              <w:bottom w:val="outset" w:sz="6" w:space="0" w:color="414142"/>
              <w:right w:val="outset" w:sz="6" w:space="0" w:color="414142"/>
            </w:tcBorders>
            <w:hideMark/>
          </w:tcPr>
          <w:p w14:paraId="66EF9240" w14:textId="77777777" w:rsidR="003F16C5" w:rsidRPr="008E596C" w:rsidRDefault="003F16C5" w:rsidP="00B70630">
            <w:pPr>
              <w:jc w:val="center"/>
            </w:pPr>
            <w:r w:rsidRPr="008E596C">
              <w:t>0</w:t>
            </w:r>
          </w:p>
        </w:tc>
        <w:tc>
          <w:tcPr>
            <w:tcW w:w="917" w:type="pct"/>
            <w:tcBorders>
              <w:top w:val="outset" w:sz="6" w:space="0" w:color="414142"/>
              <w:left w:val="outset" w:sz="6" w:space="0" w:color="414142"/>
              <w:bottom w:val="outset" w:sz="6" w:space="0" w:color="414142"/>
              <w:right w:val="outset" w:sz="6" w:space="0" w:color="414142"/>
            </w:tcBorders>
            <w:hideMark/>
          </w:tcPr>
          <w:p w14:paraId="0FCA92FF" w14:textId="77777777" w:rsidR="003F16C5" w:rsidRPr="008E596C" w:rsidRDefault="003F16C5" w:rsidP="00B70630">
            <w:pPr>
              <w:jc w:val="center"/>
            </w:pPr>
            <w:r w:rsidRPr="008E596C">
              <w:t>0</w:t>
            </w:r>
          </w:p>
        </w:tc>
      </w:tr>
      <w:tr w:rsidR="008F2155" w:rsidRPr="008E596C" w14:paraId="2DEC16F8"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6B96200D" w14:textId="77777777" w:rsidR="003F16C5" w:rsidRPr="008E596C" w:rsidRDefault="003F16C5" w:rsidP="00B70630">
            <w:r w:rsidRPr="008E596C">
              <w:t>1.2. valsts speciālais budžets</w:t>
            </w:r>
          </w:p>
        </w:tc>
        <w:tc>
          <w:tcPr>
            <w:tcW w:w="752" w:type="pct"/>
            <w:tcBorders>
              <w:top w:val="outset" w:sz="6" w:space="0" w:color="414142"/>
              <w:left w:val="outset" w:sz="6" w:space="0" w:color="414142"/>
              <w:bottom w:val="outset" w:sz="6" w:space="0" w:color="414142"/>
              <w:right w:val="outset" w:sz="6" w:space="0" w:color="414142"/>
            </w:tcBorders>
            <w:hideMark/>
          </w:tcPr>
          <w:p w14:paraId="79588BBB" w14:textId="77777777" w:rsidR="003F16C5" w:rsidRPr="008E596C" w:rsidRDefault="003F16C5" w:rsidP="00B70630">
            <w:pPr>
              <w:jc w:val="center"/>
            </w:pPr>
            <w:r w:rsidRPr="008E596C">
              <w:t>0</w:t>
            </w:r>
          </w:p>
        </w:tc>
        <w:tc>
          <w:tcPr>
            <w:tcW w:w="806" w:type="pct"/>
            <w:tcBorders>
              <w:top w:val="outset" w:sz="6" w:space="0" w:color="414142"/>
              <w:left w:val="outset" w:sz="6" w:space="0" w:color="414142"/>
              <w:bottom w:val="outset" w:sz="6" w:space="0" w:color="414142"/>
              <w:right w:val="outset" w:sz="6" w:space="0" w:color="414142"/>
            </w:tcBorders>
            <w:hideMark/>
          </w:tcPr>
          <w:p w14:paraId="54F56C42" w14:textId="77777777" w:rsidR="003F16C5" w:rsidRPr="008E596C" w:rsidRDefault="003F16C5" w:rsidP="00B70630">
            <w:pPr>
              <w:jc w:val="center"/>
            </w:pPr>
            <w:r w:rsidRPr="008E596C">
              <w:t>0</w:t>
            </w:r>
          </w:p>
        </w:tc>
        <w:tc>
          <w:tcPr>
            <w:tcW w:w="568" w:type="pct"/>
            <w:tcBorders>
              <w:top w:val="outset" w:sz="6" w:space="0" w:color="414142"/>
              <w:left w:val="outset" w:sz="6" w:space="0" w:color="414142"/>
              <w:bottom w:val="outset" w:sz="6" w:space="0" w:color="414142"/>
              <w:right w:val="outset" w:sz="6" w:space="0" w:color="414142"/>
            </w:tcBorders>
            <w:hideMark/>
          </w:tcPr>
          <w:p w14:paraId="66470C65" w14:textId="77777777" w:rsidR="003F16C5" w:rsidRPr="008E596C" w:rsidRDefault="003F16C5" w:rsidP="00B70630">
            <w:pPr>
              <w:jc w:val="center"/>
            </w:pPr>
            <w:r w:rsidRPr="008E596C">
              <w:t>0</w:t>
            </w:r>
          </w:p>
        </w:tc>
        <w:tc>
          <w:tcPr>
            <w:tcW w:w="699" w:type="pct"/>
            <w:tcBorders>
              <w:top w:val="outset" w:sz="6" w:space="0" w:color="414142"/>
              <w:left w:val="outset" w:sz="6" w:space="0" w:color="414142"/>
              <w:bottom w:val="outset" w:sz="6" w:space="0" w:color="414142"/>
              <w:right w:val="outset" w:sz="6" w:space="0" w:color="414142"/>
            </w:tcBorders>
            <w:hideMark/>
          </w:tcPr>
          <w:p w14:paraId="4EB37886" w14:textId="77777777" w:rsidR="003F16C5" w:rsidRPr="008E596C" w:rsidRDefault="003F16C5" w:rsidP="00B70630">
            <w:pPr>
              <w:jc w:val="center"/>
            </w:pPr>
            <w:r w:rsidRPr="008E596C">
              <w:t>0</w:t>
            </w:r>
          </w:p>
        </w:tc>
        <w:tc>
          <w:tcPr>
            <w:tcW w:w="917" w:type="pct"/>
            <w:tcBorders>
              <w:top w:val="outset" w:sz="6" w:space="0" w:color="414142"/>
              <w:left w:val="outset" w:sz="6" w:space="0" w:color="414142"/>
              <w:bottom w:val="outset" w:sz="6" w:space="0" w:color="414142"/>
              <w:right w:val="outset" w:sz="6" w:space="0" w:color="414142"/>
            </w:tcBorders>
            <w:hideMark/>
          </w:tcPr>
          <w:p w14:paraId="562393DB" w14:textId="77777777" w:rsidR="003F16C5" w:rsidRPr="008E596C" w:rsidRDefault="003F16C5" w:rsidP="00B70630">
            <w:pPr>
              <w:jc w:val="center"/>
            </w:pPr>
            <w:r w:rsidRPr="008E596C">
              <w:t>0</w:t>
            </w:r>
          </w:p>
        </w:tc>
      </w:tr>
      <w:tr w:rsidR="008F2155" w:rsidRPr="008E596C" w14:paraId="63B75E15" w14:textId="77777777" w:rsidTr="00D10323">
        <w:trPr>
          <w:trHeight w:val="289"/>
          <w:jc w:val="center"/>
        </w:trPr>
        <w:tc>
          <w:tcPr>
            <w:tcW w:w="1257" w:type="pct"/>
            <w:tcBorders>
              <w:top w:val="outset" w:sz="6" w:space="0" w:color="414142"/>
              <w:left w:val="outset" w:sz="6" w:space="0" w:color="414142"/>
              <w:bottom w:val="outset" w:sz="6" w:space="0" w:color="414142"/>
              <w:right w:val="outset" w:sz="6" w:space="0" w:color="414142"/>
            </w:tcBorders>
            <w:hideMark/>
          </w:tcPr>
          <w:p w14:paraId="5539FCD6" w14:textId="77777777" w:rsidR="003F16C5" w:rsidRPr="008E596C" w:rsidRDefault="003F16C5" w:rsidP="00B70630">
            <w:r w:rsidRPr="008E596C">
              <w:t>1.3. pašvaldību budžets</w:t>
            </w:r>
          </w:p>
        </w:tc>
        <w:tc>
          <w:tcPr>
            <w:tcW w:w="752" w:type="pct"/>
            <w:tcBorders>
              <w:top w:val="outset" w:sz="6" w:space="0" w:color="414142"/>
              <w:left w:val="outset" w:sz="6" w:space="0" w:color="414142"/>
              <w:bottom w:val="outset" w:sz="6" w:space="0" w:color="414142"/>
              <w:right w:val="outset" w:sz="6" w:space="0" w:color="414142"/>
            </w:tcBorders>
          </w:tcPr>
          <w:p w14:paraId="2CA5884B" w14:textId="77777777" w:rsidR="003F16C5" w:rsidRPr="008E596C" w:rsidRDefault="003F16C5" w:rsidP="00B70630">
            <w:pPr>
              <w:jc w:val="center"/>
            </w:pPr>
            <w:r w:rsidRPr="008E596C">
              <w:t>0</w:t>
            </w:r>
          </w:p>
        </w:tc>
        <w:tc>
          <w:tcPr>
            <w:tcW w:w="806" w:type="pct"/>
            <w:tcBorders>
              <w:top w:val="outset" w:sz="6" w:space="0" w:color="414142"/>
              <w:left w:val="outset" w:sz="6" w:space="0" w:color="414142"/>
              <w:bottom w:val="outset" w:sz="6" w:space="0" w:color="414142"/>
              <w:right w:val="outset" w:sz="6" w:space="0" w:color="414142"/>
            </w:tcBorders>
          </w:tcPr>
          <w:p w14:paraId="656A63F6" w14:textId="77777777" w:rsidR="003F16C5" w:rsidRPr="008E596C" w:rsidRDefault="003F16C5" w:rsidP="00B70630">
            <w:pPr>
              <w:jc w:val="center"/>
            </w:pPr>
            <w:r w:rsidRPr="008E596C">
              <w:t>0</w:t>
            </w:r>
          </w:p>
        </w:tc>
        <w:tc>
          <w:tcPr>
            <w:tcW w:w="568" w:type="pct"/>
            <w:tcBorders>
              <w:top w:val="outset" w:sz="6" w:space="0" w:color="414142"/>
              <w:left w:val="outset" w:sz="6" w:space="0" w:color="414142"/>
              <w:bottom w:val="outset" w:sz="6" w:space="0" w:color="414142"/>
              <w:right w:val="outset" w:sz="6" w:space="0" w:color="414142"/>
            </w:tcBorders>
          </w:tcPr>
          <w:p w14:paraId="3D89AF7B" w14:textId="77777777" w:rsidR="003F16C5" w:rsidRPr="008E596C" w:rsidRDefault="003F16C5" w:rsidP="00B70630">
            <w:pPr>
              <w:jc w:val="center"/>
            </w:pPr>
            <w:r w:rsidRPr="008E596C">
              <w:t>0</w:t>
            </w:r>
          </w:p>
        </w:tc>
        <w:tc>
          <w:tcPr>
            <w:tcW w:w="699" w:type="pct"/>
            <w:tcBorders>
              <w:top w:val="outset" w:sz="6" w:space="0" w:color="414142"/>
              <w:left w:val="outset" w:sz="6" w:space="0" w:color="414142"/>
              <w:bottom w:val="outset" w:sz="6" w:space="0" w:color="414142"/>
              <w:right w:val="outset" w:sz="6" w:space="0" w:color="414142"/>
            </w:tcBorders>
          </w:tcPr>
          <w:p w14:paraId="661DD6BA" w14:textId="77777777" w:rsidR="003F16C5" w:rsidRPr="008E596C" w:rsidRDefault="003F16C5" w:rsidP="00B70630">
            <w:pPr>
              <w:jc w:val="center"/>
            </w:pPr>
            <w:r w:rsidRPr="008E596C">
              <w:t>0</w:t>
            </w:r>
          </w:p>
        </w:tc>
        <w:tc>
          <w:tcPr>
            <w:tcW w:w="917" w:type="pct"/>
            <w:tcBorders>
              <w:top w:val="outset" w:sz="6" w:space="0" w:color="414142"/>
              <w:left w:val="outset" w:sz="6" w:space="0" w:color="414142"/>
              <w:bottom w:val="outset" w:sz="6" w:space="0" w:color="414142"/>
              <w:right w:val="outset" w:sz="6" w:space="0" w:color="414142"/>
            </w:tcBorders>
          </w:tcPr>
          <w:p w14:paraId="21C37DA1" w14:textId="77777777" w:rsidR="003F16C5" w:rsidRPr="008E596C" w:rsidRDefault="003F16C5" w:rsidP="00B70630">
            <w:pPr>
              <w:jc w:val="center"/>
            </w:pPr>
            <w:r w:rsidRPr="008E596C">
              <w:t>0</w:t>
            </w:r>
          </w:p>
        </w:tc>
      </w:tr>
      <w:tr w:rsidR="008F2155" w:rsidRPr="008E596C" w14:paraId="5C8F007F"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0CA1283E" w14:textId="77777777" w:rsidR="003F16C5" w:rsidRPr="008E596C" w:rsidRDefault="003F16C5" w:rsidP="00B70630">
            <w:r w:rsidRPr="008E596C">
              <w:t>2. Budžeta izdevumi:</w:t>
            </w:r>
          </w:p>
        </w:tc>
        <w:tc>
          <w:tcPr>
            <w:tcW w:w="752" w:type="pct"/>
            <w:tcBorders>
              <w:top w:val="outset" w:sz="6" w:space="0" w:color="414142"/>
              <w:left w:val="outset" w:sz="6" w:space="0" w:color="414142"/>
              <w:bottom w:val="outset" w:sz="6" w:space="0" w:color="414142"/>
              <w:right w:val="outset" w:sz="6" w:space="0" w:color="414142"/>
            </w:tcBorders>
            <w:hideMark/>
          </w:tcPr>
          <w:p w14:paraId="1D91997C" w14:textId="77777777" w:rsidR="003F16C5" w:rsidRPr="008E596C" w:rsidRDefault="003F16C5" w:rsidP="00B70630">
            <w:pPr>
              <w:jc w:val="center"/>
              <w:rPr>
                <w:b/>
              </w:rPr>
            </w:pPr>
            <w:r w:rsidRPr="008E596C">
              <w:rPr>
                <w:b/>
              </w:rPr>
              <w:t>0</w:t>
            </w:r>
          </w:p>
        </w:tc>
        <w:tc>
          <w:tcPr>
            <w:tcW w:w="806" w:type="pct"/>
            <w:tcBorders>
              <w:top w:val="outset" w:sz="6" w:space="0" w:color="414142"/>
              <w:left w:val="outset" w:sz="6" w:space="0" w:color="414142"/>
              <w:bottom w:val="outset" w:sz="6" w:space="0" w:color="414142"/>
              <w:right w:val="outset" w:sz="6" w:space="0" w:color="414142"/>
            </w:tcBorders>
            <w:hideMark/>
          </w:tcPr>
          <w:p w14:paraId="75B9DE0B" w14:textId="77777777" w:rsidR="003F16C5" w:rsidRPr="008E596C" w:rsidRDefault="003F16C5" w:rsidP="00B70630">
            <w:pPr>
              <w:jc w:val="center"/>
              <w:rPr>
                <w:b/>
              </w:rPr>
            </w:pPr>
            <w:r w:rsidRPr="008E596C">
              <w:rPr>
                <w:b/>
              </w:rPr>
              <w:t>0</w:t>
            </w:r>
          </w:p>
        </w:tc>
        <w:tc>
          <w:tcPr>
            <w:tcW w:w="568" w:type="pct"/>
            <w:tcBorders>
              <w:top w:val="outset" w:sz="6" w:space="0" w:color="414142"/>
              <w:left w:val="outset" w:sz="6" w:space="0" w:color="414142"/>
              <w:bottom w:val="outset" w:sz="6" w:space="0" w:color="414142"/>
              <w:right w:val="outset" w:sz="6" w:space="0" w:color="414142"/>
            </w:tcBorders>
            <w:hideMark/>
          </w:tcPr>
          <w:p w14:paraId="76884E71" w14:textId="77777777" w:rsidR="003F16C5" w:rsidRPr="008E596C" w:rsidRDefault="003F16C5" w:rsidP="00B70630">
            <w:pPr>
              <w:jc w:val="center"/>
              <w:rPr>
                <w:b/>
              </w:rPr>
            </w:pPr>
            <w:r w:rsidRPr="008E596C">
              <w:rPr>
                <w:b/>
              </w:rPr>
              <w:t xml:space="preserve">0   </w:t>
            </w:r>
          </w:p>
        </w:tc>
        <w:tc>
          <w:tcPr>
            <w:tcW w:w="699" w:type="pct"/>
            <w:tcBorders>
              <w:top w:val="outset" w:sz="6" w:space="0" w:color="414142"/>
              <w:left w:val="outset" w:sz="6" w:space="0" w:color="414142"/>
              <w:bottom w:val="outset" w:sz="6" w:space="0" w:color="414142"/>
              <w:right w:val="outset" w:sz="6" w:space="0" w:color="414142"/>
            </w:tcBorders>
          </w:tcPr>
          <w:p w14:paraId="66364E64" w14:textId="77777777" w:rsidR="003F16C5" w:rsidRPr="008E596C" w:rsidRDefault="003F16C5" w:rsidP="00B70630">
            <w:pPr>
              <w:jc w:val="center"/>
              <w:rPr>
                <w:b/>
              </w:rPr>
            </w:pPr>
            <w:r w:rsidRPr="008E596C">
              <w:rPr>
                <w:b/>
              </w:rPr>
              <w:t>0</w:t>
            </w:r>
          </w:p>
        </w:tc>
        <w:tc>
          <w:tcPr>
            <w:tcW w:w="917" w:type="pct"/>
            <w:tcBorders>
              <w:top w:val="outset" w:sz="6" w:space="0" w:color="414142"/>
              <w:left w:val="outset" w:sz="6" w:space="0" w:color="414142"/>
              <w:bottom w:val="outset" w:sz="6" w:space="0" w:color="414142"/>
              <w:right w:val="outset" w:sz="6" w:space="0" w:color="414142"/>
            </w:tcBorders>
          </w:tcPr>
          <w:p w14:paraId="4C6A5095" w14:textId="07786BEC" w:rsidR="003F16C5" w:rsidRPr="008E596C" w:rsidRDefault="003F16C5" w:rsidP="00B70630">
            <w:pPr>
              <w:jc w:val="center"/>
              <w:rPr>
                <w:b/>
              </w:rPr>
            </w:pPr>
            <w:r w:rsidRPr="008E596C">
              <w:rPr>
                <w:b/>
              </w:rPr>
              <w:t>20 281</w:t>
            </w:r>
          </w:p>
          <w:p w14:paraId="25A24071" w14:textId="77777777" w:rsidR="003F16C5" w:rsidRPr="008E596C" w:rsidRDefault="003F16C5" w:rsidP="00B70630">
            <w:pPr>
              <w:jc w:val="center"/>
              <w:rPr>
                <w:b/>
              </w:rPr>
            </w:pPr>
          </w:p>
        </w:tc>
      </w:tr>
      <w:tr w:rsidR="008F2155" w:rsidRPr="008E596C" w14:paraId="37FB7130"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7512F2FB" w14:textId="77777777" w:rsidR="003F16C5" w:rsidRPr="008E596C" w:rsidRDefault="003F16C5" w:rsidP="00B70630">
            <w:r w:rsidRPr="008E596C">
              <w:t>2.1. valsts pamatbudžets</w:t>
            </w:r>
          </w:p>
        </w:tc>
        <w:tc>
          <w:tcPr>
            <w:tcW w:w="752" w:type="pct"/>
            <w:tcBorders>
              <w:top w:val="outset" w:sz="6" w:space="0" w:color="414142"/>
              <w:left w:val="outset" w:sz="6" w:space="0" w:color="414142"/>
              <w:bottom w:val="outset" w:sz="6" w:space="0" w:color="414142"/>
              <w:right w:val="outset" w:sz="6" w:space="0" w:color="414142"/>
            </w:tcBorders>
            <w:hideMark/>
          </w:tcPr>
          <w:p w14:paraId="73008822" w14:textId="77777777" w:rsidR="003F16C5" w:rsidRPr="008E596C" w:rsidRDefault="003F16C5" w:rsidP="00B70630">
            <w:pPr>
              <w:jc w:val="center"/>
            </w:pPr>
          </w:p>
        </w:tc>
        <w:tc>
          <w:tcPr>
            <w:tcW w:w="806" w:type="pct"/>
            <w:tcBorders>
              <w:top w:val="outset" w:sz="6" w:space="0" w:color="414142"/>
              <w:left w:val="outset" w:sz="6" w:space="0" w:color="414142"/>
              <w:bottom w:val="outset" w:sz="6" w:space="0" w:color="414142"/>
              <w:right w:val="outset" w:sz="6" w:space="0" w:color="414142"/>
            </w:tcBorders>
            <w:hideMark/>
          </w:tcPr>
          <w:p w14:paraId="7673716A" w14:textId="77777777" w:rsidR="003F16C5" w:rsidRPr="008E596C" w:rsidRDefault="003F16C5" w:rsidP="00B70630">
            <w:pPr>
              <w:jc w:val="center"/>
            </w:pPr>
          </w:p>
        </w:tc>
        <w:tc>
          <w:tcPr>
            <w:tcW w:w="568" w:type="pct"/>
            <w:tcBorders>
              <w:top w:val="outset" w:sz="6" w:space="0" w:color="414142"/>
              <w:left w:val="outset" w:sz="6" w:space="0" w:color="414142"/>
              <w:bottom w:val="outset" w:sz="6" w:space="0" w:color="414142"/>
              <w:right w:val="outset" w:sz="6" w:space="0" w:color="414142"/>
            </w:tcBorders>
          </w:tcPr>
          <w:p w14:paraId="45D2F375" w14:textId="77777777" w:rsidR="003F16C5" w:rsidRPr="008E596C" w:rsidRDefault="003F16C5" w:rsidP="00B70630">
            <w:pPr>
              <w:jc w:val="center"/>
            </w:pPr>
            <w:r w:rsidRPr="008E596C">
              <w:rPr>
                <w:b/>
              </w:rPr>
              <w:t xml:space="preserve"> </w:t>
            </w:r>
          </w:p>
        </w:tc>
        <w:tc>
          <w:tcPr>
            <w:tcW w:w="699" w:type="pct"/>
            <w:tcBorders>
              <w:top w:val="outset" w:sz="6" w:space="0" w:color="414142"/>
              <w:left w:val="outset" w:sz="6" w:space="0" w:color="414142"/>
              <w:bottom w:val="outset" w:sz="6" w:space="0" w:color="414142"/>
              <w:right w:val="outset" w:sz="6" w:space="0" w:color="414142"/>
            </w:tcBorders>
          </w:tcPr>
          <w:p w14:paraId="48D2A466" w14:textId="77777777" w:rsidR="003F16C5" w:rsidRPr="008E596C" w:rsidRDefault="003F16C5" w:rsidP="00B70630">
            <w:pPr>
              <w:jc w:val="center"/>
              <w:rPr>
                <w:b/>
              </w:rPr>
            </w:pPr>
            <w:r w:rsidRPr="008E596C">
              <w:rPr>
                <w:b/>
              </w:rPr>
              <w:t xml:space="preserve">0 </w:t>
            </w:r>
          </w:p>
          <w:p w14:paraId="53F9AF2D" w14:textId="77777777" w:rsidR="003F16C5" w:rsidRPr="008E596C" w:rsidRDefault="003F16C5" w:rsidP="00B70630">
            <w:pPr>
              <w:jc w:val="center"/>
            </w:pPr>
          </w:p>
        </w:tc>
        <w:tc>
          <w:tcPr>
            <w:tcW w:w="917" w:type="pct"/>
            <w:tcBorders>
              <w:top w:val="outset" w:sz="6" w:space="0" w:color="414142"/>
              <w:left w:val="outset" w:sz="6" w:space="0" w:color="414142"/>
              <w:bottom w:val="outset" w:sz="6" w:space="0" w:color="414142"/>
              <w:right w:val="outset" w:sz="6" w:space="0" w:color="414142"/>
            </w:tcBorders>
          </w:tcPr>
          <w:p w14:paraId="2CC22E2F" w14:textId="31D0F9CD" w:rsidR="003F16C5" w:rsidRPr="008E596C" w:rsidRDefault="003F16C5" w:rsidP="00B70630">
            <w:pPr>
              <w:jc w:val="center"/>
              <w:rPr>
                <w:b/>
              </w:rPr>
            </w:pPr>
            <w:r w:rsidRPr="008E596C">
              <w:rPr>
                <w:b/>
              </w:rPr>
              <w:t>20 281</w:t>
            </w:r>
          </w:p>
          <w:p w14:paraId="30729CF0" w14:textId="77777777" w:rsidR="003F16C5" w:rsidRPr="008E596C" w:rsidRDefault="003F16C5" w:rsidP="00B70630">
            <w:pPr>
              <w:jc w:val="center"/>
              <w:rPr>
                <w:b/>
              </w:rPr>
            </w:pPr>
          </w:p>
        </w:tc>
      </w:tr>
      <w:tr w:rsidR="008F2155" w:rsidRPr="008E596C" w14:paraId="5BF9DE34"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44321BA6" w14:textId="77777777" w:rsidR="003F16C5" w:rsidRPr="008E596C" w:rsidRDefault="003F16C5" w:rsidP="00B70630">
            <w:r w:rsidRPr="008E596C">
              <w:t>2.2. valsts speciālais budžets</w:t>
            </w:r>
          </w:p>
        </w:tc>
        <w:tc>
          <w:tcPr>
            <w:tcW w:w="752" w:type="pct"/>
            <w:tcBorders>
              <w:top w:val="outset" w:sz="6" w:space="0" w:color="414142"/>
              <w:left w:val="outset" w:sz="6" w:space="0" w:color="414142"/>
              <w:bottom w:val="outset" w:sz="6" w:space="0" w:color="414142"/>
              <w:right w:val="outset" w:sz="6" w:space="0" w:color="414142"/>
            </w:tcBorders>
            <w:hideMark/>
          </w:tcPr>
          <w:p w14:paraId="515B87A5" w14:textId="77777777" w:rsidR="003F16C5" w:rsidRPr="008E596C" w:rsidRDefault="003F16C5" w:rsidP="00B70630">
            <w:pPr>
              <w:jc w:val="center"/>
            </w:pPr>
          </w:p>
        </w:tc>
        <w:tc>
          <w:tcPr>
            <w:tcW w:w="806" w:type="pct"/>
            <w:tcBorders>
              <w:top w:val="outset" w:sz="6" w:space="0" w:color="414142"/>
              <w:left w:val="outset" w:sz="6" w:space="0" w:color="414142"/>
              <w:bottom w:val="outset" w:sz="6" w:space="0" w:color="414142"/>
              <w:right w:val="outset" w:sz="6" w:space="0" w:color="414142"/>
            </w:tcBorders>
            <w:hideMark/>
          </w:tcPr>
          <w:p w14:paraId="3F6FA4B3" w14:textId="77777777" w:rsidR="003F16C5" w:rsidRPr="008E596C" w:rsidRDefault="003F16C5" w:rsidP="00B70630">
            <w:pPr>
              <w:jc w:val="center"/>
            </w:pPr>
          </w:p>
        </w:tc>
        <w:tc>
          <w:tcPr>
            <w:tcW w:w="568" w:type="pct"/>
            <w:tcBorders>
              <w:top w:val="outset" w:sz="6" w:space="0" w:color="414142"/>
              <w:left w:val="outset" w:sz="6" w:space="0" w:color="414142"/>
              <w:bottom w:val="outset" w:sz="6" w:space="0" w:color="414142"/>
              <w:right w:val="outset" w:sz="6" w:space="0" w:color="414142"/>
            </w:tcBorders>
          </w:tcPr>
          <w:p w14:paraId="390E461D" w14:textId="77777777" w:rsidR="003F16C5" w:rsidRPr="008E596C" w:rsidRDefault="003F16C5" w:rsidP="00B70630">
            <w:pPr>
              <w:jc w:val="center"/>
            </w:pPr>
          </w:p>
        </w:tc>
        <w:tc>
          <w:tcPr>
            <w:tcW w:w="699" w:type="pct"/>
            <w:tcBorders>
              <w:top w:val="outset" w:sz="6" w:space="0" w:color="414142"/>
              <w:left w:val="outset" w:sz="6" w:space="0" w:color="414142"/>
              <w:bottom w:val="outset" w:sz="6" w:space="0" w:color="414142"/>
              <w:right w:val="outset" w:sz="6" w:space="0" w:color="414142"/>
            </w:tcBorders>
          </w:tcPr>
          <w:p w14:paraId="73A48D44" w14:textId="77777777" w:rsidR="003F16C5" w:rsidRPr="008E596C" w:rsidRDefault="003F16C5" w:rsidP="00B70630">
            <w:pPr>
              <w:jc w:val="center"/>
            </w:pPr>
          </w:p>
        </w:tc>
        <w:tc>
          <w:tcPr>
            <w:tcW w:w="917" w:type="pct"/>
            <w:tcBorders>
              <w:top w:val="outset" w:sz="6" w:space="0" w:color="414142"/>
              <w:left w:val="outset" w:sz="6" w:space="0" w:color="414142"/>
              <w:bottom w:val="outset" w:sz="6" w:space="0" w:color="414142"/>
              <w:right w:val="outset" w:sz="6" w:space="0" w:color="414142"/>
            </w:tcBorders>
          </w:tcPr>
          <w:p w14:paraId="0ACC5587" w14:textId="77777777" w:rsidR="003F16C5" w:rsidRPr="008E596C" w:rsidRDefault="003F16C5" w:rsidP="00B70630">
            <w:pPr>
              <w:jc w:val="center"/>
            </w:pPr>
          </w:p>
        </w:tc>
      </w:tr>
      <w:tr w:rsidR="008F2155" w:rsidRPr="008E596C" w14:paraId="03FE62FD" w14:textId="77777777" w:rsidTr="00D10323">
        <w:trPr>
          <w:trHeight w:val="289"/>
          <w:jc w:val="center"/>
        </w:trPr>
        <w:tc>
          <w:tcPr>
            <w:tcW w:w="1257" w:type="pct"/>
            <w:tcBorders>
              <w:top w:val="outset" w:sz="6" w:space="0" w:color="414142"/>
              <w:left w:val="outset" w:sz="6" w:space="0" w:color="414142"/>
              <w:bottom w:val="outset" w:sz="6" w:space="0" w:color="414142"/>
              <w:right w:val="outset" w:sz="6" w:space="0" w:color="414142"/>
            </w:tcBorders>
            <w:hideMark/>
          </w:tcPr>
          <w:p w14:paraId="1BCE59A5" w14:textId="77777777" w:rsidR="003F16C5" w:rsidRPr="008E596C" w:rsidRDefault="003F16C5" w:rsidP="00B70630">
            <w:r w:rsidRPr="008E596C">
              <w:t>2.3. pašvaldību budžets</w:t>
            </w:r>
          </w:p>
        </w:tc>
        <w:tc>
          <w:tcPr>
            <w:tcW w:w="752" w:type="pct"/>
            <w:tcBorders>
              <w:top w:val="outset" w:sz="6" w:space="0" w:color="414142"/>
              <w:left w:val="outset" w:sz="6" w:space="0" w:color="414142"/>
              <w:bottom w:val="outset" w:sz="6" w:space="0" w:color="414142"/>
              <w:right w:val="outset" w:sz="6" w:space="0" w:color="414142"/>
            </w:tcBorders>
            <w:hideMark/>
          </w:tcPr>
          <w:p w14:paraId="5651BFDE" w14:textId="77777777" w:rsidR="003F16C5" w:rsidRPr="008E596C" w:rsidRDefault="003F16C5" w:rsidP="00B70630">
            <w:pPr>
              <w:jc w:val="center"/>
            </w:pPr>
          </w:p>
        </w:tc>
        <w:tc>
          <w:tcPr>
            <w:tcW w:w="806" w:type="pct"/>
            <w:tcBorders>
              <w:top w:val="outset" w:sz="6" w:space="0" w:color="414142"/>
              <w:left w:val="outset" w:sz="6" w:space="0" w:color="414142"/>
              <w:bottom w:val="outset" w:sz="6" w:space="0" w:color="414142"/>
              <w:right w:val="outset" w:sz="6" w:space="0" w:color="414142"/>
            </w:tcBorders>
            <w:hideMark/>
          </w:tcPr>
          <w:p w14:paraId="193A98F1" w14:textId="77777777" w:rsidR="003F16C5" w:rsidRPr="008E596C" w:rsidRDefault="003F16C5" w:rsidP="00B70630">
            <w:pPr>
              <w:jc w:val="center"/>
            </w:pPr>
          </w:p>
        </w:tc>
        <w:tc>
          <w:tcPr>
            <w:tcW w:w="568" w:type="pct"/>
            <w:tcBorders>
              <w:top w:val="outset" w:sz="6" w:space="0" w:color="414142"/>
              <w:left w:val="outset" w:sz="6" w:space="0" w:color="414142"/>
              <w:bottom w:val="outset" w:sz="6" w:space="0" w:color="414142"/>
              <w:right w:val="outset" w:sz="6" w:space="0" w:color="414142"/>
            </w:tcBorders>
          </w:tcPr>
          <w:p w14:paraId="780A219A" w14:textId="77777777" w:rsidR="003F16C5" w:rsidRPr="008E596C" w:rsidRDefault="003F16C5" w:rsidP="00B70630">
            <w:pPr>
              <w:jc w:val="center"/>
            </w:pPr>
          </w:p>
        </w:tc>
        <w:tc>
          <w:tcPr>
            <w:tcW w:w="699" w:type="pct"/>
            <w:tcBorders>
              <w:top w:val="outset" w:sz="6" w:space="0" w:color="414142"/>
              <w:left w:val="outset" w:sz="6" w:space="0" w:color="414142"/>
              <w:bottom w:val="outset" w:sz="6" w:space="0" w:color="414142"/>
              <w:right w:val="outset" w:sz="6" w:space="0" w:color="414142"/>
            </w:tcBorders>
          </w:tcPr>
          <w:p w14:paraId="37B7F8CC" w14:textId="77777777" w:rsidR="003F16C5" w:rsidRPr="008E596C" w:rsidRDefault="003F16C5" w:rsidP="00B70630">
            <w:pPr>
              <w:jc w:val="center"/>
            </w:pPr>
          </w:p>
        </w:tc>
        <w:tc>
          <w:tcPr>
            <w:tcW w:w="917" w:type="pct"/>
            <w:tcBorders>
              <w:top w:val="outset" w:sz="6" w:space="0" w:color="414142"/>
              <w:left w:val="outset" w:sz="6" w:space="0" w:color="414142"/>
              <w:bottom w:val="outset" w:sz="6" w:space="0" w:color="414142"/>
              <w:right w:val="outset" w:sz="6" w:space="0" w:color="414142"/>
            </w:tcBorders>
          </w:tcPr>
          <w:p w14:paraId="27D07AA9" w14:textId="77777777" w:rsidR="003F16C5" w:rsidRPr="008E596C" w:rsidRDefault="003F16C5" w:rsidP="00B70630">
            <w:pPr>
              <w:jc w:val="center"/>
            </w:pPr>
          </w:p>
        </w:tc>
      </w:tr>
      <w:tr w:rsidR="008F2155" w:rsidRPr="008E596C" w14:paraId="4B80FF74"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51284339" w14:textId="77777777" w:rsidR="003F16C5" w:rsidRPr="008E596C" w:rsidRDefault="003F16C5" w:rsidP="00B70630">
            <w:pPr>
              <w:jc w:val="center"/>
            </w:pPr>
            <w:r w:rsidRPr="008E596C">
              <w:t>3. Finansiālā ietekme:</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10A7CE35" w14:textId="77777777" w:rsidR="003F16C5" w:rsidRPr="008E596C" w:rsidRDefault="003F16C5" w:rsidP="00B70630">
            <w:pPr>
              <w:jc w:val="center"/>
              <w:rPr>
                <w:b/>
              </w:rPr>
            </w:pPr>
            <w:r w:rsidRPr="008E596C">
              <w:rPr>
                <w:b/>
              </w:rPr>
              <w:t>0</w:t>
            </w:r>
          </w:p>
        </w:tc>
        <w:tc>
          <w:tcPr>
            <w:tcW w:w="806" w:type="pct"/>
            <w:tcBorders>
              <w:top w:val="outset" w:sz="6" w:space="0" w:color="414142"/>
              <w:left w:val="outset" w:sz="6" w:space="0" w:color="414142"/>
              <w:bottom w:val="outset" w:sz="6" w:space="0" w:color="414142"/>
              <w:right w:val="outset" w:sz="6" w:space="0" w:color="414142"/>
            </w:tcBorders>
            <w:hideMark/>
          </w:tcPr>
          <w:p w14:paraId="109E7B55" w14:textId="77777777" w:rsidR="003F16C5" w:rsidRPr="008E596C" w:rsidRDefault="003F16C5" w:rsidP="00B70630">
            <w:pPr>
              <w:jc w:val="center"/>
              <w:rPr>
                <w:b/>
              </w:rPr>
            </w:pPr>
            <w:r w:rsidRPr="008E596C">
              <w:rPr>
                <w:b/>
              </w:rPr>
              <w:t>0</w:t>
            </w:r>
          </w:p>
        </w:tc>
        <w:tc>
          <w:tcPr>
            <w:tcW w:w="568" w:type="pct"/>
            <w:tcBorders>
              <w:top w:val="outset" w:sz="6" w:space="0" w:color="414142"/>
              <w:left w:val="outset" w:sz="6" w:space="0" w:color="414142"/>
              <w:bottom w:val="outset" w:sz="6" w:space="0" w:color="414142"/>
              <w:right w:val="outset" w:sz="6" w:space="0" w:color="414142"/>
            </w:tcBorders>
          </w:tcPr>
          <w:p w14:paraId="2AEE2893" w14:textId="77777777" w:rsidR="003F16C5" w:rsidRPr="008E596C" w:rsidRDefault="003F16C5" w:rsidP="00B70630">
            <w:pPr>
              <w:jc w:val="center"/>
              <w:rPr>
                <w:b/>
              </w:rPr>
            </w:pPr>
            <w:r w:rsidRPr="008E596C">
              <w:rPr>
                <w:b/>
              </w:rPr>
              <w:t>0</w:t>
            </w:r>
          </w:p>
          <w:p w14:paraId="0D9747D4" w14:textId="77777777" w:rsidR="003F16C5" w:rsidRPr="008E596C" w:rsidRDefault="003F16C5" w:rsidP="00B70630">
            <w:pPr>
              <w:jc w:val="center"/>
            </w:pPr>
          </w:p>
        </w:tc>
        <w:tc>
          <w:tcPr>
            <w:tcW w:w="699" w:type="pct"/>
            <w:tcBorders>
              <w:top w:val="outset" w:sz="6" w:space="0" w:color="414142"/>
              <w:left w:val="outset" w:sz="6" w:space="0" w:color="414142"/>
              <w:bottom w:val="outset" w:sz="6" w:space="0" w:color="414142"/>
              <w:right w:val="outset" w:sz="6" w:space="0" w:color="414142"/>
            </w:tcBorders>
          </w:tcPr>
          <w:p w14:paraId="7FAB3ADF" w14:textId="77777777" w:rsidR="003F16C5" w:rsidRPr="008E596C" w:rsidRDefault="003F16C5" w:rsidP="00B70630">
            <w:pPr>
              <w:jc w:val="center"/>
            </w:pPr>
            <w:r w:rsidRPr="008E596C">
              <w:rPr>
                <w:b/>
              </w:rPr>
              <w:t>0</w:t>
            </w:r>
          </w:p>
        </w:tc>
        <w:tc>
          <w:tcPr>
            <w:tcW w:w="917" w:type="pct"/>
            <w:tcBorders>
              <w:top w:val="outset" w:sz="6" w:space="0" w:color="414142"/>
              <w:left w:val="outset" w:sz="6" w:space="0" w:color="414142"/>
              <w:bottom w:val="outset" w:sz="6" w:space="0" w:color="414142"/>
              <w:right w:val="outset" w:sz="6" w:space="0" w:color="414142"/>
            </w:tcBorders>
          </w:tcPr>
          <w:p w14:paraId="66FE7951" w14:textId="77777777" w:rsidR="003F16C5" w:rsidRPr="008E596C" w:rsidRDefault="003F16C5" w:rsidP="00B70630">
            <w:pPr>
              <w:spacing w:after="240"/>
              <w:jc w:val="center"/>
            </w:pPr>
            <w:r w:rsidRPr="008E596C">
              <w:rPr>
                <w:b/>
              </w:rPr>
              <w:t>-20 281</w:t>
            </w:r>
          </w:p>
        </w:tc>
      </w:tr>
      <w:tr w:rsidR="008F2155" w:rsidRPr="008E596C" w14:paraId="7713AB30"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2ED4D59D" w14:textId="77777777" w:rsidR="003F16C5" w:rsidRPr="008E596C" w:rsidRDefault="003F16C5" w:rsidP="00B70630">
            <w:r w:rsidRPr="008E596C">
              <w:t>3.1. valsts pamatbudžets</w:t>
            </w:r>
          </w:p>
        </w:tc>
        <w:tc>
          <w:tcPr>
            <w:tcW w:w="752" w:type="pct"/>
            <w:tcBorders>
              <w:top w:val="outset" w:sz="6" w:space="0" w:color="414142"/>
              <w:left w:val="outset" w:sz="6" w:space="0" w:color="414142"/>
              <w:bottom w:val="outset" w:sz="6" w:space="0" w:color="414142"/>
              <w:right w:val="outset" w:sz="6" w:space="0" w:color="414142"/>
            </w:tcBorders>
            <w:hideMark/>
          </w:tcPr>
          <w:p w14:paraId="3613C506" w14:textId="77777777" w:rsidR="003F16C5" w:rsidRPr="008E596C" w:rsidRDefault="003F16C5" w:rsidP="00B70630">
            <w:pPr>
              <w:jc w:val="center"/>
            </w:pPr>
          </w:p>
        </w:tc>
        <w:tc>
          <w:tcPr>
            <w:tcW w:w="806" w:type="pct"/>
            <w:tcBorders>
              <w:top w:val="outset" w:sz="6" w:space="0" w:color="414142"/>
              <w:left w:val="outset" w:sz="6" w:space="0" w:color="414142"/>
              <w:bottom w:val="outset" w:sz="6" w:space="0" w:color="414142"/>
              <w:right w:val="outset" w:sz="6" w:space="0" w:color="414142"/>
            </w:tcBorders>
            <w:hideMark/>
          </w:tcPr>
          <w:p w14:paraId="2F7A3A9E" w14:textId="77777777" w:rsidR="003F16C5" w:rsidRPr="008E596C" w:rsidRDefault="003F16C5" w:rsidP="00B70630">
            <w:pPr>
              <w:jc w:val="center"/>
            </w:pPr>
          </w:p>
        </w:tc>
        <w:tc>
          <w:tcPr>
            <w:tcW w:w="568" w:type="pct"/>
            <w:tcBorders>
              <w:top w:val="outset" w:sz="6" w:space="0" w:color="414142"/>
              <w:left w:val="outset" w:sz="6" w:space="0" w:color="414142"/>
              <w:bottom w:val="outset" w:sz="6" w:space="0" w:color="414142"/>
              <w:right w:val="outset" w:sz="6" w:space="0" w:color="414142"/>
            </w:tcBorders>
          </w:tcPr>
          <w:p w14:paraId="7F278527" w14:textId="77777777" w:rsidR="003F16C5" w:rsidRPr="008E596C" w:rsidRDefault="003F16C5" w:rsidP="00B70630">
            <w:pPr>
              <w:jc w:val="center"/>
            </w:pPr>
            <w:r w:rsidRPr="008E596C">
              <w:rPr>
                <w:b/>
              </w:rPr>
              <w:t xml:space="preserve"> </w:t>
            </w:r>
          </w:p>
        </w:tc>
        <w:tc>
          <w:tcPr>
            <w:tcW w:w="699" w:type="pct"/>
            <w:tcBorders>
              <w:top w:val="outset" w:sz="6" w:space="0" w:color="414142"/>
              <w:left w:val="outset" w:sz="6" w:space="0" w:color="414142"/>
              <w:bottom w:val="outset" w:sz="6" w:space="0" w:color="414142"/>
              <w:right w:val="outset" w:sz="6" w:space="0" w:color="414142"/>
            </w:tcBorders>
          </w:tcPr>
          <w:p w14:paraId="2A2C2D7E" w14:textId="77777777" w:rsidR="003F16C5" w:rsidRPr="008E596C" w:rsidRDefault="003F16C5" w:rsidP="00B70630">
            <w:pPr>
              <w:jc w:val="center"/>
            </w:pPr>
            <w:r w:rsidRPr="008E596C">
              <w:rPr>
                <w:b/>
              </w:rPr>
              <w:t>0</w:t>
            </w:r>
          </w:p>
        </w:tc>
        <w:tc>
          <w:tcPr>
            <w:tcW w:w="917" w:type="pct"/>
            <w:tcBorders>
              <w:top w:val="outset" w:sz="6" w:space="0" w:color="414142"/>
              <w:left w:val="outset" w:sz="6" w:space="0" w:color="414142"/>
              <w:bottom w:val="outset" w:sz="6" w:space="0" w:color="414142"/>
              <w:right w:val="outset" w:sz="6" w:space="0" w:color="414142"/>
            </w:tcBorders>
          </w:tcPr>
          <w:p w14:paraId="7BDA0C38" w14:textId="77777777" w:rsidR="003F16C5" w:rsidRPr="008E596C" w:rsidRDefault="003F16C5" w:rsidP="00B70630">
            <w:pPr>
              <w:jc w:val="center"/>
            </w:pPr>
            <w:r w:rsidRPr="008E596C">
              <w:rPr>
                <w:b/>
              </w:rPr>
              <w:t>-20 281</w:t>
            </w:r>
          </w:p>
        </w:tc>
      </w:tr>
      <w:tr w:rsidR="008F2155" w:rsidRPr="008E596C" w14:paraId="17166D19" w14:textId="77777777" w:rsidTr="00D10323">
        <w:trPr>
          <w:trHeight w:val="277"/>
          <w:jc w:val="center"/>
        </w:trPr>
        <w:tc>
          <w:tcPr>
            <w:tcW w:w="1257" w:type="pct"/>
            <w:tcBorders>
              <w:top w:val="outset" w:sz="6" w:space="0" w:color="414142"/>
              <w:left w:val="outset" w:sz="6" w:space="0" w:color="414142"/>
              <w:bottom w:val="outset" w:sz="6" w:space="0" w:color="414142"/>
              <w:right w:val="outset" w:sz="6" w:space="0" w:color="414142"/>
            </w:tcBorders>
            <w:hideMark/>
          </w:tcPr>
          <w:p w14:paraId="489B518A" w14:textId="77777777" w:rsidR="003F16C5" w:rsidRPr="008E596C" w:rsidRDefault="003F16C5" w:rsidP="00B70630">
            <w:r w:rsidRPr="008E596C">
              <w:t>3.2. speciālais budžets</w:t>
            </w:r>
          </w:p>
        </w:tc>
        <w:tc>
          <w:tcPr>
            <w:tcW w:w="752" w:type="pct"/>
            <w:tcBorders>
              <w:top w:val="outset" w:sz="6" w:space="0" w:color="414142"/>
              <w:left w:val="outset" w:sz="6" w:space="0" w:color="414142"/>
              <w:bottom w:val="outset" w:sz="6" w:space="0" w:color="414142"/>
              <w:right w:val="outset" w:sz="6" w:space="0" w:color="414142"/>
            </w:tcBorders>
            <w:hideMark/>
          </w:tcPr>
          <w:p w14:paraId="0993F3C7" w14:textId="77777777" w:rsidR="003F16C5" w:rsidRPr="008E596C" w:rsidRDefault="003F16C5" w:rsidP="00B70630">
            <w:r w:rsidRPr="008E596C">
              <w:t> </w:t>
            </w:r>
          </w:p>
        </w:tc>
        <w:tc>
          <w:tcPr>
            <w:tcW w:w="806" w:type="pct"/>
            <w:tcBorders>
              <w:top w:val="outset" w:sz="6" w:space="0" w:color="414142"/>
              <w:left w:val="outset" w:sz="6" w:space="0" w:color="414142"/>
              <w:bottom w:val="outset" w:sz="6" w:space="0" w:color="414142"/>
              <w:right w:val="outset" w:sz="6" w:space="0" w:color="414142"/>
            </w:tcBorders>
            <w:hideMark/>
          </w:tcPr>
          <w:p w14:paraId="0BFBC834"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553C1B20"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7DE98937"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03420715" w14:textId="77777777" w:rsidR="003F16C5" w:rsidRPr="008E596C" w:rsidRDefault="003F16C5" w:rsidP="00B70630">
            <w:r w:rsidRPr="008E596C">
              <w:t> </w:t>
            </w:r>
          </w:p>
        </w:tc>
      </w:tr>
      <w:tr w:rsidR="008F2155" w:rsidRPr="008E596C" w14:paraId="0A28E39F" w14:textId="77777777" w:rsidTr="00D10323">
        <w:trPr>
          <w:trHeight w:val="277"/>
          <w:jc w:val="center"/>
        </w:trPr>
        <w:tc>
          <w:tcPr>
            <w:tcW w:w="1257" w:type="pct"/>
            <w:tcBorders>
              <w:top w:val="outset" w:sz="6" w:space="0" w:color="414142"/>
              <w:left w:val="outset" w:sz="6" w:space="0" w:color="414142"/>
              <w:bottom w:val="outset" w:sz="6" w:space="0" w:color="414142"/>
              <w:right w:val="outset" w:sz="6" w:space="0" w:color="414142"/>
            </w:tcBorders>
            <w:hideMark/>
          </w:tcPr>
          <w:p w14:paraId="526421F6" w14:textId="77777777" w:rsidR="003F16C5" w:rsidRPr="008E596C" w:rsidRDefault="003F16C5" w:rsidP="00B70630">
            <w:r w:rsidRPr="008E596C">
              <w:lastRenderedPageBreak/>
              <w:t>3.3. pašvaldību budžets</w:t>
            </w:r>
          </w:p>
        </w:tc>
        <w:tc>
          <w:tcPr>
            <w:tcW w:w="752" w:type="pct"/>
            <w:tcBorders>
              <w:top w:val="outset" w:sz="6" w:space="0" w:color="414142"/>
              <w:left w:val="outset" w:sz="6" w:space="0" w:color="414142"/>
              <w:bottom w:val="outset" w:sz="6" w:space="0" w:color="414142"/>
              <w:right w:val="outset" w:sz="6" w:space="0" w:color="414142"/>
            </w:tcBorders>
            <w:hideMark/>
          </w:tcPr>
          <w:p w14:paraId="6677CEF4" w14:textId="77777777" w:rsidR="003F16C5" w:rsidRPr="008E596C" w:rsidRDefault="003F16C5" w:rsidP="00B70630">
            <w:r w:rsidRPr="008E596C">
              <w:t> </w:t>
            </w:r>
          </w:p>
        </w:tc>
        <w:tc>
          <w:tcPr>
            <w:tcW w:w="806" w:type="pct"/>
            <w:tcBorders>
              <w:top w:val="outset" w:sz="6" w:space="0" w:color="414142"/>
              <w:left w:val="outset" w:sz="6" w:space="0" w:color="414142"/>
              <w:bottom w:val="outset" w:sz="6" w:space="0" w:color="414142"/>
              <w:right w:val="outset" w:sz="6" w:space="0" w:color="414142"/>
            </w:tcBorders>
            <w:hideMark/>
          </w:tcPr>
          <w:p w14:paraId="1D4B58C2"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6E98D674"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78680105"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48FC17C6" w14:textId="77777777" w:rsidR="003F16C5" w:rsidRPr="008E596C" w:rsidRDefault="003F16C5" w:rsidP="00B70630">
            <w:r w:rsidRPr="008E596C">
              <w:t> </w:t>
            </w:r>
          </w:p>
        </w:tc>
      </w:tr>
      <w:tr w:rsidR="008F2155" w:rsidRPr="008E596C" w14:paraId="4EC17D89" w14:textId="77777777" w:rsidTr="00D10323">
        <w:trPr>
          <w:trHeight w:val="302"/>
          <w:jc w:val="center"/>
        </w:trPr>
        <w:tc>
          <w:tcPr>
            <w:tcW w:w="1257" w:type="pct"/>
            <w:vMerge w:val="restart"/>
            <w:tcBorders>
              <w:top w:val="outset" w:sz="6" w:space="0" w:color="414142"/>
              <w:left w:val="outset" w:sz="6" w:space="0" w:color="414142"/>
              <w:bottom w:val="outset" w:sz="6" w:space="0" w:color="414142"/>
              <w:right w:val="outset" w:sz="6" w:space="0" w:color="414142"/>
            </w:tcBorders>
            <w:hideMark/>
          </w:tcPr>
          <w:p w14:paraId="5DB0F253" w14:textId="77777777" w:rsidR="003F16C5" w:rsidRPr="008E596C" w:rsidRDefault="003F16C5" w:rsidP="00B70630">
            <w:r w:rsidRPr="008E596C">
              <w:t>4. Finanšu līdzekļi papildu izdevumu finansēšanai (kompensējošu izdevumu samazinājumu norāda ar "+" zīmi)</w:t>
            </w:r>
          </w:p>
        </w:tc>
        <w:tc>
          <w:tcPr>
            <w:tcW w:w="752" w:type="pct"/>
            <w:vMerge w:val="restart"/>
            <w:tcBorders>
              <w:top w:val="outset" w:sz="6" w:space="0" w:color="414142"/>
              <w:left w:val="outset" w:sz="6" w:space="0" w:color="414142"/>
              <w:bottom w:val="outset" w:sz="6" w:space="0" w:color="414142"/>
              <w:right w:val="outset" w:sz="6" w:space="0" w:color="414142"/>
            </w:tcBorders>
            <w:hideMark/>
          </w:tcPr>
          <w:p w14:paraId="684D3065" w14:textId="77777777" w:rsidR="003F16C5" w:rsidRPr="008E596C" w:rsidRDefault="003F16C5" w:rsidP="00B70630">
            <w:pPr>
              <w:pStyle w:val="tvhtml"/>
              <w:spacing w:line="293" w:lineRule="atLeast"/>
              <w:jc w:val="center"/>
            </w:pPr>
            <w:r w:rsidRPr="008E596C">
              <w:t>X</w:t>
            </w:r>
          </w:p>
        </w:tc>
        <w:tc>
          <w:tcPr>
            <w:tcW w:w="806" w:type="pct"/>
            <w:tcBorders>
              <w:top w:val="outset" w:sz="6" w:space="0" w:color="414142"/>
              <w:left w:val="outset" w:sz="6" w:space="0" w:color="414142"/>
              <w:bottom w:val="outset" w:sz="6" w:space="0" w:color="414142"/>
              <w:right w:val="outset" w:sz="6" w:space="0" w:color="414142"/>
            </w:tcBorders>
            <w:hideMark/>
          </w:tcPr>
          <w:p w14:paraId="74466F26" w14:textId="77777777" w:rsidR="003F16C5" w:rsidRPr="008E596C" w:rsidRDefault="003F16C5" w:rsidP="00B70630">
            <w:pPr>
              <w:jc w:val="center"/>
              <w:rPr>
                <w:b/>
              </w:rPr>
            </w:pPr>
            <w:r w:rsidRPr="008E596C">
              <w:rPr>
                <w:b/>
              </w:rPr>
              <w:t>0</w:t>
            </w:r>
          </w:p>
        </w:tc>
        <w:tc>
          <w:tcPr>
            <w:tcW w:w="568" w:type="pct"/>
            <w:tcBorders>
              <w:top w:val="outset" w:sz="6" w:space="0" w:color="414142"/>
              <w:left w:val="outset" w:sz="6" w:space="0" w:color="414142"/>
              <w:bottom w:val="outset" w:sz="6" w:space="0" w:color="414142"/>
              <w:right w:val="outset" w:sz="6" w:space="0" w:color="414142"/>
            </w:tcBorders>
            <w:hideMark/>
          </w:tcPr>
          <w:p w14:paraId="4D230A8D" w14:textId="77777777" w:rsidR="003F16C5" w:rsidRPr="008E596C" w:rsidRDefault="003F16C5" w:rsidP="00B70630">
            <w:pPr>
              <w:jc w:val="center"/>
              <w:rPr>
                <w:b/>
              </w:rPr>
            </w:pPr>
            <w:r w:rsidRPr="008E596C">
              <w:rPr>
                <w:b/>
              </w:rPr>
              <w:t>0</w:t>
            </w:r>
          </w:p>
        </w:tc>
        <w:tc>
          <w:tcPr>
            <w:tcW w:w="699" w:type="pct"/>
            <w:tcBorders>
              <w:top w:val="outset" w:sz="6" w:space="0" w:color="414142"/>
              <w:left w:val="outset" w:sz="6" w:space="0" w:color="414142"/>
              <w:bottom w:val="outset" w:sz="6" w:space="0" w:color="414142"/>
              <w:right w:val="outset" w:sz="6" w:space="0" w:color="414142"/>
            </w:tcBorders>
            <w:hideMark/>
          </w:tcPr>
          <w:p w14:paraId="5458A5E7" w14:textId="77777777" w:rsidR="003F16C5" w:rsidRPr="008E596C" w:rsidRDefault="003F16C5" w:rsidP="00B70630">
            <w:pPr>
              <w:jc w:val="center"/>
              <w:rPr>
                <w:b/>
              </w:rPr>
            </w:pPr>
            <w:r w:rsidRPr="008E596C">
              <w:rPr>
                <w:b/>
              </w:rPr>
              <w:t>0</w:t>
            </w:r>
          </w:p>
        </w:tc>
        <w:tc>
          <w:tcPr>
            <w:tcW w:w="917" w:type="pct"/>
            <w:tcBorders>
              <w:top w:val="outset" w:sz="6" w:space="0" w:color="414142"/>
              <w:left w:val="outset" w:sz="6" w:space="0" w:color="414142"/>
              <w:bottom w:val="outset" w:sz="6" w:space="0" w:color="414142"/>
              <w:right w:val="outset" w:sz="6" w:space="0" w:color="414142"/>
            </w:tcBorders>
            <w:hideMark/>
          </w:tcPr>
          <w:p w14:paraId="67E17139" w14:textId="77777777" w:rsidR="003F16C5" w:rsidRPr="008E596C" w:rsidRDefault="003F16C5" w:rsidP="00B70630">
            <w:pPr>
              <w:jc w:val="center"/>
              <w:rPr>
                <w:b/>
              </w:rPr>
            </w:pPr>
            <w:r w:rsidRPr="008E596C">
              <w:rPr>
                <w:b/>
              </w:rPr>
              <w:t>0</w:t>
            </w:r>
          </w:p>
        </w:tc>
      </w:tr>
      <w:tr w:rsidR="008F2155" w:rsidRPr="008E596C" w14:paraId="24487CD4" w14:textId="77777777" w:rsidTr="00D10323">
        <w:trPr>
          <w:trHeight w:val="302"/>
          <w:jc w:val="center"/>
        </w:trPr>
        <w:tc>
          <w:tcPr>
            <w:tcW w:w="1257" w:type="pct"/>
            <w:vMerge/>
            <w:tcBorders>
              <w:top w:val="outset" w:sz="6" w:space="0" w:color="414142"/>
              <w:left w:val="outset" w:sz="6" w:space="0" w:color="414142"/>
              <w:bottom w:val="outset" w:sz="6" w:space="0" w:color="414142"/>
              <w:right w:val="outset" w:sz="6" w:space="0" w:color="414142"/>
            </w:tcBorders>
            <w:vAlign w:val="center"/>
            <w:hideMark/>
          </w:tcPr>
          <w:p w14:paraId="6FF9C4D6" w14:textId="77777777" w:rsidR="003F16C5" w:rsidRPr="008E596C" w:rsidRDefault="003F16C5" w:rsidP="00B70630"/>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5C013E4D" w14:textId="77777777" w:rsidR="003F16C5" w:rsidRPr="008E596C" w:rsidRDefault="003F16C5" w:rsidP="00B70630"/>
        </w:tc>
        <w:tc>
          <w:tcPr>
            <w:tcW w:w="806" w:type="pct"/>
            <w:tcBorders>
              <w:top w:val="outset" w:sz="6" w:space="0" w:color="414142"/>
              <w:left w:val="outset" w:sz="6" w:space="0" w:color="414142"/>
              <w:bottom w:val="outset" w:sz="6" w:space="0" w:color="414142"/>
              <w:right w:val="outset" w:sz="6" w:space="0" w:color="414142"/>
            </w:tcBorders>
            <w:hideMark/>
          </w:tcPr>
          <w:p w14:paraId="36BFF3DA"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7CFAD0E7"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3D2D1E89"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06F947E9" w14:textId="77777777" w:rsidR="003F16C5" w:rsidRPr="008E596C" w:rsidRDefault="003F16C5" w:rsidP="00B70630">
            <w:r w:rsidRPr="008E596C">
              <w:t> </w:t>
            </w:r>
          </w:p>
        </w:tc>
      </w:tr>
      <w:tr w:rsidR="008F2155" w:rsidRPr="008E596C" w14:paraId="4FEC04B9" w14:textId="77777777" w:rsidTr="00D10323">
        <w:trPr>
          <w:trHeight w:val="302"/>
          <w:jc w:val="center"/>
        </w:trPr>
        <w:tc>
          <w:tcPr>
            <w:tcW w:w="1257" w:type="pct"/>
            <w:vMerge/>
            <w:tcBorders>
              <w:top w:val="outset" w:sz="6" w:space="0" w:color="414142"/>
              <w:left w:val="outset" w:sz="6" w:space="0" w:color="414142"/>
              <w:bottom w:val="outset" w:sz="6" w:space="0" w:color="414142"/>
              <w:right w:val="outset" w:sz="6" w:space="0" w:color="414142"/>
            </w:tcBorders>
            <w:vAlign w:val="center"/>
            <w:hideMark/>
          </w:tcPr>
          <w:p w14:paraId="0BE999ED" w14:textId="77777777" w:rsidR="003F16C5" w:rsidRPr="008E596C" w:rsidRDefault="003F16C5" w:rsidP="00B70630"/>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1BC2C276" w14:textId="77777777" w:rsidR="003F16C5" w:rsidRPr="008E596C" w:rsidRDefault="003F16C5" w:rsidP="00B70630"/>
        </w:tc>
        <w:tc>
          <w:tcPr>
            <w:tcW w:w="806" w:type="pct"/>
            <w:tcBorders>
              <w:top w:val="outset" w:sz="6" w:space="0" w:color="414142"/>
              <w:left w:val="outset" w:sz="6" w:space="0" w:color="414142"/>
              <w:bottom w:val="outset" w:sz="6" w:space="0" w:color="414142"/>
              <w:right w:val="outset" w:sz="6" w:space="0" w:color="414142"/>
            </w:tcBorders>
            <w:hideMark/>
          </w:tcPr>
          <w:p w14:paraId="19AAE689"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4C5ADC0D"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54B8C719"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4FBAE4E5" w14:textId="77777777" w:rsidR="003F16C5" w:rsidRPr="008E596C" w:rsidRDefault="003F16C5" w:rsidP="00B70630">
            <w:r w:rsidRPr="008E596C">
              <w:t> </w:t>
            </w:r>
          </w:p>
        </w:tc>
      </w:tr>
      <w:tr w:rsidR="008F2155" w:rsidRPr="008E596C" w14:paraId="50ACA6F5"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2C7E1DC0" w14:textId="77777777" w:rsidR="003F16C5" w:rsidRPr="008E596C" w:rsidRDefault="003F16C5" w:rsidP="00B70630">
            <w:r w:rsidRPr="008E596C">
              <w:t>5. Precizēta finansiālā ietekme:</w:t>
            </w:r>
          </w:p>
        </w:tc>
        <w:tc>
          <w:tcPr>
            <w:tcW w:w="752" w:type="pct"/>
            <w:vMerge w:val="restart"/>
            <w:tcBorders>
              <w:top w:val="outset" w:sz="6" w:space="0" w:color="414142"/>
              <w:left w:val="outset" w:sz="6" w:space="0" w:color="414142"/>
              <w:bottom w:val="outset" w:sz="6" w:space="0" w:color="414142"/>
              <w:right w:val="outset" w:sz="6" w:space="0" w:color="414142"/>
            </w:tcBorders>
            <w:hideMark/>
          </w:tcPr>
          <w:p w14:paraId="7D4821D8" w14:textId="77777777" w:rsidR="003F16C5" w:rsidRPr="008E596C" w:rsidRDefault="003F16C5" w:rsidP="00B70630">
            <w:pPr>
              <w:pStyle w:val="tvhtml"/>
              <w:spacing w:line="293" w:lineRule="atLeast"/>
              <w:jc w:val="center"/>
            </w:pPr>
            <w:r w:rsidRPr="008E596C">
              <w:t>X</w:t>
            </w:r>
          </w:p>
        </w:tc>
        <w:tc>
          <w:tcPr>
            <w:tcW w:w="806" w:type="pct"/>
            <w:tcBorders>
              <w:top w:val="outset" w:sz="6" w:space="0" w:color="414142"/>
              <w:left w:val="outset" w:sz="6" w:space="0" w:color="414142"/>
              <w:bottom w:val="outset" w:sz="6" w:space="0" w:color="414142"/>
              <w:right w:val="outset" w:sz="6" w:space="0" w:color="414142"/>
            </w:tcBorders>
            <w:hideMark/>
          </w:tcPr>
          <w:p w14:paraId="5347462A"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705BAC45"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07ECCC4E"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22667BEB" w14:textId="77777777" w:rsidR="003F16C5" w:rsidRPr="008E596C" w:rsidRDefault="003F16C5" w:rsidP="00B70630">
            <w:r w:rsidRPr="008E596C">
              <w:t> </w:t>
            </w:r>
          </w:p>
        </w:tc>
      </w:tr>
      <w:tr w:rsidR="008F2155" w:rsidRPr="008E596C" w14:paraId="65843F05"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0A8DF4E0" w14:textId="77777777" w:rsidR="003F16C5" w:rsidRPr="008E596C" w:rsidRDefault="003F16C5" w:rsidP="00B70630">
            <w:r w:rsidRPr="008E596C">
              <w:t>5.1. valsts pamatbudžets</w:t>
            </w:r>
          </w:p>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02F7F01F" w14:textId="77777777" w:rsidR="003F16C5" w:rsidRPr="008E596C" w:rsidRDefault="003F16C5" w:rsidP="00B70630"/>
        </w:tc>
        <w:tc>
          <w:tcPr>
            <w:tcW w:w="806" w:type="pct"/>
            <w:tcBorders>
              <w:top w:val="outset" w:sz="6" w:space="0" w:color="414142"/>
              <w:left w:val="outset" w:sz="6" w:space="0" w:color="414142"/>
              <w:bottom w:val="outset" w:sz="6" w:space="0" w:color="414142"/>
              <w:right w:val="outset" w:sz="6" w:space="0" w:color="414142"/>
            </w:tcBorders>
            <w:hideMark/>
          </w:tcPr>
          <w:p w14:paraId="7CC39852"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76B7716E"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7687929A"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4A1011B6" w14:textId="77777777" w:rsidR="003F16C5" w:rsidRPr="008E596C" w:rsidRDefault="003F16C5" w:rsidP="00B70630">
            <w:r w:rsidRPr="008E596C">
              <w:t> </w:t>
            </w:r>
          </w:p>
        </w:tc>
      </w:tr>
      <w:tr w:rsidR="008F2155" w:rsidRPr="008E596C" w14:paraId="2FA674CF" w14:textId="77777777" w:rsidTr="00D10323">
        <w:trPr>
          <w:trHeight w:val="277"/>
          <w:jc w:val="center"/>
        </w:trPr>
        <w:tc>
          <w:tcPr>
            <w:tcW w:w="1257" w:type="pct"/>
            <w:tcBorders>
              <w:top w:val="outset" w:sz="6" w:space="0" w:color="414142"/>
              <w:left w:val="outset" w:sz="6" w:space="0" w:color="414142"/>
              <w:bottom w:val="outset" w:sz="6" w:space="0" w:color="414142"/>
              <w:right w:val="outset" w:sz="6" w:space="0" w:color="414142"/>
            </w:tcBorders>
            <w:hideMark/>
          </w:tcPr>
          <w:p w14:paraId="1D727CBC" w14:textId="77777777" w:rsidR="003F16C5" w:rsidRPr="008E596C" w:rsidRDefault="003F16C5" w:rsidP="00B70630">
            <w:r w:rsidRPr="008E596C">
              <w:t>5.2. speciālais budžets</w:t>
            </w:r>
          </w:p>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4C27EA93" w14:textId="77777777" w:rsidR="003F16C5" w:rsidRPr="008E596C" w:rsidRDefault="003F16C5" w:rsidP="00B70630"/>
        </w:tc>
        <w:tc>
          <w:tcPr>
            <w:tcW w:w="806" w:type="pct"/>
            <w:tcBorders>
              <w:top w:val="outset" w:sz="6" w:space="0" w:color="414142"/>
              <w:left w:val="outset" w:sz="6" w:space="0" w:color="414142"/>
              <w:bottom w:val="outset" w:sz="6" w:space="0" w:color="414142"/>
              <w:right w:val="outset" w:sz="6" w:space="0" w:color="414142"/>
            </w:tcBorders>
            <w:hideMark/>
          </w:tcPr>
          <w:p w14:paraId="325EDEAC"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7C913B15"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6A948339"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5E7AFF71" w14:textId="77777777" w:rsidR="003F16C5" w:rsidRPr="008E596C" w:rsidRDefault="003F16C5" w:rsidP="00B70630">
            <w:r w:rsidRPr="008E596C">
              <w:t> </w:t>
            </w:r>
          </w:p>
        </w:tc>
      </w:tr>
      <w:tr w:rsidR="008F2155" w:rsidRPr="008E596C" w14:paraId="54B898BD" w14:textId="77777777" w:rsidTr="00D10323">
        <w:trPr>
          <w:trHeight w:val="277"/>
          <w:jc w:val="center"/>
        </w:trPr>
        <w:tc>
          <w:tcPr>
            <w:tcW w:w="1257" w:type="pct"/>
            <w:tcBorders>
              <w:top w:val="outset" w:sz="6" w:space="0" w:color="414142"/>
              <w:left w:val="outset" w:sz="6" w:space="0" w:color="414142"/>
              <w:bottom w:val="outset" w:sz="6" w:space="0" w:color="414142"/>
              <w:right w:val="outset" w:sz="6" w:space="0" w:color="414142"/>
            </w:tcBorders>
            <w:hideMark/>
          </w:tcPr>
          <w:p w14:paraId="1FDBEC1D" w14:textId="77777777" w:rsidR="003F16C5" w:rsidRPr="008E596C" w:rsidRDefault="003F16C5" w:rsidP="00B70630">
            <w:r w:rsidRPr="008E596C">
              <w:t>5.3. pašvaldību budžets</w:t>
            </w:r>
          </w:p>
        </w:tc>
        <w:tc>
          <w:tcPr>
            <w:tcW w:w="752" w:type="pct"/>
            <w:vMerge/>
            <w:tcBorders>
              <w:top w:val="outset" w:sz="6" w:space="0" w:color="414142"/>
              <w:left w:val="outset" w:sz="6" w:space="0" w:color="414142"/>
              <w:bottom w:val="outset" w:sz="6" w:space="0" w:color="414142"/>
              <w:right w:val="outset" w:sz="6" w:space="0" w:color="414142"/>
            </w:tcBorders>
            <w:vAlign w:val="center"/>
            <w:hideMark/>
          </w:tcPr>
          <w:p w14:paraId="52FDCFE1" w14:textId="77777777" w:rsidR="003F16C5" w:rsidRPr="008E596C" w:rsidRDefault="003F16C5" w:rsidP="00B70630"/>
        </w:tc>
        <w:tc>
          <w:tcPr>
            <w:tcW w:w="806" w:type="pct"/>
            <w:tcBorders>
              <w:top w:val="outset" w:sz="6" w:space="0" w:color="414142"/>
              <w:left w:val="outset" w:sz="6" w:space="0" w:color="414142"/>
              <w:bottom w:val="outset" w:sz="6" w:space="0" w:color="414142"/>
              <w:right w:val="outset" w:sz="6" w:space="0" w:color="414142"/>
            </w:tcBorders>
            <w:hideMark/>
          </w:tcPr>
          <w:p w14:paraId="6E1CBF2E" w14:textId="77777777" w:rsidR="003F16C5" w:rsidRPr="008E596C" w:rsidRDefault="003F16C5" w:rsidP="00B70630">
            <w:r w:rsidRPr="008E596C">
              <w:t> </w:t>
            </w:r>
          </w:p>
        </w:tc>
        <w:tc>
          <w:tcPr>
            <w:tcW w:w="568" w:type="pct"/>
            <w:tcBorders>
              <w:top w:val="outset" w:sz="6" w:space="0" w:color="414142"/>
              <w:left w:val="outset" w:sz="6" w:space="0" w:color="414142"/>
              <w:bottom w:val="outset" w:sz="6" w:space="0" w:color="414142"/>
              <w:right w:val="outset" w:sz="6" w:space="0" w:color="414142"/>
            </w:tcBorders>
            <w:hideMark/>
          </w:tcPr>
          <w:p w14:paraId="5FDF3CBF" w14:textId="77777777" w:rsidR="003F16C5" w:rsidRPr="008E596C" w:rsidRDefault="003F16C5" w:rsidP="00B70630">
            <w:r w:rsidRPr="008E596C">
              <w:t> </w:t>
            </w:r>
          </w:p>
        </w:tc>
        <w:tc>
          <w:tcPr>
            <w:tcW w:w="699" w:type="pct"/>
            <w:tcBorders>
              <w:top w:val="outset" w:sz="6" w:space="0" w:color="414142"/>
              <w:left w:val="outset" w:sz="6" w:space="0" w:color="414142"/>
              <w:bottom w:val="outset" w:sz="6" w:space="0" w:color="414142"/>
              <w:right w:val="outset" w:sz="6" w:space="0" w:color="414142"/>
            </w:tcBorders>
            <w:hideMark/>
          </w:tcPr>
          <w:p w14:paraId="122A611A" w14:textId="77777777" w:rsidR="003F16C5" w:rsidRPr="008E596C" w:rsidRDefault="003F16C5" w:rsidP="00B70630">
            <w:r w:rsidRPr="008E596C">
              <w:t> </w:t>
            </w:r>
          </w:p>
        </w:tc>
        <w:tc>
          <w:tcPr>
            <w:tcW w:w="917" w:type="pct"/>
            <w:tcBorders>
              <w:top w:val="outset" w:sz="6" w:space="0" w:color="414142"/>
              <w:left w:val="outset" w:sz="6" w:space="0" w:color="414142"/>
              <w:bottom w:val="outset" w:sz="6" w:space="0" w:color="414142"/>
              <w:right w:val="outset" w:sz="6" w:space="0" w:color="414142"/>
            </w:tcBorders>
            <w:hideMark/>
          </w:tcPr>
          <w:p w14:paraId="7EDBE3A1" w14:textId="77777777" w:rsidR="003F16C5" w:rsidRPr="008E596C" w:rsidRDefault="003F16C5" w:rsidP="00B70630">
            <w:r w:rsidRPr="008E596C">
              <w:t> </w:t>
            </w:r>
          </w:p>
        </w:tc>
      </w:tr>
      <w:tr w:rsidR="008F2155" w:rsidRPr="008E596C" w14:paraId="670E928E" w14:textId="77777777" w:rsidTr="00D10323">
        <w:trPr>
          <w:trHeight w:val="1892"/>
          <w:jc w:val="center"/>
        </w:trPr>
        <w:tc>
          <w:tcPr>
            <w:tcW w:w="1257" w:type="pct"/>
            <w:tcBorders>
              <w:top w:val="outset" w:sz="6" w:space="0" w:color="414142"/>
              <w:left w:val="outset" w:sz="6" w:space="0" w:color="414142"/>
              <w:bottom w:val="outset" w:sz="6" w:space="0" w:color="414142"/>
              <w:right w:val="outset" w:sz="6" w:space="0" w:color="414142"/>
            </w:tcBorders>
            <w:hideMark/>
          </w:tcPr>
          <w:p w14:paraId="48C8713D" w14:textId="77777777" w:rsidR="003F16C5" w:rsidRPr="008E596C" w:rsidRDefault="003F16C5" w:rsidP="00B70630">
            <w:r w:rsidRPr="008E596C">
              <w:t>6. Detalizēts ieņēmumu un izdevumu aprēķins (ja nepieciešams, detalizētu ieņēmumu un izdevumu aprēķinu var pievienot anotācijas pielikumā):</w:t>
            </w:r>
          </w:p>
        </w:tc>
        <w:tc>
          <w:tcPr>
            <w:tcW w:w="374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CACFE30" w14:textId="417D0F1B" w:rsidR="003F16C5" w:rsidRPr="008E596C" w:rsidRDefault="003F16C5" w:rsidP="00B70630">
            <w:pPr>
              <w:pStyle w:val="naisf"/>
              <w:spacing w:before="0" w:after="0"/>
              <w:ind w:firstLine="0"/>
            </w:pPr>
            <w:r w:rsidRPr="008E596C">
              <w:t xml:space="preserve">Saistībā ar </w:t>
            </w:r>
            <w:r w:rsidR="00D10323" w:rsidRPr="008E596C">
              <w:t>V</w:t>
            </w:r>
            <w:r w:rsidRPr="008E596C">
              <w:t xml:space="preserve">ienotās azartspēļu automātu kontroles un uzraudzības sistēmas ieviešanu 2016. un 2017.gadā nebūs izmaiņas </w:t>
            </w:r>
            <w:r w:rsidRPr="008E596C">
              <w:rPr>
                <w:iCs/>
              </w:rPr>
              <w:t>Izložu un azartspēļu uzraudzības</w:t>
            </w:r>
            <w:r w:rsidRPr="008E596C">
              <w:t xml:space="preserve"> inspekcijas budžeta izdevumos.</w:t>
            </w:r>
            <w:r w:rsidRPr="008E596C" w:rsidDel="00D724EF">
              <w:t xml:space="preserve"> </w:t>
            </w:r>
          </w:p>
          <w:p w14:paraId="23A046CA" w14:textId="55CBD147" w:rsidR="003F16C5" w:rsidRPr="008E596C" w:rsidRDefault="003F16C5" w:rsidP="00B70630">
            <w:pPr>
              <w:pStyle w:val="naisf"/>
              <w:spacing w:before="0" w:after="0"/>
              <w:ind w:firstLine="0"/>
            </w:pPr>
            <w:r w:rsidRPr="008E596C">
              <w:t xml:space="preserve">2018.gadā </w:t>
            </w:r>
            <w:r w:rsidRPr="008E596C">
              <w:rPr>
                <w:iCs/>
              </w:rPr>
              <w:t>Izložu un azartspēļu uzraudzības</w:t>
            </w:r>
            <w:r w:rsidRPr="008E596C">
              <w:t xml:space="preserve"> inspekcijai saistībā ar </w:t>
            </w:r>
            <w:r w:rsidR="00B94DCE" w:rsidRPr="008E596C">
              <w:t>Vienotās azartspēļu automātu kontroles un uzraudzības sistēmas</w:t>
            </w:r>
            <w:r w:rsidRPr="008E596C">
              <w:t xml:space="preserve"> ieviešanu papildus nepieciešams vienreizējs finansējums kapitālajām iegādēm 20 281 </w:t>
            </w:r>
            <w:r w:rsidRPr="008E596C">
              <w:rPr>
                <w:i/>
              </w:rPr>
              <w:t>euro</w:t>
            </w:r>
            <w:r w:rsidRPr="008E596C">
              <w:t xml:space="preserve"> apmērā:</w:t>
            </w:r>
          </w:p>
          <w:p w14:paraId="56C87492" w14:textId="53CAA05A" w:rsidR="003F16C5" w:rsidRPr="008E596C" w:rsidRDefault="003F16C5" w:rsidP="003F16C5">
            <w:pPr>
              <w:pStyle w:val="naisf"/>
              <w:numPr>
                <w:ilvl w:val="0"/>
                <w:numId w:val="28"/>
              </w:numPr>
              <w:spacing w:before="0" w:after="0"/>
            </w:pPr>
            <w:r w:rsidRPr="008E596C">
              <w:t xml:space="preserve">16 780 </w:t>
            </w:r>
            <w:r w:rsidRPr="008E596C">
              <w:rPr>
                <w:i/>
              </w:rPr>
              <w:t>euro</w:t>
            </w:r>
            <w:r w:rsidRPr="008E596C">
              <w:t xml:space="preserve"> – fiziskie serveri (2 gab.);</w:t>
            </w:r>
          </w:p>
          <w:p w14:paraId="632CDFED" w14:textId="6611D344" w:rsidR="003F16C5" w:rsidRPr="008E596C" w:rsidRDefault="003F16C5" w:rsidP="003F16C5">
            <w:pPr>
              <w:pStyle w:val="naisf"/>
              <w:numPr>
                <w:ilvl w:val="0"/>
                <w:numId w:val="28"/>
              </w:numPr>
              <w:spacing w:before="0" w:after="0"/>
            </w:pPr>
            <w:r w:rsidRPr="008E596C">
              <w:t xml:space="preserve">1 684 </w:t>
            </w:r>
            <w:r w:rsidRPr="008E596C">
              <w:rPr>
                <w:i/>
              </w:rPr>
              <w:t>euro</w:t>
            </w:r>
            <w:r w:rsidRPr="008E596C">
              <w:t xml:space="preserve"> – operētājsistēmas Windows server licences (2 gab</w:t>
            </w:r>
            <w:r w:rsidR="00D10323" w:rsidRPr="008E596C">
              <w:t>.</w:t>
            </w:r>
            <w:r w:rsidRPr="008E596C">
              <w:t>);</w:t>
            </w:r>
          </w:p>
          <w:p w14:paraId="4B976D99" w14:textId="54E2B4E0" w:rsidR="003F16C5" w:rsidRPr="008E596C" w:rsidRDefault="003F16C5" w:rsidP="003F16C5">
            <w:pPr>
              <w:pStyle w:val="naisf"/>
              <w:numPr>
                <w:ilvl w:val="0"/>
                <w:numId w:val="28"/>
              </w:numPr>
              <w:spacing w:before="0" w:after="0"/>
            </w:pPr>
            <w:r w:rsidRPr="008E596C">
              <w:t xml:space="preserve">1 272 </w:t>
            </w:r>
            <w:r w:rsidRPr="008E596C">
              <w:rPr>
                <w:i/>
              </w:rPr>
              <w:t>euro</w:t>
            </w:r>
            <w:r w:rsidRPr="008E596C">
              <w:t xml:space="preserve"> – nepārtrauktas barošanas bloki (UPS) serveriem (2 gab</w:t>
            </w:r>
            <w:r w:rsidR="00D10323" w:rsidRPr="008E596C">
              <w:t>.</w:t>
            </w:r>
            <w:r w:rsidRPr="008E596C">
              <w:t>);</w:t>
            </w:r>
          </w:p>
          <w:p w14:paraId="0B547302" w14:textId="07057600" w:rsidR="003F16C5" w:rsidRPr="008E596C" w:rsidRDefault="003F16C5" w:rsidP="003F16C5">
            <w:pPr>
              <w:pStyle w:val="naisf"/>
              <w:numPr>
                <w:ilvl w:val="0"/>
                <w:numId w:val="28"/>
              </w:numPr>
              <w:spacing w:before="0" w:after="0"/>
            </w:pPr>
            <w:r w:rsidRPr="008E596C">
              <w:t xml:space="preserve">545 </w:t>
            </w:r>
            <w:r w:rsidRPr="008E596C">
              <w:rPr>
                <w:i/>
              </w:rPr>
              <w:t>euro</w:t>
            </w:r>
            <w:r w:rsidRPr="008E596C">
              <w:t xml:space="preserve"> – tīkla menedžmenta nodrošinājums (UPS vadība) (2</w:t>
            </w:r>
            <w:r w:rsidR="00D10323" w:rsidRPr="008E596C">
              <w:t xml:space="preserve"> </w:t>
            </w:r>
            <w:r w:rsidRPr="008E596C">
              <w:t>gab.).</w:t>
            </w:r>
          </w:p>
          <w:p w14:paraId="516BFD22" w14:textId="08911826" w:rsidR="003F16C5" w:rsidRDefault="003F16C5" w:rsidP="003F16C5">
            <w:pPr>
              <w:pStyle w:val="naisf"/>
              <w:spacing w:before="0" w:after="0"/>
            </w:pPr>
            <w:r w:rsidRPr="008E596C">
              <w:t xml:space="preserve">  No 2019.gada un turpmāk katru gadu nepieciešams 4 840 </w:t>
            </w:r>
            <w:r w:rsidRPr="008E596C">
              <w:rPr>
                <w:i/>
              </w:rPr>
              <w:t>euro</w:t>
            </w:r>
            <w:r w:rsidRPr="008E596C">
              <w:t xml:space="preserve"> serveru uzturēšanas izmaksām (t.sk. serveru un programmatūras administrēšana</w:t>
            </w:r>
            <w:r w:rsidR="00D10323" w:rsidRPr="008E596C">
              <w:t>i</w:t>
            </w:r>
            <w:r w:rsidRPr="008E596C">
              <w:t xml:space="preserve"> un uzlabošana</w:t>
            </w:r>
            <w:r w:rsidR="00D10323" w:rsidRPr="008E596C">
              <w:t>i</w:t>
            </w:r>
            <w:r w:rsidRPr="008E596C">
              <w:t>).</w:t>
            </w:r>
          </w:p>
          <w:p w14:paraId="41CCC0D5" w14:textId="388AB1B9" w:rsidR="00ED0A59" w:rsidRPr="008E596C" w:rsidRDefault="00ED0A59" w:rsidP="00ED0A59">
            <w:pPr>
              <w:pStyle w:val="naisf"/>
              <w:spacing w:before="0" w:after="0"/>
              <w:ind w:firstLine="0"/>
            </w:pPr>
            <w:r>
              <w:t xml:space="preserve">2018.gadā </w:t>
            </w:r>
            <w:r w:rsidRPr="008E596C">
              <w:t>papildus nepieciešam</w:t>
            </w:r>
            <w:r w:rsidR="000A3B0F">
              <w:t>ai</w:t>
            </w:r>
            <w:r w:rsidRPr="008E596C">
              <w:t>s vienreizēj</w:t>
            </w:r>
            <w:r w:rsidR="000A3B0F">
              <w:t>ai</w:t>
            </w:r>
            <w:r w:rsidRPr="008E596C">
              <w:t>s finansējums kapitālajām iegādēm</w:t>
            </w:r>
            <w:r>
              <w:t xml:space="preserve"> un n</w:t>
            </w:r>
            <w:r w:rsidRPr="008E596C">
              <w:t>o 2019.gada un turpmāk katru gadu nepieciešam</w:t>
            </w:r>
            <w:r w:rsidR="000A3B0F">
              <w:t>ai</w:t>
            </w:r>
            <w:r w:rsidRPr="008E596C">
              <w:t xml:space="preserve">s </w:t>
            </w:r>
            <w:r>
              <w:t xml:space="preserve">finansējums </w:t>
            </w:r>
            <w:r w:rsidRPr="008E596C">
              <w:t>serveru uzturēšanas izmaksām</w:t>
            </w:r>
            <w:r>
              <w:t xml:space="preserve"> ir noteikts provizoriski un var mainīties atkarībā no ekonomiskās situācijas Latvijā.  </w:t>
            </w:r>
          </w:p>
        </w:tc>
      </w:tr>
      <w:tr w:rsidR="008F2155" w:rsidRPr="008E596C" w14:paraId="69C159C9" w14:textId="77777777" w:rsidTr="00D10323">
        <w:trPr>
          <w:trHeight w:val="542"/>
          <w:jc w:val="center"/>
        </w:trPr>
        <w:tc>
          <w:tcPr>
            <w:tcW w:w="1257" w:type="pct"/>
            <w:tcBorders>
              <w:top w:val="outset" w:sz="6" w:space="0" w:color="414142"/>
              <w:left w:val="outset" w:sz="6" w:space="0" w:color="414142"/>
              <w:bottom w:val="outset" w:sz="6" w:space="0" w:color="414142"/>
              <w:right w:val="outset" w:sz="6" w:space="0" w:color="414142"/>
            </w:tcBorders>
            <w:hideMark/>
          </w:tcPr>
          <w:p w14:paraId="35192FFF" w14:textId="77777777" w:rsidR="003F16C5" w:rsidRPr="008E596C" w:rsidRDefault="003F16C5" w:rsidP="00B70630">
            <w:r w:rsidRPr="008E596C">
              <w:t>6.1. detalizēts ieņēmumu aprēķins</w:t>
            </w:r>
          </w:p>
        </w:tc>
        <w:tc>
          <w:tcPr>
            <w:tcW w:w="3743" w:type="pct"/>
            <w:gridSpan w:val="5"/>
            <w:vMerge/>
            <w:tcBorders>
              <w:top w:val="outset" w:sz="6" w:space="0" w:color="414142"/>
              <w:left w:val="outset" w:sz="6" w:space="0" w:color="414142"/>
              <w:bottom w:val="outset" w:sz="6" w:space="0" w:color="414142"/>
              <w:right w:val="outset" w:sz="6" w:space="0" w:color="414142"/>
            </w:tcBorders>
            <w:vAlign w:val="center"/>
            <w:hideMark/>
          </w:tcPr>
          <w:p w14:paraId="22531E62" w14:textId="77777777" w:rsidR="003F16C5" w:rsidRPr="008E596C" w:rsidRDefault="003F16C5" w:rsidP="00B70630"/>
        </w:tc>
      </w:tr>
      <w:tr w:rsidR="008F2155" w:rsidRPr="008E596C" w14:paraId="73012634" w14:textId="77777777" w:rsidTr="00D10323">
        <w:trPr>
          <w:trHeight w:val="1009"/>
          <w:jc w:val="center"/>
        </w:trPr>
        <w:tc>
          <w:tcPr>
            <w:tcW w:w="1257" w:type="pct"/>
            <w:tcBorders>
              <w:top w:val="outset" w:sz="6" w:space="0" w:color="414142"/>
              <w:left w:val="outset" w:sz="6" w:space="0" w:color="414142"/>
              <w:bottom w:val="outset" w:sz="6" w:space="0" w:color="414142"/>
              <w:right w:val="outset" w:sz="6" w:space="0" w:color="414142"/>
            </w:tcBorders>
            <w:hideMark/>
          </w:tcPr>
          <w:p w14:paraId="399E5919" w14:textId="77777777" w:rsidR="003F16C5" w:rsidRPr="008E596C" w:rsidRDefault="003F16C5" w:rsidP="00B70630">
            <w:r w:rsidRPr="008E596C">
              <w:t>6.2. detalizēts izdevumu aprēķins</w:t>
            </w:r>
          </w:p>
        </w:tc>
        <w:tc>
          <w:tcPr>
            <w:tcW w:w="3743" w:type="pct"/>
            <w:gridSpan w:val="5"/>
            <w:vMerge/>
            <w:tcBorders>
              <w:top w:val="outset" w:sz="6" w:space="0" w:color="414142"/>
              <w:left w:val="outset" w:sz="6" w:space="0" w:color="414142"/>
              <w:bottom w:val="outset" w:sz="6" w:space="0" w:color="414142"/>
              <w:right w:val="outset" w:sz="6" w:space="0" w:color="414142"/>
            </w:tcBorders>
            <w:vAlign w:val="center"/>
            <w:hideMark/>
          </w:tcPr>
          <w:p w14:paraId="0ACCEF33" w14:textId="77777777" w:rsidR="003F16C5" w:rsidRPr="008E596C" w:rsidRDefault="003F16C5" w:rsidP="00B70630"/>
        </w:tc>
      </w:tr>
      <w:tr w:rsidR="003F16C5" w:rsidRPr="008E596C" w14:paraId="29908D63" w14:textId="77777777" w:rsidTr="00D10323">
        <w:trPr>
          <w:trHeight w:val="326"/>
          <w:jc w:val="center"/>
        </w:trPr>
        <w:tc>
          <w:tcPr>
            <w:tcW w:w="1257" w:type="pct"/>
            <w:tcBorders>
              <w:top w:val="outset" w:sz="6" w:space="0" w:color="414142"/>
              <w:left w:val="outset" w:sz="6" w:space="0" w:color="414142"/>
              <w:bottom w:val="outset" w:sz="6" w:space="0" w:color="414142"/>
              <w:right w:val="outset" w:sz="6" w:space="0" w:color="414142"/>
            </w:tcBorders>
            <w:hideMark/>
          </w:tcPr>
          <w:p w14:paraId="0E239F51" w14:textId="77777777" w:rsidR="003F16C5" w:rsidRPr="008E596C" w:rsidRDefault="003F16C5" w:rsidP="00B70630">
            <w:r w:rsidRPr="008E596C">
              <w:t>7. Cita informācija</w:t>
            </w:r>
          </w:p>
        </w:tc>
        <w:tc>
          <w:tcPr>
            <w:tcW w:w="3743" w:type="pct"/>
            <w:gridSpan w:val="5"/>
            <w:tcBorders>
              <w:top w:val="outset" w:sz="6" w:space="0" w:color="414142"/>
              <w:left w:val="outset" w:sz="6" w:space="0" w:color="414142"/>
              <w:bottom w:val="outset" w:sz="6" w:space="0" w:color="414142"/>
              <w:right w:val="outset" w:sz="6" w:space="0" w:color="414142"/>
            </w:tcBorders>
          </w:tcPr>
          <w:p w14:paraId="07A394CF" w14:textId="43A3A495" w:rsidR="003F16C5" w:rsidRPr="008E596C" w:rsidRDefault="00881B09" w:rsidP="00B36ECE">
            <w:pPr>
              <w:pStyle w:val="ListParagraph"/>
              <w:ind w:left="0"/>
              <w:jc w:val="both"/>
            </w:pPr>
            <w:r w:rsidRPr="000A3B0F">
              <w:t>Jautājums par papildu valsts budžeta līdzekļu piešķiršanu 2018.gadam un turpmākajiem gadiem Izložu un azartspēļu uzraudzības inspekcija</w:t>
            </w:r>
            <w:r w:rsidR="00B36ECE" w:rsidRPr="000A3B0F">
              <w:rPr>
                <w:lang w:val="lv-LV"/>
              </w:rPr>
              <w:t>i  likumprojektā paredzētā</w:t>
            </w:r>
            <w:r w:rsidRPr="000A3B0F">
              <w:t xml:space="preserve"> jaun</w:t>
            </w:r>
            <w:r w:rsidRPr="000A3B0F">
              <w:rPr>
                <w:lang w:val="lv-LV"/>
              </w:rPr>
              <w:t>ā</w:t>
            </w:r>
            <w:r w:rsidRPr="000A3B0F">
              <w:t xml:space="preserve"> uzdevuma īstenošanai skatāms Ministru kabinetā kopā ar visu ministriju un citu centrālo valsts iestāžu jauno politikas iniciatīvu pieprasījumiem likumprojekta “Par valsts budžeta 2018.gadam” un  likumprojekta “Par vidēja termiņa budžeta ietvaru 2018.,</w:t>
            </w:r>
            <w:r w:rsidRPr="000A3B0F">
              <w:rPr>
                <w:lang w:val="lv-LV"/>
              </w:rPr>
              <w:t xml:space="preserve"> </w:t>
            </w:r>
            <w:r w:rsidRPr="000A3B0F">
              <w:t>2019. un 2020.gadam” sagatavošanas procesā, ievērojot valsts budžeta finansiālās iespējas.</w:t>
            </w:r>
          </w:p>
        </w:tc>
      </w:tr>
    </w:tbl>
    <w:p w14:paraId="4FC0ED1F" w14:textId="77777777" w:rsidR="00370332" w:rsidRDefault="00370332" w:rsidP="006D0922">
      <w:pPr>
        <w:pStyle w:val="naisf"/>
        <w:spacing w:before="0" w:after="0"/>
        <w:ind w:firstLine="0"/>
      </w:pPr>
    </w:p>
    <w:p w14:paraId="682647DD" w14:textId="77777777" w:rsidR="002E33E1" w:rsidRPr="008E596C" w:rsidRDefault="002E33E1" w:rsidP="006D0922">
      <w:pPr>
        <w:pStyle w:val="naisf"/>
        <w:spacing w:before="0" w:after="0"/>
        <w:ind w:firstLine="0"/>
      </w:pPr>
    </w:p>
    <w:p w14:paraId="37559494" w14:textId="77777777" w:rsidR="00B75739" w:rsidRPr="008E596C" w:rsidRDefault="00B75739" w:rsidP="006D0922">
      <w:pPr>
        <w:pStyle w:val="naisf"/>
        <w:spacing w:before="0" w:after="0"/>
        <w:ind w:firstLine="0"/>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60"/>
        <w:gridCol w:w="6553"/>
      </w:tblGrid>
      <w:tr w:rsidR="008F2155" w:rsidRPr="008E596C" w14:paraId="07381E92" w14:textId="77777777" w:rsidTr="00E92331">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78362" w14:textId="08368662" w:rsidR="00370332" w:rsidRPr="008E596C" w:rsidRDefault="00370332">
            <w:pPr>
              <w:pStyle w:val="tvhtml"/>
              <w:spacing w:line="293" w:lineRule="atLeast"/>
              <w:jc w:val="center"/>
              <w:rPr>
                <w:b/>
                <w:bCs/>
              </w:rPr>
            </w:pPr>
            <w:r w:rsidRPr="008E596C">
              <w:rPr>
                <w:b/>
                <w:bCs/>
              </w:rPr>
              <w:t>IV. Tiesību akta projekta ietekme uz spēkā esošo tiesību normu sistēmu</w:t>
            </w:r>
          </w:p>
        </w:tc>
      </w:tr>
      <w:tr w:rsidR="008F2155" w:rsidRPr="008E596C" w14:paraId="070636BA" w14:textId="77777777" w:rsidTr="00E92331">
        <w:trPr>
          <w:jc w:val="center"/>
        </w:trPr>
        <w:tc>
          <w:tcPr>
            <w:tcW w:w="217" w:type="pct"/>
            <w:tcBorders>
              <w:top w:val="outset" w:sz="6" w:space="0" w:color="414142"/>
              <w:left w:val="outset" w:sz="6" w:space="0" w:color="414142"/>
              <w:bottom w:val="outset" w:sz="6" w:space="0" w:color="414142"/>
              <w:right w:val="outset" w:sz="6" w:space="0" w:color="414142"/>
            </w:tcBorders>
            <w:hideMark/>
          </w:tcPr>
          <w:p w14:paraId="0EF983F6" w14:textId="77777777" w:rsidR="00370332" w:rsidRPr="008E596C" w:rsidRDefault="00370332">
            <w:r w:rsidRPr="008E596C">
              <w:lastRenderedPageBreak/>
              <w:t>1.</w:t>
            </w:r>
          </w:p>
        </w:tc>
        <w:tc>
          <w:tcPr>
            <w:tcW w:w="1381" w:type="pct"/>
            <w:tcBorders>
              <w:top w:val="outset" w:sz="6" w:space="0" w:color="414142"/>
              <w:left w:val="outset" w:sz="6" w:space="0" w:color="414142"/>
              <w:bottom w:val="outset" w:sz="6" w:space="0" w:color="414142"/>
              <w:right w:val="outset" w:sz="6" w:space="0" w:color="414142"/>
            </w:tcBorders>
            <w:hideMark/>
          </w:tcPr>
          <w:p w14:paraId="15481B55" w14:textId="77777777" w:rsidR="00370332" w:rsidRPr="008E596C" w:rsidRDefault="00370332">
            <w:r w:rsidRPr="008E596C">
              <w:t>Nepieciešamie saistītie tiesību aktu projekti</w:t>
            </w:r>
          </w:p>
        </w:tc>
        <w:tc>
          <w:tcPr>
            <w:tcW w:w="3402" w:type="pct"/>
            <w:tcBorders>
              <w:top w:val="outset" w:sz="6" w:space="0" w:color="414142"/>
              <w:left w:val="outset" w:sz="6" w:space="0" w:color="414142"/>
              <w:bottom w:val="outset" w:sz="6" w:space="0" w:color="414142"/>
              <w:right w:val="outset" w:sz="6" w:space="0" w:color="414142"/>
            </w:tcBorders>
            <w:hideMark/>
          </w:tcPr>
          <w:p w14:paraId="531F39BA" w14:textId="77777777" w:rsidR="00D96A3D" w:rsidRPr="008E596C" w:rsidRDefault="00D96A3D">
            <w:pPr>
              <w:tabs>
                <w:tab w:val="left" w:pos="2628"/>
              </w:tabs>
              <w:jc w:val="both"/>
              <w:rPr>
                <w:iCs/>
              </w:rPr>
            </w:pPr>
            <w:r w:rsidRPr="008E596C">
              <w:rPr>
                <w:iCs/>
              </w:rPr>
              <w:t>Likumprojekts paredz deleģējumu Ministru kabinetam noteikt:</w:t>
            </w:r>
          </w:p>
          <w:p w14:paraId="6B4E066E" w14:textId="0C6FF241" w:rsidR="007565B1" w:rsidRPr="008E596C" w:rsidRDefault="00190224">
            <w:pPr>
              <w:pStyle w:val="naisnod"/>
              <w:spacing w:before="0" w:after="0"/>
              <w:jc w:val="both"/>
              <w:rPr>
                <w:b w:val="0"/>
              </w:rPr>
            </w:pPr>
            <w:r w:rsidRPr="00BB7AF1">
              <w:rPr>
                <w:b w:val="0"/>
              </w:rPr>
              <w:t>Vienotās azartspēļu automātu kontroles un uzraudzības sistēmas ieviešanas un uzturēšanas kārtību, prasības attiecībā uz azartspēļu automātu pieslēgšanu Vienotajai azartspēļu automātu kontroles un uzraudzības sistēmai, kā arī minētajā sistēmā iekļaujamos datus un datu apmaiņas kārtību.</w:t>
            </w:r>
            <w:r w:rsidR="00A75219" w:rsidRPr="008E596C">
              <w:rPr>
                <w:b w:val="0"/>
              </w:rPr>
              <w:t xml:space="preserve"> </w:t>
            </w:r>
            <w:r w:rsidR="00A75219" w:rsidRPr="00BB7AF1">
              <w:rPr>
                <w:b w:val="0"/>
              </w:rPr>
              <w:t>Ministru kabineta noteikumi tiks izdoti pēc likumprojekta stāšanās spēkā</w:t>
            </w:r>
            <w:r w:rsidRPr="00BB7AF1">
              <w:rPr>
                <w:b w:val="0"/>
              </w:rPr>
              <w:t xml:space="preserve"> – līdz </w:t>
            </w:r>
            <w:r w:rsidR="00ED2F0E" w:rsidRPr="00BB7AF1">
              <w:rPr>
                <w:b w:val="0"/>
              </w:rPr>
              <w:t>2017.gada 1.janvārim, jo tiem nepieciešams Eiropas Komisijas saskaņojums.</w:t>
            </w:r>
            <w:r w:rsidR="00A75219" w:rsidRPr="008E596C">
              <w:rPr>
                <w:b w:val="0"/>
              </w:rPr>
              <w:t xml:space="preserve"> Finanšu ministrija </w:t>
            </w:r>
            <w:r w:rsidR="006325EE" w:rsidRPr="008E596C">
              <w:rPr>
                <w:b w:val="0"/>
              </w:rPr>
              <w:t xml:space="preserve">sadarbībā ar </w:t>
            </w:r>
            <w:r w:rsidR="00FA4226" w:rsidRPr="008E596C">
              <w:rPr>
                <w:b w:val="0"/>
              </w:rPr>
              <w:t>Izložu un azartspēļu uzraudzības i</w:t>
            </w:r>
            <w:r w:rsidR="006325EE" w:rsidRPr="008E596C">
              <w:rPr>
                <w:b w:val="0"/>
              </w:rPr>
              <w:t>nspekciju izstrādās</w:t>
            </w:r>
            <w:r w:rsidRPr="008E596C">
              <w:rPr>
                <w:b w:val="0"/>
              </w:rPr>
              <w:t xml:space="preserve"> </w:t>
            </w:r>
            <w:r w:rsidR="00A75219" w:rsidRPr="008E596C">
              <w:rPr>
                <w:b w:val="0"/>
              </w:rPr>
              <w:t xml:space="preserve">Ministru kabineta noteikumu </w:t>
            </w:r>
            <w:r w:rsidR="006325EE" w:rsidRPr="008E596C">
              <w:rPr>
                <w:b w:val="0"/>
              </w:rPr>
              <w:t>projektu</w:t>
            </w:r>
            <w:r w:rsidR="00A75219" w:rsidRPr="008E596C">
              <w:rPr>
                <w:b w:val="0"/>
              </w:rPr>
              <w:t>.</w:t>
            </w:r>
          </w:p>
          <w:p w14:paraId="3474B1C9" w14:textId="4567BCED" w:rsidR="00C54ECF" w:rsidRPr="008E596C" w:rsidRDefault="00C54ECF">
            <w:pPr>
              <w:pStyle w:val="naisnod"/>
              <w:spacing w:before="0" w:after="0"/>
              <w:jc w:val="both"/>
              <w:rPr>
                <w:b w:val="0"/>
              </w:rPr>
            </w:pPr>
            <w:r w:rsidRPr="008E596C">
              <w:rPr>
                <w:b w:val="0"/>
              </w:rPr>
              <w:t>Ministru kabineta 2012.gada 30.oktobra rīkojuma Nr.518 “Par koncepciju “Par azartspēļu automātu saslēgšanu vienotā tīklā”” 2.5.apakšpunktā ietvertās prasības attiecībā uz azartspēļu automātu pieslēgšanu Vienotajai azartspēļu automātu kontroles un uzraudzības sistēmai tiks iekļautas jaunajos Ministru kabineta noteikumos.</w:t>
            </w:r>
          </w:p>
          <w:p w14:paraId="2B599EB4" w14:textId="38FC7782" w:rsidR="00390165" w:rsidRPr="008E596C" w:rsidRDefault="00E534A5" w:rsidP="00BB7AF1">
            <w:pPr>
              <w:pStyle w:val="naisnod"/>
              <w:spacing w:before="0" w:after="0"/>
              <w:jc w:val="both"/>
              <w:rPr>
                <w:sz w:val="28"/>
                <w:szCs w:val="28"/>
              </w:rPr>
            </w:pPr>
            <w:r w:rsidRPr="008E596C">
              <w:rPr>
                <w:b w:val="0"/>
              </w:rPr>
              <w:t xml:space="preserve">Saistībā ar likumprojektā ietverto regulējumu attiecībā uz  Vienotās azartspēļu automātu kontroles un uzraudzības sistēmas ieviešanu un īstenojot </w:t>
            </w:r>
            <w:r w:rsidR="00C54ECF" w:rsidRPr="008E596C">
              <w:rPr>
                <w:b w:val="0"/>
              </w:rPr>
              <w:t>Ministru kabineta 2012.gada 30.oktobra rīkojuma Nr.518 “Par koncepciju “Par azartspēļu automātu saslēgšanu vienotā tīklā”” 2.</w:t>
            </w:r>
            <w:r w:rsidRPr="008E596C">
              <w:rPr>
                <w:b w:val="0"/>
              </w:rPr>
              <w:t>3. un 2.4. a</w:t>
            </w:r>
            <w:r w:rsidR="00C54ECF" w:rsidRPr="008E596C">
              <w:rPr>
                <w:b w:val="0"/>
              </w:rPr>
              <w:t>pakšpunktā ietvertās</w:t>
            </w:r>
            <w:r w:rsidRPr="008E596C">
              <w:rPr>
                <w:b w:val="0"/>
              </w:rPr>
              <w:t xml:space="preserve"> prasības, </w:t>
            </w:r>
            <w:r w:rsidR="00501501" w:rsidRPr="00BB7AF1">
              <w:rPr>
                <w:b w:val="0"/>
              </w:rPr>
              <w:t>likumprojektā deleģējum</w:t>
            </w:r>
            <w:r w:rsidRPr="00BB7AF1">
              <w:rPr>
                <w:b w:val="0"/>
              </w:rPr>
              <w:t xml:space="preserve">s </w:t>
            </w:r>
            <w:r w:rsidR="00501501" w:rsidRPr="00BB7AF1">
              <w:rPr>
                <w:b w:val="0"/>
              </w:rPr>
              <w:t>Ministru kabinetam</w:t>
            </w:r>
            <w:r w:rsidRPr="00BB7AF1">
              <w:rPr>
                <w:b w:val="0"/>
              </w:rPr>
              <w:t xml:space="preserve"> netiks mainīt</w:t>
            </w:r>
            <w:r w:rsidR="008F2155" w:rsidRPr="008E596C">
              <w:rPr>
                <w:b w:val="0"/>
              </w:rPr>
              <w:t>s</w:t>
            </w:r>
            <w:r w:rsidR="00501501" w:rsidRPr="00BB7AF1">
              <w:rPr>
                <w:b w:val="0"/>
              </w:rPr>
              <w:t xml:space="preserve">, </w:t>
            </w:r>
            <w:r w:rsidRPr="00BB7AF1">
              <w:rPr>
                <w:b w:val="0"/>
              </w:rPr>
              <w:t xml:space="preserve">bet esošā deleģējuma ietvaros </w:t>
            </w:r>
            <w:r w:rsidR="00501501" w:rsidRPr="00BB7AF1">
              <w:rPr>
                <w:b w:val="0"/>
              </w:rPr>
              <w:t xml:space="preserve">tiks izdarīti grozījumi šādos </w:t>
            </w:r>
            <w:r w:rsidR="00390165" w:rsidRPr="00BB7AF1">
              <w:rPr>
                <w:b w:val="0"/>
              </w:rPr>
              <w:t>Ministru kabineta</w:t>
            </w:r>
            <w:r w:rsidR="00390165" w:rsidRPr="008E596C">
              <w:rPr>
                <w:sz w:val="28"/>
                <w:szCs w:val="28"/>
              </w:rPr>
              <w:t xml:space="preserve"> </w:t>
            </w:r>
            <w:r w:rsidR="00390165" w:rsidRPr="00BB7AF1">
              <w:rPr>
                <w:b w:val="0"/>
              </w:rPr>
              <w:t>noteikumos:</w:t>
            </w:r>
          </w:p>
          <w:p w14:paraId="282A211B" w14:textId="30466993" w:rsidR="00390165" w:rsidRPr="00BB7AF1" w:rsidRDefault="001D508F" w:rsidP="00BB7AF1">
            <w:pPr>
              <w:pStyle w:val="ListParagraph"/>
              <w:autoSpaceDE w:val="0"/>
              <w:autoSpaceDN w:val="0"/>
              <w:adjustRightInd w:val="0"/>
              <w:ind w:left="0" w:firstLine="357"/>
              <w:jc w:val="both"/>
            </w:pPr>
            <w:r w:rsidRPr="00BB7AF1">
              <w:rPr>
                <w:b/>
              </w:rPr>
              <w:t>–</w:t>
            </w:r>
            <w:r w:rsidRPr="00BB7AF1">
              <w:rPr>
                <w:b/>
                <w:lang w:val="lv-LV"/>
              </w:rPr>
              <w:t xml:space="preserve"> </w:t>
            </w:r>
            <w:r w:rsidR="00390165" w:rsidRPr="00BB7AF1">
              <w:t xml:space="preserve">Ministru kabineta 2006.gada 19.decembra noteikumos Nr.1043 </w:t>
            </w:r>
            <w:r w:rsidR="00501501" w:rsidRPr="00592642">
              <w:t>“</w:t>
            </w:r>
            <w:r w:rsidR="00390165" w:rsidRPr="00BB7AF1">
              <w:t>Azartspēļu un izložu organizācijas vienotā grāmatvedības uzskaites kārtība</w:t>
            </w:r>
            <w:r w:rsidR="00501501" w:rsidRPr="00592642">
              <w:t>”</w:t>
            </w:r>
            <w:r w:rsidRPr="00592642">
              <w:t xml:space="preserve">, </w:t>
            </w:r>
            <w:r w:rsidRPr="00BB7AF1">
              <w:rPr>
                <w:shd w:val="clear" w:color="auto" w:fill="FFFFFF"/>
              </w:rPr>
              <w:t>nosakot prasības inkasācijas procesā lietotajiem skaitītājiem un izmaiņām azartspēļu automātu ieņēmumu un izdevumu uzskaitē</w:t>
            </w:r>
            <w:r w:rsidR="00390165" w:rsidRPr="00BB7AF1">
              <w:t>;</w:t>
            </w:r>
          </w:p>
          <w:p w14:paraId="7344C7BF" w14:textId="2DDA198C" w:rsidR="00390165" w:rsidRPr="00592642" w:rsidRDefault="00390165" w:rsidP="00BB7AF1">
            <w:pPr>
              <w:pStyle w:val="ListParagraph"/>
              <w:numPr>
                <w:ilvl w:val="0"/>
                <w:numId w:val="32"/>
              </w:numPr>
              <w:autoSpaceDE w:val="0"/>
              <w:autoSpaceDN w:val="0"/>
              <w:adjustRightInd w:val="0"/>
              <w:ind w:left="0" w:firstLine="357"/>
              <w:jc w:val="both"/>
            </w:pPr>
            <w:r w:rsidRPr="00BB7AF1">
              <w:rPr>
                <w:lang w:val="lv-LV"/>
              </w:rPr>
              <w:t xml:space="preserve">Ministru kabineta 2006.gada 27.jūnija noteikumos Nr.512 </w:t>
            </w:r>
            <w:r w:rsidR="001D508F" w:rsidRPr="00BB7AF1">
              <w:rPr>
                <w:lang w:val="lv-LV"/>
              </w:rPr>
              <w:t>“</w:t>
            </w:r>
            <w:r w:rsidRPr="00BB7AF1">
              <w:rPr>
                <w:lang w:val="lv-LV"/>
              </w:rPr>
              <w:t>Azartspēļu un izložu organizēšanas un uzturēšanas uzraudzības un kontroles kārtība</w:t>
            </w:r>
            <w:r w:rsidR="001D508F" w:rsidRPr="00BB7AF1">
              <w:rPr>
                <w:lang w:val="lv-LV"/>
              </w:rPr>
              <w:t>”, nosakot prasības</w:t>
            </w:r>
            <w:r w:rsidRPr="00BB7AF1">
              <w:rPr>
                <w:lang w:val="lv-LV"/>
              </w:rPr>
              <w:t xml:space="preserve"> </w:t>
            </w:r>
            <w:r w:rsidR="001D508F" w:rsidRPr="00BB7AF1">
              <w:rPr>
                <w:lang w:val="lv-LV"/>
              </w:rPr>
              <w:t xml:space="preserve">kazino un </w:t>
            </w:r>
            <w:r w:rsidRPr="00BB7AF1">
              <w:rPr>
                <w:lang w:val="lv-LV"/>
              </w:rPr>
              <w:t>spēļu zā</w:t>
            </w:r>
            <w:r w:rsidR="001D508F" w:rsidRPr="00BB7AF1">
              <w:rPr>
                <w:lang w:val="lv-LV"/>
              </w:rPr>
              <w:t xml:space="preserve">les </w:t>
            </w:r>
            <w:r w:rsidRPr="00BB7AF1">
              <w:rPr>
                <w:lang w:val="lv-LV"/>
              </w:rPr>
              <w:t xml:space="preserve"> pārbaudes kārtība</w:t>
            </w:r>
            <w:r w:rsidR="001D508F" w:rsidRPr="00BB7AF1">
              <w:rPr>
                <w:lang w:val="lv-LV"/>
              </w:rPr>
              <w:t>i</w:t>
            </w:r>
            <w:r w:rsidRPr="00BB7AF1">
              <w:rPr>
                <w:lang w:val="lv-LV"/>
              </w:rPr>
              <w:t xml:space="preserve"> un metod</w:t>
            </w:r>
            <w:r w:rsidR="001D508F" w:rsidRPr="00BB7AF1">
              <w:rPr>
                <w:lang w:val="lv-LV"/>
              </w:rPr>
              <w:t>ēm</w:t>
            </w:r>
            <w:r w:rsidR="00E534A5" w:rsidRPr="00BB7AF1">
              <w:rPr>
                <w:lang w:val="lv-LV"/>
              </w:rPr>
              <w:t>;</w:t>
            </w:r>
          </w:p>
          <w:p w14:paraId="458B2B3A" w14:textId="38F2DC6D" w:rsidR="00390165" w:rsidRPr="00BB7AF1" w:rsidRDefault="00390165" w:rsidP="00BB7AF1">
            <w:pPr>
              <w:pStyle w:val="ListParagraph"/>
              <w:numPr>
                <w:ilvl w:val="0"/>
                <w:numId w:val="32"/>
              </w:numPr>
              <w:autoSpaceDE w:val="0"/>
              <w:autoSpaceDN w:val="0"/>
              <w:adjustRightInd w:val="0"/>
              <w:ind w:left="0" w:firstLine="357"/>
              <w:jc w:val="both"/>
              <w:rPr>
                <w:b/>
              </w:rPr>
            </w:pPr>
            <w:r w:rsidRPr="00BB7AF1">
              <w:t xml:space="preserve">Ministru kabineta 2007.gada 20.novembra noteikumos Nr.786 </w:t>
            </w:r>
            <w:r w:rsidR="001D508F" w:rsidRPr="00BB7AF1">
              <w:rPr>
                <w:lang w:val="lv-LV"/>
              </w:rPr>
              <w:t>“</w:t>
            </w:r>
            <w:r w:rsidRPr="00BB7AF1">
              <w:t>Azartspēļu automāta, iekārtas un azartspēļu automāta spēles programmas atbilstības sertifikātā iekļaujamā informācija</w:t>
            </w:r>
            <w:r w:rsidR="001D508F" w:rsidRPr="00BB7AF1">
              <w:rPr>
                <w:lang w:val="lv-LV"/>
              </w:rPr>
              <w:t>”, izslēdzot</w:t>
            </w:r>
            <w:r w:rsidRPr="00BB7AF1">
              <w:t xml:space="preserve">  </w:t>
            </w:r>
            <w:r w:rsidR="00C54ECF" w:rsidRPr="00BB7AF1">
              <w:rPr>
                <w:lang w:val="lv-LV"/>
              </w:rPr>
              <w:t xml:space="preserve">neatbilstošas </w:t>
            </w:r>
            <w:r w:rsidRPr="00BB7AF1">
              <w:t>tehniskās prasības.</w:t>
            </w:r>
          </w:p>
        </w:tc>
      </w:tr>
      <w:tr w:rsidR="008F2155" w:rsidRPr="008E596C" w14:paraId="4E492105" w14:textId="77777777" w:rsidTr="00E92331">
        <w:trPr>
          <w:jc w:val="center"/>
        </w:trPr>
        <w:tc>
          <w:tcPr>
            <w:tcW w:w="217" w:type="pct"/>
            <w:tcBorders>
              <w:top w:val="outset" w:sz="6" w:space="0" w:color="414142"/>
              <w:left w:val="outset" w:sz="6" w:space="0" w:color="414142"/>
              <w:bottom w:val="outset" w:sz="6" w:space="0" w:color="414142"/>
              <w:right w:val="outset" w:sz="6" w:space="0" w:color="414142"/>
            </w:tcBorders>
            <w:hideMark/>
          </w:tcPr>
          <w:p w14:paraId="146E2B34" w14:textId="77777777" w:rsidR="00370332" w:rsidRPr="008E596C" w:rsidRDefault="00370332">
            <w:r w:rsidRPr="008E596C">
              <w:t>2.</w:t>
            </w:r>
          </w:p>
        </w:tc>
        <w:tc>
          <w:tcPr>
            <w:tcW w:w="1381" w:type="pct"/>
            <w:tcBorders>
              <w:top w:val="outset" w:sz="6" w:space="0" w:color="414142"/>
              <w:left w:val="outset" w:sz="6" w:space="0" w:color="414142"/>
              <w:bottom w:val="outset" w:sz="6" w:space="0" w:color="414142"/>
              <w:right w:val="outset" w:sz="6" w:space="0" w:color="414142"/>
            </w:tcBorders>
            <w:hideMark/>
          </w:tcPr>
          <w:p w14:paraId="617C351E" w14:textId="77777777" w:rsidR="00370332" w:rsidRPr="008E596C" w:rsidRDefault="00370332">
            <w:r w:rsidRPr="008E596C">
              <w:t>Atbildīgā institūcija</w:t>
            </w:r>
          </w:p>
        </w:tc>
        <w:tc>
          <w:tcPr>
            <w:tcW w:w="3402" w:type="pct"/>
            <w:tcBorders>
              <w:top w:val="outset" w:sz="6" w:space="0" w:color="414142"/>
              <w:left w:val="outset" w:sz="6" w:space="0" w:color="414142"/>
              <w:bottom w:val="outset" w:sz="6" w:space="0" w:color="414142"/>
              <w:right w:val="outset" w:sz="6" w:space="0" w:color="414142"/>
            </w:tcBorders>
            <w:hideMark/>
          </w:tcPr>
          <w:p w14:paraId="750EA7D2" w14:textId="77777777" w:rsidR="00370332" w:rsidRPr="008E596C" w:rsidRDefault="0088685F">
            <w:r w:rsidRPr="008E596C">
              <w:t>Finanšu ministrija</w:t>
            </w:r>
          </w:p>
        </w:tc>
      </w:tr>
      <w:tr w:rsidR="00370332" w:rsidRPr="008E596C" w14:paraId="21EED7CC" w14:textId="77777777" w:rsidTr="00E92331">
        <w:trPr>
          <w:jc w:val="center"/>
        </w:trPr>
        <w:tc>
          <w:tcPr>
            <w:tcW w:w="217" w:type="pct"/>
            <w:tcBorders>
              <w:top w:val="outset" w:sz="6" w:space="0" w:color="414142"/>
              <w:left w:val="outset" w:sz="6" w:space="0" w:color="414142"/>
              <w:bottom w:val="outset" w:sz="6" w:space="0" w:color="414142"/>
              <w:right w:val="outset" w:sz="6" w:space="0" w:color="414142"/>
            </w:tcBorders>
            <w:hideMark/>
          </w:tcPr>
          <w:p w14:paraId="66848EDC" w14:textId="77777777" w:rsidR="00370332" w:rsidRPr="008E596C" w:rsidRDefault="00370332">
            <w:r w:rsidRPr="008E596C">
              <w:t>3.</w:t>
            </w:r>
          </w:p>
        </w:tc>
        <w:tc>
          <w:tcPr>
            <w:tcW w:w="1381" w:type="pct"/>
            <w:tcBorders>
              <w:top w:val="outset" w:sz="6" w:space="0" w:color="414142"/>
              <w:left w:val="outset" w:sz="6" w:space="0" w:color="414142"/>
              <w:bottom w:val="outset" w:sz="6" w:space="0" w:color="414142"/>
              <w:right w:val="outset" w:sz="6" w:space="0" w:color="414142"/>
            </w:tcBorders>
            <w:hideMark/>
          </w:tcPr>
          <w:p w14:paraId="06698A28" w14:textId="77777777" w:rsidR="00370332" w:rsidRPr="008E596C" w:rsidRDefault="00370332">
            <w:r w:rsidRPr="008E596C">
              <w:t>Cita informācija</w:t>
            </w:r>
          </w:p>
        </w:tc>
        <w:tc>
          <w:tcPr>
            <w:tcW w:w="3402" w:type="pct"/>
            <w:tcBorders>
              <w:top w:val="outset" w:sz="6" w:space="0" w:color="414142"/>
              <w:left w:val="outset" w:sz="6" w:space="0" w:color="414142"/>
              <w:bottom w:val="outset" w:sz="6" w:space="0" w:color="414142"/>
              <w:right w:val="outset" w:sz="6" w:space="0" w:color="414142"/>
            </w:tcBorders>
            <w:hideMark/>
          </w:tcPr>
          <w:p w14:paraId="19E5DA27" w14:textId="77777777" w:rsidR="00370332" w:rsidRPr="008E596C" w:rsidRDefault="00370332" w:rsidP="0088685F">
            <w:pPr>
              <w:pStyle w:val="tvhtml"/>
              <w:spacing w:line="293" w:lineRule="atLeast"/>
            </w:pPr>
            <w:r w:rsidRPr="008E596C">
              <w:t>Nav</w:t>
            </w:r>
          </w:p>
        </w:tc>
      </w:tr>
    </w:tbl>
    <w:p w14:paraId="62D9677A" w14:textId="77777777" w:rsidR="00B73464" w:rsidRDefault="00B73464" w:rsidP="00370332">
      <w:pPr>
        <w:pStyle w:val="naisf"/>
        <w:spacing w:before="0" w:after="0"/>
        <w:ind w:firstLine="0"/>
      </w:pPr>
    </w:p>
    <w:p w14:paraId="270439B3" w14:textId="77777777" w:rsidR="002E33E1" w:rsidRPr="008E596C" w:rsidRDefault="002E33E1" w:rsidP="00370332">
      <w:pPr>
        <w:pStyle w:val="naisf"/>
        <w:spacing w:before="0" w:after="0"/>
        <w:ind w:firstLine="0"/>
      </w:pPr>
    </w:p>
    <w:p w14:paraId="3155CDD9" w14:textId="77777777" w:rsidR="00E27791" w:rsidRPr="008E596C" w:rsidRDefault="00E27791" w:rsidP="00370332">
      <w:pPr>
        <w:pStyle w:val="naisf"/>
        <w:spacing w:before="0" w:after="0"/>
        <w:ind w:firstLine="0"/>
      </w:pPr>
    </w:p>
    <w:tbl>
      <w:tblPr>
        <w:tblW w:w="5245"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6"/>
        <w:gridCol w:w="2576"/>
        <w:gridCol w:w="6497"/>
      </w:tblGrid>
      <w:tr w:rsidR="008F2155" w:rsidRPr="008E596C" w14:paraId="0E082E97" w14:textId="77777777" w:rsidTr="00E92331">
        <w:trPr>
          <w:trHeight w:val="474"/>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3A044" w14:textId="77777777" w:rsidR="00B73464" w:rsidRPr="008E596C" w:rsidRDefault="00B73464">
            <w:pPr>
              <w:pStyle w:val="tvhtml"/>
              <w:spacing w:line="293" w:lineRule="atLeast"/>
              <w:jc w:val="center"/>
              <w:rPr>
                <w:b/>
                <w:bCs/>
              </w:rPr>
            </w:pPr>
            <w:r w:rsidRPr="008E596C">
              <w:rPr>
                <w:b/>
                <w:bCs/>
              </w:rPr>
              <w:t>V. Tiesību akta projekta atbilstība Latvijas Republikas starptautiskajām saistībām</w:t>
            </w:r>
          </w:p>
        </w:tc>
      </w:tr>
      <w:tr w:rsidR="008F2155" w:rsidRPr="008E596C" w14:paraId="62ED44F9" w14:textId="77777777" w:rsidTr="00E92331">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14:paraId="6AF0212F" w14:textId="77777777" w:rsidR="008D0698" w:rsidRPr="008E596C" w:rsidRDefault="008D0698" w:rsidP="008D0698">
            <w:r w:rsidRPr="008E596C">
              <w:t>1.</w:t>
            </w:r>
          </w:p>
        </w:tc>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14:paraId="1935E91C" w14:textId="77777777" w:rsidR="008D0698" w:rsidRPr="008E596C" w:rsidRDefault="008D0698" w:rsidP="008D0698">
            <w:r w:rsidRPr="008E596C">
              <w:t>Saistības pret Eiropas Savienību</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443C9357" w14:textId="77777777" w:rsidR="008D0698" w:rsidRPr="008E596C" w:rsidRDefault="001D36B9" w:rsidP="001D36B9">
            <w:r w:rsidRPr="008E596C">
              <w:t>Projekts šo jomu neskar.</w:t>
            </w:r>
          </w:p>
        </w:tc>
      </w:tr>
      <w:tr w:rsidR="008F2155" w:rsidRPr="008E596C" w14:paraId="306489D5" w14:textId="77777777" w:rsidTr="00E92331">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14:paraId="437BF287" w14:textId="77777777" w:rsidR="008D0698" w:rsidRPr="008E596C" w:rsidRDefault="008D0698" w:rsidP="008D0698">
            <w:r w:rsidRPr="008E596C">
              <w:t>2.</w:t>
            </w:r>
          </w:p>
        </w:tc>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14:paraId="0513F85E" w14:textId="77777777" w:rsidR="008D0698" w:rsidRPr="008E596C" w:rsidRDefault="008D0698" w:rsidP="008D0698">
            <w:r w:rsidRPr="008E596C">
              <w:t>Citas starptautiskās saistības</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7A64B3DC" w14:textId="346CA4C5" w:rsidR="00066C4F" w:rsidRPr="008E596C" w:rsidRDefault="00066C4F" w:rsidP="00114C69">
            <w:pPr>
              <w:jc w:val="both"/>
              <w:rPr>
                <w:shd w:val="clear" w:color="auto" w:fill="FFFFFF"/>
              </w:rPr>
            </w:pPr>
            <w:r w:rsidRPr="008E596C">
              <w:rPr>
                <w:lang w:eastAsia="en-US"/>
              </w:rPr>
              <w:t>Ekonomiskās sadarbības un attīstības organizācijas Investīciju komitejas ziņojumā p</w:t>
            </w:r>
            <w:r w:rsidRPr="008E596C">
              <w:rPr>
                <w:szCs w:val="22"/>
              </w:rPr>
              <w:t>ar Latvijas izv</w:t>
            </w:r>
            <w:r w:rsidR="002A3822" w:rsidRPr="008E596C">
              <w:rPr>
                <w:szCs w:val="22"/>
              </w:rPr>
              <w:t>ē</w:t>
            </w:r>
            <w:r w:rsidRPr="008E596C">
              <w:rPr>
                <w:szCs w:val="22"/>
              </w:rPr>
              <w:t>rtējumu</w:t>
            </w:r>
            <w:r w:rsidR="002A3822" w:rsidRPr="008E596C">
              <w:rPr>
                <w:szCs w:val="22"/>
              </w:rPr>
              <w:t xml:space="preserve"> </w:t>
            </w:r>
            <w:r w:rsidRPr="008E596C">
              <w:rPr>
                <w:szCs w:val="22"/>
              </w:rPr>
              <w:t xml:space="preserve"> OECD Investīciju komitejā</w:t>
            </w:r>
            <w:r w:rsidRPr="008E596C">
              <w:rPr>
                <w:b/>
                <w:sz w:val="22"/>
                <w:szCs w:val="22"/>
              </w:rPr>
              <w:t xml:space="preserve"> </w:t>
            </w:r>
            <w:r w:rsidRPr="008E596C">
              <w:rPr>
                <w:lang w:eastAsia="en-US"/>
              </w:rPr>
              <w:t>(</w:t>
            </w:r>
            <w:r w:rsidRPr="008E596C">
              <w:rPr>
                <w:i/>
                <w:lang w:eastAsia="en-US"/>
              </w:rPr>
              <w:t xml:space="preserve">Accession Examination Of Latvia Under The OECD </w:t>
            </w:r>
            <w:r w:rsidRPr="008E596C">
              <w:rPr>
                <w:i/>
                <w:lang w:eastAsia="en-US"/>
              </w:rPr>
              <w:lastRenderedPageBreak/>
              <w:t>Investment Instruments</w:t>
            </w:r>
            <w:r w:rsidRPr="008E596C">
              <w:rPr>
                <w:lang w:eastAsia="en-US"/>
              </w:rPr>
              <w:t xml:space="preserve">) norādīts uz nepieciešamību attiecībā uz </w:t>
            </w:r>
            <w:r w:rsidR="00087A8F" w:rsidRPr="008E596C">
              <w:rPr>
                <w:shd w:val="clear" w:color="auto" w:fill="FFFFFF"/>
              </w:rPr>
              <w:t xml:space="preserve">ieguldījumu īpatsvara ierobežojumiem azartspēļu organizētāja pamatkapitālā </w:t>
            </w:r>
            <w:r w:rsidR="00A07175" w:rsidRPr="008E596C">
              <w:rPr>
                <w:shd w:val="clear" w:color="auto" w:fill="FFFFFF"/>
              </w:rPr>
              <w:t>OECD</w:t>
            </w:r>
            <w:r w:rsidRPr="008E596C">
              <w:rPr>
                <w:shd w:val="clear" w:color="auto" w:fill="FFFFFF"/>
              </w:rPr>
              <w:t xml:space="preserve"> </w:t>
            </w:r>
            <w:r w:rsidRPr="008E596C">
              <w:t xml:space="preserve">dalībvalstu rezidentiem </w:t>
            </w:r>
            <w:r w:rsidR="00087A8F" w:rsidRPr="008E596C">
              <w:t xml:space="preserve">noteikt </w:t>
            </w:r>
            <w:r w:rsidRPr="008E596C">
              <w:t xml:space="preserve">analoģiskas tiesības kā Eiropas Savienības dalībvalstu rezidentiem. </w:t>
            </w:r>
          </w:p>
          <w:p w14:paraId="6A2BE106" w14:textId="41DC4CE0" w:rsidR="008D0698" w:rsidRPr="008E596C" w:rsidRDefault="003730C8">
            <w:pPr>
              <w:jc w:val="both"/>
            </w:pPr>
            <w:r w:rsidRPr="008E596C">
              <w:rPr>
                <w:shd w:val="clear" w:color="auto" w:fill="FFFFFF"/>
              </w:rPr>
              <w:t>Ekonomiskās sadarbības un attīstības organizācijas Investīciju komitejas 2014.gada 3.decembra sēdē</w:t>
            </w:r>
            <w:r w:rsidR="002B3D64" w:rsidRPr="008E596C">
              <w:rPr>
                <w:shd w:val="clear" w:color="auto" w:fill="FFFFFF"/>
              </w:rPr>
              <w:t xml:space="preserve"> komiteja tika informēta par to, ka Latvijas Republika gatava veikt izmaiņas Azartspēļu un izložu likumā,</w:t>
            </w:r>
            <w:r w:rsidR="00EF2A15" w:rsidRPr="008E596C">
              <w:rPr>
                <w:shd w:val="clear" w:color="auto" w:fill="FFFFFF"/>
              </w:rPr>
              <w:t xml:space="preserve"> novēršot diskriminējošu ierobežojumu un</w:t>
            </w:r>
            <w:r w:rsidR="002B3D64" w:rsidRPr="008E596C">
              <w:rPr>
                <w:shd w:val="clear" w:color="auto" w:fill="FFFFFF"/>
              </w:rPr>
              <w:t xml:space="preserve"> nosakot, ka 49 % ieguldījumu īpatsvara ierobežojums pamatkapitālā neattieksies ne tikai uz Eiropas Savienības </w:t>
            </w:r>
            <w:r w:rsidR="002B3D64" w:rsidRPr="00BB7AF1">
              <w:rPr>
                <w:shd w:val="clear" w:color="auto" w:fill="FFFFFF"/>
              </w:rPr>
              <w:t>un Eiropas Ekonomik</w:t>
            </w:r>
            <w:r w:rsidR="00ED2F0E" w:rsidRPr="00BB7AF1">
              <w:rPr>
                <w:shd w:val="clear" w:color="auto" w:fill="FFFFFF"/>
              </w:rPr>
              <w:t>a</w:t>
            </w:r>
            <w:r w:rsidR="002B3D64" w:rsidRPr="00BB7AF1">
              <w:rPr>
                <w:shd w:val="clear" w:color="auto" w:fill="FFFFFF"/>
              </w:rPr>
              <w:t>s zonas</w:t>
            </w:r>
            <w:r w:rsidR="00537A45" w:rsidRPr="008E596C">
              <w:rPr>
                <w:shd w:val="clear" w:color="auto" w:fill="FFFFFF"/>
              </w:rPr>
              <w:t xml:space="preserve"> rezidentiem</w:t>
            </w:r>
            <w:r w:rsidR="002B3D64" w:rsidRPr="008E596C">
              <w:rPr>
                <w:shd w:val="clear" w:color="auto" w:fill="FFFFFF"/>
              </w:rPr>
              <w:t>, bet arī uz Ekonomiskās sadarbības un attīstības organizācijas dalībvalst</w:t>
            </w:r>
            <w:r w:rsidR="00537A45" w:rsidRPr="008E596C">
              <w:rPr>
                <w:shd w:val="clear" w:color="auto" w:fill="FFFFFF"/>
              </w:rPr>
              <w:t>u rezidentiem</w:t>
            </w:r>
            <w:r w:rsidR="002B3D64" w:rsidRPr="008E596C">
              <w:rPr>
                <w:shd w:val="clear" w:color="auto" w:fill="FFFFFF"/>
              </w:rPr>
              <w:t xml:space="preserve">. Komiteja tika informēta, ka minētā likuma grozījumus plānots </w:t>
            </w:r>
            <w:r w:rsidR="000253E7" w:rsidRPr="008E596C">
              <w:rPr>
                <w:shd w:val="clear" w:color="auto" w:fill="FFFFFF"/>
              </w:rPr>
              <w:t>pieņemt</w:t>
            </w:r>
            <w:r w:rsidR="002B3D64" w:rsidRPr="008E596C">
              <w:rPr>
                <w:shd w:val="clear" w:color="auto" w:fill="FFFFFF"/>
              </w:rPr>
              <w:t xml:space="preserve"> Saeimā līdz 2015.gada decembrim.</w:t>
            </w:r>
            <w:r w:rsidR="00066C4F" w:rsidRPr="008E596C">
              <w:rPr>
                <w:shd w:val="clear" w:color="auto" w:fill="FFFFFF"/>
              </w:rPr>
              <w:t xml:space="preserve"> L</w:t>
            </w:r>
            <w:r w:rsidR="000253E7" w:rsidRPr="008E596C">
              <w:rPr>
                <w:shd w:val="clear" w:color="auto" w:fill="FFFFFF"/>
              </w:rPr>
              <w:t xml:space="preserve">īdz ar to likumprojektā </w:t>
            </w:r>
            <w:r w:rsidR="000253E7" w:rsidRPr="008E596C">
              <w:t>paredzēts, ka grozī</w:t>
            </w:r>
            <w:r w:rsidR="00A07175" w:rsidRPr="008E596C">
              <w:t xml:space="preserve">jumi Azartspēļu un izložu likumā, kas novērš </w:t>
            </w:r>
            <w:r w:rsidR="00A07175" w:rsidRPr="008E596C">
              <w:rPr>
                <w:shd w:val="clear" w:color="auto" w:fill="FFFFFF"/>
              </w:rPr>
              <w:t xml:space="preserve">OECD </w:t>
            </w:r>
            <w:r w:rsidR="00A07175" w:rsidRPr="008E596C">
              <w:t xml:space="preserve">dalībvalstu rezidentu diskrimināciju, </w:t>
            </w:r>
            <w:r w:rsidR="000253E7" w:rsidRPr="008E596C">
              <w:t>stāsies spēkā</w:t>
            </w:r>
            <w:r w:rsidR="00A07175" w:rsidRPr="008E596C">
              <w:t xml:space="preserve"> 2016.gada 1.janvārī. </w:t>
            </w:r>
          </w:p>
        </w:tc>
      </w:tr>
      <w:tr w:rsidR="008F2155" w:rsidRPr="008E596C" w14:paraId="193B3EE1" w14:textId="77777777" w:rsidTr="00E92331">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14:paraId="1C088460" w14:textId="77777777" w:rsidR="008D0698" w:rsidRPr="008E596C" w:rsidRDefault="008D0698" w:rsidP="008D0698">
            <w:r w:rsidRPr="008E596C">
              <w:lastRenderedPageBreak/>
              <w:t>3.</w:t>
            </w:r>
          </w:p>
        </w:tc>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14:paraId="0DCB221B" w14:textId="77777777" w:rsidR="008D0698" w:rsidRPr="008E596C" w:rsidRDefault="008D0698" w:rsidP="008D0698">
            <w:r w:rsidRPr="008E596C">
              <w:t>Cita informācija</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44E8275F" w14:textId="77777777" w:rsidR="008D0698" w:rsidRPr="008E596C" w:rsidRDefault="008D0698" w:rsidP="00CD213E">
            <w:pPr>
              <w:spacing w:before="100" w:beforeAutospacing="1" w:after="100" w:afterAutospacing="1" w:line="293" w:lineRule="atLeast"/>
            </w:pPr>
            <w:r w:rsidRPr="008E596C">
              <w:t>Nav</w:t>
            </w:r>
          </w:p>
        </w:tc>
      </w:tr>
    </w:tbl>
    <w:p w14:paraId="10E80FA3" w14:textId="77777777" w:rsidR="008D0698" w:rsidRPr="008E596C" w:rsidRDefault="008D0698" w:rsidP="008D0698">
      <w:pPr>
        <w:shd w:val="clear" w:color="auto" w:fill="FFFFFF"/>
        <w:spacing w:before="100" w:beforeAutospacing="1" w:after="100" w:afterAutospacing="1" w:line="293" w:lineRule="atLeast"/>
        <w:ind w:firstLine="300"/>
      </w:pPr>
    </w:p>
    <w:tbl>
      <w:tblPr>
        <w:tblW w:w="52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391"/>
        <w:gridCol w:w="6873"/>
      </w:tblGrid>
      <w:tr w:rsidR="008F2155" w:rsidRPr="008E596C" w14:paraId="47BB7BAB" w14:textId="77777777" w:rsidTr="00E92331">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ACA826" w14:textId="77777777" w:rsidR="00370332" w:rsidRPr="008E596C" w:rsidRDefault="00370332">
            <w:pPr>
              <w:pStyle w:val="tvhtml"/>
              <w:spacing w:line="293" w:lineRule="atLeast"/>
              <w:jc w:val="center"/>
              <w:rPr>
                <w:b/>
                <w:bCs/>
              </w:rPr>
            </w:pPr>
            <w:r w:rsidRPr="008E596C">
              <w:rPr>
                <w:b/>
                <w:bCs/>
              </w:rPr>
              <w:t>VI. Sabiedrības līdzdalība un komunikācijas aktivitātes</w:t>
            </w:r>
          </w:p>
        </w:tc>
      </w:tr>
      <w:tr w:rsidR="008F2155" w:rsidRPr="008E596C" w14:paraId="1EF4E533" w14:textId="77777777" w:rsidTr="00E92331">
        <w:trPr>
          <w:trHeight w:val="540"/>
          <w:jc w:val="center"/>
        </w:trPr>
        <w:tc>
          <w:tcPr>
            <w:tcW w:w="56" w:type="pct"/>
            <w:tcBorders>
              <w:top w:val="outset" w:sz="6" w:space="0" w:color="414142"/>
              <w:left w:val="outset" w:sz="6" w:space="0" w:color="414142"/>
              <w:bottom w:val="outset" w:sz="6" w:space="0" w:color="414142"/>
              <w:right w:val="outset" w:sz="6" w:space="0" w:color="414142"/>
            </w:tcBorders>
            <w:hideMark/>
          </w:tcPr>
          <w:p w14:paraId="7E841BFE" w14:textId="77777777" w:rsidR="00370332" w:rsidRPr="008E596C" w:rsidRDefault="00370332">
            <w:r w:rsidRPr="008E596C">
              <w:t>1.</w:t>
            </w:r>
          </w:p>
        </w:tc>
        <w:tc>
          <w:tcPr>
            <w:tcW w:w="1293" w:type="pct"/>
            <w:tcBorders>
              <w:top w:val="outset" w:sz="6" w:space="0" w:color="414142"/>
              <w:left w:val="outset" w:sz="6" w:space="0" w:color="414142"/>
              <w:bottom w:val="outset" w:sz="6" w:space="0" w:color="414142"/>
              <w:right w:val="outset" w:sz="6" w:space="0" w:color="414142"/>
            </w:tcBorders>
            <w:hideMark/>
          </w:tcPr>
          <w:p w14:paraId="2D32ED6A" w14:textId="77777777" w:rsidR="00370332" w:rsidRPr="008E596C" w:rsidRDefault="00370332">
            <w:r w:rsidRPr="008E596C">
              <w:t>Plānotās sabiedrības līdzdalības un komunikācijas aktivitātes saistībā ar projektu</w:t>
            </w:r>
          </w:p>
        </w:tc>
        <w:tc>
          <w:tcPr>
            <w:tcW w:w="3651" w:type="pct"/>
            <w:tcBorders>
              <w:top w:val="outset" w:sz="6" w:space="0" w:color="414142"/>
              <w:left w:val="outset" w:sz="6" w:space="0" w:color="414142"/>
              <w:bottom w:val="outset" w:sz="6" w:space="0" w:color="414142"/>
              <w:right w:val="outset" w:sz="6" w:space="0" w:color="414142"/>
            </w:tcBorders>
            <w:hideMark/>
          </w:tcPr>
          <w:p w14:paraId="3720AEAF" w14:textId="5379331F" w:rsidR="00A665FA" w:rsidRPr="008E596C" w:rsidRDefault="00A665FA" w:rsidP="00A665FA">
            <w:pPr>
              <w:pStyle w:val="naiskr"/>
              <w:tabs>
                <w:tab w:val="left" w:pos="2628"/>
              </w:tabs>
              <w:spacing w:before="0" w:after="120"/>
              <w:jc w:val="both"/>
            </w:pPr>
            <w:r w:rsidRPr="008E596C">
              <w:t xml:space="preserve">Sabiedrības informēšanai </w:t>
            </w:r>
            <w:r w:rsidR="00635554" w:rsidRPr="008E596C">
              <w:t>likum</w:t>
            </w:r>
            <w:r w:rsidRPr="008E596C">
              <w:t xml:space="preserve">projekts publicēts Finanšu ministrijas mājaslapā internetā sadaļā Sabiedrības līdzdalība. </w:t>
            </w:r>
          </w:p>
          <w:p w14:paraId="15CAC504" w14:textId="5ECD0C8F" w:rsidR="00370332" w:rsidRPr="008E596C" w:rsidRDefault="00370332" w:rsidP="00A665FA">
            <w:pPr>
              <w:jc w:val="both"/>
            </w:pPr>
          </w:p>
        </w:tc>
      </w:tr>
      <w:tr w:rsidR="008F2155" w:rsidRPr="008E596C" w14:paraId="7339DADE" w14:textId="77777777" w:rsidTr="00E92331">
        <w:trPr>
          <w:trHeight w:val="330"/>
          <w:jc w:val="center"/>
        </w:trPr>
        <w:tc>
          <w:tcPr>
            <w:tcW w:w="56" w:type="pct"/>
            <w:tcBorders>
              <w:top w:val="outset" w:sz="6" w:space="0" w:color="414142"/>
              <w:left w:val="outset" w:sz="6" w:space="0" w:color="414142"/>
              <w:bottom w:val="outset" w:sz="6" w:space="0" w:color="414142"/>
              <w:right w:val="outset" w:sz="6" w:space="0" w:color="414142"/>
            </w:tcBorders>
            <w:hideMark/>
          </w:tcPr>
          <w:p w14:paraId="34099897" w14:textId="77777777" w:rsidR="00370332" w:rsidRPr="008E596C" w:rsidRDefault="00370332">
            <w:r w:rsidRPr="008E596C">
              <w:t>2.</w:t>
            </w:r>
          </w:p>
        </w:tc>
        <w:tc>
          <w:tcPr>
            <w:tcW w:w="1293" w:type="pct"/>
            <w:tcBorders>
              <w:top w:val="outset" w:sz="6" w:space="0" w:color="414142"/>
              <w:left w:val="outset" w:sz="6" w:space="0" w:color="414142"/>
              <w:bottom w:val="outset" w:sz="6" w:space="0" w:color="414142"/>
              <w:right w:val="outset" w:sz="6" w:space="0" w:color="414142"/>
            </w:tcBorders>
            <w:hideMark/>
          </w:tcPr>
          <w:p w14:paraId="6F2FA222" w14:textId="77777777" w:rsidR="00370332" w:rsidRPr="008E596C" w:rsidRDefault="00370332">
            <w:r w:rsidRPr="008E596C">
              <w:t>Sabiedrības līdzdalība projekta izstrādē</w:t>
            </w:r>
          </w:p>
        </w:tc>
        <w:tc>
          <w:tcPr>
            <w:tcW w:w="3651" w:type="pct"/>
            <w:tcBorders>
              <w:top w:val="outset" w:sz="6" w:space="0" w:color="414142"/>
              <w:left w:val="outset" w:sz="6" w:space="0" w:color="414142"/>
              <w:bottom w:val="outset" w:sz="6" w:space="0" w:color="414142"/>
              <w:right w:val="outset" w:sz="6" w:space="0" w:color="414142"/>
            </w:tcBorders>
            <w:hideMark/>
          </w:tcPr>
          <w:p w14:paraId="116BE4EC" w14:textId="3B7E12AE" w:rsidR="00370332" w:rsidRPr="008E596C" w:rsidRDefault="00CC58F5">
            <w:pPr>
              <w:jc w:val="both"/>
            </w:pPr>
            <w:r w:rsidRPr="008E596C">
              <w:rPr>
                <w:iCs/>
              </w:rPr>
              <w:t xml:space="preserve">Likumprojekts tiks nosūtīts saskaņošanai </w:t>
            </w:r>
            <w:r w:rsidRPr="008E596C">
              <w:t xml:space="preserve">Latvijas Darba devēju konfederācijai, </w:t>
            </w:r>
            <w:r w:rsidRPr="008E596C">
              <w:rPr>
                <w:iCs/>
              </w:rPr>
              <w:t xml:space="preserve">Latvijas Spēļu biznesa asociācijai, </w:t>
            </w:r>
            <w:r w:rsidRPr="008E596C">
              <w:t xml:space="preserve">VAS </w:t>
            </w:r>
            <w:r w:rsidR="002A3822" w:rsidRPr="008E596C">
              <w:t>“</w:t>
            </w:r>
            <w:r w:rsidRPr="008E596C">
              <w:t>Latvijas Loto”.</w:t>
            </w:r>
          </w:p>
        </w:tc>
      </w:tr>
      <w:tr w:rsidR="008F2155" w:rsidRPr="008E596C" w14:paraId="3CDD10DD" w14:textId="77777777" w:rsidTr="00E92331">
        <w:trPr>
          <w:trHeight w:val="465"/>
          <w:jc w:val="center"/>
        </w:trPr>
        <w:tc>
          <w:tcPr>
            <w:tcW w:w="56" w:type="pct"/>
            <w:tcBorders>
              <w:top w:val="outset" w:sz="6" w:space="0" w:color="414142"/>
              <w:left w:val="outset" w:sz="6" w:space="0" w:color="414142"/>
              <w:bottom w:val="outset" w:sz="6" w:space="0" w:color="414142"/>
              <w:right w:val="outset" w:sz="6" w:space="0" w:color="414142"/>
            </w:tcBorders>
            <w:hideMark/>
          </w:tcPr>
          <w:p w14:paraId="0D8E6C24" w14:textId="77777777" w:rsidR="00370332" w:rsidRPr="008E596C" w:rsidRDefault="00370332">
            <w:r w:rsidRPr="008E596C">
              <w:t>3.</w:t>
            </w:r>
          </w:p>
        </w:tc>
        <w:tc>
          <w:tcPr>
            <w:tcW w:w="1293" w:type="pct"/>
            <w:tcBorders>
              <w:top w:val="outset" w:sz="6" w:space="0" w:color="414142"/>
              <w:left w:val="outset" w:sz="6" w:space="0" w:color="414142"/>
              <w:bottom w:val="outset" w:sz="6" w:space="0" w:color="414142"/>
              <w:right w:val="outset" w:sz="6" w:space="0" w:color="414142"/>
            </w:tcBorders>
            <w:hideMark/>
          </w:tcPr>
          <w:p w14:paraId="2BD74D5D" w14:textId="77777777" w:rsidR="00370332" w:rsidRPr="008E596C" w:rsidRDefault="00370332">
            <w:r w:rsidRPr="008E596C">
              <w:t>Sabiedrības līdzdalības rezultāti</w:t>
            </w:r>
          </w:p>
        </w:tc>
        <w:tc>
          <w:tcPr>
            <w:tcW w:w="3651" w:type="pct"/>
            <w:tcBorders>
              <w:top w:val="outset" w:sz="6" w:space="0" w:color="414142"/>
              <w:left w:val="outset" w:sz="6" w:space="0" w:color="414142"/>
              <w:bottom w:val="outset" w:sz="6" w:space="0" w:color="414142"/>
              <w:right w:val="outset" w:sz="6" w:space="0" w:color="414142"/>
            </w:tcBorders>
            <w:hideMark/>
          </w:tcPr>
          <w:p w14:paraId="7DBFA9AB" w14:textId="175A8783" w:rsidR="00370332" w:rsidRPr="008E596C" w:rsidRDefault="00CC58F5" w:rsidP="002A3822">
            <w:pPr>
              <w:jc w:val="both"/>
            </w:pPr>
            <w:r w:rsidRPr="008E596C">
              <w:rPr>
                <w:iCs/>
              </w:rPr>
              <w:t xml:space="preserve">Likumprojekta saskaņošanas procesā tiks izvērtēti </w:t>
            </w:r>
            <w:r w:rsidRPr="008E596C">
              <w:t xml:space="preserve">Latvijas Darba devēju konfederācijas, </w:t>
            </w:r>
            <w:r w:rsidRPr="008E596C">
              <w:rPr>
                <w:iCs/>
              </w:rPr>
              <w:t xml:space="preserve">Latvijas Spēļu biznesa asociācijas, </w:t>
            </w:r>
            <w:r w:rsidRPr="008E596C">
              <w:t xml:space="preserve">VAS </w:t>
            </w:r>
            <w:r w:rsidR="002A3822" w:rsidRPr="008E596C">
              <w:t>“</w:t>
            </w:r>
            <w:r w:rsidRPr="008E596C">
              <w:t>Latvijas Loto” priekšlikumi.</w:t>
            </w:r>
          </w:p>
        </w:tc>
      </w:tr>
      <w:tr w:rsidR="00370332" w:rsidRPr="008E596C" w14:paraId="59D7EB7D" w14:textId="77777777" w:rsidTr="00E92331">
        <w:trPr>
          <w:trHeight w:val="465"/>
          <w:jc w:val="center"/>
        </w:trPr>
        <w:tc>
          <w:tcPr>
            <w:tcW w:w="56" w:type="pct"/>
            <w:tcBorders>
              <w:top w:val="outset" w:sz="6" w:space="0" w:color="414142"/>
              <w:left w:val="outset" w:sz="6" w:space="0" w:color="414142"/>
              <w:bottom w:val="outset" w:sz="6" w:space="0" w:color="414142"/>
              <w:right w:val="outset" w:sz="6" w:space="0" w:color="414142"/>
            </w:tcBorders>
            <w:hideMark/>
          </w:tcPr>
          <w:p w14:paraId="07DCBEFD" w14:textId="77777777" w:rsidR="00370332" w:rsidRPr="008E596C" w:rsidRDefault="00370332">
            <w:r w:rsidRPr="008E596C">
              <w:t>4.</w:t>
            </w:r>
          </w:p>
        </w:tc>
        <w:tc>
          <w:tcPr>
            <w:tcW w:w="1293" w:type="pct"/>
            <w:tcBorders>
              <w:top w:val="outset" w:sz="6" w:space="0" w:color="414142"/>
              <w:left w:val="outset" w:sz="6" w:space="0" w:color="414142"/>
              <w:bottom w:val="outset" w:sz="6" w:space="0" w:color="414142"/>
              <w:right w:val="outset" w:sz="6" w:space="0" w:color="414142"/>
            </w:tcBorders>
            <w:hideMark/>
          </w:tcPr>
          <w:p w14:paraId="3A979513" w14:textId="77777777" w:rsidR="00370332" w:rsidRPr="008E596C" w:rsidRDefault="00370332">
            <w:r w:rsidRPr="008E596C">
              <w:t>Cita informācija</w:t>
            </w:r>
          </w:p>
        </w:tc>
        <w:tc>
          <w:tcPr>
            <w:tcW w:w="3651" w:type="pct"/>
            <w:tcBorders>
              <w:top w:val="outset" w:sz="6" w:space="0" w:color="414142"/>
              <w:left w:val="outset" w:sz="6" w:space="0" w:color="414142"/>
              <w:bottom w:val="outset" w:sz="6" w:space="0" w:color="414142"/>
              <w:right w:val="outset" w:sz="6" w:space="0" w:color="414142"/>
            </w:tcBorders>
            <w:hideMark/>
          </w:tcPr>
          <w:p w14:paraId="643ED756" w14:textId="77777777" w:rsidR="00370332" w:rsidRPr="008E596C" w:rsidRDefault="00370332" w:rsidP="0088685F">
            <w:pPr>
              <w:pStyle w:val="tvhtml"/>
              <w:spacing w:line="293" w:lineRule="atLeast"/>
            </w:pPr>
            <w:r w:rsidRPr="008E596C">
              <w:t>Nav</w:t>
            </w:r>
          </w:p>
        </w:tc>
      </w:tr>
    </w:tbl>
    <w:p w14:paraId="4B71EDCE" w14:textId="77777777" w:rsidR="00641C69" w:rsidRDefault="00641C69" w:rsidP="006D0922">
      <w:pPr>
        <w:pStyle w:val="naisf"/>
        <w:spacing w:before="0" w:after="0"/>
        <w:ind w:firstLine="0"/>
      </w:pPr>
    </w:p>
    <w:p w14:paraId="64DDAB5F" w14:textId="77777777" w:rsidR="002E33E1" w:rsidRPr="008E596C" w:rsidRDefault="002E33E1" w:rsidP="006D0922">
      <w:pPr>
        <w:pStyle w:val="naisf"/>
        <w:spacing w:before="0" w:after="0"/>
        <w:ind w:firstLine="0"/>
      </w:pPr>
    </w:p>
    <w:tbl>
      <w:tblPr>
        <w:tblpPr w:leftFromText="180" w:rightFromText="180" w:vertAnchor="text" w:horzAnchor="margin" w:tblpX="-240" w:tblpY="212"/>
        <w:tblW w:w="532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5"/>
        <w:gridCol w:w="2703"/>
        <w:gridCol w:w="6372"/>
      </w:tblGrid>
      <w:tr w:rsidR="008F2155" w:rsidRPr="008E596C" w14:paraId="23B90087" w14:textId="77777777" w:rsidTr="00E92331">
        <w:tc>
          <w:tcPr>
            <w:tcW w:w="5000" w:type="pct"/>
            <w:gridSpan w:val="3"/>
            <w:tcBorders>
              <w:top w:val="outset" w:sz="6" w:space="0" w:color="000000"/>
              <w:left w:val="outset" w:sz="6" w:space="0" w:color="000000"/>
              <w:bottom w:val="outset" w:sz="6" w:space="0" w:color="000000"/>
              <w:right w:val="outset" w:sz="6" w:space="0" w:color="000000"/>
            </w:tcBorders>
          </w:tcPr>
          <w:p w14:paraId="6CBCD80B" w14:textId="77777777" w:rsidR="00081E26" w:rsidRPr="008E596C" w:rsidRDefault="00081E26" w:rsidP="00E92331">
            <w:pPr>
              <w:spacing w:before="100" w:beforeAutospacing="1" w:after="100" w:afterAutospacing="1"/>
              <w:jc w:val="center"/>
              <w:rPr>
                <w:b/>
                <w:bCs/>
              </w:rPr>
            </w:pPr>
            <w:r w:rsidRPr="008E596C">
              <w:rPr>
                <w:b/>
                <w:bCs/>
              </w:rPr>
              <w:t>VII. Tiesību akta projekta izpildes nodrošināšana un tās ietekme uz institūcijām</w:t>
            </w:r>
          </w:p>
        </w:tc>
      </w:tr>
      <w:tr w:rsidR="008F2155" w:rsidRPr="008E596C" w14:paraId="2FFBA57E" w14:textId="77777777" w:rsidTr="00E92331">
        <w:tc>
          <w:tcPr>
            <w:tcW w:w="293" w:type="pct"/>
            <w:tcBorders>
              <w:top w:val="single" w:sz="4" w:space="0" w:color="auto"/>
              <w:left w:val="single" w:sz="4" w:space="0" w:color="auto"/>
              <w:bottom w:val="single" w:sz="4" w:space="0" w:color="auto"/>
              <w:right w:val="single" w:sz="4" w:space="0" w:color="auto"/>
            </w:tcBorders>
          </w:tcPr>
          <w:p w14:paraId="0B560F7E" w14:textId="77777777" w:rsidR="00037AB9" w:rsidRPr="008E596C" w:rsidRDefault="00081E26" w:rsidP="00E92331">
            <w:pPr>
              <w:spacing w:before="100" w:beforeAutospacing="1" w:after="100" w:afterAutospacing="1"/>
              <w:jc w:val="both"/>
            </w:pPr>
            <w:r w:rsidRPr="008E596C">
              <w:t>1.</w:t>
            </w:r>
          </w:p>
        </w:tc>
        <w:tc>
          <w:tcPr>
            <w:tcW w:w="1402" w:type="pct"/>
            <w:tcBorders>
              <w:top w:val="outset" w:sz="6" w:space="0" w:color="000000"/>
              <w:left w:val="single" w:sz="4" w:space="0" w:color="auto"/>
              <w:bottom w:val="outset" w:sz="6" w:space="0" w:color="000000"/>
              <w:right w:val="outset" w:sz="6" w:space="0" w:color="000000"/>
            </w:tcBorders>
          </w:tcPr>
          <w:p w14:paraId="7F9CFD15" w14:textId="77777777" w:rsidR="00037AB9" w:rsidRPr="008E596C" w:rsidRDefault="00037AB9" w:rsidP="00E92331">
            <w:pPr>
              <w:spacing w:before="100" w:beforeAutospacing="1" w:after="100" w:afterAutospacing="1"/>
              <w:jc w:val="both"/>
            </w:pPr>
            <w:r w:rsidRPr="008E596C">
              <w:t>Projekta izpildē iesaistītās institūcijas</w:t>
            </w:r>
          </w:p>
        </w:tc>
        <w:tc>
          <w:tcPr>
            <w:tcW w:w="3305" w:type="pct"/>
            <w:tcBorders>
              <w:top w:val="outset" w:sz="6" w:space="0" w:color="000000"/>
              <w:left w:val="outset" w:sz="6" w:space="0" w:color="000000"/>
              <w:bottom w:val="outset" w:sz="6" w:space="0" w:color="000000"/>
              <w:right w:val="outset" w:sz="6" w:space="0" w:color="000000"/>
            </w:tcBorders>
          </w:tcPr>
          <w:p w14:paraId="44A60431" w14:textId="35FFD5FE" w:rsidR="00037AB9" w:rsidRPr="008E596C" w:rsidRDefault="00B50D7A" w:rsidP="00E92331">
            <w:pPr>
              <w:spacing w:before="100" w:beforeAutospacing="1" w:after="100" w:afterAutospacing="1"/>
              <w:jc w:val="both"/>
            </w:pPr>
            <w:r w:rsidRPr="008E596C">
              <w:t>Izložu un azartspēļu uzraudzības inspekcija.</w:t>
            </w:r>
          </w:p>
        </w:tc>
      </w:tr>
      <w:tr w:rsidR="008F2155" w:rsidRPr="008E596C" w14:paraId="301114F6" w14:textId="77777777" w:rsidTr="00E92331">
        <w:tc>
          <w:tcPr>
            <w:tcW w:w="293" w:type="pct"/>
            <w:tcBorders>
              <w:top w:val="single" w:sz="4" w:space="0" w:color="auto"/>
              <w:left w:val="outset" w:sz="6" w:space="0" w:color="000000"/>
              <w:bottom w:val="outset" w:sz="6" w:space="0" w:color="000000"/>
              <w:right w:val="outset" w:sz="6" w:space="0" w:color="000000"/>
            </w:tcBorders>
          </w:tcPr>
          <w:p w14:paraId="64089682" w14:textId="77777777" w:rsidR="00037AB9" w:rsidRPr="008E596C" w:rsidRDefault="00081E26" w:rsidP="00E92331">
            <w:pPr>
              <w:spacing w:before="100" w:beforeAutospacing="1" w:after="100" w:afterAutospacing="1"/>
              <w:jc w:val="both"/>
            </w:pPr>
            <w:r w:rsidRPr="008E596C">
              <w:t>2.</w:t>
            </w:r>
          </w:p>
        </w:tc>
        <w:tc>
          <w:tcPr>
            <w:tcW w:w="1402" w:type="pct"/>
            <w:tcBorders>
              <w:top w:val="outset" w:sz="6" w:space="0" w:color="000000"/>
              <w:left w:val="outset" w:sz="6" w:space="0" w:color="000000"/>
              <w:bottom w:val="outset" w:sz="6" w:space="0" w:color="000000"/>
              <w:right w:val="outset" w:sz="6" w:space="0" w:color="000000"/>
            </w:tcBorders>
          </w:tcPr>
          <w:p w14:paraId="3882DADC" w14:textId="77777777" w:rsidR="00037AB9" w:rsidRPr="008E596C" w:rsidRDefault="00037AB9" w:rsidP="00E92331">
            <w:pPr>
              <w:spacing w:before="100" w:beforeAutospacing="1" w:after="100" w:afterAutospacing="1"/>
              <w:jc w:val="both"/>
            </w:pPr>
            <w:r w:rsidRPr="008E596C">
              <w:t>Projekta izpildes ietekme uz pārvaldes funkcijām un institucionālo struktūru</w:t>
            </w:r>
          </w:p>
          <w:p w14:paraId="0F12F767" w14:textId="77777777" w:rsidR="00037AB9" w:rsidRPr="008E596C" w:rsidRDefault="00037AB9" w:rsidP="00E92331">
            <w:pPr>
              <w:spacing w:before="100" w:beforeAutospacing="1" w:after="100" w:afterAutospacing="1"/>
              <w:jc w:val="both"/>
            </w:pPr>
            <w:r w:rsidRPr="008E596C">
              <w:t xml:space="preserve">Jaunu institūciju izveide, esošu institūciju likvidācija vai reorganizācija, to </w:t>
            </w:r>
            <w:r w:rsidRPr="008E596C">
              <w:lastRenderedPageBreak/>
              <w:t>ietekme uz institūcijas cilvēkresursiem</w:t>
            </w:r>
          </w:p>
        </w:tc>
        <w:tc>
          <w:tcPr>
            <w:tcW w:w="3305" w:type="pct"/>
            <w:tcBorders>
              <w:top w:val="outset" w:sz="6" w:space="0" w:color="000000"/>
              <w:left w:val="outset" w:sz="6" w:space="0" w:color="000000"/>
              <w:bottom w:val="outset" w:sz="6" w:space="0" w:color="000000"/>
              <w:right w:val="outset" w:sz="6" w:space="0" w:color="000000"/>
            </w:tcBorders>
          </w:tcPr>
          <w:p w14:paraId="65A9D6D9" w14:textId="77777777" w:rsidR="008F444F" w:rsidRPr="008E596C" w:rsidRDefault="008F444F" w:rsidP="00E92331">
            <w:pPr>
              <w:jc w:val="both"/>
            </w:pPr>
            <w:r w:rsidRPr="008E596C">
              <w:lastRenderedPageBreak/>
              <w:t xml:space="preserve">Tiks paplašinātas Izložu un azartspēļu uzraudzības inspekcijas </w:t>
            </w:r>
            <w:r w:rsidR="005F43FE" w:rsidRPr="008E596C">
              <w:t>funkcijas</w:t>
            </w:r>
            <w:r w:rsidRPr="008E596C">
              <w:t>.</w:t>
            </w:r>
          </w:p>
          <w:p w14:paraId="3FA43805" w14:textId="77777777" w:rsidR="008F444F" w:rsidRPr="008E596C" w:rsidRDefault="008F444F" w:rsidP="00E92331">
            <w:pPr>
              <w:jc w:val="both"/>
            </w:pPr>
          </w:p>
          <w:p w14:paraId="1A05F4F4" w14:textId="77777777" w:rsidR="008F444F" w:rsidRPr="008E596C" w:rsidRDefault="008F444F" w:rsidP="00E92331">
            <w:pPr>
              <w:jc w:val="both"/>
            </w:pPr>
          </w:p>
          <w:p w14:paraId="71930603" w14:textId="77777777" w:rsidR="00037AB9" w:rsidRPr="008E596C" w:rsidRDefault="008F444F" w:rsidP="00E92331">
            <w:pPr>
              <w:jc w:val="both"/>
            </w:pPr>
            <w:r w:rsidRPr="008E596C">
              <w:t>N</w:t>
            </w:r>
            <w:r w:rsidR="00037AB9" w:rsidRPr="008E596C">
              <w:t>av nepieciešams veidot jaunas institūcijas.</w:t>
            </w:r>
          </w:p>
          <w:p w14:paraId="305A84F8" w14:textId="77777777" w:rsidR="008F444F" w:rsidRPr="008E596C" w:rsidRDefault="008F444F" w:rsidP="00E92331">
            <w:pPr>
              <w:jc w:val="both"/>
            </w:pPr>
          </w:p>
          <w:p w14:paraId="1BABFCE1" w14:textId="77777777" w:rsidR="00081E26" w:rsidRPr="008E596C" w:rsidRDefault="00081E26" w:rsidP="00E92331">
            <w:pPr>
              <w:jc w:val="both"/>
            </w:pPr>
            <w:r w:rsidRPr="008E596C">
              <w:t xml:space="preserve">Nav nepieciešama esošu institūciju likvidācija </w:t>
            </w:r>
            <w:r w:rsidRPr="00BB7AF1">
              <w:t>vai reorganizācija.</w:t>
            </w:r>
          </w:p>
        </w:tc>
      </w:tr>
      <w:tr w:rsidR="008F2155" w:rsidRPr="008E596C" w14:paraId="23734118" w14:textId="77777777" w:rsidTr="00E92331">
        <w:tc>
          <w:tcPr>
            <w:tcW w:w="293" w:type="pct"/>
            <w:tcBorders>
              <w:top w:val="outset" w:sz="6" w:space="0" w:color="000000"/>
              <w:left w:val="outset" w:sz="6" w:space="0" w:color="000000"/>
              <w:bottom w:val="outset" w:sz="6" w:space="0" w:color="000000"/>
              <w:right w:val="outset" w:sz="6" w:space="0" w:color="000000"/>
            </w:tcBorders>
          </w:tcPr>
          <w:p w14:paraId="1A5DF750" w14:textId="77777777" w:rsidR="00037AB9" w:rsidRPr="008E596C" w:rsidRDefault="00081E26" w:rsidP="00E92331">
            <w:pPr>
              <w:spacing w:before="100" w:beforeAutospacing="1" w:after="100" w:afterAutospacing="1"/>
              <w:jc w:val="both"/>
            </w:pPr>
            <w:r w:rsidRPr="008E596C">
              <w:lastRenderedPageBreak/>
              <w:t>3.</w:t>
            </w:r>
          </w:p>
        </w:tc>
        <w:tc>
          <w:tcPr>
            <w:tcW w:w="1402" w:type="pct"/>
            <w:tcBorders>
              <w:top w:val="outset" w:sz="6" w:space="0" w:color="000000"/>
              <w:left w:val="outset" w:sz="6" w:space="0" w:color="000000"/>
              <w:bottom w:val="outset" w:sz="6" w:space="0" w:color="000000"/>
              <w:right w:val="outset" w:sz="6" w:space="0" w:color="000000"/>
            </w:tcBorders>
          </w:tcPr>
          <w:p w14:paraId="21E578A7" w14:textId="77777777" w:rsidR="00037AB9" w:rsidRPr="008E596C" w:rsidRDefault="00081E26" w:rsidP="00E92331">
            <w:pPr>
              <w:spacing w:before="100" w:beforeAutospacing="1" w:after="100" w:afterAutospacing="1"/>
              <w:jc w:val="both"/>
            </w:pPr>
            <w:r w:rsidRPr="008E596C">
              <w:t>Cita informācija</w:t>
            </w:r>
          </w:p>
        </w:tc>
        <w:tc>
          <w:tcPr>
            <w:tcW w:w="3305" w:type="pct"/>
            <w:tcBorders>
              <w:top w:val="outset" w:sz="6" w:space="0" w:color="000000"/>
              <w:left w:val="outset" w:sz="6" w:space="0" w:color="000000"/>
              <w:bottom w:val="outset" w:sz="6" w:space="0" w:color="000000"/>
              <w:right w:val="outset" w:sz="6" w:space="0" w:color="000000"/>
            </w:tcBorders>
          </w:tcPr>
          <w:p w14:paraId="7B52682B" w14:textId="77777777" w:rsidR="00037AB9" w:rsidRPr="008E596C" w:rsidRDefault="00081E26" w:rsidP="00E92331">
            <w:pPr>
              <w:spacing w:before="100" w:beforeAutospacing="1" w:after="100" w:afterAutospacing="1"/>
              <w:jc w:val="both"/>
            </w:pPr>
            <w:r w:rsidRPr="008E596C">
              <w:t>Nav.</w:t>
            </w:r>
          </w:p>
        </w:tc>
      </w:tr>
    </w:tbl>
    <w:p w14:paraId="1794F8C8" w14:textId="77777777" w:rsidR="00080AD1" w:rsidRPr="008E596C" w:rsidRDefault="00080AD1" w:rsidP="006D0922">
      <w:pPr>
        <w:pStyle w:val="naisf"/>
        <w:tabs>
          <w:tab w:val="left" w:pos="6804"/>
        </w:tabs>
        <w:spacing w:before="0" w:after="0"/>
        <w:ind w:firstLine="0"/>
      </w:pPr>
    </w:p>
    <w:p w14:paraId="5C7C03C0" w14:textId="77777777" w:rsidR="0003506F" w:rsidRPr="008E596C" w:rsidRDefault="0003506F" w:rsidP="0003506F">
      <w:pPr>
        <w:jc w:val="both"/>
        <w:rPr>
          <w:sz w:val="28"/>
          <w:szCs w:val="28"/>
          <w:lang w:val="de-DE"/>
        </w:rPr>
      </w:pPr>
    </w:p>
    <w:p w14:paraId="1CA8CB46" w14:textId="77777777" w:rsidR="00D0317B" w:rsidRPr="008E596C" w:rsidRDefault="0003506F" w:rsidP="00D0317B">
      <w:pPr>
        <w:ind w:firstLine="720"/>
        <w:jc w:val="both"/>
        <w:rPr>
          <w:sz w:val="28"/>
          <w:szCs w:val="28"/>
          <w:lang w:val="de-DE"/>
        </w:rPr>
      </w:pPr>
      <w:r w:rsidRPr="008E596C">
        <w:rPr>
          <w:sz w:val="28"/>
          <w:szCs w:val="28"/>
          <w:lang w:val="de-DE"/>
        </w:rPr>
        <w:t>Finanšu ministrs</w:t>
      </w:r>
      <w:r w:rsidRPr="008E596C">
        <w:rPr>
          <w:sz w:val="28"/>
          <w:szCs w:val="28"/>
          <w:lang w:val="de-DE"/>
        </w:rPr>
        <w:tab/>
      </w:r>
      <w:r w:rsidRPr="008E596C">
        <w:rPr>
          <w:sz w:val="28"/>
          <w:szCs w:val="28"/>
          <w:lang w:val="de-DE"/>
        </w:rPr>
        <w:tab/>
      </w:r>
      <w:r w:rsidRPr="008E596C">
        <w:rPr>
          <w:sz w:val="28"/>
          <w:szCs w:val="28"/>
          <w:lang w:val="de-DE"/>
        </w:rPr>
        <w:tab/>
      </w:r>
      <w:r w:rsidRPr="008E596C">
        <w:rPr>
          <w:sz w:val="28"/>
          <w:szCs w:val="28"/>
          <w:lang w:val="de-DE"/>
        </w:rPr>
        <w:tab/>
      </w:r>
      <w:r w:rsidRPr="008E596C">
        <w:rPr>
          <w:sz w:val="28"/>
          <w:szCs w:val="28"/>
          <w:lang w:val="de-DE"/>
        </w:rPr>
        <w:tab/>
      </w:r>
      <w:r w:rsidRPr="008E596C">
        <w:rPr>
          <w:sz w:val="28"/>
          <w:szCs w:val="28"/>
          <w:lang w:val="de-DE"/>
        </w:rPr>
        <w:tab/>
      </w:r>
      <w:r w:rsidRPr="008E596C">
        <w:rPr>
          <w:sz w:val="28"/>
          <w:szCs w:val="28"/>
          <w:lang w:val="de-DE"/>
        </w:rPr>
        <w:tab/>
      </w:r>
      <w:r w:rsidRPr="008E596C">
        <w:rPr>
          <w:sz w:val="28"/>
          <w:szCs w:val="28"/>
          <w:lang w:val="de-DE"/>
        </w:rPr>
        <w:tab/>
      </w:r>
      <w:r w:rsidR="00D0317B" w:rsidRPr="008E596C">
        <w:rPr>
          <w:sz w:val="28"/>
          <w:szCs w:val="28"/>
          <w:lang w:val="de-DE"/>
        </w:rPr>
        <w:t xml:space="preserve">J.Reirs </w:t>
      </w:r>
    </w:p>
    <w:p w14:paraId="128AECD6" w14:textId="77777777" w:rsidR="007A66D8" w:rsidRPr="008E596C" w:rsidRDefault="007A66D8" w:rsidP="006D0922">
      <w:pPr>
        <w:pStyle w:val="naisf"/>
        <w:tabs>
          <w:tab w:val="left" w:pos="6804"/>
        </w:tabs>
        <w:spacing w:before="0" w:after="0"/>
        <w:ind w:firstLine="0"/>
        <w:rPr>
          <w:sz w:val="28"/>
          <w:szCs w:val="28"/>
          <w:lang w:val="de-DE"/>
        </w:rPr>
      </w:pPr>
    </w:p>
    <w:p w14:paraId="4B8604FA" w14:textId="14468803" w:rsidR="00561D6A" w:rsidRPr="008E596C" w:rsidRDefault="00B52A64" w:rsidP="00081E26">
      <w:pPr>
        <w:tabs>
          <w:tab w:val="center" w:pos="4153"/>
          <w:tab w:val="right" w:pos="8306"/>
        </w:tabs>
        <w:rPr>
          <w:sz w:val="20"/>
          <w:szCs w:val="20"/>
        </w:rPr>
      </w:pPr>
      <w:r>
        <w:rPr>
          <w:sz w:val="20"/>
          <w:szCs w:val="20"/>
        </w:rPr>
        <w:t>19</w:t>
      </w:r>
      <w:r w:rsidR="009A60A2" w:rsidRPr="008E596C">
        <w:rPr>
          <w:sz w:val="20"/>
          <w:szCs w:val="20"/>
        </w:rPr>
        <w:t>.</w:t>
      </w:r>
      <w:r w:rsidR="00FD415A" w:rsidRPr="008E596C">
        <w:rPr>
          <w:sz w:val="20"/>
          <w:szCs w:val="20"/>
        </w:rPr>
        <w:t>0</w:t>
      </w:r>
      <w:r>
        <w:rPr>
          <w:sz w:val="20"/>
          <w:szCs w:val="20"/>
        </w:rPr>
        <w:t>8</w:t>
      </w:r>
      <w:r w:rsidR="009A60A2" w:rsidRPr="008E596C">
        <w:rPr>
          <w:sz w:val="20"/>
          <w:szCs w:val="20"/>
        </w:rPr>
        <w:t>.</w:t>
      </w:r>
      <w:r w:rsidR="00561D6A" w:rsidRPr="008E596C">
        <w:rPr>
          <w:sz w:val="20"/>
          <w:szCs w:val="20"/>
        </w:rPr>
        <w:t>201</w:t>
      </w:r>
      <w:r w:rsidR="00FD415A" w:rsidRPr="008E596C">
        <w:rPr>
          <w:sz w:val="20"/>
          <w:szCs w:val="20"/>
        </w:rPr>
        <w:t>5</w:t>
      </w:r>
      <w:r w:rsidR="0071610A" w:rsidRPr="008E596C">
        <w:rPr>
          <w:sz w:val="20"/>
          <w:szCs w:val="20"/>
        </w:rPr>
        <w:t xml:space="preserve"> 11:43</w:t>
      </w:r>
    </w:p>
    <w:p w14:paraId="30302264" w14:textId="10AEECAA" w:rsidR="00913C1F" w:rsidRPr="008E596C" w:rsidRDefault="006325EE" w:rsidP="00E531A7">
      <w:pPr>
        <w:tabs>
          <w:tab w:val="left" w:pos="2504"/>
        </w:tabs>
        <w:rPr>
          <w:sz w:val="20"/>
          <w:szCs w:val="20"/>
        </w:rPr>
      </w:pPr>
      <w:r w:rsidRPr="008E596C">
        <w:rPr>
          <w:sz w:val="20"/>
          <w:szCs w:val="20"/>
        </w:rPr>
        <w:t>1</w:t>
      </w:r>
      <w:r w:rsidR="00D64E30">
        <w:rPr>
          <w:sz w:val="20"/>
          <w:szCs w:val="20"/>
        </w:rPr>
        <w:t>936</w:t>
      </w:r>
    </w:p>
    <w:p w14:paraId="62B72C12" w14:textId="77777777" w:rsidR="00913C1F" w:rsidRPr="008E596C" w:rsidRDefault="00913C1F" w:rsidP="00913C1F">
      <w:pPr>
        <w:tabs>
          <w:tab w:val="left" w:pos="7088"/>
        </w:tabs>
        <w:jc w:val="both"/>
        <w:rPr>
          <w:sz w:val="20"/>
          <w:szCs w:val="20"/>
        </w:rPr>
      </w:pPr>
      <w:r w:rsidRPr="008E596C">
        <w:rPr>
          <w:sz w:val="20"/>
          <w:szCs w:val="20"/>
        </w:rPr>
        <w:t xml:space="preserve">Finanšu ministrijas </w:t>
      </w:r>
    </w:p>
    <w:p w14:paraId="5251995F" w14:textId="2822A048" w:rsidR="00913C1F" w:rsidRPr="008E596C" w:rsidRDefault="00913C1F" w:rsidP="00913C1F">
      <w:pPr>
        <w:tabs>
          <w:tab w:val="left" w:pos="7088"/>
        </w:tabs>
        <w:jc w:val="both"/>
        <w:rPr>
          <w:sz w:val="20"/>
          <w:szCs w:val="20"/>
        </w:rPr>
      </w:pPr>
      <w:r w:rsidRPr="008E596C">
        <w:rPr>
          <w:sz w:val="20"/>
          <w:szCs w:val="20"/>
        </w:rPr>
        <w:t>Tiešo nodokļu departamenta</w:t>
      </w:r>
    </w:p>
    <w:p w14:paraId="1F75ACC7" w14:textId="77777777" w:rsidR="00913C1F" w:rsidRPr="008E596C" w:rsidRDefault="00913C1F" w:rsidP="00913C1F">
      <w:pPr>
        <w:rPr>
          <w:sz w:val="20"/>
          <w:szCs w:val="20"/>
        </w:rPr>
      </w:pPr>
      <w:r w:rsidRPr="008E596C">
        <w:rPr>
          <w:sz w:val="20"/>
          <w:szCs w:val="20"/>
        </w:rPr>
        <w:t xml:space="preserve">Īpašuma un iedzīvotāju ienākuma </w:t>
      </w:r>
    </w:p>
    <w:p w14:paraId="60710B99" w14:textId="77777777" w:rsidR="00913C1F" w:rsidRPr="008E596C" w:rsidRDefault="00913C1F" w:rsidP="00081E26">
      <w:pPr>
        <w:tabs>
          <w:tab w:val="center" w:pos="4153"/>
          <w:tab w:val="right" w:pos="8306"/>
        </w:tabs>
        <w:rPr>
          <w:sz w:val="20"/>
          <w:szCs w:val="20"/>
        </w:rPr>
      </w:pPr>
      <w:r w:rsidRPr="008E596C">
        <w:rPr>
          <w:sz w:val="20"/>
          <w:szCs w:val="20"/>
        </w:rPr>
        <w:t>nodokļu nodaļas vecākā referente</w:t>
      </w:r>
    </w:p>
    <w:p w14:paraId="2B862F92" w14:textId="6BD6D1F5" w:rsidR="00081E26" w:rsidRPr="008E596C" w:rsidRDefault="00A778CE" w:rsidP="00081E26">
      <w:pPr>
        <w:tabs>
          <w:tab w:val="center" w:pos="4153"/>
          <w:tab w:val="right" w:pos="8306"/>
        </w:tabs>
        <w:rPr>
          <w:sz w:val="20"/>
          <w:szCs w:val="20"/>
        </w:rPr>
      </w:pPr>
      <w:r w:rsidRPr="008E596C">
        <w:rPr>
          <w:sz w:val="20"/>
          <w:szCs w:val="20"/>
        </w:rPr>
        <w:t>Avotiņa</w:t>
      </w:r>
      <w:r w:rsidR="00081E26" w:rsidRPr="008E596C">
        <w:rPr>
          <w:sz w:val="20"/>
          <w:szCs w:val="20"/>
        </w:rPr>
        <w:t>, 670</w:t>
      </w:r>
      <w:r w:rsidRPr="008E596C">
        <w:rPr>
          <w:sz w:val="20"/>
          <w:szCs w:val="20"/>
        </w:rPr>
        <w:t>95515</w:t>
      </w:r>
    </w:p>
    <w:p w14:paraId="1542B047" w14:textId="77777777" w:rsidR="00592642" w:rsidRPr="00592642" w:rsidRDefault="006830A1" w:rsidP="00592642">
      <w:pPr>
        <w:rPr>
          <w:rFonts w:ascii="Times New Roman BaltRim" w:hAnsi="Times New Roman BaltRim"/>
          <w:sz w:val="20"/>
          <w:szCs w:val="20"/>
        </w:rPr>
      </w:pPr>
      <w:hyperlink r:id="rId12" w:history="1">
        <w:r w:rsidR="00592642" w:rsidRPr="00592642">
          <w:rPr>
            <w:rFonts w:ascii="Times New Roman BaltRim" w:hAnsi="Times New Roman BaltRim"/>
            <w:color w:val="0000FF"/>
            <w:sz w:val="20"/>
            <w:szCs w:val="20"/>
            <w:u w:val="single"/>
          </w:rPr>
          <w:t>inga.avotina@fm.gov.lv</w:t>
        </w:r>
      </w:hyperlink>
    </w:p>
    <w:p w14:paraId="55DBC197" w14:textId="0E99FFE6" w:rsidR="007A66D8" w:rsidRPr="008F2155" w:rsidRDefault="007A66D8" w:rsidP="00EC1C84">
      <w:pPr>
        <w:tabs>
          <w:tab w:val="center" w:pos="4153"/>
          <w:tab w:val="right" w:pos="8306"/>
        </w:tabs>
        <w:rPr>
          <w:sz w:val="20"/>
          <w:szCs w:val="20"/>
        </w:rPr>
      </w:pPr>
    </w:p>
    <w:sectPr w:rsidR="007A66D8" w:rsidRPr="008F2155" w:rsidSect="00F62F4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163B" w14:textId="77777777" w:rsidR="006830A1" w:rsidRDefault="006830A1">
      <w:r>
        <w:separator/>
      </w:r>
    </w:p>
  </w:endnote>
  <w:endnote w:type="continuationSeparator" w:id="0">
    <w:p w14:paraId="53434AB6" w14:textId="77777777" w:rsidR="006830A1" w:rsidRDefault="0068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AD2D" w14:textId="16F1C934" w:rsidR="00314F24" w:rsidRPr="002A3822" w:rsidRDefault="00314F24" w:rsidP="00E531A7">
    <w:pPr>
      <w:pStyle w:val="naislab"/>
      <w:spacing w:before="0" w:after="0"/>
      <w:jc w:val="both"/>
      <w:rPr>
        <w:sz w:val="20"/>
        <w:szCs w:val="20"/>
      </w:rPr>
    </w:pPr>
    <w:r w:rsidRPr="002A3822">
      <w:rPr>
        <w:sz w:val="20"/>
        <w:szCs w:val="20"/>
      </w:rPr>
      <w:t>FMAnot_</w:t>
    </w:r>
    <w:r w:rsidR="00B52A64">
      <w:rPr>
        <w:sz w:val="20"/>
        <w:szCs w:val="20"/>
      </w:rPr>
      <w:t>1908</w:t>
    </w:r>
    <w:r w:rsidRPr="002A3822">
      <w:rPr>
        <w:sz w:val="20"/>
        <w:szCs w:val="20"/>
      </w:rPr>
      <w:t>15_AIL</w:t>
    </w:r>
    <w:r w:rsidR="00E531A7" w:rsidRPr="002A3822">
      <w:rPr>
        <w:sz w:val="20"/>
        <w:szCs w:val="20"/>
      </w:rPr>
      <w:t>groz</w:t>
    </w:r>
    <w:r w:rsidR="009D3B8A" w:rsidRPr="002A3822">
      <w:rPr>
        <w:sz w:val="20"/>
        <w:szCs w:val="20"/>
      </w:rPr>
      <w:t>.docx</w:t>
    </w:r>
    <w:r w:rsidRPr="002A3822">
      <w:rPr>
        <w:sz w:val="20"/>
        <w:szCs w:val="20"/>
      </w:rPr>
      <w:t xml:space="preserve">; Likumprojekta </w:t>
    </w:r>
    <w:r w:rsidR="002A3822" w:rsidRPr="002A3822">
      <w:rPr>
        <w:sz w:val="20"/>
        <w:szCs w:val="20"/>
      </w:rPr>
      <w:t>“</w:t>
    </w:r>
    <w:r w:rsidR="006A5712" w:rsidRPr="002A3822">
      <w:rPr>
        <w:sz w:val="20"/>
        <w:szCs w:val="20"/>
      </w:rPr>
      <w:t xml:space="preserve">Grozījumi </w:t>
    </w:r>
    <w:r w:rsidRPr="002A3822">
      <w:rPr>
        <w:sz w:val="20"/>
        <w:szCs w:val="20"/>
      </w:rPr>
      <w:t>Azartspēļu un izložu likum</w:t>
    </w:r>
    <w:r w:rsidR="006A5712" w:rsidRPr="002A3822">
      <w:rPr>
        <w:sz w:val="20"/>
        <w:szCs w:val="20"/>
      </w:rPr>
      <w:t>ā</w:t>
    </w:r>
    <w:r w:rsidRPr="002A3822">
      <w:rPr>
        <w:sz w:val="20"/>
        <w:szCs w:val="20"/>
      </w:rPr>
      <w:t>” sākotnējās ietekmes novērtējuma ziņojums (anotācija)</w:t>
    </w:r>
  </w:p>
  <w:p w14:paraId="57AF61C0" w14:textId="77777777" w:rsidR="00314F24" w:rsidRPr="002A3822" w:rsidRDefault="00314F24" w:rsidP="00E531A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A615" w14:textId="062821CF" w:rsidR="00314F24" w:rsidRPr="005C3A2E" w:rsidRDefault="00314F24" w:rsidP="00E531A7">
    <w:pPr>
      <w:pStyle w:val="naislab"/>
      <w:spacing w:before="0" w:after="0"/>
      <w:jc w:val="both"/>
      <w:rPr>
        <w:sz w:val="20"/>
        <w:szCs w:val="20"/>
      </w:rPr>
    </w:pPr>
    <w:r w:rsidRPr="005C3A2E">
      <w:rPr>
        <w:sz w:val="20"/>
        <w:szCs w:val="20"/>
      </w:rPr>
      <w:t>FMAnot_</w:t>
    </w:r>
    <w:r w:rsidR="00B52A64">
      <w:rPr>
        <w:sz w:val="20"/>
        <w:szCs w:val="20"/>
      </w:rPr>
      <w:t>19</w:t>
    </w:r>
    <w:r w:rsidR="000570D7">
      <w:rPr>
        <w:sz w:val="20"/>
        <w:szCs w:val="20"/>
      </w:rPr>
      <w:t>0</w:t>
    </w:r>
    <w:r w:rsidR="00B52A64">
      <w:rPr>
        <w:sz w:val="20"/>
        <w:szCs w:val="20"/>
      </w:rPr>
      <w:t>8</w:t>
    </w:r>
    <w:r w:rsidRPr="005C3A2E">
      <w:rPr>
        <w:sz w:val="20"/>
        <w:szCs w:val="20"/>
      </w:rPr>
      <w:t>15_AIL</w:t>
    </w:r>
    <w:r w:rsidR="00E531A7">
      <w:rPr>
        <w:sz w:val="20"/>
        <w:szCs w:val="20"/>
      </w:rPr>
      <w:t>groz</w:t>
    </w:r>
    <w:r w:rsidR="009D3B8A" w:rsidRPr="009D3B8A">
      <w:rPr>
        <w:sz w:val="20"/>
        <w:szCs w:val="20"/>
      </w:rPr>
      <w:t>.docx</w:t>
    </w:r>
    <w:r w:rsidRPr="005C3A2E">
      <w:rPr>
        <w:sz w:val="20"/>
        <w:szCs w:val="20"/>
      </w:rPr>
      <w:t>; Likumprojekta „</w:t>
    </w:r>
    <w:r w:rsidR="006A5712">
      <w:rPr>
        <w:sz w:val="20"/>
        <w:szCs w:val="20"/>
      </w:rPr>
      <w:t xml:space="preserve">Grozījumi </w:t>
    </w:r>
    <w:r w:rsidRPr="005C3A2E">
      <w:rPr>
        <w:sz w:val="20"/>
        <w:szCs w:val="20"/>
      </w:rPr>
      <w:t>Azartspēļu un izložu likum</w:t>
    </w:r>
    <w:r w:rsidR="006A5712">
      <w:rPr>
        <w:sz w:val="20"/>
        <w:szCs w:val="20"/>
      </w:rPr>
      <w:t>ā</w:t>
    </w:r>
    <w:r w:rsidRPr="005C3A2E">
      <w:rPr>
        <w:sz w:val="20"/>
        <w:szCs w:val="20"/>
      </w:rPr>
      <w:t>” sākotnējās ietekmes novērtējuma ziņojums (anotācija)</w:t>
    </w:r>
  </w:p>
  <w:p w14:paraId="002F67D9" w14:textId="77777777" w:rsidR="00314F24" w:rsidRPr="005C3A2E" w:rsidRDefault="00314F24" w:rsidP="005C3A2E">
    <w:pPr>
      <w:pStyle w:val="Footer"/>
      <w:rPr>
        <w:sz w:val="20"/>
        <w:szCs w:val="20"/>
      </w:rPr>
    </w:pPr>
  </w:p>
  <w:p w14:paraId="35AF98BE" w14:textId="77777777" w:rsidR="00314F24" w:rsidRDefault="0031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616A" w14:textId="77777777" w:rsidR="006830A1" w:rsidRDefault="006830A1">
      <w:r>
        <w:separator/>
      </w:r>
    </w:p>
  </w:footnote>
  <w:footnote w:type="continuationSeparator" w:id="0">
    <w:p w14:paraId="1CB5661E" w14:textId="77777777" w:rsidR="006830A1" w:rsidRDefault="0068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FE63" w14:textId="77777777"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BBE21" w14:textId="77777777" w:rsidR="00314F24" w:rsidRDefault="0031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4CED" w14:textId="77777777"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A88">
      <w:rPr>
        <w:rStyle w:val="PageNumber"/>
        <w:noProof/>
      </w:rPr>
      <w:t>8</w:t>
    </w:r>
    <w:r>
      <w:rPr>
        <w:rStyle w:val="PageNumber"/>
      </w:rPr>
      <w:fldChar w:fldCharType="end"/>
    </w:r>
  </w:p>
  <w:p w14:paraId="25C211D7" w14:textId="77777777" w:rsidR="00314F24" w:rsidRDefault="00314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F4920"/>
    <w:multiLevelType w:val="hybridMultilevel"/>
    <w:tmpl w:val="51905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E4BB9"/>
    <w:multiLevelType w:val="hybridMultilevel"/>
    <w:tmpl w:val="2646B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0A776E"/>
    <w:multiLevelType w:val="hybridMultilevel"/>
    <w:tmpl w:val="2DC42C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E07B5C"/>
    <w:multiLevelType w:val="hybridMultilevel"/>
    <w:tmpl w:val="A84882DA"/>
    <w:lvl w:ilvl="0" w:tplc="04090011">
      <w:start w:val="1"/>
      <w:numFmt w:val="decimal"/>
      <w:lvlText w:val="%1)"/>
      <w:lvlJc w:val="left"/>
      <w:pPr>
        <w:tabs>
          <w:tab w:val="num" w:pos="720"/>
        </w:tabs>
        <w:ind w:left="720" w:hanging="360"/>
      </w:pPr>
      <w:rPr>
        <w:rFonts w:hint="default"/>
      </w:rPr>
    </w:lvl>
    <w:lvl w:ilvl="1" w:tplc="BE2E85AC">
      <w:start w:val="1"/>
      <w:numFmt w:val="decimal"/>
      <w:lvlText w:val="2.%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955B12"/>
    <w:multiLevelType w:val="hybridMultilevel"/>
    <w:tmpl w:val="455C5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F97451"/>
    <w:multiLevelType w:val="hybridMultilevel"/>
    <w:tmpl w:val="3544FF94"/>
    <w:lvl w:ilvl="0" w:tplc="40E60A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D4548"/>
    <w:multiLevelType w:val="hybridMultilevel"/>
    <w:tmpl w:val="C4BE5578"/>
    <w:lvl w:ilvl="0" w:tplc="31CCCD26">
      <w:start w:val="2"/>
      <w:numFmt w:val="bullet"/>
      <w:lvlText w:val="–"/>
      <w:lvlJc w:val="left"/>
      <w:pPr>
        <w:ind w:left="837" w:hanging="360"/>
      </w:pPr>
      <w:rPr>
        <w:rFonts w:ascii="Times New Roman" w:eastAsia="Times New Roman" w:hAnsi="Times New Roman" w:cs="Times New Roman" w:hint="default"/>
        <w:b/>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745CB4"/>
    <w:multiLevelType w:val="hybridMultilevel"/>
    <w:tmpl w:val="2E5A7E76"/>
    <w:lvl w:ilvl="0" w:tplc="04090011">
      <w:start w:val="1"/>
      <w:numFmt w:val="decimal"/>
      <w:lvlText w:val="%1)"/>
      <w:lvlJc w:val="left"/>
      <w:pPr>
        <w:tabs>
          <w:tab w:val="num" w:pos="720"/>
        </w:tabs>
        <w:ind w:left="720" w:hanging="360"/>
      </w:pPr>
      <w:rPr>
        <w:rFonts w:hint="default"/>
      </w:rPr>
    </w:lvl>
    <w:lvl w:ilvl="1" w:tplc="6CDEDF2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A23520"/>
    <w:multiLevelType w:val="hybridMultilevel"/>
    <w:tmpl w:val="7286EC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2B29AA"/>
    <w:multiLevelType w:val="hybridMultilevel"/>
    <w:tmpl w:val="362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61AB7"/>
    <w:multiLevelType w:val="hybridMultilevel"/>
    <w:tmpl w:val="32E2677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nsid w:val="762A019B"/>
    <w:multiLevelType w:val="hybridMultilevel"/>
    <w:tmpl w:val="039A91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CA1A1E"/>
    <w:multiLevelType w:val="hybridMultilevel"/>
    <w:tmpl w:val="B7501E96"/>
    <w:lvl w:ilvl="0" w:tplc="D3CCB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07FB5"/>
    <w:multiLevelType w:val="hybridMultilevel"/>
    <w:tmpl w:val="64E887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4"/>
  </w:num>
  <w:num w:numId="3">
    <w:abstractNumId w:val="7"/>
  </w:num>
  <w:num w:numId="4">
    <w:abstractNumId w:val="5"/>
  </w:num>
  <w:num w:numId="5">
    <w:abstractNumId w:val="2"/>
  </w:num>
  <w:num w:numId="6">
    <w:abstractNumId w:val="18"/>
  </w:num>
  <w:num w:numId="7">
    <w:abstractNumId w:val="25"/>
  </w:num>
  <w:num w:numId="8">
    <w:abstractNumId w:val="14"/>
  </w:num>
  <w:num w:numId="9">
    <w:abstractNumId w:val="6"/>
  </w:num>
  <w:num w:numId="10">
    <w:abstractNumId w:val="15"/>
  </w:num>
  <w:num w:numId="11">
    <w:abstractNumId w:val="17"/>
  </w:num>
  <w:num w:numId="12">
    <w:abstractNumId w:val="20"/>
  </w:num>
  <w:num w:numId="13">
    <w:abstractNumId w:val="23"/>
  </w:num>
  <w:num w:numId="14">
    <w:abstractNumId w:val="0"/>
  </w:num>
  <w:num w:numId="15">
    <w:abstractNumId w:val="9"/>
  </w:num>
  <w:num w:numId="16">
    <w:abstractNumId w:val="11"/>
  </w:num>
  <w:num w:numId="17">
    <w:abstractNumId w:val="21"/>
  </w:num>
  <w:num w:numId="18">
    <w:abstractNumId w:val="30"/>
  </w:num>
  <w:num w:numId="19">
    <w:abstractNumId w:val="27"/>
  </w:num>
  <w:num w:numId="20">
    <w:abstractNumId w:val="22"/>
  </w:num>
  <w:num w:numId="21">
    <w:abstractNumId w:val="12"/>
  </w:num>
  <w:num w:numId="22">
    <w:abstractNumId w:val="1"/>
  </w:num>
  <w:num w:numId="23">
    <w:abstractNumId w:val="3"/>
  </w:num>
  <w:num w:numId="24">
    <w:abstractNumId w:val="2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6"/>
  </w:num>
  <w:num w:numId="29">
    <w:abstractNumId w:val="19"/>
  </w:num>
  <w:num w:numId="30">
    <w:abstractNumId w:val="10"/>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5687"/>
    <w:rsid w:val="00005C14"/>
    <w:rsid w:val="0000641C"/>
    <w:rsid w:val="00011C00"/>
    <w:rsid w:val="00011D24"/>
    <w:rsid w:val="00013897"/>
    <w:rsid w:val="00013FF4"/>
    <w:rsid w:val="00015213"/>
    <w:rsid w:val="000152CA"/>
    <w:rsid w:val="00017EAF"/>
    <w:rsid w:val="00020FE1"/>
    <w:rsid w:val="00021A36"/>
    <w:rsid w:val="00022E13"/>
    <w:rsid w:val="000253E7"/>
    <w:rsid w:val="0002627A"/>
    <w:rsid w:val="00027394"/>
    <w:rsid w:val="0002796D"/>
    <w:rsid w:val="00027AAE"/>
    <w:rsid w:val="00032388"/>
    <w:rsid w:val="00032E59"/>
    <w:rsid w:val="00033208"/>
    <w:rsid w:val="0003426A"/>
    <w:rsid w:val="000347CE"/>
    <w:rsid w:val="0003506F"/>
    <w:rsid w:val="00035CE2"/>
    <w:rsid w:val="00035DDF"/>
    <w:rsid w:val="00037679"/>
    <w:rsid w:val="00037AB9"/>
    <w:rsid w:val="00037DAC"/>
    <w:rsid w:val="00044BBA"/>
    <w:rsid w:val="0004788D"/>
    <w:rsid w:val="00047CD8"/>
    <w:rsid w:val="00053981"/>
    <w:rsid w:val="00053EE5"/>
    <w:rsid w:val="0005553B"/>
    <w:rsid w:val="0005652F"/>
    <w:rsid w:val="000570D7"/>
    <w:rsid w:val="000604D2"/>
    <w:rsid w:val="00060A5B"/>
    <w:rsid w:val="00061587"/>
    <w:rsid w:val="00065241"/>
    <w:rsid w:val="00066491"/>
    <w:rsid w:val="00066C4F"/>
    <w:rsid w:val="00067312"/>
    <w:rsid w:val="000675A9"/>
    <w:rsid w:val="00070D7A"/>
    <w:rsid w:val="00071CAB"/>
    <w:rsid w:val="00074B12"/>
    <w:rsid w:val="00077010"/>
    <w:rsid w:val="00080AD1"/>
    <w:rsid w:val="00081697"/>
    <w:rsid w:val="00081E26"/>
    <w:rsid w:val="00086D45"/>
    <w:rsid w:val="00087A8F"/>
    <w:rsid w:val="0009005E"/>
    <w:rsid w:val="00090BFB"/>
    <w:rsid w:val="00090DFB"/>
    <w:rsid w:val="00093303"/>
    <w:rsid w:val="000941C5"/>
    <w:rsid w:val="000955C2"/>
    <w:rsid w:val="000971F9"/>
    <w:rsid w:val="00097549"/>
    <w:rsid w:val="000A04AC"/>
    <w:rsid w:val="000A3B0F"/>
    <w:rsid w:val="000A4857"/>
    <w:rsid w:val="000A6451"/>
    <w:rsid w:val="000B064E"/>
    <w:rsid w:val="000B0C7C"/>
    <w:rsid w:val="000B18ED"/>
    <w:rsid w:val="000B65D1"/>
    <w:rsid w:val="000B69CF"/>
    <w:rsid w:val="000B7357"/>
    <w:rsid w:val="000C16C1"/>
    <w:rsid w:val="000C1E30"/>
    <w:rsid w:val="000C5398"/>
    <w:rsid w:val="000C6DD5"/>
    <w:rsid w:val="000C788D"/>
    <w:rsid w:val="000C790C"/>
    <w:rsid w:val="000D2D6C"/>
    <w:rsid w:val="000D3AED"/>
    <w:rsid w:val="000D3D48"/>
    <w:rsid w:val="000D452C"/>
    <w:rsid w:val="000D5A7F"/>
    <w:rsid w:val="000D7A09"/>
    <w:rsid w:val="000E0223"/>
    <w:rsid w:val="000E0375"/>
    <w:rsid w:val="000E6A1E"/>
    <w:rsid w:val="000F061D"/>
    <w:rsid w:val="000F1982"/>
    <w:rsid w:val="000F4794"/>
    <w:rsid w:val="000F4C8A"/>
    <w:rsid w:val="00100EF9"/>
    <w:rsid w:val="001010FC"/>
    <w:rsid w:val="00102C2B"/>
    <w:rsid w:val="001032CB"/>
    <w:rsid w:val="00105059"/>
    <w:rsid w:val="00110138"/>
    <w:rsid w:val="00114C69"/>
    <w:rsid w:val="00115838"/>
    <w:rsid w:val="00117E30"/>
    <w:rsid w:val="00122E9E"/>
    <w:rsid w:val="00124F12"/>
    <w:rsid w:val="00131561"/>
    <w:rsid w:val="00131773"/>
    <w:rsid w:val="001326BD"/>
    <w:rsid w:val="001347F7"/>
    <w:rsid w:val="00136A48"/>
    <w:rsid w:val="00136ACE"/>
    <w:rsid w:val="00137719"/>
    <w:rsid w:val="00140F3C"/>
    <w:rsid w:val="00141024"/>
    <w:rsid w:val="001417B4"/>
    <w:rsid w:val="0014222F"/>
    <w:rsid w:val="00142604"/>
    <w:rsid w:val="00144E3A"/>
    <w:rsid w:val="00146F25"/>
    <w:rsid w:val="0015060C"/>
    <w:rsid w:val="001528E7"/>
    <w:rsid w:val="00154266"/>
    <w:rsid w:val="00155FF1"/>
    <w:rsid w:val="001579ED"/>
    <w:rsid w:val="0016018A"/>
    <w:rsid w:val="001605B5"/>
    <w:rsid w:val="00161F0E"/>
    <w:rsid w:val="00165B11"/>
    <w:rsid w:val="0016758D"/>
    <w:rsid w:val="001679AF"/>
    <w:rsid w:val="001706DF"/>
    <w:rsid w:val="00170E2A"/>
    <w:rsid w:val="001713F3"/>
    <w:rsid w:val="001717AD"/>
    <w:rsid w:val="001740F7"/>
    <w:rsid w:val="0017563B"/>
    <w:rsid w:val="00177394"/>
    <w:rsid w:val="0018224F"/>
    <w:rsid w:val="00182C18"/>
    <w:rsid w:val="001835CD"/>
    <w:rsid w:val="00183CC2"/>
    <w:rsid w:val="0018483D"/>
    <w:rsid w:val="001900E4"/>
    <w:rsid w:val="00190224"/>
    <w:rsid w:val="00190F88"/>
    <w:rsid w:val="001917DF"/>
    <w:rsid w:val="00192DDB"/>
    <w:rsid w:val="00195378"/>
    <w:rsid w:val="00197064"/>
    <w:rsid w:val="001A086B"/>
    <w:rsid w:val="001A1EE4"/>
    <w:rsid w:val="001A2E25"/>
    <w:rsid w:val="001A4066"/>
    <w:rsid w:val="001A48B2"/>
    <w:rsid w:val="001A68E2"/>
    <w:rsid w:val="001A6AE4"/>
    <w:rsid w:val="001A769D"/>
    <w:rsid w:val="001A7B2D"/>
    <w:rsid w:val="001B01FD"/>
    <w:rsid w:val="001B1A87"/>
    <w:rsid w:val="001B3C20"/>
    <w:rsid w:val="001B4A71"/>
    <w:rsid w:val="001B5D73"/>
    <w:rsid w:val="001B6D3E"/>
    <w:rsid w:val="001B6D4E"/>
    <w:rsid w:val="001C0EAC"/>
    <w:rsid w:val="001C1E10"/>
    <w:rsid w:val="001C612F"/>
    <w:rsid w:val="001D0096"/>
    <w:rsid w:val="001D166B"/>
    <w:rsid w:val="001D1780"/>
    <w:rsid w:val="001D1B8D"/>
    <w:rsid w:val="001D25B7"/>
    <w:rsid w:val="001D36B9"/>
    <w:rsid w:val="001D390F"/>
    <w:rsid w:val="001D508F"/>
    <w:rsid w:val="001D5B54"/>
    <w:rsid w:val="001D7086"/>
    <w:rsid w:val="001D79C3"/>
    <w:rsid w:val="001E1DBF"/>
    <w:rsid w:val="001E225F"/>
    <w:rsid w:val="001E3070"/>
    <w:rsid w:val="001E4639"/>
    <w:rsid w:val="001E4A7D"/>
    <w:rsid w:val="001E59E0"/>
    <w:rsid w:val="001E5F02"/>
    <w:rsid w:val="001E6D57"/>
    <w:rsid w:val="001F4209"/>
    <w:rsid w:val="001F43A8"/>
    <w:rsid w:val="001F5CD6"/>
    <w:rsid w:val="00200CC7"/>
    <w:rsid w:val="00202D9C"/>
    <w:rsid w:val="00204054"/>
    <w:rsid w:val="00204489"/>
    <w:rsid w:val="00205A40"/>
    <w:rsid w:val="00206600"/>
    <w:rsid w:val="0020681D"/>
    <w:rsid w:val="00207D26"/>
    <w:rsid w:val="00210D0B"/>
    <w:rsid w:val="0021263D"/>
    <w:rsid w:val="00213F0C"/>
    <w:rsid w:val="00214094"/>
    <w:rsid w:val="0021592D"/>
    <w:rsid w:val="00215A98"/>
    <w:rsid w:val="00220B21"/>
    <w:rsid w:val="00222D76"/>
    <w:rsid w:val="00223507"/>
    <w:rsid w:val="002237B3"/>
    <w:rsid w:val="00223EB1"/>
    <w:rsid w:val="002257D7"/>
    <w:rsid w:val="002259E6"/>
    <w:rsid w:val="00231344"/>
    <w:rsid w:val="00233198"/>
    <w:rsid w:val="0023436E"/>
    <w:rsid w:val="002347C0"/>
    <w:rsid w:val="00241A6C"/>
    <w:rsid w:val="0024252D"/>
    <w:rsid w:val="00242CD0"/>
    <w:rsid w:val="00242D2B"/>
    <w:rsid w:val="00244A4F"/>
    <w:rsid w:val="00244F3C"/>
    <w:rsid w:val="002479DC"/>
    <w:rsid w:val="00247D3C"/>
    <w:rsid w:val="00250B39"/>
    <w:rsid w:val="00250FE2"/>
    <w:rsid w:val="00251ADB"/>
    <w:rsid w:val="00251B32"/>
    <w:rsid w:val="00252AAD"/>
    <w:rsid w:val="002542DA"/>
    <w:rsid w:val="002579DF"/>
    <w:rsid w:val="00262E2B"/>
    <w:rsid w:val="00263AFB"/>
    <w:rsid w:val="002640EA"/>
    <w:rsid w:val="00264CDB"/>
    <w:rsid w:val="00270429"/>
    <w:rsid w:val="002723E9"/>
    <w:rsid w:val="00272BD0"/>
    <w:rsid w:val="00272FF4"/>
    <w:rsid w:val="00275E08"/>
    <w:rsid w:val="00276269"/>
    <w:rsid w:val="00277929"/>
    <w:rsid w:val="002818DF"/>
    <w:rsid w:val="002820A2"/>
    <w:rsid w:val="002824DE"/>
    <w:rsid w:val="00283255"/>
    <w:rsid w:val="00283876"/>
    <w:rsid w:val="00283B82"/>
    <w:rsid w:val="002840FD"/>
    <w:rsid w:val="0028469F"/>
    <w:rsid w:val="002846E9"/>
    <w:rsid w:val="00284C34"/>
    <w:rsid w:val="00286F93"/>
    <w:rsid w:val="0029066C"/>
    <w:rsid w:val="00294B19"/>
    <w:rsid w:val="00295E7E"/>
    <w:rsid w:val="00297969"/>
    <w:rsid w:val="002A1F80"/>
    <w:rsid w:val="002A2A34"/>
    <w:rsid w:val="002A2A41"/>
    <w:rsid w:val="002A3822"/>
    <w:rsid w:val="002A3E3E"/>
    <w:rsid w:val="002A50A8"/>
    <w:rsid w:val="002A50A9"/>
    <w:rsid w:val="002A6E1E"/>
    <w:rsid w:val="002A6EB1"/>
    <w:rsid w:val="002B04AE"/>
    <w:rsid w:val="002B0982"/>
    <w:rsid w:val="002B10D4"/>
    <w:rsid w:val="002B18C8"/>
    <w:rsid w:val="002B3D64"/>
    <w:rsid w:val="002B50DB"/>
    <w:rsid w:val="002C06D0"/>
    <w:rsid w:val="002C10A7"/>
    <w:rsid w:val="002C12AB"/>
    <w:rsid w:val="002C141E"/>
    <w:rsid w:val="002C1CC0"/>
    <w:rsid w:val="002C279D"/>
    <w:rsid w:val="002C5C60"/>
    <w:rsid w:val="002C69D8"/>
    <w:rsid w:val="002C7814"/>
    <w:rsid w:val="002C7CAC"/>
    <w:rsid w:val="002D2C2B"/>
    <w:rsid w:val="002D3306"/>
    <w:rsid w:val="002D3418"/>
    <w:rsid w:val="002D4244"/>
    <w:rsid w:val="002D4309"/>
    <w:rsid w:val="002D48AA"/>
    <w:rsid w:val="002D5D5A"/>
    <w:rsid w:val="002D7875"/>
    <w:rsid w:val="002D7BAA"/>
    <w:rsid w:val="002D7DC7"/>
    <w:rsid w:val="002D7F54"/>
    <w:rsid w:val="002E0356"/>
    <w:rsid w:val="002E33E1"/>
    <w:rsid w:val="002E37E7"/>
    <w:rsid w:val="002E3A07"/>
    <w:rsid w:val="002E3FF4"/>
    <w:rsid w:val="002E4126"/>
    <w:rsid w:val="002E58F6"/>
    <w:rsid w:val="002E710A"/>
    <w:rsid w:val="002F062D"/>
    <w:rsid w:val="002F1899"/>
    <w:rsid w:val="002F5A71"/>
    <w:rsid w:val="002F5FDC"/>
    <w:rsid w:val="002F7078"/>
    <w:rsid w:val="002F759C"/>
    <w:rsid w:val="002F78C8"/>
    <w:rsid w:val="003006CA"/>
    <w:rsid w:val="00301CF3"/>
    <w:rsid w:val="003032C1"/>
    <w:rsid w:val="00303F8C"/>
    <w:rsid w:val="00304034"/>
    <w:rsid w:val="003040EA"/>
    <w:rsid w:val="00304BA6"/>
    <w:rsid w:val="0030583F"/>
    <w:rsid w:val="00306656"/>
    <w:rsid w:val="0030773A"/>
    <w:rsid w:val="00314240"/>
    <w:rsid w:val="00314F24"/>
    <w:rsid w:val="00317E3A"/>
    <w:rsid w:val="00321247"/>
    <w:rsid w:val="00321258"/>
    <w:rsid w:val="0032715C"/>
    <w:rsid w:val="00334E28"/>
    <w:rsid w:val="003369B8"/>
    <w:rsid w:val="00336B3B"/>
    <w:rsid w:val="00337CA5"/>
    <w:rsid w:val="00340878"/>
    <w:rsid w:val="0034270B"/>
    <w:rsid w:val="00347F4A"/>
    <w:rsid w:val="00351F16"/>
    <w:rsid w:val="003531D2"/>
    <w:rsid w:val="00355250"/>
    <w:rsid w:val="00362478"/>
    <w:rsid w:val="0036271D"/>
    <w:rsid w:val="00363E79"/>
    <w:rsid w:val="00363EF3"/>
    <w:rsid w:val="00364AC1"/>
    <w:rsid w:val="00366878"/>
    <w:rsid w:val="00367019"/>
    <w:rsid w:val="00370332"/>
    <w:rsid w:val="003730C8"/>
    <w:rsid w:val="00375B25"/>
    <w:rsid w:val="003807FF"/>
    <w:rsid w:val="003810D8"/>
    <w:rsid w:val="0038132C"/>
    <w:rsid w:val="00381427"/>
    <w:rsid w:val="003827AA"/>
    <w:rsid w:val="00383EB3"/>
    <w:rsid w:val="00384E1B"/>
    <w:rsid w:val="00386242"/>
    <w:rsid w:val="003878A9"/>
    <w:rsid w:val="00390165"/>
    <w:rsid w:val="00390D8B"/>
    <w:rsid w:val="00393068"/>
    <w:rsid w:val="00393C30"/>
    <w:rsid w:val="00396542"/>
    <w:rsid w:val="0039685B"/>
    <w:rsid w:val="003976FE"/>
    <w:rsid w:val="00397F62"/>
    <w:rsid w:val="003A31A6"/>
    <w:rsid w:val="003A3C61"/>
    <w:rsid w:val="003A3E50"/>
    <w:rsid w:val="003A588E"/>
    <w:rsid w:val="003A6A3C"/>
    <w:rsid w:val="003A7F0C"/>
    <w:rsid w:val="003A7F79"/>
    <w:rsid w:val="003B1AAB"/>
    <w:rsid w:val="003B2B9F"/>
    <w:rsid w:val="003B426E"/>
    <w:rsid w:val="003B6404"/>
    <w:rsid w:val="003B67A2"/>
    <w:rsid w:val="003B6BD1"/>
    <w:rsid w:val="003B75A0"/>
    <w:rsid w:val="003B787E"/>
    <w:rsid w:val="003B7A19"/>
    <w:rsid w:val="003C35C6"/>
    <w:rsid w:val="003C449B"/>
    <w:rsid w:val="003C4EF9"/>
    <w:rsid w:val="003C6409"/>
    <w:rsid w:val="003D21FF"/>
    <w:rsid w:val="003D698A"/>
    <w:rsid w:val="003E3315"/>
    <w:rsid w:val="003E472D"/>
    <w:rsid w:val="003E5EB7"/>
    <w:rsid w:val="003F010A"/>
    <w:rsid w:val="003F0112"/>
    <w:rsid w:val="003F071A"/>
    <w:rsid w:val="003F160B"/>
    <w:rsid w:val="003F16C5"/>
    <w:rsid w:val="003F1E50"/>
    <w:rsid w:val="003F4D77"/>
    <w:rsid w:val="003F550F"/>
    <w:rsid w:val="003F7754"/>
    <w:rsid w:val="003F7E9E"/>
    <w:rsid w:val="00400032"/>
    <w:rsid w:val="00400B5B"/>
    <w:rsid w:val="00403825"/>
    <w:rsid w:val="004056ED"/>
    <w:rsid w:val="00405A00"/>
    <w:rsid w:val="00405DDD"/>
    <w:rsid w:val="00410246"/>
    <w:rsid w:val="00413396"/>
    <w:rsid w:val="004179DE"/>
    <w:rsid w:val="00420870"/>
    <w:rsid w:val="00423743"/>
    <w:rsid w:val="004268F6"/>
    <w:rsid w:val="004279C3"/>
    <w:rsid w:val="00427BAB"/>
    <w:rsid w:val="00427C10"/>
    <w:rsid w:val="00431F1B"/>
    <w:rsid w:val="00432422"/>
    <w:rsid w:val="00432D0C"/>
    <w:rsid w:val="0043791B"/>
    <w:rsid w:val="00440FC7"/>
    <w:rsid w:val="00441187"/>
    <w:rsid w:val="00441483"/>
    <w:rsid w:val="00441BCB"/>
    <w:rsid w:val="00443768"/>
    <w:rsid w:val="004446FC"/>
    <w:rsid w:val="004466D5"/>
    <w:rsid w:val="00446728"/>
    <w:rsid w:val="00446D59"/>
    <w:rsid w:val="0045176A"/>
    <w:rsid w:val="00451928"/>
    <w:rsid w:val="0045202F"/>
    <w:rsid w:val="00454181"/>
    <w:rsid w:val="00456332"/>
    <w:rsid w:val="00456663"/>
    <w:rsid w:val="00456A48"/>
    <w:rsid w:val="004609DA"/>
    <w:rsid w:val="00461826"/>
    <w:rsid w:val="00462363"/>
    <w:rsid w:val="0046667C"/>
    <w:rsid w:val="00467AB5"/>
    <w:rsid w:val="00467DD9"/>
    <w:rsid w:val="004704CE"/>
    <w:rsid w:val="00470B42"/>
    <w:rsid w:val="004716DD"/>
    <w:rsid w:val="004716ED"/>
    <w:rsid w:val="00471BD8"/>
    <w:rsid w:val="0047358D"/>
    <w:rsid w:val="004735D3"/>
    <w:rsid w:val="00475AF2"/>
    <w:rsid w:val="00477692"/>
    <w:rsid w:val="0047781E"/>
    <w:rsid w:val="004800F9"/>
    <w:rsid w:val="004805F3"/>
    <w:rsid w:val="00480910"/>
    <w:rsid w:val="004831FD"/>
    <w:rsid w:val="0048341B"/>
    <w:rsid w:val="00484F81"/>
    <w:rsid w:val="0048541B"/>
    <w:rsid w:val="00485A7D"/>
    <w:rsid w:val="00486FDD"/>
    <w:rsid w:val="00490620"/>
    <w:rsid w:val="0049134A"/>
    <w:rsid w:val="00491694"/>
    <w:rsid w:val="004918A5"/>
    <w:rsid w:val="004942C6"/>
    <w:rsid w:val="00494343"/>
    <w:rsid w:val="004A188C"/>
    <w:rsid w:val="004A33D1"/>
    <w:rsid w:val="004A414D"/>
    <w:rsid w:val="004A53F8"/>
    <w:rsid w:val="004A58CB"/>
    <w:rsid w:val="004B1795"/>
    <w:rsid w:val="004B56DD"/>
    <w:rsid w:val="004B5A9A"/>
    <w:rsid w:val="004B5B0C"/>
    <w:rsid w:val="004B628A"/>
    <w:rsid w:val="004B6B4A"/>
    <w:rsid w:val="004B7392"/>
    <w:rsid w:val="004C020F"/>
    <w:rsid w:val="004C1A2F"/>
    <w:rsid w:val="004C1AFD"/>
    <w:rsid w:val="004C46A8"/>
    <w:rsid w:val="004C46EB"/>
    <w:rsid w:val="004C49D2"/>
    <w:rsid w:val="004C558B"/>
    <w:rsid w:val="004C7A0E"/>
    <w:rsid w:val="004D3A0D"/>
    <w:rsid w:val="004D492F"/>
    <w:rsid w:val="004D526B"/>
    <w:rsid w:val="004D564C"/>
    <w:rsid w:val="004D5C7F"/>
    <w:rsid w:val="004D7223"/>
    <w:rsid w:val="004E248E"/>
    <w:rsid w:val="004E2E8D"/>
    <w:rsid w:val="004E62F2"/>
    <w:rsid w:val="004E6B0C"/>
    <w:rsid w:val="004E6B86"/>
    <w:rsid w:val="004F1F88"/>
    <w:rsid w:val="004F28A8"/>
    <w:rsid w:val="004F304C"/>
    <w:rsid w:val="004F3B5E"/>
    <w:rsid w:val="004F4EE4"/>
    <w:rsid w:val="004F5F1B"/>
    <w:rsid w:val="00501501"/>
    <w:rsid w:val="0050200D"/>
    <w:rsid w:val="00502374"/>
    <w:rsid w:val="005026E7"/>
    <w:rsid w:val="005037C5"/>
    <w:rsid w:val="0050519E"/>
    <w:rsid w:val="005060A1"/>
    <w:rsid w:val="005068D0"/>
    <w:rsid w:val="00506F1D"/>
    <w:rsid w:val="0051005B"/>
    <w:rsid w:val="0051401D"/>
    <w:rsid w:val="005156F3"/>
    <w:rsid w:val="00516072"/>
    <w:rsid w:val="00516191"/>
    <w:rsid w:val="00517BD2"/>
    <w:rsid w:val="00527517"/>
    <w:rsid w:val="00530649"/>
    <w:rsid w:val="0053070D"/>
    <w:rsid w:val="00530A94"/>
    <w:rsid w:val="00531404"/>
    <w:rsid w:val="005332EC"/>
    <w:rsid w:val="00534418"/>
    <w:rsid w:val="005353AB"/>
    <w:rsid w:val="00535E98"/>
    <w:rsid w:val="00536656"/>
    <w:rsid w:val="00536B82"/>
    <w:rsid w:val="00537A45"/>
    <w:rsid w:val="00537BBC"/>
    <w:rsid w:val="00540E6A"/>
    <w:rsid w:val="00541C43"/>
    <w:rsid w:val="00544253"/>
    <w:rsid w:val="005447D3"/>
    <w:rsid w:val="005542A6"/>
    <w:rsid w:val="00554F08"/>
    <w:rsid w:val="00555391"/>
    <w:rsid w:val="005560BC"/>
    <w:rsid w:val="0055710F"/>
    <w:rsid w:val="005573BE"/>
    <w:rsid w:val="0056123C"/>
    <w:rsid w:val="00561D6A"/>
    <w:rsid w:val="00562633"/>
    <w:rsid w:val="00564746"/>
    <w:rsid w:val="00567066"/>
    <w:rsid w:val="00567A27"/>
    <w:rsid w:val="00567BAF"/>
    <w:rsid w:val="00570147"/>
    <w:rsid w:val="00572700"/>
    <w:rsid w:val="005739B0"/>
    <w:rsid w:val="00574941"/>
    <w:rsid w:val="00580468"/>
    <w:rsid w:val="0058121F"/>
    <w:rsid w:val="00582231"/>
    <w:rsid w:val="005826AC"/>
    <w:rsid w:val="00582C3D"/>
    <w:rsid w:val="00583F9F"/>
    <w:rsid w:val="00586015"/>
    <w:rsid w:val="0058603B"/>
    <w:rsid w:val="00587D60"/>
    <w:rsid w:val="00592642"/>
    <w:rsid w:val="005932B9"/>
    <w:rsid w:val="00593888"/>
    <w:rsid w:val="00594229"/>
    <w:rsid w:val="0059431B"/>
    <w:rsid w:val="005A1515"/>
    <w:rsid w:val="005A36A8"/>
    <w:rsid w:val="005A38C3"/>
    <w:rsid w:val="005A39CC"/>
    <w:rsid w:val="005A414F"/>
    <w:rsid w:val="005A44ED"/>
    <w:rsid w:val="005A4ADC"/>
    <w:rsid w:val="005A5FEF"/>
    <w:rsid w:val="005A6055"/>
    <w:rsid w:val="005B0D8F"/>
    <w:rsid w:val="005B4730"/>
    <w:rsid w:val="005B7AD5"/>
    <w:rsid w:val="005C0006"/>
    <w:rsid w:val="005C08EA"/>
    <w:rsid w:val="005C08F8"/>
    <w:rsid w:val="005C3513"/>
    <w:rsid w:val="005C3A2E"/>
    <w:rsid w:val="005C3CCC"/>
    <w:rsid w:val="005C3EA2"/>
    <w:rsid w:val="005C5472"/>
    <w:rsid w:val="005C6979"/>
    <w:rsid w:val="005D27DE"/>
    <w:rsid w:val="005D75C6"/>
    <w:rsid w:val="005E05D7"/>
    <w:rsid w:val="005E0A94"/>
    <w:rsid w:val="005E32AE"/>
    <w:rsid w:val="005E41E7"/>
    <w:rsid w:val="005E42EF"/>
    <w:rsid w:val="005E450F"/>
    <w:rsid w:val="005E6E9C"/>
    <w:rsid w:val="005F0C0D"/>
    <w:rsid w:val="005F126D"/>
    <w:rsid w:val="005F3D9B"/>
    <w:rsid w:val="005F43FE"/>
    <w:rsid w:val="005F5FD1"/>
    <w:rsid w:val="005F6B10"/>
    <w:rsid w:val="006059E5"/>
    <w:rsid w:val="006135BC"/>
    <w:rsid w:val="00615472"/>
    <w:rsid w:val="006161B7"/>
    <w:rsid w:val="00616C55"/>
    <w:rsid w:val="00621BB2"/>
    <w:rsid w:val="00621D28"/>
    <w:rsid w:val="0062298A"/>
    <w:rsid w:val="00622BB8"/>
    <w:rsid w:val="006234FA"/>
    <w:rsid w:val="00625C4A"/>
    <w:rsid w:val="00626514"/>
    <w:rsid w:val="00626589"/>
    <w:rsid w:val="00626D9F"/>
    <w:rsid w:val="00627C9A"/>
    <w:rsid w:val="00627E97"/>
    <w:rsid w:val="00630F37"/>
    <w:rsid w:val="00632064"/>
    <w:rsid w:val="006325EE"/>
    <w:rsid w:val="006339A0"/>
    <w:rsid w:val="00634105"/>
    <w:rsid w:val="0063479E"/>
    <w:rsid w:val="00635282"/>
    <w:rsid w:val="00635554"/>
    <w:rsid w:val="006378D9"/>
    <w:rsid w:val="00637F83"/>
    <w:rsid w:val="00640460"/>
    <w:rsid w:val="006408AC"/>
    <w:rsid w:val="006413A8"/>
    <w:rsid w:val="00641C69"/>
    <w:rsid w:val="00641ECC"/>
    <w:rsid w:val="00642E56"/>
    <w:rsid w:val="00644238"/>
    <w:rsid w:val="006447FA"/>
    <w:rsid w:val="00651E00"/>
    <w:rsid w:val="006538D4"/>
    <w:rsid w:val="00654E1E"/>
    <w:rsid w:val="00655110"/>
    <w:rsid w:val="00657C15"/>
    <w:rsid w:val="0066093B"/>
    <w:rsid w:val="00660B67"/>
    <w:rsid w:val="00661D25"/>
    <w:rsid w:val="00664480"/>
    <w:rsid w:val="0067170E"/>
    <w:rsid w:val="0067221A"/>
    <w:rsid w:val="00674572"/>
    <w:rsid w:val="00681EEB"/>
    <w:rsid w:val="006830A1"/>
    <w:rsid w:val="0068383E"/>
    <w:rsid w:val="00687763"/>
    <w:rsid w:val="00692B0D"/>
    <w:rsid w:val="00692E1D"/>
    <w:rsid w:val="00693C78"/>
    <w:rsid w:val="00693E0E"/>
    <w:rsid w:val="00694CC4"/>
    <w:rsid w:val="00695BB7"/>
    <w:rsid w:val="00695FA6"/>
    <w:rsid w:val="0069644E"/>
    <w:rsid w:val="006A1AE3"/>
    <w:rsid w:val="006A388B"/>
    <w:rsid w:val="006A5712"/>
    <w:rsid w:val="006A65BF"/>
    <w:rsid w:val="006A73C1"/>
    <w:rsid w:val="006B042F"/>
    <w:rsid w:val="006B3243"/>
    <w:rsid w:val="006B37E9"/>
    <w:rsid w:val="006B44C3"/>
    <w:rsid w:val="006B6062"/>
    <w:rsid w:val="006C1E3C"/>
    <w:rsid w:val="006C30E1"/>
    <w:rsid w:val="006C3DE1"/>
    <w:rsid w:val="006C4607"/>
    <w:rsid w:val="006C69C3"/>
    <w:rsid w:val="006D028C"/>
    <w:rsid w:val="006D0440"/>
    <w:rsid w:val="006D0922"/>
    <w:rsid w:val="006D0AA9"/>
    <w:rsid w:val="006D178B"/>
    <w:rsid w:val="006D2766"/>
    <w:rsid w:val="006D36A7"/>
    <w:rsid w:val="006D45B8"/>
    <w:rsid w:val="006D48F1"/>
    <w:rsid w:val="006D7CDA"/>
    <w:rsid w:val="006D7E24"/>
    <w:rsid w:val="006E3164"/>
    <w:rsid w:val="006E5AF5"/>
    <w:rsid w:val="006E6B3E"/>
    <w:rsid w:val="006E7399"/>
    <w:rsid w:val="006F0F87"/>
    <w:rsid w:val="006F45BE"/>
    <w:rsid w:val="007004FC"/>
    <w:rsid w:val="00702F34"/>
    <w:rsid w:val="00705108"/>
    <w:rsid w:val="00706663"/>
    <w:rsid w:val="00706670"/>
    <w:rsid w:val="00710D2A"/>
    <w:rsid w:val="00711F59"/>
    <w:rsid w:val="00713D8B"/>
    <w:rsid w:val="0071610A"/>
    <w:rsid w:val="0071649C"/>
    <w:rsid w:val="00720FFC"/>
    <w:rsid w:val="00721237"/>
    <w:rsid w:val="0072417C"/>
    <w:rsid w:val="007319F1"/>
    <w:rsid w:val="007339B4"/>
    <w:rsid w:val="00734450"/>
    <w:rsid w:val="00740BB7"/>
    <w:rsid w:val="00741006"/>
    <w:rsid w:val="00745C2C"/>
    <w:rsid w:val="00745F67"/>
    <w:rsid w:val="00747CA2"/>
    <w:rsid w:val="0075039E"/>
    <w:rsid w:val="00751757"/>
    <w:rsid w:val="00751EA0"/>
    <w:rsid w:val="00752D9D"/>
    <w:rsid w:val="00754784"/>
    <w:rsid w:val="007565B1"/>
    <w:rsid w:val="007569CD"/>
    <w:rsid w:val="007575E6"/>
    <w:rsid w:val="00757C6E"/>
    <w:rsid w:val="007601E8"/>
    <w:rsid w:val="00762BDA"/>
    <w:rsid w:val="00765346"/>
    <w:rsid w:val="007665CF"/>
    <w:rsid w:val="007676EC"/>
    <w:rsid w:val="007736F1"/>
    <w:rsid w:val="00773C4A"/>
    <w:rsid w:val="00774AE2"/>
    <w:rsid w:val="007805FD"/>
    <w:rsid w:val="00780D6C"/>
    <w:rsid w:val="00783474"/>
    <w:rsid w:val="007839BC"/>
    <w:rsid w:val="00784422"/>
    <w:rsid w:val="0079000A"/>
    <w:rsid w:val="00790C6F"/>
    <w:rsid w:val="00793C37"/>
    <w:rsid w:val="00794662"/>
    <w:rsid w:val="0079519B"/>
    <w:rsid w:val="007964D6"/>
    <w:rsid w:val="00796DA2"/>
    <w:rsid w:val="007A2008"/>
    <w:rsid w:val="007A28B9"/>
    <w:rsid w:val="007A3846"/>
    <w:rsid w:val="007A3BCF"/>
    <w:rsid w:val="007A4B2A"/>
    <w:rsid w:val="007A4E59"/>
    <w:rsid w:val="007A5B7B"/>
    <w:rsid w:val="007A5D08"/>
    <w:rsid w:val="007A632D"/>
    <w:rsid w:val="007A66D8"/>
    <w:rsid w:val="007A6C00"/>
    <w:rsid w:val="007B291F"/>
    <w:rsid w:val="007B2CEB"/>
    <w:rsid w:val="007B3B54"/>
    <w:rsid w:val="007B3FA0"/>
    <w:rsid w:val="007B4BC6"/>
    <w:rsid w:val="007B7EDF"/>
    <w:rsid w:val="007C0F2C"/>
    <w:rsid w:val="007C26E0"/>
    <w:rsid w:val="007C2BCC"/>
    <w:rsid w:val="007C35B2"/>
    <w:rsid w:val="007C4EF0"/>
    <w:rsid w:val="007C6A6E"/>
    <w:rsid w:val="007D099D"/>
    <w:rsid w:val="007D6264"/>
    <w:rsid w:val="007D7BA1"/>
    <w:rsid w:val="007E1C9B"/>
    <w:rsid w:val="007E2664"/>
    <w:rsid w:val="007E32FC"/>
    <w:rsid w:val="007E3ABF"/>
    <w:rsid w:val="007E404A"/>
    <w:rsid w:val="007E44C5"/>
    <w:rsid w:val="007E4B51"/>
    <w:rsid w:val="007E5BFA"/>
    <w:rsid w:val="007E6689"/>
    <w:rsid w:val="007E731C"/>
    <w:rsid w:val="007F058C"/>
    <w:rsid w:val="007F0A03"/>
    <w:rsid w:val="007F2F05"/>
    <w:rsid w:val="007F3782"/>
    <w:rsid w:val="007F7EAD"/>
    <w:rsid w:val="00800A2B"/>
    <w:rsid w:val="008025D9"/>
    <w:rsid w:val="00810040"/>
    <w:rsid w:val="00813181"/>
    <w:rsid w:val="00816A08"/>
    <w:rsid w:val="00817F1C"/>
    <w:rsid w:val="008201D2"/>
    <w:rsid w:val="0082023A"/>
    <w:rsid w:val="00821163"/>
    <w:rsid w:val="00821701"/>
    <w:rsid w:val="00821A7A"/>
    <w:rsid w:val="0082461C"/>
    <w:rsid w:val="008253F8"/>
    <w:rsid w:val="00826B74"/>
    <w:rsid w:val="00826C67"/>
    <w:rsid w:val="00826F98"/>
    <w:rsid w:val="008271F2"/>
    <w:rsid w:val="008325E4"/>
    <w:rsid w:val="00832A2B"/>
    <w:rsid w:val="0083777F"/>
    <w:rsid w:val="00842B02"/>
    <w:rsid w:val="0084313B"/>
    <w:rsid w:val="008433E8"/>
    <w:rsid w:val="00843A2D"/>
    <w:rsid w:val="00845811"/>
    <w:rsid w:val="00846994"/>
    <w:rsid w:val="00847023"/>
    <w:rsid w:val="00850451"/>
    <w:rsid w:val="00851848"/>
    <w:rsid w:val="00852042"/>
    <w:rsid w:val="00852A5F"/>
    <w:rsid w:val="008534C9"/>
    <w:rsid w:val="0085599D"/>
    <w:rsid w:val="00855FF4"/>
    <w:rsid w:val="0086148D"/>
    <w:rsid w:val="00863AB0"/>
    <w:rsid w:val="008646CD"/>
    <w:rsid w:val="0087510C"/>
    <w:rsid w:val="0088169B"/>
    <w:rsid w:val="00881B09"/>
    <w:rsid w:val="00881B32"/>
    <w:rsid w:val="00882EA8"/>
    <w:rsid w:val="00884C3E"/>
    <w:rsid w:val="0088685F"/>
    <w:rsid w:val="00890442"/>
    <w:rsid w:val="008908E3"/>
    <w:rsid w:val="0089138A"/>
    <w:rsid w:val="00893E73"/>
    <w:rsid w:val="00895A88"/>
    <w:rsid w:val="008968D2"/>
    <w:rsid w:val="0089738E"/>
    <w:rsid w:val="008A47C6"/>
    <w:rsid w:val="008A6D36"/>
    <w:rsid w:val="008A7658"/>
    <w:rsid w:val="008B4465"/>
    <w:rsid w:val="008B4A5E"/>
    <w:rsid w:val="008B4E7E"/>
    <w:rsid w:val="008B5DCC"/>
    <w:rsid w:val="008B5FDB"/>
    <w:rsid w:val="008B6B16"/>
    <w:rsid w:val="008C2F07"/>
    <w:rsid w:val="008C342E"/>
    <w:rsid w:val="008C3CAF"/>
    <w:rsid w:val="008C50F4"/>
    <w:rsid w:val="008C5649"/>
    <w:rsid w:val="008C585B"/>
    <w:rsid w:val="008C60FF"/>
    <w:rsid w:val="008D0698"/>
    <w:rsid w:val="008D3C69"/>
    <w:rsid w:val="008D7153"/>
    <w:rsid w:val="008E0350"/>
    <w:rsid w:val="008E16E4"/>
    <w:rsid w:val="008E33B5"/>
    <w:rsid w:val="008E3BE6"/>
    <w:rsid w:val="008E3FC1"/>
    <w:rsid w:val="008E44A2"/>
    <w:rsid w:val="008E596C"/>
    <w:rsid w:val="008E697D"/>
    <w:rsid w:val="008E6A47"/>
    <w:rsid w:val="008E6F0C"/>
    <w:rsid w:val="008F1A6E"/>
    <w:rsid w:val="008F2155"/>
    <w:rsid w:val="008F31C4"/>
    <w:rsid w:val="008F444F"/>
    <w:rsid w:val="008F6857"/>
    <w:rsid w:val="008F6A1F"/>
    <w:rsid w:val="008F7811"/>
    <w:rsid w:val="0090179E"/>
    <w:rsid w:val="0090267E"/>
    <w:rsid w:val="00903263"/>
    <w:rsid w:val="009032AB"/>
    <w:rsid w:val="009039A1"/>
    <w:rsid w:val="00903A2E"/>
    <w:rsid w:val="00903D0B"/>
    <w:rsid w:val="00904019"/>
    <w:rsid w:val="00906A21"/>
    <w:rsid w:val="009079C3"/>
    <w:rsid w:val="00910462"/>
    <w:rsid w:val="00912468"/>
    <w:rsid w:val="00913C1F"/>
    <w:rsid w:val="009145CD"/>
    <w:rsid w:val="00915AB1"/>
    <w:rsid w:val="00917532"/>
    <w:rsid w:val="00917600"/>
    <w:rsid w:val="009202D1"/>
    <w:rsid w:val="0092043E"/>
    <w:rsid w:val="00920E7B"/>
    <w:rsid w:val="00922565"/>
    <w:rsid w:val="00922F68"/>
    <w:rsid w:val="009235BA"/>
    <w:rsid w:val="00924023"/>
    <w:rsid w:val="00924CE2"/>
    <w:rsid w:val="00925B9F"/>
    <w:rsid w:val="009271A0"/>
    <w:rsid w:val="0093026B"/>
    <w:rsid w:val="009309EB"/>
    <w:rsid w:val="0093141C"/>
    <w:rsid w:val="00931AED"/>
    <w:rsid w:val="00936A42"/>
    <w:rsid w:val="0093784B"/>
    <w:rsid w:val="00937EA6"/>
    <w:rsid w:val="0094168F"/>
    <w:rsid w:val="00942466"/>
    <w:rsid w:val="00942CB9"/>
    <w:rsid w:val="00944315"/>
    <w:rsid w:val="00945766"/>
    <w:rsid w:val="009476A3"/>
    <w:rsid w:val="0095334F"/>
    <w:rsid w:val="0095423D"/>
    <w:rsid w:val="00956C8B"/>
    <w:rsid w:val="00960FDF"/>
    <w:rsid w:val="0096103B"/>
    <w:rsid w:val="00961604"/>
    <w:rsid w:val="009656DE"/>
    <w:rsid w:val="00965897"/>
    <w:rsid w:val="00966C1A"/>
    <w:rsid w:val="0096765C"/>
    <w:rsid w:val="00967848"/>
    <w:rsid w:val="009714D2"/>
    <w:rsid w:val="009727E4"/>
    <w:rsid w:val="00974C05"/>
    <w:rsid w:val="00977250"/>
    <w:rsid w:val="00977CC8"/>
    <w:rsid w:val="0098020D"/>
    <w:rsid w:val="0098169C"/>
    <w:rsid w:val="009816B0"/>
    <w:rsid w:val="00983B2A"/>
    <w:rsid w:val="009864BB"/>
    <w:rsid w:val="00987060"/>
    <w:rsid w:val="0098773B"/>
    <w:rsid w:val="00987B16"/>
    <w:rsid w:val="00992E99"/>
    <w:rsid w:val="009934C5"/>
    <w:rsid w:val="009945B8"/>
    <w:rsid w:val="00994C0F"/>
    <w:rsid w:val="009A0027"/>
    <w:rsid w:val="009A3062"/>
    <w:rsid w:val="009A33ED"/>
    <w:rsid w:val="009A4848"/>
    <w:rsid w:val="009A60A2"/>
    <w:rsid w:val="009B118C"/>
    <w:rsid w:val="009B22D7"/>
    <w:rsid w:val="009B23A7"/>
    <w:rsid w:val="009B2A92"/>
    <w:rsid w:val="009B4270"/>
    <w:rsid w:val="009B4C85"/>
    <w:rsid w:val="009B5D4B"/>
    <w:rsid w:val="009B6C8A"/>
    <w:rsid w:val="009B72ED"/>
    <w:rsid w:val="009C0480"/>
    <w:rsid w:val="009C30E0"/>
    <w:rsid w:val="009C5659"/>
    <w:rsid w:val="009C6DEB"/>
    <w:rsid w:val="009C7EB0"/>
    <w:rsid w:val="009D1953"/>
    <w:rsid w:val="009D27A6"/>
    <w:rsid w:val="009D27D5"/>
    <w:rsid w:val="009D3B8A"/>
    <w:rsid w:val="009D44D1"/>
    <w:rsid w:val="009D4EF6"/>
    <w:rsid w:val="009D5BA5"/>
    <w:rsid w:val="009D62BB"/>
    <w:rsid w:val="009D6504"/>
    <w:rsid w:val="009E12D7"/>
    <w:rsid w:val="009E159A"/>
    <w:rsid w:val="009E242E"/>
    <w:rsid w:val="009E2AAB"/>
    <w:rsid w:val="009E4BD1"/>
    <w:rsid w:val="009E5294"/>
    <w:rsid w:val="009E661A"/>
    <w:rsid w:val="009E6C0C"/>
    <w:rsid w:val="009E7BF1"/>
    <w:rsid w:val="009F0513"/>
    <w:rsid w:val="009F1276"/>
    <w:rsid w:val="009F2577"/>
    <w:rsid w:val="009F30B3"/>
    <w:rsid w:val="009F4FB6"/>
    <w:rsid w:val="009F5710"/>
    <w:rsid w:val="009F5B2E"/>
    <w:rsid w:val="009F7D7D"/>
    <w:rsid w:val="00A010D5"/>
    <w:rsid w:val="00A01B80"/>
    <w:rsid w:val="00A020A9"/>
    <w:rsid w:val="00A03455"/>
    <w:rsid w:val="00A05E77"/>
    <w:rsid w:val="00A06077"/>
    <w:rsid w:val="00A06720"/>
    <w:rsid w:val="00A06781"/>
    <w:rsid w:val="00A07175"/>
    <w:rsid w:val="00A074C3"/>
    <w:rsid w:val="00A07BB1"/>
    <w:rsid w:val="00A07BC4"/>
    <w:rsid w:val="00A100ED"/>
    <w:rsid w:val="00A10201"/>
    <w:rsid w:val="00A102CE"/>
    <w:rsid w:val="00A13261"/>
    <w:rsid w:val="00A1367E"/>
    <w:rsid w:val="00A1509C"/>
    <w:rsid w:val="00A16E58"/>
    <w:rsid w:val="00A174AD"/>
    <w:rsid w:val="00A230DA"/>
    <w:rsid w:val="00A238AE"/>
    <w:rsid w:val="00A249B9"/>
    <w:rsid w:val="00A25625"/>
    <w:rsid w:val="00A26187"/>
    <w:rsid w:val="00A31F77"/>
    <w:rsid w:val="00A33787"/>
    <w:rsid w:val="00A34260"/>
    <w:rsid w:val="00A34753"/>
    <w:rsid w:val="00A40CEE"/>
    <w:rsid w:val="00A4189D"/>
    <w:rsid w:val="00A43390"/>
    <w:rsid w:val="00A50051"/>
    <w:rsid w:val="00A513CA"/>
    <w:rsid w:val="00A51DC7"/>
    <w:rsid w:val="00A51E31"/>
    <w:rsid w:val="00A523F9"/>
    <w:rsid w:val="00A53272"/>
    <w:rsid w:val="00A55300"/>
    <w:rsid w:val="00A5547B"/>
    <w:rsid w:val="00A5579D"/>
    <w:rsid w:val="00A6048E"/>
    <w:rsid w:val="00A6070A"/>
    <w:rsid w:val="00A60EA3"/>
    <w:rsid w:val="00A648A4"/>
    <w:rsid w:val="00A65338"/>
    <w:rsid w:val="00A665FA"/>
    <w:rsid w:val="00A667DD"/>
    <w:rsid w:val="00A70CFD"/>
    <w:rsid w:val="00A726AC"/>
    <w:rsid w:val="00A7289D"/>
    <w:rsid w:val="00A72A0B"/>
    <w:rsid w:val="00A72CAB"/>
    <w:rsid w:val="00A75219"/>
    <w:rsid w:val="00A75F47"/>
    <w:rsid w:val="00A77110"/>
    <w:rsid w:val="00A778CE"/>
    <w:rsid w:val="00A7797B"/>
    <w:rsid w:val="00A77DBB"/>
    <w:rsid w:val="00A77F80"/>
    <w:rsid w:val="00A8123C"/>
    <w:rsid w:val="00A81E42"/>
    <w:rsid w:val="00A82F8D"/>
    <w:rsid w:val="00A864FE"/>
    <w:rsid w:val="00A86F41"/>
    <w:rsid w:val="00A8776B"/>
    <w:rsid w:val="00A87D04"/>
    <w:rsid w:val="00A94F48"/>
    <w:rsid w:val="00A950C5"/>
    <w:rsid w:val="00A95777"/>
    <w:rsid w:val="00A969E4"/>
    <w:rsid w:val="00A96FA5"/>
    <w:rsid w:val="00AA0FA1"/>
    <w:rsid w:val="00AA16DE"/>
    <w:rsid w:val="00AA1BF0"/>
    <w:rsid w:val="00AA1D25"/>
    <w:rsid w:val="00AA2D6D"/>
    <w:rsid w:val="00AA3377"/>
    <w:rsid w:val="00AA400F"/>
    <w:rsid w:val="00AA48D2"/>
    <w:rsid w:val="00AA718B"/>
    <w:rsid w:val="00AA7311"/>
    <w:rsid w:val="00AB2516"/>
    <w:rsid w:val="00AB2B1A"/>
    <w:rsid w:val="00AB31F2"/>
    <w:rsid w:val="00AB397F"/>
    <w:rsid w:val="00AB4680"/>
    <w:rsid w:val="00AB5832"/>
    <w:rsid w:val="00AB6D93"/>
    <w:rsid w:val="00AB7CAC"/>
    <w:rsid w:val="00AC19C6"/>
    <w:rsid w:val="00AC3127"/>
    <w:rsid w:val="00AC51F2"/>
    <w:rsid w:val="00AC74F6"/>
    <w:rsid w:val="00AD104F"/>
    <w:rsid w:val="00AD3269"/>
    <w:rsid w:val="00AD3936"/>
    <w:rsid w:val="00AD64BC"/>
    <w:rsid w:val="00AE0B4B"/>
    <w:rsid w:val="00AE5066"/>
    <w:rsid w:val="00AE5E24"/>
    <w:rsid w:val="00AE61B7"/>
    <w:rsid w:val="00AE6CBA"/>
    <w:rsid w:val="00AE79AD"/>
    <w:rsid w:val="00AF10B5"/>
    <w:rsid w:val="00AF23BF"/>
    <w:rsid w:val="00AF2549"/>
    <w:rsid w:val="00AF2A63"/>
    <w:rsid w:val="00AF35E4"/>
    <w:rsid w:val="00AF578D"/>
    <w:rsid w:val="00AF5CDE"/>
    <w:rsid w:val="00AF6A09"/>
    <w:rsid w:val="00AF7DE6"/>
    <w:rsid w:val="00B032F8"/>
    <w:rsid w:val="00B07024"/>
    <w:rsid w:val="00B11A57"/>
    <w:rsid w:val="00B12EB8"/>
    <w:rsid w:val="00B13E50"/>
    <w:rsid w:val="00B211C3"/>
    <w:rsid w:val="00B24719"/>
    <w:rsid w:val="00B25597"/>
    <w:rsid w:val="00B25658"/>
    <w:rsid w:val="00B267B9"/>
    <w:rsid w:val="00B26E02"/>
    <w:rsid w:val="00B270CC"/>
    <w:rsid w:val="00B277F3"/>
    <w:rsid w:val="00B3123E"/>
    <w:rsid w:val="00B3152E"/>
    <w:rsid w:val="00B32521"/>
    <w:rsid w:val="00B336A7"/>
    <w:rsid w:val="00B33E09"/>
    <w:rsid w:val="00B36ECE"/>
    <w:rsid w:val="00B40D37"/>
    <w:rsid w:val="00B4248B"/>
    <w:rsid w:val="00B4441E"/>
    <w:rsid w:val="00B45326"/>
    <w:rsid w:val="00B4656B"/>
    <w:rsid w:val="00B46573"/>
    <w:rsid w:val="00B47C20"/>
    <w:rsid w:val="00B50708"/>
    <w:rsid w:val="00B50C68"/>
    <w:rsid w:val="00B50D7A"/>
    <w:rsid w:val="00B51293"/>
    <w:rsid w:val="00B52488"/>
    <w:rsid w:val="00B52A64"/>
    <w:rsid w:val="00B52B1E"/>
    <w:rsid w:val="00B54828"/>
    <w:rsid w:val="00B55481"/>
    <w:rsid w:val="00B56C32"/>
    <w:rsid w:val="00B56D61"/>
    <w:rsid w:val="00B57ACF"/>
    <w:rsid w:val="00B608B5"/>
    <w:rsid w:val="00B61E4D"/>
    <w:rsid w:val="00B64429"/>
    <w:rsid w:val="00B64BB1"/>
    <w:rsid w:val="00B71F79"/>
    <w:rsid w:val="00B7276F"/>
    <w:rsid w:val="00B73166"/>
    <w:rsid w:val="00B73464"/>
    <w:rsid w:val="00B73D56"/>
    <w:rsid w:val="00B74B4B"/>
    <w:rsid w:val="00B75363"/>
    <w:rsid w:val="00B75739"/>
    <w:rsid w:val="00B80E5A"/>
    <w:rsid w:val="00B8426C"/>
    <w:rsid w:val="00B84642"/>
    <w:rsid w:val="00B84F95"/>
    <w:rsid w:val="00B85104"/>
    <w:rsid w:val="00B86462"/>
    <w:rsid w:val="00B9193F"/>
    <w:rsid w:val="00B91B8D"/>
    <w:rsid w:val="00B9499A"/>
    <w:rsid w:val="00B94DCE"/>
    <w:rsid w:val="00B94E90"/>
    <w:rsid w:val="00B952A3"/>
    <w:rsid w:val="00B96157"/>
    <w:rsid w:val="00B96487"/>
    <w:rsid w:val="00B9736C"/>
    <w:rsid w:val="00BA0F23"/>
    <w:rsid w:val="00BA13D6"/>
    <w:rsid w:val="00BA2162"/>
    <w:rsid w:val="00BA4FFB"/>
    <w:rsid w:val="00BA569A"/>
    <w:rsid w:val="00BA64D3"/>
    <w:rsid w:val="00BA72E2"/>
    <w:rsid w:val="00BA7CAD"/>
    <w:rsid w:val="00BB09A4"/>
    <w:rsid w:val="00BB0A82"/>
    <w:rsid w:val="00BB0D88"/>
    <w:rsid w:val="00BB15A4"/>
    <w:rsid w:val="00BB4CB6"/>
    <w:rsid w:val="00BB7AF1"/>
    <w:rsid w:val="00BB7C94"/>
    <w:rsid w:val="00BC0A9D"/>
    <w:rsid w:val="00BC54D5"/>
    <w:rsid w:val="00BD02BB"/>
    <w:rsid w:val="00BD0971"/>
    <w:rsid w:val="00BD0F53"/>
    <w:rsid w:val="00BD3D8C"/>
    <w:rsid w:val="00BD494D"/>
    <w:rsid w:val="00BD4D26"/>
    <w:rsid w:val="00BD4D48"/>
    <w:rsid w:val="00BD5012"/>
    <w:rsid w:val="00BD5A4C"/>
    <w:rsid w:val="00BD7A1F"/>
    <w:rsid w:val="00BE1763"/>
    <w:rsid w:val="00BE2312"/>
    <w:rsid w:val="00BE289E"/>
    <w:rsid w:val="00BE571F"/>
    <w:rsid w:val="00BF0AA7"/>
    <w:rsid w:val="00BF40ED"/>
    <w:rsid w:val="00BF5BC2"/>
    <w:rsid w:val="00BF6E3F"/>
    <w:rsid w:val="00BF75BE"/>
    <w:rsid w:val="00C001EF"/>
    <w:rsid w:val="00C00785"/>
    <w:rsid w:val="00C01EBF"/>
    <w:rsid w:val="00C028A1"/>
    <w:rsid w:val="00C03E0B"/>
    <w:rsid w:val="00C04939"/>
    <w:rsid w:val="00C0541A"/>
    <w:rsid w:val="00C06D23"/>
    <w:rsid w:val="00C10939"/>
    <w:rsid w:val="00C109F4"/>
    <w:rsid w:val="00C10EA6"/>
    <w:rsid w:val="00C1133D"/>
    <w:rsid w:val="00C15CCF"/>
    <w:rsid w:val="00C16414"/>
    <w:rsid w:val="00C1735C"/>
    <w:rsid w:val="00C21749"/>
    <w:rsid w:val="00C24B53"/>
    <w:rsid w:val="00C26170"/>
    <w:rsid w:val="00C27152"/>
    <w:rsid w:val="00C27A08"/>
    <w:rsid w:val="00C27BC1"/>
    <w:rsid w:val="00C31312"/>
    <w:rsid w:val="00C31E36"/>
    <w:rsid w:val="00C31E5A"/>
    <w:rsid w:val="00C326C6"/>
    <w:rsid w:val="00C32C3C"/>
    <w:rsid w:val="00C33A0C"/>
    <w:rsid w:val="00C35295"/>
    <w:rsid w:val="00C368D6"/>
    <w:rsid w:val="00C36ADD"/>
    <w:rsid w:val="00C36B68"/>
    <w:rsid w:val="00C36E74"/>
    <w:rsid w:val="00C40595"/>
    <w:rsid w:val="00C40B5A"/>
    <w:rsid w:val="00C41621"/>
    <w:rsid w:val="00C41B7C"/>
    <w:rsid w:val="00C442F7"/>
    <w:rsid w:val="00C449FA"/>
    <w:rsid w:val="00C464A8"/>
    <w:rsid w:val="00C50EA9"/>
    <w:rsid w:val="00C5355E"/>
    <w:rsid w:val="00C5384F"/>
    <w:rsid w:val="00C53D75"/>
    <w:rsid w:val="00C54A29"/>
    <w:rsid w:val="00C54C0B"/>
    <w:rsid w:val="00C54ECF"/>
    <w:rsid w:val="00C56964"/>
    <w:rsid w:val="00C614F7"/>
    <w:rsid w:val="00C61CAF"/>
    <w:rsid w:val="00C62D2B"/>
    <w:rsid w:val="00C63CF8"/>
    <w:rsid w:val="00C656D5"/>
    <w:rsid w:val="00C67103"/>
    <w:rsid w:val="00C7180E"/>
    <w:rsid w:val="00C71BB9"/>
    <w:rsid w:val="00C736FB"/>
    <w:rsid w:val="00C74DEE"/>
    <w:rsid w:val="00C75D12"/>
    <w:rsid w:val="00C80D34"/>
    <w:rsid w:val="00C819E1"/>
    <w:rsid w:val="00C82A12"/>
    <w:rsid w:val="00C84A7B"/>
    <w:rsid w:val="00C84C0C"/>
    <w:rsid w:val="00C8539C"/>
    <w:rsid w:val="00C87595"/>
    <w:rsid w:val="00C87CE3"/>
    <w:rsid w:val="00C90167"/>
    <w:rsid w:val="00C90B12"/>
    <w:rsid w:val="00C91F1B"/>
    <w:rsid w:val="00C92D86"/>
    <w:rsid w:val="00C942DC"/>
    <w:rsid w:val="00C945FA"/>
    <w:rsid w:val="00C94C28"/>
    <w:rsid w:val="00C95F30"/>
    <w:rsid w:val="00CA0909"/>
    <w:rsid w:val="00CA15AA"/>
    <w:rsid w:val="00CA42CC"/>
    <w:rsid w:val="00CA5C46"/>
    <w:rsid w:val="00CA6A2D"/>
    <w:rsid w:val="00CB0247"/>
    <w:rsid w:val="00CB0A64"/>
    <w:rsid w:val="00CB3440"/>
    <w:rsid w:val="00CB3FC2"/>
    <w:rsid w:val="00CB4084"/>
    <w:rsid w:val="00CB5A0A"/>
    <w:rsid w:val="00CB616A"/>
    <w:rsid w:val="00CC1692"/>
    <w:rsid w:val="00CC1C70"/>
    <w:rsid w:val="00CC58F5"/>
    <w:rsid w:val="00CC7AC4"/>
    <w:rsid w:val="00CD138B"/>
    <w:rsid w:val="00CD213E"/>
    <w:rsid w:val="00CD39C5"/>
    <w:rsid w:val="00CD3E31"/>
    <w:rsid w:val="00CD580E"/>
    <w:rsid w:val="00CD615D"/>
    <w:rsid w:val="00CD617D"/>
    <w:rsid w:val="00CD67D9"/>
    <w:rsid w:val="00CD7117"/>
    <w:rsid w:val="00CD74A3"/>
    <w:rsid w:val="00CE0527"/>
    <w:rsid w:val="00CE1DEE"/>
    <w:rsid w:val="00CE27C5"/>
    <w:rsid w:val="00CE2A05"/>
    <w:rsid w:val="00CE30D0"/>
    <w:rsid w:val="00CE5249"/>
    <w:rsid w:val="00CE5B23"/>
    <w:rsid w:val="00CF2486"/>
    <w:rsid w:val="00CF368E"/>
    <w:rsid w:val="00CF3924"/>
    <w:rsid w:val="00CF55C3"/>
    <w:rsid w:val="00CF573B"/>
    <w:rsid w:val="00CF57CC"/>
    <w:rsid w:val="00CF70AD"/>
    <w:rsid w:val="00CF7729"/>
    <w:rsid w:val="00D00059"/>
    <w:rsid w:val="00D009CE"/>
    <w:rsid w:val="00D02F34"/>
    <w:rsid w:val="00D0317B"/>
    <w:rsid w:val="00D03FB6"/>
    <w:rsid w:val="00D0487F"/>
    <w:rsid w:val="00D06BC9"/>
    <w:rsid w:val="00D10323"/>
    <w:rsid w:val="00D107FA"/>
    <w:rsid w:val="00D11555"/>
    <w:rsid w:val="00D12275"/>
    <w:rsid w:val="00D12766"/>
    <w:rsid w:val="00D12AB6"/>
    <w:rsid w:val="00D14601"/>
    <w:rsid w:val="00D20E4E"/>
    <w:rsid w:val="00D20FF4"/>
    <w:rsid w:val="00D212D8"/>
    <w:rsid w:val="00D22B0E"/>
    <w:rsid w:val="00D23674"/>
    <w:rsid w:val="00D236F5"/>
    <w:rsid w:val="00D23C88"/>
    <w:rsid w:val="00D24D2C"/>
    <w:rsid w:val="00D27903"/>
    <w:rsid w:val="00D3110F"/>
    <w:rsid w:val="00D32514"/>
    <w:rsid w:val="00D34B3F"/>
    <w:rsid w:val="00D35881"/>
    <w:rsid w:val="00D36717"/>
    <w:rsid w:val="00D36916"/>
    <w:rsid w:val="00D36A86"/>
    <w:rsid w:val="00D37162"/>
    <w:rsid w:val="00D442BD"/>
    <w:rsid w:val="00D44A23"/>
    <w:rsid w:val="00D479AF"/>
    <w:rsid w:val="00D47FA2"/>
    <w:rsid w:val="00D5162A"/>
    <w:rsid w:val="00D51855"/>
    <w:rsid w:val="00D518A0"/>
    <w:rsid w:val="00D51F5D"/>
    <w:rsid w:val="00D5341E"/>
    <w:rsid w:val="00D5531D"/>
    <w:rsid w:val="00D55399"/>
    <w:rsid w:val="00D55859"/>
    <w:rsid w:val="00D56DF2"/>
    <w:rsid w:val="00D56FFF"/>
    <w:rsid w:val="00D57189"/>
    <w:rsid w:val="00D64E30"/>
    <w:rsid w:val="00D666EA"/>
    <w:rsid w:val="00D67979"/>
    <w:rsid w:val="00D70292"/>
    <w:rsid w:val="00D71E21"/>
    <w:rsid w:val="00D724EF"/>
    <w:rsid w:val="00D73C93"/>
    <w:rsid w:val="00D75D81"/>
    <w:rsid w:val="00D77B6F"/>
    <w:rsid w:val="00D805F0"/>
    <w:rsid w:val="00D83214"/>
    <w:rsid w:val="00D83E21"/>
    <w:rsid w:val="00D8677A"/>
    <w:rsid w:val="00D901A0"/>
    <w:rsid w:val="00D920E7"/>
    <w:rsid w:val="00D92B1B"/>
    <w:rsid w:val="00D96476"/>
    <w:rsid w:val="00D96A3D"/>
    <w:rsid w:val="00DA4245"/>
    <w:rsid w:val="00DA4823"/>
    <w:rsid w:val="00DA4BFD"/>
    <w:rsid w:val="00DA5018"/>
    <w:rsid w:val="00DA65BD"/>
    <w:rsid w:val="00DA664C"/>
    <w:rsid w:val="00DA75C9"/>
    <w:rsid w:val="00DA78A7"/>
    <w:rsid w:val="00DA7DA5"/>
    <w:rsid w:val="00DB0440"/>
    <w:rsid w:val="00DB073B"/>
    <w:rsid w:val="00DB264F"/>
    <w:rsid w:val="00DB4494"/>
    <w:rsid w:val="00DB7308"/>
    <w:rsid w:val="00DB78F0"/>
    <w:rsid w:val="00DC0CEA"/>
    <w:rsid w:val="00DC1A5E"/>
    <w:rsid w:val="00DC2E43"/>
    <w:rsid w:val="00DC34AC"/>
    <w:rsid w:val="00DC3988"/>
    <w:rsid w:val="00DC452E"/>
    <w:rsid w:val="00DC55A3"/>
    <w:rsid w:val="00DC764D"/>
    <w:rsid w:val="00DD095C"/>
    <w:rsid w:val="00DD0A7A"/>
    <w:rsid w:val="00DD1020"/>
    <w:rsid w:val="00DD1330"/>
    <w:rsid w:val="00DD28E0"/>
    <w:rsid w:val="00DD3231"/>
    <w:rsid w:val="00DD4D8C"/>
    <w:rsid w:val="00DE0B83"/>
    <w:rsid w:val="00DE0D0F"/>
    <w:rsid w:val="00DE1A81"/>
    <w:rsid w:val="00DE1C13"/>
    <w:rsid w:val="00DE2677"/>
    <w:rsid w:val="00DE4D02"/>
    <w:rsid w:val="00DE4E10"/>
    <w:rsid w:val="00DE7083"/>
    <w:rsid w:val="00DE7949"/>
    <w:rsid w:val="00DF1190"/>
    <w:rsid w:val="00DF1FE4"/>
    <w:rsid w:val="00DF1FE5"/>
    <w:rsid w:val="00DF4689"/>
    <w:rsid w:val="00DF6797"/>
    <w:rsid w:val="00DF6A1A"/>
    <w:rsid w:val="00DF7256"/>
    <w:rsid w:val="00DF7678"/>
    <w:rsid w:val="00E0158A"/>
    <w:rsid w:val="00E0204B"/>
    <w:rsid w:val="00E02ABF"/>
    <w:rsid w:val="00E02DF6"/>
    <w:rsid w:val="00E03A48"/>
    <w:rsid w:val="00E052B0"/>
    <w:rsid w:val="00E053CB"/>
    <w:rsid w:val="00E0557E"/>
    <w:rsid w:val="00E14995"/>
    <w:rsid w:val="00E166B0"/>
    <w:rsid w:val="00E16AD4"/>
    <w:rsid w:val="00E179CD"/>
    <w:rsid w:val="00E23250"/>
    <w:rsid w:val="00E232AD"/>
    <w:rsid w:val="00E23E8D"/>
    <w:rsid w:val="00E246E3"/>
    <w:rsid w:val="00E25061"/>
    <w:rsid w:val="00E253EB"/>
    <w:rsid w:val="00E27791"/>
    <w:rsid w:val="00E30E9F"/>
    <w:rsid w:val="00E311A3"/>
    <w:rsid w:val="00E31ED1"/>
    <w:rsid w:val="00E3380A"/>
    <w:rsid w:val="00E34E97"/>
    <w:rsid w:val="00E35C14"/>
    <w:rsid w:val="00E35C5D"/>
    <w:rsid w:val="00E37F98"/>
    <w:rsid w:val="00E4607F"/>
    <w:rsid w:val="00E46559"/>
    <w:rsid w:val="00E46FC3"/>
    <w:rsid w:val="00E51E76"/>
    <w:rsid w:val="00E531A7"/>
    <w:rsid w:val="00E534A5"/>
    <w:rsid w:val="00E56207"/>
    <w:rsid w:val="00E62175"/>
    <w:rsid w:val="00E621AB"/>
    <w:rsid w:val="00E64C21"/>
    <w:rsid w:val="00E65A4F"/>
    <w:rsid w:val="00E6664A"/>
    <w:rsid w:val="00E6670C"/>
    <w:rsid w:val="00E67CE4"/>
    <w:rsid w:val="00E70E26"/>
    <w:rsid w:val="00E710C2"/>
    <w:rsid w:val="00E72B47"/>
    <w:rsid w:val="00E73909"/>
    <w:rsid w:val="00E73C6E"/>
    <w:rsid w:val="00E744B2"/>
    <w:rsid w:val="00E74522"/>
    <w:rsid w:val="00E776E8"/>
    <w:rsid w:val="00E82F09"/>
    <w:rsid w:val="00E83AD7"/>
    <w:rsid w:val="00E83F7E"/>
    <w:rsid w:val="00E86F8E"/>
    <w:rsid w:val="00E876B4"/>
    <w:rsid w:val="00E87D28"/>
    <w:rsid w:val="00E901D1"/>
    <w:rsid w:val="00E92331"/>
    <w:rsid w:val="00E92C1F"/>
    <w:rsid w:val="00E92E89"/>
    <w:rsid w:val="00E95D4B"/>
    <w:rsid w:val="00E97E42"/>
    <w:rsid w:val="00EA20A7"/>
    <w:rsid w:val="00EA20DE"/>
    <w:rsid w:val="00EA3061"/>
    <w:rsid w:val="00EA36C4"/>
    <w:rsid w:val="00EA4BC8"/>
    <w:rsid w:val="00EA4CA5"/>
    <w:rsid w:val="00EA5176"/>
    <w:rsid w:val="00EA6728"/>
    <w:rsid w:val="00EA76B8"/>
    <w:rsid w:val="00EA7CB6"/>
    <w:rsid w:val="00EB011C"/>
    <w:rsid w:val="00EB0D3C"/>
    <w:rsid w:val="00EB199F"/>
    <w:rsid w:val="00EB2CCC"/>
    <w:rsid w:val="00EB442E"/>
    <w:rsid w:val="00EB5186"/>
    <w:rsid w:val="00EC1612"/>
    <w:rsid w:val="00EC1C84"/>
    <w:rsid w:val="00EC23F7"/>
    <w:rsid w:val="00EC2464"/>
    <w:rsid w:val="00EC4BD8"/>
    <w:rsid w:val="00EC5C53"/>
    <w:rsid w:val="00EC5CA8"/>
    <w:rsid w:val="00EC63EB"/>
    <w:rsid w:val="00EC65E7"/>
    <w:rsid w:val="00ED0A59"/>
    <w:rsid w:val="00ED23A9"/>
    <w:rsid w:val="00ED2F0E"/>
    <w:rsid w:val="00ED3684"/>
    <w:rsid w:val="00ED412F"/>
    <w:rsid w:val="00ED5B8D"/>
    <w:rsid w:val="00ED7CF7"/>
    <w:rsid w:val="00EE20B3"/>
    <w:rsid w:val="00EE513E"/>
    <w:rsid w:val="00EF0186"/>
    <w:rsid w:val="00EF0B43"/>
    <w:rsid w:val="00EF0E3C"/>
    <w:rsid w:val="00EF1191"/>
    <w:rsid w:val="00EF1DA7"/>
    <w:rsid w:val="00EF25B8"/>
    <w:rsid w:val="00EF2A15"/>
    <w:rsid w:val="00EF36B2"/>
    <w:rsid w:val="00EF5800"/>
    <w:rsid w:val="00EF77F9"/>
    <w:rsid w:val="00F01D31"/>
    <w:rsid w:val="00F04B06"/>
    <w:rsid w:val="00F068C5"/>
    <w:rsid w:val="00F071A3"/>
    <w:rsid w:val="00F1231C"/>
    <w:rsid w:val="00F1246B"/>
    <w:rsid w:val="00F16CC4"/>
    <w:rsid w:val="00F17B35"/>
    <w:rsid w:val="00F17D73"/>
    <w:rsid w:val="00F201EC"/>
    <w:rsid w:val="00F208A9"/>
    <w:rsid w:val="00F2102F"/>
    <w:rsid w:val="00F22CAF"/>
    <w:rsid w:val="00F23C30"/>
    <w:rsid w:val="00F23DB4"/>
    <w:rsid w:val="00F240C1"/>
    <w:rsid w:val="00F24139"/>
    <w:rsid w:val="00F30532"/>
    <w:rsid w:val="00F314E8"/>
    <w:rsid w:val="00F32157"/>
    <w:rsid w:val="00F3294C"/>
    <w:rsid w:val="00F32FCD"/>
    <w:rsid w:val="00F37796"/>
    <w:rsid w:val="00F41D75"/>
    <w:rsid w:val="00F45823"/>
    <w:rsid w:val="00F45C02"/>
    <w:rsid w:val="00F508C7"/>
    <w:rsid w:val="00F5139D"/>
    <w:rsid w:val="00F52D22"/>
    <w:rsid w:val="00F5498A"/>
    <w:rsid w:val="00F55314"/>
    <w:rsid w:val="00F55977"/>
    <w:rsid w:val="00F55ED3"/>
    <w:rsid w:val="00F55F75"/>
    <w:rsid w:val="00F5770B"/>
    <w:rsid w:val="00F60BCF"/>
    <w:rsid w:val="00F61A7A"/>
    <w:rsid w:val="00F62F43"/>
    <w:rsid w:val="00F63DAC"/>
    <w:rsid w:val="00F64A42"/>
    <w:rsid w:val="00F64F55"/>
    <w:rsid w:val="00F66DA3"/>
    <w:rsid w:val="00F71B07"/>
    <w:rsid w:val="00F72621"/>
    <w:rsid w:val="00F74326"/>
    <w:rsid w:val="00F7454F"/>
    <w:rsid w:val="00F745ED"/>
    <w:rsid w:val="00F74C18"/>
    <w:rsid w:val="00F7650A"/>
    <w:rsid w:val="00F77511"/>
    <w:rsid w:val="00F77988"/>
    <w:rsid w:val="00F77F48"/>
    <w:rsid w:val="00F81BFC"/>
    <w:rsid w:val="00F82C24"/>
    <w:rsid w:val="00F82F1D"/>
    <w:rsid w:val="00F82FD3"/>
    <w:rsid w:val="00F846BB"/>
    <w:rsid w:val="00F873CF"/>
    <w:rsid w:val="00F91513"/>
    <w:rsid w:val="00F95719"/>
    <w:rsid w:val="00F95CD2"/>
    <w:rsid w:val="00F96528"/>
    <w:rsid w:val="00F96858"/>
    <w:rsid w:val="00FA0FD5"/>
    <w:rsid w:val="00FA268E"/>
    <w:rsid w:val="00FA4226"/>
    <w:rsid w:val="00FA68F1"/>
    <w:rsid w:val="00FA6DD0"/>
    <w:rsid w:val="00FB2217"/>
    <w:rsid w:val="00FB23FF"/>
    <w:rsid w:val="00FB2B33"/>
    <w:rsid w:val="00FB30F1"/>
    <w:rsid w:val="00FB331B"/>
    <w:rsid w:val="00FB35AC"/>
    <w:rsid w:val="00FB37FF"/>
    <w:rsid w:val="00FB3AD8"/>
    <w:rsid w:val="00FB53E7"/>
    <w:rsid w:val="00FB55B8"/>
    <w:rsid w:val="00FB5BAF"/>
    <w:rsid w:val="00FB69DD"/>
    <w:rsid w:val="00FB6EF1"/>
    <w:rsid w:val="00FB73F9"/>
    <w:rsid w:val="00FC14DF"/>
    <w:rsid w:val="00FC4820"/>
    <w:rsid w:val="00FC6881"/>
    <w:rsid w:val="00FD226B"/>
    <w:rsid w:val="00FD2A8A"/>
    <w:rsid w:val="00FD2EC4"/>
    <w:rsid w:val="00FD2EF5"/>
    <w:rsid w:val="00FD39C3"/>
    <w:rsid w:val="00FD3C92"/>
    <w:rsid w:val="00FD415A"/>
    <w:rsid w:val="00FD46D6"/>
    <w:rsid w:val="00FD5301"/>
    <w:rsid w:val="00FD6909"/>
    <w:rsid w:val="00FE2265"/>
    <w:rsid w:val="00FE2C4E"/>
    <w:rsid w:val="00FE2FEB"/>
    <w:rsid w:val="00FE38A3"/>
    <w:rsid w:val="00FE3C23"/>
    <w:rsid w:val="00FE4973"/>
    <w:rsid w:val="00FE4B5F"/>
    <w:rsid w:val="00FE58D5"/>
    <w:rsid w:val="00FE5A2C"/>
    <w:rsid w:val="00FF3C53"/>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6372D"/>
  <w15:docId w15:val="{3F42A411-39E8-4B0C-8C15-9D69ED34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ga.avotin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2.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5.xml><?xml version="1.0" encoding="utf-8"?>
<ds:datastoreItem xmlns:ds="http://schemas.openxmlformats.org/officeDocument/2006/customXml" ds:itemID="{84CBC9AE-FB51-48FC-8AC0-A1F4D18C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10329</Words>
  <Characters>5889</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Azartspēļu un izložu likumā”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16186</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I.Avotiņa</dc:creator>
  <dc:description>Inga.Avotina@fm.gov.lv_x000d_
67095515</dc:description>
  <cp:lastModifiedBy>Finanšu ministrija</cp:lastModifiedBy>
  <cp:revision>37</cp:revision>
  <cp:lastPrinted>2015-07-30T10:51:00Z</cp:lastPrinted>
  <dcterms:created xsi:type="dcterms:W3CDTF">2015-07-17T10:54:00Z</dcterms:created>
  <dcterms:modified xsi:type="dcterms:W3CDTF">2015-08-24T13:28:00Z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