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FD9F3" w14:textId="77777777" w:rsidR="00522B62" w:rsidRPr="003D3369" w:rsidRDefault="00BB09C5" w:rsidP="004F55B5">
      <w:pPr>
        <w:pStyle w:val="BodyText"/>
        <w:rPr>
          <w:b/>
          <w:sz w:val="20"/>
        </w:rPr>
      </w:pPr>
      <w:bookmarkStart w:id="0" w:name="OLE_LINK3"/>
      <w:bookmarkStart w:id="1" w:name="OLE_LINK1"/>
      <w:bookmarkStart w:id="2" w:name="OLE_LINK2"/>
      <w:bookmarkStart w:id="3" w:name="_GoBack"/>
      <w:bookmarkEnd w:id="3"/>
      <w:r w:rsidRPr="003D3369">
        <w:rPr>
          <w:b/>
          <w:sz w:val="20"/>
        </w:rPr>
        <w:t xml:space="preserve">Ministru kabineta </w:t>
      </w:r>
      <w:r w:rsidR="00C83591" w:rsidRPr="003D3369">
        <w:rPr>
          <w:b/>
          <w:sz w:val="20"/>
        </w:rPr>
        <w:t>noteikumu</w:t>
      </w:r>
      <w:r w:rsidR="001764E7" w:rsidRPr="003D3369">
        <w:rPr>
          <w:b/>
          <w:sz w:val="20"/>
        </w:rPr>
        <w:t xml:space="preserve"> </w:t>
      </w:r>
      <w:r w:rsidRPr="003D3369">
        <w:rPr>
          <w:b/>
          <w:sz w:val="20"/>
        </w:rPr>
        <w:t xml:space="preserve">projekta </w:t>
      </w:r>
      <w:r w:rsidR="00CF44CB" w:rsidRPr="003D3369">
        <w:rPr>
          <w:b/>
          <w:sz w:val="20"/>
        </w:rPr>
        <w:t xml:space="preserve">„Grozījumi Ministru kabineta 2011.gada 6.septembra noteikumos Nr.694 „Noteikumi par darbības programmas „Cilvēkresursi un nodarbinātība” papildinājuma 1.6.1.1.aktivitātes „Programmas vadības un atbalsta funkciju nodrošināšana”, darbības programmas „Uzņēmējdarbība un inovācijas” papildinājuma 2.4.1.1.aktivitātes „Programmas vadības un atbalsta funkciju nodrošināšana”, darbības programmas „Infrastruktūra un pakalpojumi” papildinājuma 3.7.1.1.aktivitātes „Programmas vadības un atbalsta funkciju nodrošināšana” un 3.8.1.1.aktivitātes „Programmas vadības un atbalsta funkciju nodrošināšana” projektu iesniegumu atlases otro kārtu”” </w:t>
      </w:r>
      <w:r w:rsidR="003000F0" w:rsidRPr="003D3369">
        <w:rPr>
          <w:b/>
          <w:sz w:val="20"/>
        </w:rPr>
        <w:t xml:space="preserve">sākotnējās ietekmes novērtējuma </w:t>
      </w:r>
      <w:smartTag w:uri="schemas-tilde-lv/tildestengine" w:element="veidnes">
        <w:smartTagPr>
          <w:attr w:name="text" w:val="ziņojums"/>
          <w:attr w:name="baseform" w:val="ziņojums"/>
          <w:attr w:name="id" w:val="-1"/>
        </w:smartTagPr>
        <w:r w:rsidR="003000F0" w:rsidRPr="003D3369">
          <w:rPr>
            <w:b/>
            <w:sz w:val="20"/>
          </w:rPr>
          <w:t>ziņojums</w:t>
        </w:r>
      </w:smartTag>
      <w:r w:rsidR="00E73425" w:rsidRPr="003D3369">
        <w:rPr>
          <w:b/>
          <w:sz w:val="20"/>
        </w:rPr>
        <w:t xml:space="preserve"> </w:t>
      </w:r>
      <w:r w:rsidR="003000F0" w:rsidRPr="003D3369">
        <w:rPr>
          <w:b/>
          <w:sz w:val="20"/>
        </w:rPr>
        <w:t>(</w:t>
      </w:r>
      <w:r w:rsidR="00E73425" w:rsidRPr="003D3369">
        <w:rPr>
          <w:b/>
          <w:sz w:val="20"/>
        </w:rPr>
        <w:t>anotācija</w:t>
      </w:r>
      <w:r w:rsidR="003000F0" w:rsidRPr="003D3369">
        <w:rPr>
          <w:b/>
          <w:sz w:val="20"/>
        </w:rPr>
        <w:t>)</w:t>
      </w:r>
    </w:p>
    <w:p w14:paraId="3D192AF3" w14:textId="77777777" w:rsidR="00B84C4B" w:rsidRPr="003D3369" w:rsidRDefault="00B84C4B" w:rsidP="00F22471">
      <w:pPr>
        <w:pStyle w:val="BodyText"/>
        <w:jc w:val="center"/>
        <w:rPr>
          <w:b/>
          <w:sz w:val="20"/>
        </w:rPr>
      </w:pPr>
    </w:p>
    <w:tbl>
      <w:tblPr>
        <w:tblStyle w:val="TableGrid"/>
        <w:tblW w:w="8946" w:type="dxa"/>
        <w:tblLayout w:type="fixed"/>
        <w:tblLook w:val="04A0" w:firstRow="1" w:lastRow="0" w:firstColumn="1" w:lastColumn="0" w:noHBand="0" w:noVBand="1"/>
      </w:tblPr>
      <w:tblGrid>
        <w:gridCol w:w="299"/>
        <w:gridCol w:w="1843"/>
        <w:gridCol w:w="6804"/>
      </w:tblGrid>
      <w:tr w:rsidR="00A31FDC" w:rsidRPr="001671DD" w14:paraId="2EECDD68" w14:textId="77777777" w:rsidTr="0056050A">
        <w:trPr>
          <w:trHeight w:val="141"/>
        </w:trPr>
        <w:tc>
          <w:tcPr>
            <w:tcW w:w="8946" w:type="dxa"/>
            <w:gridSpan w:val="3"/>
          </w:tcPr>
          <w:bookmarkEnd w:id="0"/>
          <w:bookmarkEnd w:id="1"/>
          <w:bookmarkEnd w:id="2"/>
          <w:p w14:paraId="099186CB" w14:textId="77777777" w:rsidR="00A31FDC" w:rsidRPr="003D3369" w:rsidRDefault="00A31FDC" w:rsidP="00F22471">
            <w:pPr>
              <w:ind w:firstLine="720"/>
              <w:jc w:val="both"/>
              <w:rPr>
                <w:rFonts w:eastAsia="Times New Roman"/>
                <w:b/>
                <w:lang w:val="lv-LV" w:eastAsia="lv-LV"/>
              </w:rPr>
            </w:pPr>
            <w:r w:rsidRPr="003D3369">
              <w:rPr>
                <w:rFonts w:eastAsia="Times New Roman"/>
                <w:b/>
                <w:lang w:val="lv-LV" w:eastAsia="lv-LV"/>
              </w:rPr>
              <w:t>I.Tiesību akta projekta izstrādes nepieciešamība</w:t>
            </w:r>
          </w:p>
        </w:tc>
      </w:tr>
      <w:tr w:rsidR="00A31FDC" w:rsidRPr="001671DD" w14:paraId="698F80EF" w14:textId="77777777" w:rsidTr="0056050A">
        <w:trPr>
          <w:trHeight w:val="141"/>
        </w:trPr>
        <w:tc>
          <w:tcPr>
            <w:tcW w:w="299" w:type="dxa"/>
          </w:tcPr>
          <w:p w14:paraId="4FF6B972" w14:textId="77777777" w:rsidR="00A31FDC" w:rsidRPr="003D3369" w:rsidRDefault="00A31FDC" w:rsidP="00F22471">
            <w:pPr>
              <w:jc w:val="both"/>
              <w:rPr>
                <w:rFonts w:eastAsia="Times New Roman"/>
                <w:lang w:val="lv-LV" w:eastAsia="lv-LV"/>
              </w:rPr>
            </w:pPr>
            <w:r w:rsidRPr="003D3369">
              <w:rPr>
                <w:rFonts w:eastAsia="Times New Roman"/>
                <w:lang w:val="lv-LV" w:eastAsia="lv-LV"/>
              </w:rPr>
              <w:t>1.</w:t>
            </w:r>
          </w:p>
        </w:tc>
        <w:tc>
          <w:tcPr>
            <w:tcW w:w="1843" w:type="dxa"/>
            <w:hideMark/>
          </w:tcPr>
          <w:p w14:paraId="47351C03" w14:textId="77777777" w:rsidR="00A31FDC" w:rsidRPr="003D3369" w:rsidRDefault="00A31FDC" w:rsidP="00F22471">
            <w:pPr>
              <w:jc w:val="both"/>
              <w:rPr>
                <w:rFonts w:eastAsia="Times New Roman"/>
                <w:lang w:val="lv-LV" w:eastAsia="lv-LV"/>
              </w:rPr>
            </w:pPr>
            <w:r w:rsidRPr="003D3369">
              <w:rPr>
                <w:rFonts w:eastAsia="Times New Roman"/>
                <w:lang w:val="lv-LV" w:eastAsia="lv-LV"/>
              </w:rPr>
              <w:t>Pamatojums</w:t>
            </w:r>
          </w:p>
        </w:tc>
        <w:tc>
          <w:tcPr>
            <w:tcW w:w="6804" w:type="dxa"/>
            <w:hideMark/>
          </w:tcPr>
          <w:p w14:paraId="5B807182" w14:textId="77777777" w:rsidR="00B84C4B" w:rsidRPr="003D3369" w:rsidRDefault="0001626D" w:rsidP="007243A0">
            <w:pPr>
              <w:jc w:val="both"/>
              <w:rPr>
                <w:lang w:val="lv-LV"/>
              </w:rPr>
            </w:pPr>
            <w:r w:rsidRPr="003D3369">
              <w:rPr>
                <w:lang w:val="lv-LV"/>
              </w:rPr>
              <w:t>Noteikumu projekts sagatavots, pamatojoties uz</w:t>
            </w:r>
            <w:r w:rsidR="007243A0" w:rsidRPr="003D3369">
              <w:rPr>
                <w:lang w:val="lv-LV"/>
              </w:rPr>
              <w:t xml:space="preserve"> </w:t>
            </w:r>
            <w:r w:rsidRPr="003D3369">
              <w:rPr>
                <w:lang w:val="lv-LV"/>
              </w:rPr>
              <w:t>Eiropas Savienī</w:t>
            </w:r>
            <w:r w:rsidR="00340E1F" w:rsidRPr="003D3369">
              <w:rPr>
                <w:lang w:val="lv-LV"/>
              </w:rPr>
              <w:t xml:space="preserve">bas struktūrfondu un </w:t>
            </w:r>
            <w:r w:rsidRPr="003D3369">
              <w:rPr>
                <w:lang w:val="lv-LV"/>
              </w:rPr>
              <w:t>Kohēzijas fonda vad</w:t>
            </w:r>
            <w:r w:rsidR="007243A0" w:rsidRPr="003D3369">
              <w:rPr>
                <w:lang w:val="lv-LV"/>
              </w:rPr>
              <w:t>ības likuma 18.panta 10.punktu</w:t>
            </w:r>
            <w:r w:rsidR="00721401" w:rsidRPr="003D3369">
              <w:rPr>
                <w:lang w:val="lv-LV"/>
              </w:rPr>
              <w:t>.</w:t>
            </w:r>
          </w:p>
        </w:tc>
      </w:tr>
      <w:tr w:rsidR="00A31FDC" w:rsidRPr="001671DD" w14:paraId="3A43E557" w14:textId="77777777" w:rsidTr="0056050A">
        <w:trPr>
          <w:trHeight w:val="501"/>
        </w:trPr>
        <w:tc>
          <w:tcPr>
            <w:tcW w:w="299" w:type="dxa"/>
          </w:tcPr>
          <w:p w14:paraId="41524291" w14:textId="77777777" w:rsidR="00A31FDC" w:rsidRPr="003D3369" w:rsidRDefault="00A31FDC" w:rsidP="00F22471">
            <w:pPr>
              <w:jc w:val="both"/>
              <w:rPr>
                <w:rFonts w:eastAsia="Times New Roman"/>
                <w:lang w:val="lv-LV" w:eastAsia="lv-LV"/>
              </w:rPr>
            </w:pPr>
            <w:r w:rsidRPr="003D3369">
              <w:rPr>
                <w:rFonts w:eastAsia="Times New Roman"/>
                <w:lang w:val="lv-LV" w:eastAsia="lv-LV"/>
              </w:rPr>
              <w:t>2.</w:t>
            </w:r>
          </w:p>
        </w:tc>
        <w:tc>
          <w:tcPr>
            <w:tcW w:w="1843" w:type="dxa"/>
            <w:hideMark/>
          </w:tcPr>
          <w:p w14:paraId="0BD0842E" w14:textId="77777777" w:rsidR="00A31FDC" w:rsidRPr="003D3369" w:rsidRDefault="007243A0" w:rsidP="00F22471">
            <w:pPr>
              <w:jc w:val="both"/>
              <w:rPr>
                <w:rFonts w:eastAsia="Times New Roman"/>
                <w:lang w:val="lv-LV" w:eastAsia="lv-LV"/>
              </w:rPr>
            </w:pPr>
            <w:r w:rsidRPr="003D3369">
              <w:rPr>
                <w:rFonts w:eastAsia="Times New Roman"/>
                <w:lang w:val="lv-LV" w:eastAsia="lv-LV"/>
              </w:rPr>
              <w:t>Pašreizējā situācija un problēmas, kuru risināšanai tiesību akta projekts izstrādāts, tiesiskā regulējuma mērķis un būtība</w:t>
            </w:r>
          </w:p>
        </w:tc>
        <w:tc>
          <w:tcPr>
            <w:tcW w:w="6804" w:type="dxa"/>
            <w:hideMark/>
          </w:tcPr>
          <w:p w14:paraId="596B8179" w14:textId="77777777" w:rsidR="002C5F68" w:rsidRPr="003D3369" w:rsidRDefault="002C5F68" w:rsidP="002C5F68">
            <w:pPr>
              <w:jc w:val="both"/>
              <w:rPr>
                <w:lang w:val="lv-LV"/>
              </w:rPr>
            </w:pPr>
            <w:r w:rsidRPr="003D3369">
              <w:rPr>
                <w:lang w:val="lv-LV"/>
              </w:rPr>
              <w:t>2012.gada 1.janvārī ir uzsākta tehniskās palīdzības (turpmāk - TP)  2. kārtas aktivitāšu īstenošana.</w:t>
            </w:r>
          </w:p>
          <w:p w14:paraId="0C52D19B" w14:textId="05F04176" w:rsidR="00514E6E" w:rsidRPr="003D3369" w:rsidRDefault="00514E6E" w:rsidP="00514E6E">
            <w:pPr>
              <w:jc w:val="both"/>
              <w:rPr>
                <w:rFonts w:eastAsia="Times New Roman"/>
                <w:lang w:val="lv-LV"/>
              </w:rPr>
            </w:pPr>
            <w:r w:rsidRPr="003D3369">
              <w:rPr>
                <w:rFonts w:eastAsia="Times New Roman"/>
                <w:lang w:val="lv-LV"/>
              </w:rPr>
              <w:t>Analizējot TP projektu finansējuma apguvi</w:t>
            </w:r>
            <w:r w:rsidR="003D3E55" w:rsidRPr="003D3369">
              <w:rPr>
                <w:rFonts w:eastAsia="Times New Roman"/>
                <w:lang w:val="lv-LV"/>
              </w:rPr>
              <w:t>,</w:t>
            </w:r>
            <w:r w:rsidRPr="003D3369">
              <w:rPr>
                <w:rFonts w:eastAsia="Times New Roman"/>
                <w:lang w:val="lv-LV"/>
              </w:rPr>
              <w:t xml:space="preserve"> Finanšu ministrija kā </w:t>
            </w:r>
            <w:r w:rsidR="00D80386" w:rsidRPr="003D3369">
              <w:rPr>
                <w:rFonts w:eastAsia="Times New Roman"/>
                <w:lang w:val="lv-LV"/>
              </w:rPr>
              <w:t>vadošā</w:t>
            </w:r>
            <w:r w:rsidRPr="003D3369">
              <w:rPr>
                <w:rFonts w:eastAsia="Times New Roman"/>
                <w:lang w:val="lv-LV"/>
              </w:rPr>
              <w:t xml:space="preserve"> iestāde </w:t>
            </w:r>
            <w:r w:rsidR="006B4516">
              <w:rPr>
                <w:rFonts w:eastAsia="Times New Roman"/>
                <w:lang w:val="lv-LV"/>
              </w:rPr>
              <w:t>2015.gada 12</w:t>
            </w:r>
            <w:r w:rsidR="00535CAB">
              <w:rPr>
                <w:rFonts w:eastAsia="Times New Roman"/>
                <w:lang w:val="lv-LV"/>
              </w:rPr>
              <w:t>.</w:t>
            </w:r>
            <w:r w:rsidR="00535CAB" w:rsidRPr="003D3369">
              <w:rPr>
                <w:rFonts w:eastAsia="Times New Roman"/>
                <w:lang w:val="lv-LV"/>
              </w:rPr>
              <w:t xml:space="preserve">maijā </w:t>
            </w:r>
            <w:r w:rsidRPr="003D3369">
              <w:rPr>
                <w:rFonts w:eastAsia="Times New Roman"/>
                <w:lang w:val="lv-LV"/>
              </w:rPr>
              <w:t>aicināja visus TP finansējuma saņēmējus apzināt pieejamo TP projekta finansējumu kopumā un izvērtēt sava TP projekta ietvaros iespējamos atlikumus, kas netiks apgūti līdz 2015</w:t>
            </w:r>
            <w:r w:rsidR="003D3E55" w:rsidRPr="003D3369">
              <w:rPr>
                <w:rFonts w:eastAsia="Times New Roman"/>
                <w:lang w:val="lv-LV"/>
              </w:rPr>
              <w:t>.gada 31.decembrim</w:t>
            </w:r>
            <w:r w:rsidRPr="003D3369">
              <w:rPr>
                <w:rFonts w:eastAsia="Times New Roman"/>
                <w:lang w:val="lv-LV"/>
              </w:rPr>
              <w:t>, tādejādi nodrošinot projekta ietvaros pieejamā finansējuma pilnīgu apgūšanu, t.sk., iespēju pārdalīt atbrīvojošos finansējumu būtiski nepieciešamiem pasākumiem.</w:t>
            </w:r>
            <w:r w:rsidR="00EC009D" w:rsidRPr="003D3369">
              <w:rPr>
                <w:rFonts w:eastAsia="Times New Roman"/>
                <w:lang w:val="lv-LV"/>
              </w:rPr>
              <w:t xml:space="preserve"> Analizējot saņemto informāciju</w:t>
            </w:r>
            <w:r w:rsidR="003D3369" w:rsidRPr="003D3369">
              <w:rPr>
                <w:rFonts w:eastAsia="Times New Roman"/>
                <w:lang w:val="lv-LV"/>
              </w:rPr>
              <w:t>,</w:t>
            </w:r>
            <w:r w:rsidR="00EC009D" w:rsidRPr="003D3369">
              <w:rPr>
                <w:rFonts w:eastAsia="Times New Roman"/>
                <w:lang w:val="lv-LV"/>
              </w:rPr>
              <w:t xml:space="preserve"> tika konstatēts brīvais finansējums (atlikumi) vairākos TP projektos, ko ir iespējams pārdalīt citiem TP finansējuma saņēmējiem.</w:t>
            </w:r>
          </w:p>
          <w:p w14:paraId="603FE832" w14:textId="3C25C67E" w:rsidR="00703EDE" w:rsidRPr="003D3369" w:rsidRDefault="00B56C7F" w:rsidP="00B56C7F">
            <w:pPr>
              <w:jc w:val="both"/>
              <w:rPr>
                <w:lang w:val="lv-LV"/>
              </w:rPr>
            </w:pPr>
            <w:r w:rsidRPr="003D3369">
              <w:rPr>
                <w:lang w:val="lv-LV"/>
              </w:rPr>
              <w:t xml:space="preserve">Vairākiem TP projektiem pieejamais finansējums ir nepietiekams projekta pabeigšanai līdz 2015.gada 31.decembrim, tāpēc, lai nodrošinātu uzsākto projektu pēctecīgu  ieviešanu un to mērķu sasniegšanu,  ir savlaicīgi jāveic TP līdzekļu pārdale no </w:t>
            </w:r>
            <w:r w:rsidR="00BD351F" w:rsidRPr="003D3369">
              <w:rPr>
                <w:lang w:val="lv-LV"/>
              </w:rPr>
              <w:t xml:space="preserve"> </w:t>
            </w:r>
            <w:r w:rsidR="00703EDE" w:rsidRPr="003D3369">
              <w:rPr>
                <w:lang w:val="lv-LV"/>
              </w:rPr>
              <w:t>iepriekš minētā iespējamā finansēj</w:t>
            </w:r>
            <w:r w:rsidR="006B4516">
              <w:rPr>
                <w:lang w:val="lv-LV"/>
              </w:rPr>
              <w:t>uma atlikuma citos TP projektos, ņemot vērā, ka projektu īstenošana ilgst līdz 2015. gada 31. decembrim.</w:t>
            </w:r>
          </w:p>
          <w:p w14:paraId="0EBBAB8C" w14:textId="64773A1F" w:rsidR="00B56C7F" w:rsidRPr="003D3369" w:rsidRDefault="004B3914" w:rsidP="00B56C7F">
            <w:pPr>
              <w:jc w:val="both"/>
              <w:rPr>
                <w:lang w:val="lv-LV"/>
              </w:rPr>
            </w:pPr>
            <w:r>
              <w:rPr>
                <w:lang w:val="lv-LV"/>
              </w:rPr>
              <w:t>Ņemot vērā, ka</w:t>
            </w:r>
            <w:r w:rsidR="00EC009D" w:rsidRPr="003D3369">
              <w:rPr>
                <w:lang w:val="lv-LV"/>
              </w:rPr>
              <w:t xml:space="preserve"> Ministru kabineta 2011.gada 6.septembra noteikumos Nr.694 „Noteikumi par darbības programmas „Cilvēkresursi un nodarbinātība” papildinājuma 1.6.1.1.aktivitātes „Programmas vadības un atbalsta funkciju nodrošināšana”, darbības programmas „Uzņēmējdarbība un inovācijas” papildinājuma 2.4.1.1.aktivitātes „Programmas vadības un atbalsta funkciju nodrošināšana”, darbības programmas „Infrastruktūra un pakalpojumi” papildinājuma 3.7.1.1.aktivitātes „Programmas vadības un atbalsta funkciju nodrošināšana” un 3.8.1.1.aktivitātes „Programmas vadības un atbalsta funkciju nodrošināšana” projektu iesniegumu atlases otro kārtu””</w:t>
            </w:r>
            <w:r w:rsidR="00EC009D" w:rsidRPr="003D3369">
              <w:rPr>
                <w:b/>
                <w:lang w:val="lv-LV"/>
              </w:rPr>
              <w:t xml:space="preserve"> </w:t>
            </w:r>
            <w:r w:rsidR="00500B5F" w:rsidRPr="003D3369">
              <w:rPr>
                <w:b/>
                <w:lang w:val="lv-LV"/>
              </w:rPr>
              <w:t>(</w:t>
            </w:r>
            <w:r w:rsidR="00500B5F" w:rsidRPr="003D3369">
              <w:rPr>
                <w:lang w:val="lv-LV"/>
              </w:rPr>
              <w:t>turpmā</w:t>
            </w:r>
            <w:r w:rsidR="00EC009D" w:rsidRPr="003D3369">
              <w:rPr>
                <w:lang w:val="lv-LV"/>
              </w:rPr>
              <w:t>k – MK noteikumi</w:t>
            </w:r>
            <w:r w:rsidR="00CA1356" w:rsidRPr="003D3369">
              <w:rPr>
                <w:lang w:val="lv-LV"/>
              </w:rPr>
              <w:t xml:space="preserve"> Nr. 694</w:t>
            </w:r>
            <w:r w:rsidR="00EC009D" w:rsidRPr="003D3369">
              <w:rPr>
                <w:lang w:val="lv-LV"/>
              </w:rPr>
              <w:t xml:space="preserve">) </w:t>
            </w:r>
            <w:r w:rsidR="00703EDE" w:rsidRPr="003D3369">
              <w:rPr>
                <w:lang w:val="lv-LV"/>
              </w:rPr>
              <w:t xml:space="preserve"> ir noteikts katra TP finansējuma saņēmēja maksimāli pieejamais finansējums, tā pārdalei citiem finansējuma saņēmējiem ir nepieciešami grozījumi MK noteikumos</w:t>
            </w:r>
            <w:r w:rsidR="00CA1356" w:rsidRPr="003D3369">
              <w:rPr>
                <w:lang w:val="lv-LV"/>
              </w:rPr>
              <w:t xml:space="preserve"> Nr. 694</w:t>
            </w:r>
            <w:r w:rsidR="00703EDE" w:rsidRPr="003D3369">
              <w:rPr>
                <w:lang w:val="lv-LV"/>
              </w:rPr>
              <w:t>.</w:t>
            </w:r>
          </w:p>
          <w:p w14:paraId="50B0C41E" w14:textId="4F606065" w:rsidR="00E12BE9" w:rsidRPr="003D3369" w:rsidRDefault="00E12BE9" w:rsidP="00E12BE9">
            <w:pPr>
              <w:jc w:val="both"/>
              <w:rPr>
                <w:lang w:val="lv-LV"/>
              </w:rPr>
            </w:pPr>
            <w:r w:rsidRPr="003D3369">
              <w:rPr>
                <w:lang w:val="lv-LV"/>
              </w:rPr>
              <w:t xml:space="preserve">Tiesiskā regulējuma mērķis ir nodrošināt efektīvu </w:t>
            </w:r>
            <w:r w:rsidR="0023241C" w:rsidRPr="003D3369">
              <w:rPr>
                <w:lang w:val="lv-LV"/>
              </w:rPr>
              <w:t>Eiropas Savienības struktūrfondu un Kohēzijas fonda (turpmāk –</w:t>
            </w:r>
            <w:r w:rsidR="0049359B">
              <w:rPr>
                <w:lang w:val="lv-LV"/>
              </w:rPr>
              <w:t xml:space="preserve"> </w:t>
            </w:r>
            <w:r w:rsidRPr="003D3369">
              <w:rPr>
                <w:lang w:val="lv-LV"/>
              </w:rPr>
              <w:t xml:space="preserve">Eiropas Savienības </w:t>
            </w:r>
            <w:r w:rsidR="0023241C" w:rsidRPr="003D3369">
              <w:rPr>
                <w:lang w:val="lv-LV"/>
              </w:rPr>
              <w:t>fond</w:t>
            </w:r>
            <w:r w:rsidR="0023241C">
              <w:rPr>
                <w:lang w:val="lv-LV"/>
              </w:rPr>
              <w:t>i)</w:t>
            </w:r>
            <w:r w:rsidR="0023241C" w:rsidRPr="003D3369">
              <w:rPr>
                <w:lang w:val="lv-LV"/>
              </w:rPr>
              <w:t xml:space="preserve"> </w:t>
            </w:r>
            <w:r w:rsidRPr="003D3369">
              <w:rPr>
                <w:lang w:val="lv-LV"/>
              </w:rPr>
              <w:t>TP aktivitāšu īstenošanu laika posmā no 2012.gada 1.janvāra līdz 2015.gada 31.decembrim. Ministru kabineta noteikumu projekts paredz:</w:t>
            </w:r>
          </w:p>
          <w:p w14:paraId="28609DD3" w14:textId="670715D4" w:rsidR="00E12BE9" w:rsidRPr="003D3369" w:rsidRDefault="00E12BE9" w:rsidP="00E12BE9">
            <w:pPr>
              <w:pStyle w:val="ListParagraph"/>
              <w:numPr>
                <w:ilvl w:val="0"/>
                <w:numId w:val="16"/>
              </w:numPr>
              <w:spacing w:before="120"/>
              <w:jc w:val="both"/>
              <w:rPr>
                <w:lang w:val="lv-LV"/>
              </w:rPr>
            </w:pPr>
            <w:r w:rsidRPr="003D3369">
              <w:rPr>
                <w:lang w:val="lv-LV"/>
              </w:rPr>
              <w:t>precizēt MK noteikumu Nr.694 8. punktu attiecībā uz TP 2.kārtai pieejamo finansējuma rezervi laika posmam no 2012.gada 1.janvāra līdz 2015.gada 31.decembrim, tādējādi saglabājot TP</w:t>
            </w:r>
            <w:r w:rsidR="004B3914">
              <w:rPr>
                <w:lang w:val="lv-LV"/>
              </w:rPr>
              <w:t xml:space="preserve"> finansējuma</w:t>
            </w:r>
            <w:r w:rsidRPr="003D3369">
              <w:rPr>
                <w:lang w:val="lv-LV"/>
              </w:rPr>
              <w:t xml:space="preserve"> saņēmējiem iespēju nepieciešamības gadījumā pretendēt uz rezerves pārdali arī nākotnē, kā prioritāti nosakot </w:t>
            </w:r>
            <w:r w:rsidR="00D80386" w:rsidRPr="003D3369">
              <w:rPr>
                <w:lang w:val="lv-LV"/>
              </w:rPr>
              <w:t xml:space="preserve">TP </w:t>
            </w:r>
            <w:r w:rsidRPr="003D3369">
              <w:rPr>
                <w:lang w:val="lv-LV"/>
              </w:rPr>
              <w:t xml:space="preserve">finansējuma saņēmēja iesaisti </w:t>
            </w:r>
            <w:r w:rsidR="00957601" w:rsidRPr="003D3369">
              <w:rPr>
                <w:lang w:val="lv-LV"/>
              </w:rPr>
              <w:t xml:space="preserve">Eiropas Savienības fondu </w:t>
            </w:r>
            <w:r w:rsidRPr="003D3369">
              <w:rPr>
                <w:lang w:val="lv-LV"/>
              </w:rPr>
              <w:t>2014. – 2020.gada plānošanas perioda</w:t>
            </w:r>
            <w:r w:rsidR="00D80386" w:rsidRPr="003D3369">
              <w:rPr>
                <w:lang w:val="lv-LV"/>
              </w:rPr>
              <w:t xml:space="preserve"> investīciju plānu </w:t>
            </w:r>
            <w:r w:rsidRPr="003D3369">
              <w:rPr>
                <w:lang w:val="lv-LV"/>
              </w:rPr>
              <w:t>sagatavošan</w:t>
            </w:r>
            <w:r w:rsidR="00CC16CB" w:rsidRPr="003D3369">
              <w:rPr>
                <w:lang w:val="lv-LV"/>
              </w:rPr>
              <w:t>ā</w:t>
            </w:r>
            <w:r w:rsidRPr="003D3369">
              <w:rPr>
                <w:lang w:val="lv-LV"/>
              </w:rPr>
              <w:t xml:space="preserve"> un </w:t>
            </w:r>
            <w:r w:rsidR="00D80386" w:rsidRPr="003D3369">
              <w:rPr>
                <w:lang w:val="lv-LV"/>
              </w:rPr>
              <w:t xml:space="preserve">ieviešanas </w:t>
            </w:r>
            <w:r w:rsidRPr="003D3369">
              <w:rPr>
                <w:lang w:val="lv-LV"/>
              </w:rPr>
              <w:t>uzsākšanā;</w:t>
            </w:r>
          </w:p>
          <w:p w14:paraId="1D9362D9" w14:textId="77777777" w:rsidR="002C5F68" w:rsidRPr="003D3369" w:rsidRDefault="00E12BE9" w:rsidP="00C946C6">
            <w:pPr>
              <w:pStyle w:val="ListParagraph"/>
              <w:numPr>
                <w:ilvl w:val="0"/>
                <w:numId w:val="16"/>
              </w:numPr>
              <w:spacing w:before="120"/>
              <w:jc w:val="both"/>
              <w:rPr>
                <w:lang w:val="lv-LV"/>
              </w:rPr>
            </w:pPr>
            <w:r w:rsidRPr="003D3369">
              <w:rPr>
                <w:lang w:val="lv-LV"/>
              </w:rPr>
              <w:t>precizēt TP aktivitāšu izdevumu deklarēšanas proporciju (MK noteikumu Nr.694 1.pielikums) un maksimāli pieejamo finansējuma apmēru projektu iesniegumu atlases 2.kārtai (MK</w:t>
            </w:r>
            <w:r w:rsidR="009239D8" w:rsidRPr="003D3369">
              <w:rPr>
                <w:lang w:val="lv-LV"/>
              </w:rPr>
              <w:t xml:space="preserve"> noteikumu Nr.694 2. pielikums).</w:t>
            </w:r>
          </w:p>
        </w:tc>
      </w:tr>
      <w:tr w:rsidR="00A31FDC" w:rsidRPr="001671DD" w14:paraId="5774616E" w14:textId="77777777" w:rsidTr="0056050A">
        <w:trPr>
          <w:trHeight w:val="352"/>
        </w:trPr>
        <w:tc>
          <w:tcPr>
            <w:tcW w:w="299" w:type="dxa"/>
          </w:tcPr>
          <w:p w14:paraId="59C21185" w14:textId="77777777" w:rsidR="00A31FDC" w:rsidRPr="003D3369" w:rsidRDefault="00A31FDC" w:rsidP="00F22471">
            <w:pPr>
              <w:jc w:val="both"/>
              <w:rPr>
                <w:rFonts w:eastAsia="Times New Roman"/>
                <w:lang w:val="lv-LV" w:eastAsia="lv-LV"/>
              </w:rPr>
            </w:pPr>
            <w:r w:rsidRPr="003D3369">
              <w:rPr>
                <w:rFonts w:eastAsia="Times New Roman"/>
                <w:lang w:val="lv-LV" w:eastAsia="lv-LV"/>
              </w:rPr>
              <w:t>3.</w:t>
            </w:r>
          </w:p>
        </w:tc>
        <w:tc>
          <w:tcPr>
            <w:tcW w:w="1843" w:type="dxa"/>
            <w:hideMark/>
          </w:tcPr>
          <w:p w14:paraId="05271022" w14:textId="77777777" w:rsidR="00A31FDC" w:rsidRPr="003D3369" w:rsidRDefault="007243A0" w:rsidP="00F22471">
            <w:pPr>
              <w:jc w:val="both"/>
              <w:rPr>
                <w:rFonts w:eastAsia="Times New Roman"/>
                <w:lang w:val="lv-LV" w:eastAsia="lv-LV"/>
              </w:rPr>
            </w:pPr>
            <w:r w:rsidRPr="003D3369">
              <w:rPr>
                <w:rFonts w:eastAsia="Times New Roman"/>
                <w:lang w:val="lv-LV" w:eastAsia="lv-LV"/>
              </w:rPr>
              <w:t>Projekta izstrādē iesaistītās institūcijas</w:t>
            </w:r>
          </w:p>
        </w:tc>
        <w:tc>
          <w:tcPr>
            <w:tcW w:w="6804" w:type="dxa"/>
            <w:hideMark/>
          </w:tcPr>
          <w:p w14:paraId="4CF46931" w14:textId="36B45A05" w:rsidR="00E12BE9" w:rsidRPr="00E56EE5" w:rsidRDefault="006A511B" w:rsidP="006B4516">
            <w:pPr>
              <w:jc w:val="both"/>
              <w:rPr>
                <w:color w:val="000000"/>
                <w:lang w:val="lv-LV"/>
              </w:rPr>
            </w:pPr>
            <w:r w:rsidRPr="003D3369">
              <w:rPr>
                <w:iCs/>
                <w:lang w:val="lv-LV"/>
              </w:rPr>
              <w:t>Finanšu ministrija</w:t>
            </w:r>
            <w:r w:rsidR="008136DD" w:rsidRPr="003D3369">
              <w:rPr>
                <w:iCs/>
                <w:lang w:val="lv-LV"/>
              </w:rPr>
              <w:t xml:space="preserve">, </w:t>
            </w:r>
            <w:r w:rsidR="004B3914">
              <w:rPr>
                <w:iCs/>
                <w:lang w:val="lv-LV"/>
              </w:rPr>
              <w:t>Labklājības</w:t>
            </w:r>
            <w:r w:rsidR="00A31FDC" w:rsidRPr="003D3369">
              <w:rPr>
                <w:color w:val="000000"/>
                <w:lang w:val="lv-LV"/>
              </w:rPr>
              <w:t xml:space="preserve"> </w:t>
            </w:r>
            <w:r w:rsidR="006B4516">
              <w:rPr>
                <w:color w:val="000000"/>
                <w:lang w:val="lv-LV"/>
              </w:rPr>
              <w:t>ministrija, Iepirkumu uzraudzības birojs</w:t>
            </w:r>
            <w:r w:rsidRPr="003D3369">
              <w:rPr>
                <w:color w:val="000000"/>
                <w:lang w:val="lv-LV"/>
              </w:rPr>
              <w:t>, Izglītības u</w:t>
            </w:r>
            <w:r w:rsidR="006B4516">
              <w:rPr>
                <w:color w:val="000000"/>
                <w:lang w:val="lv-LV"/>
              </w:rPr>
              <w:t>n zinātnes ministrija</w:t>
            </w:r>
            <w:r w:rsidRPr="003D3369">
              <w:rPr>
                <w:color w:val="000000"/>
                <w:lang w:val="lv-LV"/>
              </w:rPr>
              <w:t>, Vides aizsardzības un reģionālās attīstības ministrija, Satiksmes ministrija</w:t>
            </w:r>
            <w:r w:rsidR="00B95DB8">
              <w:rPr>
                <w:color w:val="000000"/>
                <w:lang w:val="lv-LV"/>
              </w:rPr>
              <w:t>, Ekonomikas ministrija</w:t>
            </w:r>
            <w:r w:rsidR="006B4516">
              <w:rPr>
                <w:color w:val="000000"/>
                <w:lang w:val="lv-LV"/>
              </w:rPr>
              <w:t xml:space="preserve">, Valsts reģionālās attīstības aģentūra, </w:t>
            </w:r>
            <w:r w:rsidR="006B4516">
              <w:rPr>
                <w:color w:val="000000"/>
                <w:lang w:val="lv-LV"/>
              </w:rPr>
              <w:lastRenderedPageBreak/>
              <w:t>Kultūras ministrija, Sabiedrības integrācijas fonds</w:t>
            </w:r>
            <w:r w:rsidRPr="003D3369">
              <w:rPr>
                <w:color w:val="000000"/>
                <w:lang w:val="lv-LV"/>
              </w:rPr>
              <w:t xml:space="preserve"> </w:t>
            </w:r>
            <w:r w:rsidR="004E69F2" w:rsidRPr="003D3369">
              <w:rPr>
                <w:color w:val="000000"/>
                <w:lang w:val="lv-LV"/>
              </w:rPr>
              <w:t>un Centrālā finanšu un līgumu aģentūra (turpmāk –</w:t>
            </w:r>
            <w:r w:rsidR="0037415E" w:rsidRPr="003D3369">
              <w:rPr>
                <w:color w:val="000000"/>
                <w:lang w:val="lv-LV"/>
              </w:rPr>
              <w:t xml:space="preserve"> CFLA</w:t>
            </w:r>
            <w:r w:rsidR="004E69F2" w:rsidRPr="003D3369">
              <w:rPr>
                <w:color w:val="000000"/>
                <w:lang w:val="lv-LV"/>
              </w:rPr>
              <w:t>).</w:t>
            </w:r>
          </w:p>
        </w:tc>
      </w:tr>
      <w:tr w:rsidR="00D95EF7" w:rsidRPr="001671DD" w14:paraId="16052A16" w14:textId="77777777" w:rsidTr="0056050A">
        <w:trPr>
          <w:trHeight w:val="352"/>
        </w:trPr>
        <w:tc>
          <w:tcPr>
            <w:tcW w:w="299" w:type="dxa"/>
          </w:tcPr>
          <w:p w14:paraId="26CA90A1" w14:textId="77777777" w:rsidR="00D95EF7" w:rsidRPr="003D3369" w:rsidRDefault="007243A0" w:rsidP="00F22471">
            <w:pPr>
              <w:jc w:val="both"/>
              <w:rPr>
                <w:rFonts w:eastAsia="Times New Roman"/>
                <w:lang w:val="lv-LV" w:eastAsia="lv-LV"/>
              </w:rPr>
            </w:pPr>
            <w:r w:rsidRPr="003D3369">
              <w:rPr>
                <w:rFonts w:eastAsia="Times New Roman"/>
                <w:lang w:val="lv-LV" w:eastAsia="lv-LV"/>
              </w:rPr>
              <w:lastRenderedPageBreak/>
              <w:t>4.</w:t>
            </w:r>
          </w:p>
        </w:tc>
        <w:tc>
          <w:tcPr>
            <w:tcW w:w="1843" w:type="dxa"/>
          </w:tcPr>
          <w:p w14:paraId="441B37E5" w14:textId="77777777" w:rsidR="00D95EF7" w:rsidRPr="003D3369" w:rsidRDefault="007243A0" w:rsidP="00F22471">
            <w:pPr>
              <w:jc w:val="both"/>
              <w:rPr>
                <w:rFonts w:eastAsia="Times New Roman"/>
                <w:lang w:val="lv-LV" w:eastAsia="lv-LV"/>
              </w:rPr>
            </w:pPr>
            <w:r w:rsidRPr="003D3369">
              <w:rPr>
                <w:rFonts w:eastAsia="Times New Roman"/>
                <w:lang w:val="lv-LV" w:eastAsia="lv-LV"/>
              </w:rPr>
              <w:t>Cita informācija</w:t>
            </w:r>
          </w:p>
        </w:tc>
        <w:tc>
          <w:tcPr>
            <w:tcW w:w="6804" w:type="dxa"/>
          </w:tcPr>
          <w:p w14:paraId="633C2A00" w14:textId="45C2F735" w:rsidR="0009444E" w:rsidRPr="003D3369" w:rsidRDefault="00EB6A3A" w:rsidP="00EB6A3A">
            <w:pPr>
              <w:jc w:val="both"/>
              <w:rPr>
                <w:bCs/>
                <w:lang w:val="lv-LV"/>
              </w:rPr>
            </w:pPr>
            <w:r w:rsidRPr="003D3369">
              <w:rPr>
                <w:bCs/>
                <w:lang w:val="lv-LV"/>
              </w:rPr>
              <w:t xml:space="preserve">Izstrādājot MK noteikumu Nr.694 grozījumu projektu, no TP finansējuma saņēmējiem </w:t>
            </w:r>
            <w:r w:rsidR="0009444E" w:rsidRPr="003D3369">
              <w:rPr>
                <w:bCs/>
                <w:lang w:val="lv-LV"/>
              </w:rPr>
              <w:t>tika</w:t>
            </w:r>
            <w:r w:rsidRPr="003D3369">
              <w:rPr>
                <w:bCs/>
                <w:lang w:val="lv-LV"/>
              </w:rPr>
              <w:t xml:space="preserve"> saņemti priekšlikumi TP finansējuma palielināšanai </w:t>
            </w:r>
            <w:r w:rsidR="0009444E" w:rsidRPr="003D3369">
              <w:rPr>
                <w:bCs/>
                <w:lang w:val="lv-LV"/>
              </w:rPr>
              <w:t xml:space="preserve">galvenokārt </w:t>
            </w:r>
            <w:r w:rsidR="00056370">
              <w:rPr>
                <w:bCs/>
                <w:lang w:val="lv-LV"/>
              </w:rPr>
              <w:t>atlīdzībai un un citām funkcijām saistībā ar ES fondu uzraudzību un administrēšanu</w:t>
            </w:r>
            <w:r w:rsidR="0009444E" w:rsidRPr="003D3369">
              <w:rPr>
                <w:bCs/>
                <w:lang w:val="lv-LV"/>
              </w:rPr>
              <w:t xml:space="preserve">. </w:t>
            </w:r>
            <w:r w:rsidRPr="003D3369">
              <w:rPr>
                <w:bCs/>
                <w:lang w:val="lv-LV"/>
              </w:rPr>
              <w:t>Lai nodrošinātu vienlīdzīgu un pamatotu pieeju finansējuma rezerves pārdalē</w:t>
            </w:r>
            <w:r w:rsidR="0009444E" w:rsidRPr="003D3369">
              <w:rPr>
                <w:bCs/>
                <w:lang w:val="lv-LV"/>
              </w:rPr>
              <w:t xml:space="preserve"> starp TP finansējuma saņēmējiem</w:t>
            </w:r>
            <w:r w:rsidRPr="003D3369">
              <w:rPr>
                <w:bCs/>
                <w:lang w:val="lv-LV"/>
              </w:rPr>
              <w:t>, tika analizēti un izvērtēti visi aspekti un argumenti (t.sk. apkopoti un veikti aritmētiski aprēķini)</w:t>
            </w:r>
            <w:r w:rsidR="0009444E" w:rsidRPr="003D3369">
              <w:rPr>
                <w:bCs/>
                <w:lang w:val="lv-LV"/>
              </w:rPr>
              <w:t>.</w:t>
            </w:r>
          </w:p>
          <w:p w14:paraId="16242BBA" w14:textId="77777777" w:rsidR="00EB6A3A" w:rsidRPr="003D3369" w:rsidRDefault="00EB6A3A" w:rsidP="00EB6A3A">
            <w:pPr>
              <w:jc w:val="both"/>
              <w:rPr>
                <w:bCs/>
                <w:lang w:val="lv-LV"/>
              </w:rPr>
            </w:pPr>
            <w:r w:rsidRPr="003D3369">
              <w:rPr>
                <w:bCs/>
                <w:lang w:val="lv-LV"/>
              </w:rPr>
              <w:t>Lemjot par papildu finansējuma nepieciešamību, tika analizēta informācija šādos aspektos:</w:t>
            </w:r>
          </w:p>
          <w:p w14:paraId="04AE3D5D" w14:textId="501EA08F" w:rsidR="00EB6A3A" w:rsidRPr="003D3369" w:rsidRDefault="00EB6A3A" w:rsidP="00EB6A3A">
            <w:pPr>
              <w:pStyle w:val="ListParagraph"/>
              <w:numPr>
                <w:ilvl w:val="0"/>
                <w:numId w:val="19"/>
              </w:numPr>
              <w:jc w:val="both"/>
              <w:rPr>
                <w:bCs/>
                <w:lang w:val="lv-LV"/>
              </w:rPr>
            </w:pPr>
            <w:r w:rsidRPr="003D3369">
              <w:rPr>
                <w:bCs/>
                <w:lang w:val="lv-LV"/>
              </w:rPr>
              <w:t xml:space="preserve">TP līdzekļu apguves rādītāji projektu līmenī </w:t>
            </w:r>
            <w:r w:rsidR="00056370">
              <w:rPr>
                <w:bCs/>
                <w:lang w:val="lv-LV"/>
              </w:rPr>
              <w:t>(2015</w:t>
            </w:r>
            <w:r w:rsidRPr="003D3369">
              <w:rPr>
                <w:bCs/>
                <w:lang w:val="lv-LV"/>
              </w:rPr>
              <w:t>.g</w:t>
            </w:r>
            <w:r w:rsidR="00957601" w:rsidRPr="003D3369">
              <w:rPr>
                <w:bCs/>
                <w:lang w:val="lv-LV"/>
              </w:rPr>
              <w:t xml:space="preserve">ada </w:t>
            </w:r>
            <w:r w:rsidR="00056370">
              <w:rPr>
                <w:bCs/>
                <w:lang w:val="lv-LV"/>
              </w:rPr>
              <w:t>1</w:t>
            </w:r>
            <w:r w:rsidRPr="003D3369">
              <w:rPr>
                <w:bCs/>
                <w:lang w:val="lv-LV"/>
              </w:rPr>
              <w:t>. cet.);</w:t>
            </w:r>
          </w:p>
          <w:p w14:paraId="2B74D481" w14:textId="024C32FE" w:rsidR="00EB6A3A" w:rsidRPr="003D3369" w:rsidRDefault="00EB6A3A" w:rsidP="00EB6A3A">
            <w:pPr>
              <w:pStyle w:val="ListParagraph"/>
              <w:numPr>
                <w:ilvl w:val="0"/>
                <w:numId w:val="19"/>
              </w:numPr>
              <w:jc w:val="both"/>
              <w:rPr>
                <w:bCs/>
                <w:lang w:val="lv-LV"/>
              </w:rPr>
            </w:pPr>
            <w:r w:rsidRPr="003D3369">
              <w:rPr>
                <w:bCs/>
                <w:lang w:val="lv-LV"/>
              </w:rPr>
              <w:t>va</w:t>
            </w:r>
            <w:r w:rsidR="00056370">
              <w:rPr>
                <w:bCs/>
                <w:lang w:val="lv-LV"/>
              </w:rPr>
              <w:t>lsts budžeta plāna izpilde (2015</w:t>
            </w:r>
            <w:r w:rsidRPr="003D3369">
              <w:rPr>
                <w:bCs/>
                <w:lang w:val="lv-LV"/>
              </w:rPr>
              <w:t>.g</w:t>
            </w:r>
            <w:r w:rsidR="00957601" w:rsidRPr="003D3369">
              <w:rPr>
                <w:bCs/>
                <w:lang w:val="lv-LV"/>
              </w:rPr>
              <w:t xml:space="preserve">ada </w:t>
            </w:r>
            <w:r w:rsidR="00056370">
              <w:rPr>
                <w:bCs/>
                <w:lang w:val="lv-LV"/>
              </w:rPr>
              <w:t>1</w:t>
            </w:r>
            <w:r w:rsidRPr="003D3369">
              <w:rPr>
                <w:bCs/>
                <w:lang w:val="lv-LV"/>
              </w:rPr>
              <w:t>. cet.);</w:t>
            </w:r>
          </w:p>
          <w:p w14:paraId="3C0929C9" w14:textId="77777777" w:rsidR="00EB6A3A" w:rsidRPr="003D3369" w:rsidRDefault="00EB6A3A" w:rsidP="00EB6A3A">
            <w:pPr>
              <w:pStyle w:val="ListParagraph"/>
              <w:numPr>
                <w:ilvl w:val="0"/>
                <w:numId w:val="19"/>
              </w:numPr>
              <w:jc w:val="both"/>
              <w:rPr>
                <w:bCs/>
                <w:lang w:val="lv-LV"/>
              </w:rPr>
            </w:pPr>
            <w:r w:rsidRPr="003D3369">
              <w:rPr>
                <w:bCs/>
                <w:lang w:val="lv-LV"/>
              </w:rPr>
              <w:t>institūcijas administrēto E</w:t>
            </w:r>
            <w:r w:rsidR="00957601" w:rsidRPr="003D3369">
              <w:rPr>
                <w:bCs/>
                <w:lang w:val="lv-LV"/>
              </w:rPr>
              <w:t xml:space="preserve">iropas </w:t>
            </w:r>
            <w:r w:rsidRPr="003D3369">
              <w:rPr>
                <w:bCs/>
                <w:lang w:val="lv-LV"/>
              </w:rPr>
              <w:t>S</w:t>
            </w:r>
            <w:r w:rsidR="00957601" w:rsidRPr="003D3369">
              <w:rPr>
                <w:bCs/>
                <w:lang w:val="lv-LV"/>
              </w:rPr>
              <w:t>avienības</w:t>
            </w:r>
            <w:r w:rsidRPr="003D3369">
              <w:rPr>
                <w:bCs/>
                <w:lang w:val="lv-LV"/>
              </w:rPr>
              <w:t xml:space="preserve"> fondu līdzekļu apjoms (ar un bez pieejamām virssaistībām) uz 1 darbinieku;</w:t>
            </w:r>
          </w:p>
          <w:p w14:paraId="4694E474" w14:textId="5870E2AD" w:rsidR="00EB6A3A" w:rsidRPr="003D3369" w:rsidRDefault="00EB6A3A" w:rsidP="0009444E">
            <w:pPr>
              <w:pStyle w:val="ListParagraph"/>
              <w:numPr>
                <w:ilvl w:val="0"/>
                <w:numId w:val="19"/>
              </w:numPr>
              <w:jc w:val="both"/>
              <w:rPr>
                <w:bCs/>
                <w:lang w:val="lv-LV"/>
              </w:rPr>
            </w:pPr>
            <w:r w:rsidRPr="003D3369">
              <w:rPr>
                <w:bCs/>
                <w:lang w:val="lv-LV"/>
              </w:rPr>
              <w:t>iespējas veikt izdevumu optimizēšanu konkrētos TP projektos, īpaši attiecībā uz apmācī</w:t>
            </w:r>
            <w:r w:rsidR="00566994">
              <w:rPr>
                <w:bCs/>
                <w:lang w:val="lv-LV"/>
              </w:rPr>
              <w:t>bu, publicitātes, izvērtēšanas</w:t>
            </w:r>
            <w:r w:rsidR="000D6B45" w:rsidRPr="003D3369">
              <w:rPr>
                <w:bCs/>
                <w:lang w:val="lv-LV"/>
              </w:rPr>
              <w:t>, pētījumu un metodiku izstrādes ā</w:t>
            </w:r>
            <w:r w:rsidR="003D3369">
              <w:rPr>
                <w:bCs/>
                <w:lang w:val="lv-LV"/>
              </w:rPr>
              <w:t>r</w:t>
            </w:r>
            <w:r w:rsidR="000D6B45" w:rsidRPr="003D3369">
              <w:rPr>
                <w:bCs/>
                <w:lang w:val="lv-LV"/>
              </w:rPr>
              <w:t>pakalpojumos</w:t>
            </w:r>
            <w:r w:rsidRPr="003D3369">
              <w:rPr>
                <w:bCs/>
                <w:lang w:val="lv-LV"/>
              </w:rPr>
              <w:t xml:space="preserve"> u.c. izmaksām; </w:t>
            </w:r>
          </w:p>
          <w:p w14:paraId="590D0736" w14:textId="77777777" w:rsidR="00EB6A3A" w:rsidRPr="003D3369" w:rsidRDefault="00EB6A3A" w:rsidP="00EB6A3A">
            <w:pPr>
              <w:pStyle w:val="ListParagraph"/>
              <w:numPr>
                <w:ilvl w:val="0"/>
                <w:numId w:val="19"/>
              </w:numPr>
              <w:jc w:val="both"/>
              <w:rPr>
                <w:bCs/>
                <w:lang w:val="lv-LV"/>
              </w:rPr>
            </w:pPr>
            <w:r w:rsidRPr="003D3369">
              <w:rPr>
                <w:bCs/>
                <w:lang w:val="lv-LV"/>
              </w:rPr>
              <w:t xml:space="preserve">atlīdzības palielinājuma pamatojums TP projektā un citi aspekti. </w:t>
            </w:r>
          </w:p>
          <w:p w14:paraId="63DA90FC" w14:textId="77777777" w:rsidR="0009444E" w:rsidRPr="003D3369" w:rsidRDefault="0009444E" w:rsidP="0009444E">
            <w:pPr>
              <w:pStyle w:val="ListParagraph"/>
              <w:jc w:val="both"/>
              <w:rPr>
                <w:bCs/>
                <w:lang w:val="lv-LV"/>
              </w:rPr>
            </w:pPr>
          </w:p>
          <w:p w14:paraId="52F902BD" w14:textId="7CE22916" w:rsidR="00EB6A3A" w:rsidRPr="003D3369" w:rsidRDefault="0009444E" w:rsidP="00EB6A3A">
            <w:pPr>
              <w:spacing w:after="120"/>
              <w:jc w:val="both"/>
              <w:rPr>
                <w:lang w:val="lv-LV"/>
              </w:rPr>
            </w:pPr>
            <w:r w:rsidRPr="003D3369">
              <w:rPr>
                <w:b/>
                <w:bCs/>
                <w:lang w:val="lv-LV"/>
              </w:rPr>
              <w:t>Papildu finansējuma</w:t>
            </w:r>
            <w:r w:rsidR="00EB6A3A" w:rsidRPr="003D3369">
              <w:rPr>
                <w:b/>
                <w:bCs/>
                <w:lang w:val="lv-LV"/>
              </w:rPr>
              <w:t xml:space="preserve"> pārdale attiecībā uz atlīdzību atbalstīta, </w:t>
            </w:r>
            <w:r w:rsidR="00EB6A3A" w:rsidRPr="003D3369">
              <w:rPr>
                <w:b/>
                <w:lang w:val="lv-LV"/>
              </w:rPr>
              <w:t xml:space="preserve">uzsverot, ka katras iestādes  vadītāja kompetencē ir lemt par  visefektīvāko funkciju nodrošināšanas modeli </w:t>
            </w:r>
            <w:r w:rsidR="00EB6A3A" w:rsidRPr="003D3369">
              <w:rPr>
                <w:lang w:val="lv-LV"/>
              </w:rPr>
              <w:t>(ekspertu piesaiste,  ārpakalpojums vai papildu amata vietas) atlīdzībai pieejamā finansējuma apjoma ietvaros.</w:t>
            </w:r>
          </w:p>
          <w:p w14:paraId="35EAFBC8" w14:textId="319759E6" w:rsidR="00565A2D" w:rsidRPr="003D3369" w:rsidRDefault="00EB6A3A" w:rsidP="00EB6A3A">
            <w:pPr>
              <w:spacing w:after="120"/>
              <w:jc w:val="both"/>
              <w:rPr>
                <w:bCs/>
                <w:lang w:val="lv-LV"/>
              </w:rPr>
            </w:pPr>
            <w:r w:rsidRPr="003D3369">
              <w:rPr>
                <w:lang w:val="lv-LV"/>
              </w:rPr>
              <w:t xml:space="preserve">Pamatojoties uz informācijas analīzi, kā arī izvērtējot </w:t>
            </w:r>
            <w:r w:rsidR="0009444E" w:rsidRPr="003D3369">
              <w:rPr>
                <w:lang w:val="lv-LV"/>
              </w:rPr>
              <w:t>iesniegto argumentāciju</w:t>
            </w:r>
            <w:r w:rsidR="003D3369" w:rsidRPr="003D3369">
              <w:rPr>
                <w:lang w:val="lv-LV"/>
              </w:rPr>
              <w:t>,</w:t>
            </w:r>
            <w:r w:rsidR="0009444E" w:rsidRPr="003D3369">
              <w:rPr>
                <w:lang w:val="lv-LV"/>
              </w:rPr>
              <w:t xml:space="preserve"> </w:t>
            </w:r>
            <w:r w:rsidRPr="003D3369">
              <w:rPr>
                <w:lang w:val="lv-LV"/>
              </w:rPr>
              <w:t>papildu finansēju</w:t>
            </w:r>
            <w:r w:rsidR="00FB0DAF">
              <w:rPr>
                <w:lang w:val="lv-LV"/>
              </w:rPr>
              <w:t>ms piešķirts sadarbības iestādei -  CFLA</w:t>
            </w:r>
            <w:r w:rsidR="000904FF">
              <w:rPr>
                <w:lang w:val="lv-LV"/>
              </w:rPr>
              <w:t xml:space="preserve"> un </w:t>
            </w:r>
            <w:r w:rsidR="000904FF" w:rsidRPr="000904FF">
              <w:rPr>
                <w:lang w:val="lv-LV"/>
              </w:rPr>
              <w:t>Valsts reģionālās attīstības aģentūrai</w:t>
            </w:r>
            <w:r w:rsidR="00565A2D" w:rsidRPr="003D3369">
              <w:rPr>
                <w:bCs/>
                <w:lang w:val="lv-LV"/>
              </w:rPr>
              <w:t>:</w:t>
            </w:r>
          </w:p>
          <w:p w14:paraId="0C00B5B0" w14:textId="3D082321" w:rsidR="009D1B21" w:rsidRDefault="00EB6A3A" w:rsidP="00EB522F">
            <w:pPr>
              <w:pStyle w:val="ListParagraph"/>
              <w:numPr>
                <w:ilvl w:val="0"/>
                <w:numId w:val="20"/>
              </w:numPr>
              <w:spacing w:after="120"/>
              <w:ind w:left="13" w:firstLine="0"/>
              <w:jc w:val="both"/>
              <w:rPr>
                <w:bCs/>
                <w:lang w:val="lv-LV"/>
              </w:rPr>
            </w:pPr>
            <w:r w:rsidRPr="003D3369">
              <w:rPr>
                <w:b/>
                <w:bCs/>
                <w:lang w:val="lv-LV"/>
              </w:rPr>
              <w:t>Centrālajai finanšu un līgumu aģentūrai</w:t>
            </w:r>
            <w:r w:rsidR="009D1B21" w:rsidRPr="003D3369">
              <w:rPr>
                <w:bCs/>
                <w:lang w:val="lv-LV"/>
              </w:rPr>
              <w:t xml:space="preserve"> piešķirts papildu finansējums </w:t>
            </w:r>
            <w:r w:rsidR="00FB0DAF">
              <w:rPr>
                <w:bCs/>
                <w:lang w:val="lv-LV"/>
              </w:rPr>
              <w:t>97 000</w:t>
            </w:r>
            <w:r w:rsidR="009D1B21" w:rsidRPr="003D3369">
              <w:rPr>
                <w:bCs/>
                <w:lang w:val="lv-LV"/>
              </w:rPr>
              <w:t xml:space="preserve"> EUR apmērā, </w:t>
            </w:r>
            <w:r w:rsidR="00FB0DAF">
              <w:rPr>
                <w:bCs/>
                <w:lang w:val="lv-LV"/>
              </w:rPr>
              <w:t>l</w:t>
            </w:r>
            <w:r w:rsidR="00FB0DAF" w:rsidRPr="00FB0DAF">
              <w:rPr>
                <w:bCs/>
                <w:lang w:val="lv-LV"/>
              </w:rPr>
              <w:t xml:space="preserve">ai nodrošinātu visas CFLA funkcijas saistībā ar ES fondu uzraudzību un administrēšanu, </w:t>
            </w:r>
            <w:r w:rsidR="00FB0DAF">
              <w:rPr>
                <w:bCs/>
                <w:lang w:val="lv-LV"/>
              </w:rPr>
              <w:t>kā arī atlīdzības nodrošināšanai</w:t>
            </w:r>
            <w:r w:rsidR="00FB0DAF" w:rsidRPr="00FB0DAF">
              <w:rPr>
                <w:bCs/>
                <w:lang w:val="lv-LV"/>
              </w:rPr>
              <w:t xml:space="preserve"> 2015.gada decembrī (atlīdzības izdevumi ES fondu finansētajiem darbiniekiem, telpu nomas un apsaimniekošanas izdevumi, kancelejas preču izdevumi, transporta pakalpojumu izdevumi u.c.).</w:t>
            </w:r>
          </w:p>
          <w:p w14:paraId="0711EF83" w14:textId="291072E5" w:rsidR="000904FF" w:rsidRPr="003D3369" w:rsidRDefault="000904FF" w:rsidP="00EB522F">
            <w:pPr>
              <w:pStyle w:val="ListParagraph"/>
              <w:numPr>
                <w:ilvl w:val="0"/>
                <w:numId w:val="20"/>
              </w:numPr>
              <w:spacing w:after="120"/>
              <w:ind w:left="0" w:firstLine="19"/>
              <w:jc w:val="both"/>
              <w:rPr>
                <w:bCs/>
                <w:lang w:val="lv-LV"/>
              </w:rPr>
            </w:pPr>
            <w:r w:rsidRPr="000904FF">
              <w:rPr>
                <w:b/>
                <w:bCs/>
                <w:lang w:val="lv-LV"/>
              </w:rPr>
              <w:t xml:space="preserve">Valsts reģionālās attīstības aģentūrai (VRAA) </w:t>
            </w:r>
            <w:r w:rsidRPr="000904FF">
              <w:rPr>
                <w:bCs/>
                <w:lang w:val="lv-LV"/>
              </w:rPr>
              <w:t>piešķirts papildu finansējums 45 714 EUR saskaņā ar 2014.gada 16.decembra Ministru kabineta noteikumu Nr.784 “Kārtība, kādā Eiropas Savienības struktūrfondu un Kohēzijas fonda vadībā iesaistītās institūcijas nodrošina plānošanas dokumentu sagatavošanu un šo fondu ieviešanu 2014.-2020.gada plānošanas periodā” (turpmāk – Noteikumi Nr.784) 30.punktu kā informācijas sistēmu savietotāja pārzinim ir jāsniedz noteikumos minēto informāciju sadarbības iestādei. Saskaņā ar Noteikumu Nr.784 anotācijas 6. un 7.sadaļā minēto daļu no 2015.gadā nepieciešamajām izmaksām funkcijas nodrošināšanai (45 714 EUR atlīdzībai un darba vietu uzturēšanai divām amata vietām) paredzēts segt no VRAA projekta “Tehniskā palīdzība Valsts reģionālās attīstības aģentūras Eiropas Savienības fondu aktivitāšu administrēšanai (2. kārta)” (projekta Nr. VSID/TP/CFLA/11/10/013) (turpmāk – TP projekts) iepriekš nodrošinot, ka  VRAA TP projektā tiek veikti atbilstoši grozījumi.</w:t>
            </w:r>
          </w:p>
          <w:p w14:paraId="1246E9FF" w14:textId="1A8889FE" w:rsidR="007115FF" w:rsidRPr="003D3369" w:rsidRDefault="0009444E" w:rsidP="00EB6A3A">
            <w:pPr>
              <w:spacing w:after="120"/>
              <w:jc w:val="both"/>
              <w:rPr>
                <w:bCs/>
                <w:lang w:val="lv-LV"/>
              </w:rPr>
            </w:pPr>
            <w:r w:rsidRPr="003D3369">
              <w:rPr>
                <w:bCs/>
                <w:lang w:val="lv-LV"/>
              </w:rPr>
              <w:t xml:space="preserve">Papildu finansējums piešķirts arī </w:t>
            </w:r>
            <w:r w:rsidR="00EB6A3A" w:rsidRPr="003D3369">
              <w:rPr>
                <w:bCs/>
                <w:lang w:val="lv-LV"/>
              </w:rPr>
              <w:t xml:space="preserve"> </w:t>
            </w:r>
            <w:r w:rsidR="007115FF" w:rsidRPr="003D3369">
              <w:rPr>
                <w:bCs/>
                <w:lang w:val="lv-LV"/>
              </w:rPr>
              <w:t>nozaru ministrijām:</w:t>
            </w:r>
          </w:p>
          <w:p w14:paraId="458B92EF" w14:textId="03A04C55" w:rsidR="005457B1" w:rsidRPr="003D3369" w:rsidRDefault="00EB6A3A" w:rsidP="00EB522F">
            <w:pPr>
              <w:pStyle w:val="ListParagraph"/>
              <w:numPr>
                <w:ilvl w:val="0"/>
                <w:numId w:val="21"/>
              </w:numPr>
              <w:spacing w:after="120"/>
              <w:ind w:left="0" w:firstLine="2"/>
              <w:jc w:val="both"/>
              <w:rPr>
                <w:bCs/>
                <w:lang w:val="lv-LV"/>
              </w:rPr>
            </w:pPr>
            <w:r w:rsidRPr="003D3369">
              <w:rPr>
                <w:b/>
                <w:bCs/>
                <w:lang w:val="lv-LV"/>
              </w:rPr>
              <w:t>L</w:t>
            </w:r>
            <w:r w:rsidR="00B41A5A" w:rsidRPr="003D3369">
              <w:rPr>
                <w:b/>
                <w:bCs/>
                <w:lang w:val="lv-LV"/>
              </w:rPr>
              <w:t>abklājības ministrijai</w:t>
            </w:r>
            <w:r w:rsidR="00B41A5A" w:rsidRPr="003D3369">
              <w:rPr>
                <w:bCs/>
                <w:lang w:val="lv-LV"/>
              </w:rPr>
              <w:t xml:space="preserve"> </w:t>
            </w:r>
            <w:r w:rsidR="00A3399F">
              <w:rPr>
                <w:bCs/>
                <w:lang w:val="lv-LV"/>
              </w:rPr>
              <w:t xml:space="preserve">(LM) </w:t>
            </w:r>
            <w:r w:rsidR="007115FF" w:rsidRPr="003D3369">
              <w:rPr>
                <w:bCs/>
                <w:lang w:val="lv-LV"/>
              </w:rPr>
              <w:t xml:space="preserve">piešķirts papildu finansējums </w:t>
            </w:r>
            <w:r w:rsidR="00FB0DAF">
              <w:rPr>
                <w:bCs/>
                <w:lang w:val="lv-LV"/>
              </w:rPr>
              <w:t>183 850</w:t>
            </w:r>
            <w:r w:rsidR="005457B1" w:rsidRPr="003D3369">
              <w:rPr>
                <w:bCs/>
                <w:lang w:val="lv-LV"/>
              </w:rPr>
              <w:t xml:space="preserve"> EUR:</w:t>
            </w:r>
          </w:p>
          <w:p w14:paraId="6EEB0201" w14:textId="77777777" w:rsidR="00A3399F" w:rsidRDefault="005457B1" w:rsidP="00EB522F">
            <w:pPr>
              <w:pStyle w:val="ListParagraph"/>
              <w:spacing w:after="120"/>
              <w:ind w:left="0"/>
              <w:jc w:val="both"/>
              <w:rPr>
                <w:bCs/>
                <w:lang w:val="lv-LV"/>
              </w:rPr>
            </w:pPr>
            <w:r w:rsidRPr="003D3369">
              <w:rPr>
                <w:bCs/>
                <w:lang w:val="lv-LV"/>
              </w:rPr>
              <w:t xml:space="preserve"> - </w:t>
            </w:r>
            <w:r w:rsidR="00FB0DAF">
              <w:rPr>
                <w:bCs/>
                <w:lang w:val="lv-LV"/>
              </w:rPr>
              <w:t>40 000</w:t>
            </w:r>
            <w:r w:rsidR="00B41A5A" w:rsidRPr="003D3369">
              <w:rPr>
                <w:bCs/>
                <w:lang w:val="lv-LV"/>
              </w:rPr>
              <w:t xml:space="preserve"> EUR</w:t>
            </w:r>
            <w:r w:rsidR="00A3399F">
              <w:rPr>
                <w:bCs/>
                <w:lang w:val="lv-LV"/>
              </w:rPr>
              <w:t>,</w:t>
            </w:r>
            <w:r w:rsidR="00B41A5A" w:rsidRPr="003D3369">
              <w:rPr>
                <w:bCs/>
                <w:lang w:val="lv-LV"/>
              </w:rPr>
              <w:t xml:space="preserve"> </w:t>
            </w:r>
            <w:r w:rsidR="00A3399F" w:rsidRPr="00A3399F">
              <w:rPr>
                <w:bCs/>
                <w:lang w:val="lv-LV"/>
              </w:rPr>
              <w:t>lai nodrošinātu Eiropas Sociālā fonda atbalsta un īpašā piešķīruma Jauniešu nodarbinātības iniciatīvai, tostarp garantijas jauniešiem shēmas īstenošanai, investīciju lietderības, efektivitātes un ietekmes izvērtējuma veikšanu.</w:t>
            </w:r>
          </w:p>
          <w:p w14:paraId="7ED92501" w14:textId="77777777" w:rsidR="000904FF" w:rsidRDefault="00A3399F" w:rsidP="00EB522F">
            <w:pPr>
              <w:pStyle w:val="ListParagraph"/>
              <w:spacing w:after="120"/>
              <w:ind w:left="13"/>
              <w:jc w:val="both"/>
              <w:rPr>
                <w:bCs/>
                <w:lang w:val="lv-LV"/>
              </w:rPr>
            </w:pPr>
            <w:r>
              <w:rPr>
                <w:bCs/>
                <w:lang w:val="lv-LV"/>
              </w:rPr>
              <w:t xml:space="preserve">- </w:t>
            </w:r>
            <w:r w:rsidRPr="00A3399F">
              <w:rPr>
                <w:bCs/>
                <w:lang w:val="lv-LV"/>
              </w:rPr>
              <w:t>143 850 EUR,</w:t>
            </w:r>
            <w:r w:rsidRPr="002C7CA2">
              <w:t xml:space="preserve"> </w:t>
            </w:r>
            <w:r w:rsidRPr="00A3399F">
              <w:rPr>
                <w:bCs/>
                <w:lang w:val="lv-LV"/>
              </w:rPr>
              <w:t>lai nodrošinātu LM kā atbildīgās iestādes funkciju izpildē iesaistīto darbinieku atlīdzības nodrošināšanu līdz 2015.gada 31.decembrim.</w:t>
            </w:r>
          </w:p>
          <w:p w14:paraId="23A47BF6" w14:textId="77777777" w:rsidR="000904FF" w:rsidRDefault="000904FF" w:rsidP="00EB522F">
            <w:pPr>
              <w:pStyle w:val="ListParagraph"/>
              <w:spacing w:after="120"/>
              <w:ind w:left="13"/>
              <w:jc w:val="both"/>
              <w:rPr>
                <w:lang w:val="lv-LV"/>
              </w:rPr>
            </w:pPr>
            <w:r>
              <w:rPr>
                <w:bCs/>
                <w:lang w:val="lv-LV"/>
              </w:rPr>
              <w:lastRenderedPageBreak/>
              <w:t xml:space="preserve">2. </w:t>
            </w:r>
            <w:r w:rsidR="00EB6A3A" w:rsidRPr="000904FF">
              <w:rPr>
                <w:b/>
                <w:lang w:val="lv-LV"/>
              </w:rPr>
              <w:t>Finanšu ministrijai</w:t>
            </w:r>
            <w:r w:rsidR="00EB6A3A" w:rsidRPr="000904FF">
              <w:rPr>
                <w:lang w:val="lv-LV"/>
              </w:rPr>
              <w:t xml:space="preserve"> (turpmāk ─ FM) k</w:t>
            </w:r>
            <w:r w:rsidR="009C2CBE" w:rsidRPr="000904FF">
              <w:rPr>
                <w:lang w:val="lv-LV"/>
              </w:rPr>
              <w:t>ā E</w:t>
            </w:r>
            <w:r w:rsidR="00C810C6" w:rsidRPr="000904FF">
              <w:rPr>
                <w:lang w:val="lv-LV"/>
              </w:rPr>
              <w:t xml:space="preserve">iropas </w:t>
            </w:r>
            <w:r w:rsidR="009C2CBE" w:rsidRPr="000904FF">
              <w:rPr>
                <w:lang w:val="lv-LV"/>
              </w:rPr>
              <w:t>S</w:t>
            </w:r>
            <w:r w:rsidR="00C810C6" w:rsidRPr="000904FF">
              <w:rPr>
                <w:lang w:val="lv-LV"/>
              </w:rPr>
              <w:t>avienības</w:t>
            </w:r>
            <w:r w:rsidR="009C2CBE" w:rsidRPr="000904FF">
              <w:rPr>
                <w:lang w:val="lv-LV"/>
              </w:rPr>
              <w:t xml:space="preserve"> fondu vadošajai iestādei</w:t>
            </w:r>
            <w:r w:rsidR="00EB6A3A" w:rsidRPr="000904FF">
              <w:rPr>
                <w:lang w:val="lv-LV"/>
              </w:rPr>
              <w:t xml:space="preserve"> </w:t>
            </w:r>
            <w:r w:rsidR="003A159B" w:rsidRPr="000904FF">
              <w:rPr>
                <w:lang w:val="lv-LV"/>
              </w:rPr>
              <w:t xml:space="preserve">(ES fondu aktivitāšu administrēšana) </w:t>
            </w:r>
            <w:r w:rsidR="00EB6A3A" w:rsidRPr="000904FF">
              <w:rPr>
                <w:lang w:val="lv-LV"/>
              </w:rPr>
              <w:t xml:space="preserve">piešķirts papildu finansējums </w:t>
            </w:r>
            <w:r w:rsidR="00F1185E" w:rsidRPr="000904FF">
              <w:rPr>
                <w:lang w:val="lv-LV"/>
              </w:rPr>
              <w:t>807 130</w:t>
            </w:r>
            <w:r w:rsidR="00345C8B" w:rsidRPr="000904FF">
              <w:rPr>
                <w:lang w:val="lv-LV"/>
              </w:rPr>
              <w:t xml:space="preserve"> EUR apmērā</w:t>
            </w:r>
            <w:r w:rsidR="00BA6526" w:rsidRPr="000904FF">
              <w:rPr>
                <w:lang w:val="lv-LV"/>
              </w:rPr>
              <w:t xml:space="preserve"> </w:t>
            </w:r>
            <w:r w:rsidR="00F1185E" w:rsidRPr="000904FF">
              <w:rPr>
                <w:lang w:val="lv-LV"/>
              </w:rPr>
              <w:t>atlīdzības nodrošināšn</w:t>
            </w:r>
            <w:r w:rsidR="00BA6526" w:rsidRPr="000904FF">
              <w:rPr>
                <w:lang w:val="lv-LV"/>
              </w:rPr>
              <w:t>ai 79 projektā iesaistītajiem darbiniekiem</w:t>
            </w:r>
            <w:r w:rsidR="000123F0" w:rsidRPr="000904FF">
              <w:rPr>
                <w:lang w:val="lv-LV"/>
              </w:rPr>
              <w:t>, t.sk.,</w:t>
            </w:r>
            <w:r w:rsidR="00BA6526" w:rsidRPr="000904FF">
              <w:rPr>
                <w:lang w:val="lv-LV"/>
              </w:rPr>
              <w:t xml:space="preserve"> </w:t>
            </w:r>
            <w:r w:rsidR="000123F0" w:rsidRPr="000904FF">
              <w:rPr>
                <w:lang w:val="lv-LV"/>
              </w:rPr>
              <w:t xml:space="preserve">komunikāciju pasākumu īstenošanai </w:t>
            </w:r>
            <w:r w:rsidR="00F1185E" w:rsidRPr="000904FF">
              <w:rPr>
                <w:lang w:val="lv-LV"/>
              </w:rPr>
              <w:t>laika periodam</w:t>
            </w:r>
            <w:r w:rsidR="00BA6526" w:rsidRPr="000904FF">
              <w:rPr>
                <w:lang w:val="lv-LV"/>
              </w:rPr>
              <w:t xml:space="preserve"> līdz 31.12.2015, kā arī komunālo pakalpojumu  apmaksai, kas projektā tiek aprēķinātas proporcionāli darbinieku skaitam. Papildus līdzekļi atlīdzībai ir nepieciešami, jo sākotnēji tika plānots, ka no 2015.gada sākuma sāksies 2014.-2020. gada plānošanas perioda TP Finanšu ministrijas projekts, atbilstoši kurā sāks strādāt daļa no šī projekta darbiniekiem, taču pašlaik šī projekta uzsākšana kavējas un atlīdzība visiem darbiniekiem ir jānodrošina  no esošā TP projekta, tādejādi nodrošinot esošo cilvēkresursu efektīvu izmantošanu ES fondu funkciju nodrošināšnai.</w:t>
            </w:r>
          </w:p>
          <w:p w14:paraId="472C50DD" w14:textId="71ADFA31" w:rsidR="00EB6A3A" w:rsidRPr="003D3369" w:rsidRDefault="008D4690" w:rsidP="00EB6A3A">
            <w:pPr>
              <w:spacing w:after="120"/>
              <w:jc w:val="both"/>
              <w:rPr>
                <w:b/>
                <w:lang w:val="lv-LV"/>
              </w:rPr>
            </w:pPr>
            <w:r w:rsidRPr="003D3369">
              <w:rPr>
                <w:lang w:val="lv-LV"/>
              </w:rPr>
              <w:t>Ņemot vērā TP finansējuma saņēm</w:t>
            </w:r>
            <w:r w:rsidR="0043384C">
              <w:rPr>
                <w:lang w:val="lv-LV"/>
              </w:rPr>
              <w:t>ē</w:t>
            </w:r>
            <w:r w:rsidRPr="003D3369">
              <w:rPr>
                <w:lang w:val="lv-LV"/>
              </w:rPr>
              <w:t>ju sniegto informāciju par brīvo finansējumu, pēc veiktās analīzes un papildu finansējuma sadales palielināta MK noteikumu</w:t>
            </w:r>
            <w:r w:rsidR="008C5D45" w:rsidRPr="003D3369">
              <w:rPr>
                <w:lang w:val="lv-LV"/>
              </w:rPr>
              <w:t xml:space="preserve"> Nr. 694</w:t>
            </w:r>
            <w:r w:rsidRPr="003D3369">
              <w:rPr>
                <w:lang w:val="lv-LV"/>
              </w:rPr>
              <w:t xml:space="preserve">. </w:t>
            </w:r>
            <w:r w:rsidR="008C5D45" w:rsidRPr="003D3369">
              <w:rPr>
                <w:lang w:val="lv-LV"/>
              </w:rPr>
              <w:t xml:space="preserve">8. </w:t>
            </w:r>
            <w:r w:rsidRPr="003D3369">
              <w:rPr>
                <w:lang w:val="lv-LV"/>
              </w:rPr>
              <w:t>punktā pieejamā finansējuma re</w:t>
            </w:r>
            <w:r w:rsidR="008C5D45" w:rsidRPr="003D3369">
              <w:rPr>
                <w:lang w:val="lv-LV"/>
              </w:rPr>
              <w:t>z</w:t>
            </w:r>
            <w:r w:rsidRPr="003D3369">
              <w:rPr>
                <w:lang w:val="lv-LV"/>
              </w:rPr>
              <w:t xml:space="preserve">erve un </w:t>
            </w:r>
            <w:r w:rsidRPr="00B95DB8">
              <w:rPr>
                <w:lang w:val="lv-LV"/>
              </w:rPr>
              <w:t xml:space="preserve">noteikta </w:t>
            </w:r>
            <w:r w:rsidR="001864A5">
              <w:rPr>
                <w:lang w:val="lv-LV"/>
              </w:rPr>
              <w:t>1 232 987</w:t>
            </w:r>
            <w:r w:rsidRPr="00B95DB8">
              <w:rPr>
                <w:lang w:val="lv-LV"/>
              </w:rPr>
              <w:t xml:space="preserve"> EUR apmēr</w:t>
            </w:r>
            <w:r w:rsidR="00F23B3F" w:rsidRPr="00B95DB8">
              <w:rPr>
                <w:lang w:val="lv-LV"/>
              </w:rPr>
              <w:t>ā</w:t>
            </w:r>
            <w:r w:rsidR="00F23B3F" w:rsidRPr="003D3369">
              <w:rPr>
                <w:lang w:val="lv-LV"/>
              </w:rPr>
              <w:t>, ko atbilstoši MK noteikumu</w:t>
            </w:r>
            <w:r w:rsidR="0043384C">
              <w:rPr>
                <w:lang w:val="lv-LV"/>
              </w:rPr>
              <w:t xml:space="preserve"> </w:t>
            </w:r>
            <w:r w:rsidR="008C5D45" w:rsidRPr="003D3369">
              <w:rPr>
                <w:lang w:val="lv-LV"/>
              </w:rPr>
              <w:t>Nr. 694</w:t>
            </w:r>
            <w:r w:rsidR="00F23B3F" w:rsidRPr="003D3369">
              <w:rPr>
                <w:lang w:val="lv-LV"/>
              </w:rPr>
              <w:t xml:space="preserve"> 11.punktā noteiktajam </w:t>
            </w:r>
            <w:r w:rsidR="00535CAB">
              <w:rPr>
                <w:lang w:val="lv-LV"/>
              </w:rPr>
              <w:t xml:space="preserve">finansējuma saņēmējs var pieprasīt, un </w:t>
            </w:r>
            <w:r w:rsidR="00F23B3F" w:rsidRPr="003D3369">
              <w:rPr>
                <w:lang w:val="lv-LV"/>
              </w:rPr>
              <w:t>pēc TP finansējuma saņēmēja  priekšlikumu saņemšanas projekta maksimāli pieejamā finansējuma palielināšanai no TP finansējuma rezerves vadošā iestāde kopā ar sadarbības iestādi izvērtēs priekšlikumā sniegto pamatojumu  un pieņe</w:t>
            </w:r>
            <w:r w:rsidR="0043384C">
              <w:rPr>
                <w:lang w:val="lv-LV"/>
              </w:rPr>
              <w:t>m</w:t>
            </w:r>
            <w:r w:rsidR="00F23B3F" w:rsidRPr="003D3369">
              <w:rPr>
                <w:lang w:val="lv-LV"/>
              </w:rPr>
              <w:t>s lēmumu par maksimālā TP finansējuma apjoma palielināšanu, lai finansējuma saņēmējs varētu iesniegt sadarbības iestādē atbilstošus projekta grozījumus.</w:t>
            </w:r>
          </w:p>
          <w:p w14:paraId="0A27055B" w14:textId="131DD883" w:rsidR="00D521E4" w:rsidRPr="003D3369" w:rsidRDefault="000673B0" w:rsidP="00D521E4">
            <w:pPr>
              <w:spacing w:after="120"/>
              <w:jc w:val="both"/>
              <w:rPr>
                <w:lang w:val="lv-LV"/>
              </w:rPr>
            </w:pPr>
            <w:r w:rsidRPr="003D3369">
              <w:rPr>
                <w:lang w:val="lv-LV"/>
              </w:rPr>
              <w:t>Finansējuma rezerve tika palielināta</w:t>
            </w:r>
            <w:r w:rsidR="0043384C">
              <w:rPr>
                <w:lang w:val="lv-LV"/>
              </w:rPr>
              <w:t>,</w:t>
            </w:r>
            <w:r w:rsidRPr="003D3369">
              <w:rPr>
                <w:lang w:val="lv-LV"/>
              </w:rPr>
              <w:t xml:space="preserve"> ņemot vērā Finanšu min</w:t>
            </w:r>
            <w:r w:rsidR="00D521E4">
              <w:rPr>
                <w:lang w:val="lv-LV"/>
              </w:rPr>
              <w:t>istrijas kā Revīzijas iestādes</w:t>
            </w:r>
            <w:r w:rsidRPr="003D3369">
              <w:rPr>
                <w:lang w:val="lv-LV"/>
              </w:rPr>
              <w:t>, Iepirkumu uzrau</w:t>
            </w:r>
            <w:r w:rsidR="00D521E4">
              <w:rPr>
                <w:lang w:val="lv-LV"/>
              </w:rPr>
              <w:t>dzības biroja</w:t>
            </w:r>
            <w:r w:rsidRPr="003D3369">
              <w:rPr>
                <w:lang w:val="lv-LV"/>
              </w:rPr>
              <w:t>, Vides aizsardzības un reģionālās attīstības ministrijas</w:t>
            </w:r>
            <w:r w:rsidR="00983170">
              <w:rPr>
                <w:lang w:val="lv-LV"/>
              </w:rPr>
              <w:t>, Ekonomikas ministrijas</w:t>
            </w:r>
            <w:r w:rsidR="00D521E4">
              <w:rPr>
                <w:lang w:val="lv-LV"/>
              </w:rPr>
              <w:t>, Sabiedrības integrācijas fonda, Izglītības un zinātnes ministrijas, Kultūras ministrijas</w:t>
            </w:r>
            <w:r w:rsidRPr="003D3369">
              <w:rPr>
                <w:lang w:val="lv-LV"/>
              </w:rPr>
              <w:t xml:space="preserve"> un Sa</w:t>
            </w:r>
            <w:r w:rsidR="0043384C">
              <w:rPr>
                <w:lang w:val="lv-LV"/>
              </w:rPr>
              <w:t>t</w:t>
            </w:r>
            <w:r w:rsidRPr="003D3369">
              <w:rPr>
                <w:lang w:val="lv-LV"/>
              </w:rPr>
              <w:t>iksmes ministrijas sniegto informāciju par brīvo finansējumu, ko iespējams pārdalīt citiem TP finansējuma saņēmējiem vai p</w:t>
            </w:r>
            <w:r w:rsidR="004B116C">
              <w:rPr>
                <w:lang w:val="lv-LV"/>
              </w:rPr>
              <w:t>ārdalīt uz finansējuma rezervi.</w:t>
            </w:r>
          </w:p>
        </w:tc>
      </w:tr>
    </w:tbl>
    <w:p w14:paraId="5F2C400B" w14:textId="222B8475" w:rsidR="00C97F6E" w:rsidRPr="003D3369" w:rsidRDefault="00C97F6E" w:rsidP="00F22471">
      <w:pPr>
        <w:jc w:val="both"/>
        <w:rPr>
          <w:rFonts w:eastAsia="Times New Roman"/>
          <w:lang w:val="lv-LV" w:eastAsia="lv-LV"/>
        </w:rPr>
        <w:sectPr w:rsidR="00C97F6E" w:rsidRPr="003D3369" w:rsidSect="00B014C2">
          <w:headerReference w:type="default" r:id="rId8"/>
          <w:footerReference w:type="default" r:id="rId9"/>
          <w:footerReference w:type="first" r:id="rId10"/>
          <w:pgSz w:w="11906" w:h="16838"/>
          <w:pgMar w:top="1418" w:right="1134" w:bottom="1134" w:left="1701" w:header="709" w:footer="709" w:gutter="0"/>
          <w:cols w:space="708"/>
          <w:titlePg/>
          <w:docGrid w:linePitch="360"/>
        </w:sectPr>
      </w:pPr>
    </w:p>
    <w:p w14:paraId="3FA1CCB9" w14:textId="77777777" w:rsidR="00C97F6E" w:rsidRPr="003D3369" w:rsidRDefault="00C97F6E" w:rsidP="00F22471">
      <w:pPr>
        <w:jc w:val="both"/>
        <w:rPr>
          <w:rFonts w:eastAsia="Times New Roman"/>
          <w:lang w:val="lv-LV" w:eastAsia="lv-LV"/>
        </w:rPr>
      </w:pPr>
    </w:p>
    <w:tbl>
      <w:tblPr>
        <w:tblStyle w:val="TableGrid"/>
        <w:tblW w:w="8946" w:type="dxa"/>
        <w:tblLayout w:type="fixed"/>
        <w:tblLook w:val="04A0" w:firstRow="1" w:lastRow="0" w:firstColumn="1" w:lastColumn="0" w:noHBand="0" w:noVBand="1"/>
      </w:tblPr>
      <w:tblGrid>
        <w:gridCol w:w="705"/>
        <w:gridCol w:w="2854"/>
        <w:gridCol w:w="5387"/>
      </w:tblGrid>
      <w:tr w:rsidR="00154076" w:rsidRPr="001671DD" w14:paraId="1C6E4F18" w14:textId="77777777" w:rsidTr="0056050A">
        <w:trPr>
          <w:trHeight w:val="304"/>
        </w:trPr>
        <w:tc>
          <w:tcPr>
            <w:tcW w:w="8946" w:type="dxa"/>
            <w:gridSpan w:val="3"/>
          </w:tcPr>
          <w:p w14:paraId="3D37B02C" w14:textId="77777777" w:rsidR="00154076" w:rsidRPr="003D3369" w:rsidRDefault="00154076" w:rsidP="00305305">
            <w:pPr>
              <w:ind w:firstLine="720"/>
              <w:jc w:val="both"/>
              <w:rPr>
                <w:rFonts w:eastAsia="Times New Roman"/>
                <w:b/>
                <w:lang w:val="lv-LV" w:eastAsia="lv-LV"/>
              </w:rPr>
            </w:pPr>
            <w:r w:rsidRPr="003D3369">
              <w:rPr>
                <w:rFonts w:eastAsia="Times New Roman"/>
                <w:b/>
                <w:bCs/>
                <w:lang w:val="lv-LV" w:eastAsia="lv-LV"/>
              </w:rPr>
              <w:t>II. Tiesību akta projekta ietekme uz sabiedrību, tautsaimniecības attīstību un administratīvo slogu</w:t>
            </w:r>
          </w:p>
        </w:tc>
      </w:tr>
      <w:tr w:rsidR="00154076" w:rsidRPr="001671DD" w14:paraId="1BF022D0" w14:textId="77777777" w:rsidTr="0056050A">
        <w:trPr>
          <w:trHeight w:val="347"/>
        </w:trPr>
        <w:tc>
          <w:tcPr>
            <w:tcW w:w="705" w:type="dxa"/>
          </w:tcPr>
          <w:p w14:paraId="4EDD0DA8" w14:textId="77777777" w:rsidR="00154076" w:rsidRPr="003D3369" w:rsidRDefault="00154076" w:rsidP="00305305">
            <w:pPr>
              <w:jc w:val="both"/>
              <w:rPr>
                <w:rFonts w:eastAsia="Times New Roman"/>
                <w:lang w:val="lv-LV" w:eastAsia="lv-LV"/>
              </w:rPr>
            </w:pPr>
            <w:r w:rsidRPr="003D3369">
              <w:rPr>
                <w:rFonts w:eastAsia="Times New Roman"/>
                <w:lang w:val="lv-LV" w:eastAsia="lv-LV"/>
              </w:rPr>
              <w:t>1.</w:t>
            </w:r>
          </w:p>
        </w:tc>
        <w:tc>
          <w:tcPr>
            <w:tcW w:w="2854" w:type="dxa"/>
            <w:hideMark/>
          </w:tcPr>
          <w:p w14:paraId="1161B9E1" w14:textId="77777777" w:rsidR="00154076" w:rsidRPr="003D3369" w:rsidRDefault="00154076" w:rsidP="00305305">
            <w:pPr>
              <w:jc w:val="both"/>
              <w:rPr>
                <w:rFonts w:eastAsia="Times New Roman"/>
                <w:lang w:val="lv-LV" w:eastAsia="lv-LV"/>
              </w:rPr>
            </w:pPr>
            <w:r w:rsidRPr="003D3369">
              <w:rPr>
                <w:rFonts w:eastAsia="Times New Roman"/>
                <w:lang w:val="lv-LV" w:eastAsia="lv-LV"/>
              </w:rPr>
              <w:t>Sabiedrības mērķgrupas, kuras tiesiskais regulējums ietekmē vai varētu ietekmēt</w:t>
            </w:r>
          </w:p>
        </w:tc>
        <w:tc>
          <w:tcPr>
            <w:tcW w:w="5387" w:type="dxa"/>
            <w:hideMark/>
          </w:tcPr>
          <w:p w14:paraId="6D24AA07" w14:textId="775A1501" w:rsidR="00CC16CB" w:rsidRPr="003D3369" w:rsidRDefault="00CC16CB" w:rsidP="00CC16CB">
            <w:pPr>
              <w:jc w:val="both"/>
              <w:rPr>
                <w:lang w:val="lv-LV"/>
              </w:rPr>
            </w:pPr>
            <w:r w:rsidRPr="003D3369">
              <w:rPr>
                <w:lang w:val="lv-LV"/>
              </w:rPr>
              <w:t xml:space="preserve">Noteikumu projekts attiecas uz </w:t>
            </w:r>
            <w:r w:rsidR="008C5D45" w:rsidRPr="003D3369">
              <w:rPr>
                <w:lang w:val="lv-LV"/>
              </w:rPr>
              <w:t xml:space="preserve">MK noteikumu Nr. 694 </w:t>
            </w:r>
            <w:r w:rsidRPr="003D3369">
              <w:rPr>
                <w:lang w:val="lv-LV"/>
              </w:rPr>
              <w:t xml:space="preserve"> 14.1.1.,</w:t>
            </w:r>
            <w:r w:rsidR="002F3C7E">
              <w:rPr>
                <w:lang w:val="lv-LV"/>
              </w:rPr>
              <w:t>14.1.2.,</w:t>
            </w:r>
            <w:r w:rsidRPr="003D3369">
              <w:rPr>
                <w:lang w:val="lv-LV"/>
              </w:rPr>
              <w:t xml:space="preserve"> 1</w:t>
            </w:r>
            <w:r w:rsidR="00201620">
              <w:rPr>
                <w:lang w:val="lv-LV"/>
              </w:rPr>
              <w:t>4.1.3, 14.1.4., 14.1.5, 14.1.6., 14.1.9., 14.1.13</w:t>
            </w:r>
            <w:r w:rsidRPr="003D3369">
              <w:rPr>
                <w:lang w:val="lv-LV"/>
              </w:rPr>
              <w:t xml:space="preserve">., 14.1.15., </w:t>
            </w:r>
            <w:r w:rsidR="00657C47">
              <w:rPr>
                <w:lang w:val="lv-LV"/>
              </w:rPr>
              <w:t>14.3.6.</w:t>
            </w:r>
            <w:r w:rsidRPr="003D3369">
              <w:rPr>
                <w:lang w:val="lv-LV"/>
              </w:rPr>
              <w:t xml:space="preserve"> un 14.3.9. apakšpunktā minētajām institūcijām.</w:t>
            </w:r>
          </w:p>
          <w:p w14:paraId="329BBEB6" w14:textId="480CD4D4" w:rsidR="00154076" w:rsidRPr="003D3369" w:rsidRDefault="00154076" w:rsidP="000918F0">
            <w:pPr>
              <w:jc w:val="both"/>
              <w:rPr>
                <w:rFonts w:eastAsia="Times New Roman"/>
                <w:lang w:val="lv-LV" w:eastAsia="lv-LV"/>
              </w:rPr>
            </w:pPr>
          </w:p>
        </w:tc>
      </w:tr>
      <w:tr w:rsidR="00154076" w:rsidRPr="003D3369" w14:paraId="29658939" w14:textId="77777777" w:rsidTr="0056050A">
        <w:trPr>
          <w:trHeight w:val="606"/>
        </w:trPr>
        <w:tc>
          <w:tcPr>
            <w:tcW w:w="705" w:type="dxa"/>
          </w:tcPr>
          <w:p w14:paraId="66743F1B" w14:textId="77777777" w:rsidR="00154076" w:rsidRPr="003D3369" w:rsidRDefault="00154076" w:rsidP="00305305">
            <w:pPr>
              <w:jc w:val="both"/>
              <w:rPr>
                <w:rFonts w:eastAsia="Times New Roman"/>
                <w:lang w:val="lv-LV" w:eastAsia="lv-LV"/>
              </w:rPr>
            </w:pPr>
            <w:r w:rsidRPr="003D3369">
              <w:rPr>
                <w:rFonts w:eastAsia="Times New Roman"/>
                <w:lang w:val="lv-LV" w:eastAsia="lv-LV"/>
              </w:rPr>
              <w:t>2.</w:t>
            </w:r>
          </w:p>
        </w:tc>
        <w:tc>
          <w:tcPr>
            <w:tcW w:w="2854" w:type="dxa"/>
            <w:hideMark/>
          </w:tcPr>
          <w:p w14:paraId="14A5DBD5" w14:textId="77777777" w:rsidR="00154076" w:rsidRPr="003D3369" w:rsidRDefault="00154076" w:rsidP="00305305">
            <w:pPr>
              <w:jc w:val="both"/>
              <w:rPr>
                <w:rFonts w:eastAsia="Times New Roman"/>
                <w:lang w:val="lv-LV" w:eastAsia="lv-LV"/>
              </w:rPr>
            </w:pPr>
            <w:r w:rsidRPr="003D3369">
              <w:rPr>
                <w:rFonts w:eastAsia="Times New Roman"/>
                <w:lang w:val="lv-LV" w:eastAsia="lv-LV"/>
              </w:rPr>
              <w:t>Tiesiskā regulējuma ietekme uz tautsaimniecību un administratīvo slogu</w:t>
            </w:r>
          </w:p>
        </w:tc>
        <w:tc>
          <w:tcPr>
            <w:tcW w:w="5387" w:type="dxa"/>
            <w:hideMark/>
          </w:tcPr>
          <w:p w14:paraId="39EF38DF" w14:textId="77777777" w:rsidR="00154076" w:rsidRPr="003D3369" w:rsidRDefault="00154076" w:rsidP="00305305">
            <w:pPr>
              <w:jc w:val="both"/>
              <w:rPr>
                <w:rFonts w:eastAsia="Times New Roman"/>
                <w:lang w:val="lv-LV" w:eastAsia="lv-LV"/>
              </w:rPr>
            </w:pPr>
            <w:r w:rsidRPr="003D3369">
              <w:rPr>
                <w:rFonts w:eastAsia="Times New Roman"/>
                <w:lang w:val="lv-LV" w:eastAsia="lv-LV"/>
              </w:rPr>
              <w:t>Projekts šo jomu neskar</w:t>
            </w:r>
          </w:p>
        </w:tc>
      </w:tr>
      <w:tr w:rsidR="00154076" w:rsidRPr="003D3369" w14:paraId="7E08A7FE" w14:textId="77777777" w:rsidTr="0056050A">
        <w:trPr>
          <w:trHeight w:val="232"/>
        </w:trPr>
        <w:tc>
          <w:tcPr>
            <w:tcW w:w="705" w:type="dxa"/>
          </w:tcPr>
          <w:p w14:paraId="374E0AC0" w14:textId="77777777" w:rsidR="00154076" w:rsidRPr="003D3369" w:rsidRDefault="00154076" w:rsidP="00305305">
            <w:pPr>
              <w:jc w:val="both"/>
              <w:rPr>
                <w:rFonts w:eastAsia="Times New Roman"/>
                <w:lang w:val="lv-LV" w:eastAsia="lv-LV"/>
              </w:rPr>
            </w:pPr>
            <w:r w:rsidRPr="003D3369">
              <w:rPr>
                <w:rFonts w:eastAsia="Times New Roman"/>
                <w:lang w:val="lv-LV" w:eastAsia="lv-LV"/>
              </w:rPr>
              <w:t>3.</w:t>
            </w:r>
          </w:p>
        </w:tc>
        <w:tc>
          <w:tcPr>
            <w:tcW w:w="2854" w:type="dxa"/>
            <w:hideMark/>
          </w:tcPr>
          <w:p w14:paraId="47FF46AF" w14:textId="77777777" w:rsidR="00154076" w:rsidRPr="003D3369" w:rsidRDefault="00154076" w:rsidP="00305305">
            <w:pPr>
              <w:jc w:val="both"/>
              <w:rPr>
                <w:rFonts w:eastAsia="Times New Roman"/>
                <w:lang w:val="lv-LV" w:eastAsia="lv-LV"/>
              </w:rPr>
            </w:pPr>
            <w:r w:rsidRPr="003D3369">
              <w:rPr>
                <w:rFonts w:eastAsia="Times New Roman"/>
                <w:lang w:val="lv-LV" w:eastAsia="lv-LV"/>
              </w:rPr>
              <w:t>Administratīvo izmaksu monetārs novērtējums</w:t>
            </w:r>
          </w:p>
        </w:tc>
        <w:tc>
          <w:tcPr>
            <w:tcW w:w="5387" w:type="dxa"/>
            <w:hideMark/>
          </w:tcPr>
          <w:p w14:paraId="274786BC" w14:textId="77777777" w:rsidR="00154076" w:rsidRPr="003D3369" w:rsidRDefault="00E5107B" w:rsidP="00305305">
            <w:pPr>
              <w:jc w:val="both"/>
              <w:rPr>
                <w:rFonts w:eastAsia="Times New Roman"/>
                <w:lang w:val="lv-LV" w:eastAsia="lv-LV"/>
              </w:rPr>
            </w:pPr>
            <w:r w:rsidRPr="003D3369">
              <w:rPr>
                <w:rFonts w:eastAsia="Times New Roman"/>
                <w:lang w:val="lv-LV" w:eastAsia="lv-LV"/>
              </w:rPr>
              <w:t>Projekts šo jomu neskar</w:t>
            </w:r>
          </w:p>
        </w:tc>
      </w:tr>
      <w:tr w:rsidR="00154076" w:rsidRPr="00535CAB" w14:paraId="32012A7F" w14:textId="77777777" w:rsidTr="0056050A">
        <w:trPr>
          <w:trHeight w:val="571"/>
        </w:trPr>
        <w:tc>
          <w:tcPr>
            <w:tcW w:w="705" w:type="dxa"/>
          </w:tcPr>
          <w:p w14:paraId="2D21C957" w14:textId="77777777" w:rsidR="00154076" w:rsidRPr="003D3369" w:rsidRDefault="00154076" w:rsidP="00305305">
            <w:pPr>
              <w:jc w:val="both"/>
              <w:rPr>
                <w:rFonts w:eastAsia="Times New Roman"/>
                <w:lang w:val="lv-LV" w:eastAsia="lv-LV"/>
              </w:rPr>
            </w:pPr>
            <w:r w:rsidRPr="003D3369">
              <w:rPr>
                <w:rFonts w:eastAsia="Times New Roman"/>
                <w:lang w:val="lv-LV" w:eastAsia="lv-LV"/>
              </w:rPr>
              <w:t>4.</w:t>
            </w:r>
          </w:p>
        </w:tc>
        <w:tc>
          <w:tcPr>
            <w:tcW w:w="2854" w:type="dxa"/>
            <w:hideMark/>
          </w:tcPr>
          <w:p w14:paraId="0435D112" w14:textId="77777777" w:rsidR="00154076" w:rsidRPr="003D3369" w:rsidRDefault="00154076" w:rsidP="00305305">
            <w:pPr>
              <w:jc w:val="both"/>
              <w:rPr>
                <w:rFonts w:eastAsia="Times New Roman"/>
                <w:lang w:val="lv-LV" w:eastAsia="lv-LV"/>
              </w:rPr>
            </w:pPr>
            <w:r w:rsidRPr="003D3369">
              <w:rPr>
                <w:rFonts w:eastAsia="Times New Roman"/>
                <w:lang w:val="lv-LV" w:eastAsia="lv-LV"/>
              </w:rPr>
              <w:t>Cita informācija</w:t>
            </w:r>
          </w:p>
        </w:tc>
        <w:tc>
          <w:tcPr>
            <w:tcW w:w="5387" w:type="dxa"/>
            <w:hideMark/>
          </w:tcPr>
          <w:p w14:paraId="1FA25770" w14:textId="0E9309E9" w:rsidR="00154076" w:rsidRPr="003D3369" w:rsidRDefault="00E5107B" w:rsidP="00066E95">
            <w:pPr>
              <w:jc w:val="both"/>
              <w:rPr>
                <w:lang w:val="lv-LV"/>
              </w:rPr>
            </w:pPr>
            <w:r w:rsidRPr="003D3369">
              <w:rPr>
                <w:iCs/>
                <w:lang w:val="lv-LV"/>
              </w:rPr>
              <w:t>Nepieciešami līguma grozījumi par</w:t>
            </w:r>
            <w:r w:rsidR="009912E1" w:rsidRPr="003D3369">
              <w:rPr>
                <w:iCs/>
                <w:lang w:val="lv-LV"/>
              </w:rPr>
              <w:t xml:space="preserve"> F</w:t>
            </w:r>
            <w:r w:rsidR="00C257F3" w:rsidRPr="003D3369">
              <w:rPr>
                <w:iCs/>
                <w:lang w:val="lv-LV"/>
              </w:rPr>
              <w:t>inanšu ministrij</w:t>
            </w:r>
            <w:r w:rsidR="00626696" w:rsidRPr="003D3369">
              <w:rPr>
                <w:iCs/>
                <w:lang w:val="lv-LV"/>
              </w:rPr>
              <w:t>as</w:t>
            </w:r>
            <w:r w:rsidR="009912E1" w:rsidRPr="003D3369">
              <w:rPr>
                <w:iCs/>
                <w:lang w:val="lv-LV"/>
              </w:rPr>
              <w:t xml:space="preserve">, </w:t>
            </w:r>
            <w:r w:rsidR="000918F0" w:rsidRPr="003D3369">
              <w:rPr>
                <w:iCs/>
                <w:lang w:val="lv-LV"/>
              </w:rPr>
              <w:t>Iepirkumu uzraudzības biroja, L</w:t>
            </w:r>
            <w:r w:rsidR="00626696" w:rsidRPr="003D3369">
              <w:rPr>
                <w:iCs/>
                <w:lang w:val="lv-LV"/>
              </w:rPr>
              <w:t>abklājības ministrijas</w:t>
            </w:r>
            <w:r w:rsidR="000918F0" w:rsidRPr="003D3369">
              <w:rPr>
                <w:iCs/>
                <w:lang w:val="lv-LV"/>
              </w:rPr>
              <w:t>, I</w:t>
            </w:r>
            <w:r w:rsidR="00626696" w:rsidRPr="003D3369">
              <w:rPr>
                <w:iCs/>
                <w:lang w:val="lv-LV"/>
              </w:rPr>
              <w:t>zglītības un zinātnes ministrijas</w:t>
            </w:r>
            <w:r w:rsidR="000918F0" w:rsidRPr="003D3369">
              <w:rPr>
                <w:iCs/>
                <w:lang w:val="lv-LV"/>
              </w:rPr>
              <w:t xml:space="preserve">, </w:t>
            </w:r>
            <w:r w:rsidR="00A32FA1">
              <w:rPr>
                <w:iCs/>
                <w:lang w:val="lv-LV"/>
              </w:rPr>
              <w:t xml:space="preserve">Ekonomikas ministrijas, </w:t>
            </w:r>
            <w:r w:rsidR="000918F0" w:rsidRPr="003D3369">
              <w:rPr>
                <w:iCs/>
                <w:lang w:val="lv-LV"/>
              </w:rPr>
              <w:t>V</w:t>
            </w:r>
            <w:r w:rsidR="00626696" w:rsidRPr="003D3369">
              <w:rPr>
                <w:iCs/>
                <w:lang w:val="lv-LV"/>
              </w:rPr>
              <w:t>ides aizsardzības un reģionālās attīstības ministrijas</w:t>
            </w:r>
            <w:r w:rsidR="000918F0" w:rsidRPr="003D3369">
              <w:rPr>
                <w:iCs/>
                <w:lang w:val="lv-LV"/>
              </w:rPr>
              <w:t>, C</w:t>
            </w:r>
            <w:r w:rsidR="00626696" w:rsidRPr="003D3369">
              <w:rPr>
                <w:iCs/>
                <w:lang w:val="lv-LV"/>
              </w:rPr>
              <w:t>entrālās finanšu un līgumu aģentūras</w:t>
            </w:r>
            <w:r w:rsidR="00066E95">
              <w:rPr>
                <w:iCs/>
                <w:lang w:val="lv-LV"/>
              </w:rPr>
              <w:t>, Kultūras ministrijas, Valsts reģionālās attīstības aģentūras, Sabiedrības integrācijas fonda</w:t>
            </w:r>
            <w:r w:rsidR="00626696" w:rsidRPr="003D3369">
              <w:rPr>
                <w:iCs/>
                <w:lang w:val="lv-LV"/>
              </w:rPr>
              <w:t xml:space="preserve"> </w:t>
            </w:r>
            <w:r w:rsidR="000918F0" w:rsidRPr="003D3369">
              <w:rPr>
                <w:iCs/>
                <w:lang w:val="lv-LV"/>
              </w:rPr>
              <w:t>un S</w:t>
            </w:r>
            <w:r w:rsidR="00626696" w:rsidRPr="003D3369">
              <w:rPr>
                <w:iCs/>
                <w:lang w:val="lv-LV"/>
              </w:rPr>
              <w:t xml:space="preserve">atiksmes ministrijas </w:t>
            </w:r>
            <w:r w:rsidRPr="003D3369">
              <w:rPr>
                <w:iCs/>
                <w:lang w:val="lv-LV"/>
              </w:rPr>
              <w:t>tehniskās palīdzības projekt</w:t>
            </w:r>
            <w:r w:rsidR="00626696" w:rsidRPr="003D3369">
              <w:rPr>
                <w:iCs/>
                <w:lang w:val="lv-LV"/>
              </w:rPr>
              <w:t>u</w:t>
            </w:r>
            <w:r w:rsidRPr="003D3369">
              <w:rPr>
                <w:iCs/>
                <w:lang w:val="lv-LV"/>
              </w:rPr>
              <w:t xml:space="preserve"> īstenošanu. </w:t>
            </w:r>
            <w:r w:rsidR="000918F0" w:rsidRPr="003D3369">
              <w:rPr>
                <w:iCs/>
                <w:lang w:val="lv-LV"/>
              </w:rPr>
              <w:t>Visi</w:t>
            </w:r>
            <w:r w:rsidRPr="003D3369">
              <w:rPr>
                <w:iCs/>
                <w:lang w:val="lv-LV"/>
              </w:rPr>
              <w:t xml:space="preserve"> līgumi ir noslēgti ar CFLA.</w:t>
            </w:r>
          </w:p>
        </w:tc>
      </w:tr>
    </w:tbl>
    <w:p w14:paraId="71C81690" w14:textId="77777777" w:rsidR="00154076" w:rsidRPr="003D3369" w:rsidRDefault="00154076" w:rsidP="00F22471">
      <w:pPr>
        <w:jc w:val="both"/>
        <w:rPr>
          <w:rFonts w:eastAsia="Times New Roman"/>
          <w:lang w:val="lv-LV" w:eastAsia="lv-LV"/>
        </w:rPr>
      </w:pPr>
    </w:p>
    <w:p w14:paraId="241676A5" w14:textId="53A5AC78" w:rsidR="007243A0" w:rsidRPr="003D3369" w:rsidRDefault="00154076" w:rsidP="00BF2E4B">
      <w:pPr>
        <w:jc w:val="center"/>
        <w:rPr>
          <w:rFonts w:eastAsia="Times New Roman"/>
          <w:b/>
          <w:lang w:val="lv-LV" w:eastAsia="lv-LV"/>
        </w:rPr>
      </w:pPr>
      <w:r w:rsidRPr="003D3369">
        <w:rPr>
          <w:rFonts w:eastAsia="Times New Roman"/>
          <w:b/>
          <w:lang w:val="lv-LV" w:eastAsia="lv-LV"/>
        </w:rPr>
        <w:t xml:space="preserve">Anotācijas </w:t>
      </w:r>
      <w:r w:rsidR="00D212DF" w:rsidRPr="003D3369">
        <w:rPr>
          <w:rFonts w:eastAsia="Times New Roman"/>
          <w:b/>
          <w:lang w:val="lv-LV" w:eastAsia="lv-LV"/>
        </w:rPr>
        <w:t xml:space="preserve"> III, IV, V </w:t>
      </w:r>
      <w:r w:rsidR="00BF2E4B" w:rsidRPr="003D3369">
        <w:rPr>
          <w:rFonts w:eastAsia="Times New Roman"/>
          <w:b/>
          <w:lang w:val="lv-LV" w:eastAsia="lv-LV"/>
        </w:rPr>
        <w:t>sadaļa – projekts šo jomu neskar</w:t>
      </w:r>
    </w:p>
    <w:p w14:paraId="59DCA441" w14:textId="77777777" w:rsidR="00D212DF" w:rsidRPr="003D3369" w:rsidRDefault="00D212DF" w:rsidP="00BF2E4B">
      <w:pPr>
        <w:jc w:val="center"/>
        <w:rPr>
          <w:rFonts w:eastAsia="Times New Roman"/>
          <w:b/>
          <w:lang w:val="lv-LV" w:eastAsia="lv-LV"/>
        </w:rPr>
      </w:pPr>
    </w:p>
    <w:p w14:paraId="15A92D1D" w14:textId="77777777" w:rsidR="00D212DF" w:rsidRPr="003D3369" w:rsidRDefault="00D212DF" w:rsidP="00BF2E4B">
      <w:pPr>
        <w:jc w:val="center"/>
        <w:rPr>
          <w:rFonts w:eastAsia="Times New Roman"/>
          <w:b/>
          <w:lang w:val="lv-LV" w:eastAsia="lv-LV"/>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2"/>
        <w:gridCol w:w="2817"/>
        <w:gridCol w:w="5938"/>
      </w:tblGrid>
      <w:tr w:rsidR="00D212DF" w:rsidRPr="001671DD" w14:paraId="2C7D5E4C" w14:textId="77777777" w:rsidTr="00D212DF">
        <w:trPr>
          <w:trHeight w:val="421"/>
          <w:jc w:val="center"/>
        </w:trPr>
        <w:tc>
          <w:tcPr>
            <w:tcW w:w="9067" w:type="dxa"/>
            <w:gridSpan w:val="3"/>
            <w:vAlign w:val="center"/>
          </w:tcPr>
          <w:p w14:paraId="2B530F44" w14:textId="77777777" w:rsidR="00D212DF" w:rsidRPr="003D3369" w:rsidRDefault="00D212DF" w:rsidP="003D0441">
            <w:pPr>
              <w:pStyle w:val="naisnod"/>
              <w:spacing w:before="0" w:after="0"/>
              <w:ind w:left="57" w:right="57"/>
              <w:rPr>
                <w:sz w:val="20"/>
                <w:szCs w:val="20"/>
              </w:rPr>
            </w:pPr>
            <w:r w:rsidRPr="003D3369">
              <w:rPr>
                <w:sz w:val="20"/>
                <w:szCs w:val="20"/>
              </w:rPr>
              <w:t>VI. Sabiedrības līdzdalība un komunikācijas aktivitātes</w:t>
            </w:r>
          </w:p>
        </w:tc>
      </w:tr>
      <w:tr w:rsidR="00D212DF" w:rsidRPr="001671DD" w14:paraId="232BE94F" w14:textId="77777777" w:rsidTr="00D212DF">
        <w:trPr>
          <w:trHeight w:val="553"/>
          <w:jc w:val="center"/>
        </w:trPr>
        <w:tc>
          <w:tcPr>
            <w:tcW w:w="312" w:type="dxa"/>
          </w:tcPr>
          <w:p w14:paraId="60976518" w14:textId="77777777" w:rsidR="00D212DF" w:rsidRPr="003D3369" w:rsidRDefault="00D212DF" w:rsidP="003D0441">
            <w:pPr>
              <w:ind w:left="57" w:right="57"/>
              <w:jc w:val="both"/>
              <w:rPr>
                <w:bCs/>
                <w:lang w:val="lv-LV"/>
              </w:rPr>
            </w:pPr>
            <w:r w:rsidRPr="003D3369">
              <w:rPr>
                <w:bCs/>
                <w:lang w:val="lv-LV"/>
              </w:rPr>
              <w:lastRenderedPageBreak/>
              <w:t>1.</w:t>
            </w:r>
          </w:p>
        </w:tc>
        <w:tc>
          <w:tcPr>
            <w:tcW w:w="2817" w:type="dxa"/>
          </w:tcPr>
          <w:p w14:paraId="2B0E419B" w14:textId="77777777" w:rsidR="00D212DF" w:rsidRPr="003D3369" w:rsidRDefault="00D212DF" w:rsidP="003D0441">
            <w:pPr>
              <w:tabs>
                <w:tab w:val="left" w:pos="170"/>
              </w:tabs>
              <w:ind w:left="57" w:right="57"/>
              <w:rPr>
                <w:lang w:val="lv-LV" w:eastAsia="lv-LV"/>
              </w:rPr>
            </w:pPr>
            <w:r w:rsidRPr="003D3369">
              <w:rPr>
                <w:lang w:val="lv-LV" w:eastAsia="lv-LV"/>
              </w:rPr>
              <w:t>Plānotās sabiedrības līdzdalības un komunikācijas aktivitātes saistībā ar projektu</w:t>
            </w:r>
          </w:p>
        </w:tc>
        <w:tc>
          <w:tcPr>
            <w:tcW w:w="5938" w:type="dxa"/>
          </w:tcPr>
          <w:p w14:paraId="5CF7A2C3" w14:textId="2928E21C" w:rsidR="00D212DF" w:rsidRPr="003D3369" w:rsidRDefault="00D212DF" w:rsidP="0043384C">
            <w:pPr>
              <w:shd w:val="clear" w:color="auto" w:fill="FFFFFF"/>
              <w:ind w:left="169" w:right="83"/>
              <w:jc w:val="both"/>
              <w:rPr>
                <w:lang w:val="lv-LV" w:eastAsia="lv-LV"/>
              </w:rPr>
            </w:pPr>
            <w:bookmarkStart w:id="7" w:name="p61"/>
            <w:bookmarkEnd w:id="7"/>
            <w:r w:rsidRPr="003D3369">
              <w:rPr>
                <w:lang w:val="lv-LV"/>
              </w:rPr>
              <w:t>Ņemot vērā</w:t>
            </w:r>
            <w:r w:rsidR="00416535" w:rsidRPr="003D3369">
              <w:rPr>
                <w:lang w:val="lv-LV"/>
              </w:rPr>
              <w:t>, ka grozījumi MK noteikumos Nr. 694 saistīti ar finansējuma pārdali starp</w:t>
            </w:r>
            <w:r w:rsidR="00A4657A" w:rsidRPr="003D3369">
              <w:rPr>
                <w:lang w:val="lv-LV"/>
              </w:rPr>
              <w:t xml:space="preserve"> TP finansējuma saņēmējiem</w:t>
            </w:r>
            <w:r w:rsidRPr="003D3369">
              <w:rPr>
                <w:lang w:val="lv-LV"/>
              </w:rPr>
              <w:t>, sabiedrības līdzdalība projekta izstrādē nav plānota.</w:t>
            </w:r>
          </w:p>
        </w:tc>
      </w:tr>
      <w:tr w:rsidR="00D212DF" w:rsidRPr="003D3369" w14:paraId="15E4AF3A" w14:textId="77777777" w:rsidTr="00D212DF">
        <w:trPr>
          <w:trHeight w:val="339"/>
          <w:jc w:val="center"/>
        </w:trPr>
        <w:tc>
          <w:tcPr>
            <w:tcW w:w="312" w:type="dxa"/>
          </w:tcPr>
          <w:p w14:paraId="66A246B3" w14:textId="77777777" w:rsidR="00D212DF" w:rsidRPr="003D3369" w:rsidRDefault="00D212DF" w:rsidP="003D0441">
            <w:pPr>
              <w:ind w:left="57" w:right="57"/>
              <w:jc w:val="both"/>
              <w:rPr>
                <w:bCs/>
                <w:lang w:val="lv-LV"/>
              </w:rPr>
            </w:pPr>
            <w:r w:rsidRPr="003D3369">
              <w:rPr>
                <w:bCs/>
                <w:lang w:val="lv-LV"/>
              </w:rPr>
              <w:t>2.</w:t>
            </w:r>
          </w:p>
        </w:tc>
        <w:tc>
          <w:tcPr>
            <w:tcW w:w="2817" w:type="dxa"/>
          </w:tcPr>
          <w:p w14:paraId="7A7F3A68" w14:textId="77777777" w:rsidR="00D212DF" w:rsidRPr="003D3369" w:rsidRDefault="00D212DF" w:rsidP="003D0441">
            <w:pPr>
              <w:ind w:left="57" w:right="57"/>
              <w:rPr>
                <w:lang w:val="lv-LV" w:eastAsia="lv-LV"/>
              </w:rPr>
            </w:pPr>
            <w:r w:rsidRPr="003D3369">
              <w:rPr>
                <w:lang w:val="lv-LV" w:eastAsia="lv-LV"/>
              </w:rPr>
              <w:t>Sabiedrības līdzdalība projekta izstrādē</w:t>
            </w:r>
          </w:p>
        </w:tc>
        <w:tc>
          <w:tcPr>
            <w:tcW w:w="5938" w:type="dxa"/>
          </w:tcPr>
          <w:p w14:paraId="7DF0B1DF" w14:textId="77777777" w:rsidR="00D212DF" w:rsidRPr="003D3369" w:rsidRDefault="00D212DF" w:rsidP="003D0441">
            <w:pPr>
              <w:shd w:val="clear" w:color="auto" w:fill="FFFFFF"/>
              <w:ind w:left="169"/>
              <w:jc w:val="both"/>
              <w:rPr>
                <w:lang w:val="lv-LV" w:eastAsia="lv-LV"/>
              </w:rPr>
            </w:pPr>
            <w:bookmarkStart w:id="8" w:name="p62"/>
            <w:bookmarkEnd w:id="8"/>
            <w:r w:rsidRPr="003D3369">
              <w:rPr>
                <w:lang w:val="lv-LV"/>
              </w:rPr>
              <w:t>MK noteikumu projekts šo jomu neskar.</w:t>
            </w:r>
          </w:p>
        </w:tc>
      </w:tr>
      <w:tr w:rsidR="00D212DF" w:rsidRPr="003D3369" w14:paraId="38743BFD" w14:textId="77777777" w:rsidTr="00D212DF">
        <w:trPr>
          <w:trHeight w:val="476"/>
          <w:jc w:val="center"/>
        </w:trPr>
        <w:tc>
          <w:tcPr>
            <w:tcW w:w="312" w:type="dxa"/>
          </w:tcPr>
          <w:p w14:paraId="0122F740" w14:textId="77777777" w:rsidR="00D212DF" w:rsidRPr="003D3369" w:rsidRDefault="00D212DF" w:rsidP="003D0441">
            <w:pPr>
              <w:ind w:left="57" w:right="57"/>
              <w:jc w:val="both"/>
              <w:rPr>
                <w:bCs/>
                <w:lang w:val="lv-LV"/>
              </w:rPr>
            </w:pPr>
            <w:r w:rsidRPr="003D3369">
              <w:rPr>
                <w:bCs/>
                <w:lang w:val="lv-LV"/>
              </w:rPr>
              <w:t>3.</w:t>
            </w:r>
          </w:p>
        </w:tc>
        <w:tc>
          <w:tcPr>
            <w:tcW w:w="2817" w:type="dxa"/>
          </w:tcPr>
          <w:p w14:paraId="3574080D" w14:textId="77777777" w:rsidR="00D212DF" w:rsidRPr="003D3369" w:rsidRDefault="00D212DF" w:rsidP="003D0441">
            <w:pPr>
              <w:ind w:left="57" w:right="57"/>
              <w:rPr>
                <w:lang w:val="lv-LV" w:eastAsia="lv-LV"/>
              </w:rPr>
            </w:pPr>
            <w:r w:rsidRPr="003D3369">
              <w:rPr>
                <w:lang w:val="lv-LV" w:eastAsia="lv-LV"/>
              </w:rPr>
              <w:t>Sabiedrības līdzdalības rezultāti</w:t>
            </w:r>
          </w:p>
        </w:tc>
        <w:tc>
          <w:tcPr>
            <w:tcW w:w="5938" w:type="dxa"/>
          </w:tcPr>
          <w:p w14:paraId="3F659E3C" w14:textId="77777777" w:rsidR="00D212DF" w:rsidRPr="003D3369" w:rsidRDefault="00D212DF" w:rsidP="003D0441">
            <w:pPr>
              <w:shd w:val="clear" w:color="auto" w:fill="FFFFFF"/>
              <w:ind w:left="169"/>
              <w:jc w:val="both"/>
              <w:rPr>
                <w:lang w:val="lv-LV" w:eastAsia="lv-LV"/>
              </w:rPr>
            </w:pPr>
            <w:r w:rsidRPr="003D3369">
              <w:rPr>
                <w:lang w:val="lv-LV"/>
              </w:rPr>
              <w:t>MK noteikumu projekts šo jomu neskar.</w:t>
            </w:r>
          </w:p>
        </w:tc>
      </w:tr>
      <w:tr w:rsidR="00D212DF" w:rsidRPr="003D3369" w14:paraId="3814B3A8" w14:textId="77777777" w:rsidTr="00D212DF">
        <w:trPr>
          <w:trHeight w:val="329"/>
          <w:jc w:val="center"/>
        </w:trPr>
        <w:tc>
          <w:tcPr>
            <w:tcW w:w="312" w:type="dxa"/>
          </w:tcPr>
          <w:p w14:paraId="5E2E2ABB" w14:textId="77777777" w:rsidR="00D212DF" w:rsidRPr="003D3369" w:rsidRDefault="00D212DF" w:rsidP="003D0441">
            <w:pPr>
              <w:ind w:left="57" w:right="57"/>
              <w:jc w:val="both"/>
              <w:rPr>
                <w:bCs/>
                <w:lang w:val="lv-LV"/>
              </w:rPr>
            </w:pPr>
            <w:r w:rsidRPr="003D3369">
              <w:rPr>
                <w:bCs/>
                <w:lang w:val="lv-LV"/>
              </w:rPr>
              <w:t>4.</w:t>
            </w:r>
          </w:p>
        </w:tc>
        <w:tc>
          <w:tcPr>
            <w:tcW w:w="2817" w:type="dxa"/>
          </w:tcPr>
          <w:p w14:paraId="2C2A2F43" w14:textId="77777777" w:rsidR="00D212DF" w:rsidRPr="003D3369" w:rsidRDefault="00D212DF" w:rsidP="003D0441">
            <w:pPr>
              <w:ind w:left="57" w:right="57"/>
              <w:rPr>
                <w:lang w:val="lv-LV" w:eastAsia="lv-LV"/>
              </w:rPr>
            </w:pPr>
            <w:r w:rsidRPr="003D3369">
              <w:rPr>
                <w:lang w:val="lv-LV" w:eastAsia="lv-LV"/>
              </w:rPr>
              <w:t>Cita informācija</w:t>
            </w:r>
          </w:p>
        </w:tc>
        <w:tc>
          <w:tcPr>
            <w:tcW w:w="5938" w:type="dxa"/>
          </w:tcPr>
          <w:p w14:paraId="6963E352" w14:textId="77777777" w:rsidR="00D212DF" w:rsidRPr="003D3369" w:rsidRDefault="00D212DF" w:rsidP="003D0441">
            <w:pPr>
              <w:ind w:left="169" w:right="57"/>
              <w:jc w:val="both"/>
              <w:rPr>
                <w:lang w:val="lv-LV" w:eastAsia="lv-LV"/>
              </w:rPr>
            </w:pPr>
            <w:r w:rsidRPr="003D3369">
              <w:rPr>
                <w:lang w:val="lv-LV"/>
              </w:rPr>
              <w:t>Nav.</w:t>
            </w:r>
          </w:p>
        </w:tc>
      </w:tr>
    </w:tbl>
    <w:p w14:paraId="163461AE" w14:textId="77777777" w:rsidR="00D212DF" w:rsidRPr="003D3369" w:rsidRDefault="00D212DF" w:rsidP="00BF2E4B">
      <w:pPr>
        <w:jc w:val="center"/>
        <w:rPr>
          <w:rFonts w:eastAsia="Times New Roman"/>
          <w:b/>
          <w:lang w:val="lv-LV" w:eastAsia="lv-LV"/>
        </w:rPr>
      </w:pPr>
    </w:p>
    <w:p w14:paraId="72940B84" w14:textId="77777777" w:rsidR="00D212DF" w:rsidRPr="003D3369" w:rsidRDefault="00D212DF" w:rsidP="00BF2E4B">
      <w:pPr>
        <w:jc w:val="center"/>
        <w:rPr>
          <w:rFonts w:eastAsia="Times New Roman"/>
          <w:b/>
          <w:lang w:val="lv-LV" w:eastAsia="lv-LV"/>
        </w:rPr>
        <w:sectPr w:rsidR="00D212DF" w:rsidRPr="003D3369" w:rsidSect="00C97F6E">
          <w:type w:val="continuous"/>
          <w:pgSz w:w="11906" w:h="16838"/>
          <w:pgMar w:top="1418" w:right="1134" w:bottom="1134" w:left="1701" w:header="709" w:footer="709" w:gutter="0"/>
          <w:cols w:space="708"/>
          <w:titlePg/>
          <w:docGrid w:linePitch="360"/>
        </w:sectPr>
      </w:pPr>
    </w:p>
    <w:p w14:paraId="0CD253D0" w14:textId="77777777" w:rsidR="00C9779A" w:rsidRPr="003D3369" w:rsidRDefault="00C9779A" w:rsidP="00C9779A">
      <w:pPr>
        <w:rPr>
          <w:lang w:val="lv-LV"/>
        </w:rPr>
      </w:pPr>
    </w:p>
    <w:tbl>
      <w:tblPr>
        <w:tblStyle w:val="TableGrid"/>
        <w:tblW w:w="9047" w:type="dxa"/>
        <w:tblLayout w:type="fixed"/>
        <w:tblLook w:val="04A0" w:firstRow="1" w:lastRow="0" w:firstColumn="1" w:lastColumn="0" w:noHBand="0" w:noVBand="1"/>
      </w:tblPr>
      <w:tblGrid>
        <w:gridCol w:w="705"/>
        <w:gridCol w:w="2854"/>
        <w:gridCol w:w="5488"/>
      </w:tblGrid>
      <w:tr w:rsidR="003A7D89" w:rsidRPr="001671DD" w14:paraId="434316A4" w14:textId="77777777" w:rsidTr="0056050A">
        <w:trPr>
          <w:trHeight w:val="304"/>
        </w:trPr>
        <w:tc>
          <w:tcPr>
            <w:tcW w:w="9047" w:type="dxa"/>
            <w:gridSpan w:val="3"/>
          </w:tcPr>
          <w:p w14:paraId="7BE60B0E" w14:textId="77777777" w:rsidR="003A7D89" w:rsidRPr="003D3369" w:rsidRDefault="003A7D89" w:rsidP="00F22471">
            <w:pPr>
              <w:ind w:firstLine="720"/>
              <w:jc w:val="both"/>
              <w:rPr>
                <w:rFonts w:eastAsia="Times New Roman"/>
                <w:b/>
                <w:lang w:val="lv-LV" w:eastAsia="lv-LV"/>
              </w:rPr>
            </w:pPr>
            <w:r w:rsidRPr="003D3369">
              <w:rPr>
                <w:rFonts w:eastAsia="Times New Roman"/>
                <w:b/>
                <w:lang w:val="lv-LV" w:eastAsia="lv-LV"/>
              </w:rPr>
              <w:t>VII. Tiesību akta projekta izpildes nodrošināšana un tās ietekme uz institūcijām</w:t>
            </w:r>
          </w:p>
        </w:tc>
      </w:tr>
      <w:tr w:rsidR="003A7D89" w:rsidRPr="001671DD" w14:paraId="189AB733" w14:textId="77777777" w:rsidTr="0056050A">
        <w:trPr>
          <w:trHeight w:val="347"/>
        </w:trPr>
        <w:tc>
          <w:tcPr>
            <w:tcW w:w="705" w:type="dxa"/>
          </w:tcPr>
          <w:p w14:paraId="7FC86379" w14:textId="77777777" w:rsidR="003A7D89" w:rsidRPr="003D3369" w:rsidRDefault="003A7D89" w:rsidP="00F22471">
            <w:pPr>
              <w:jc w:val="both"/>
              <w:rPr>
                <w:rFonts w:eastAsia="Times New Roman"/>
                <w:lang w:val="lv-LV" w:eastAsia="lv-LV"/>
              </w:rPr>
            </w:pPr>
            <w:r w:rsidRPr="003D3369">
              <w:rPr>
                <w:rFonts w:eastAsia="Times New Roman"/>
                <w:lang w:val="lv-LV" w:eastAsia="lv-LV"/>
              </w:rPr>
              <w:t>1.</w:t>
            </w:r>
          </w:p>
        </w:tc>
        <w:tc>
          <w:tcPr>
            <w:tcW w:w="2854" w:type="dxa"/>
            <w:hideMark/>
          </w:tcPr>
          <w:p w14:paraId="459D0740" w14:textId="77777777" w:rsidR="003A7D89" w:rsidRPr="003D3369" w:rsidRDefault="003A7D89" w:rsidP="00F22471">
            <w:pPr>
              <w:jc w:val="both"/>
              <w:rPr>
                <w:rFonts w:eastAsia="Times New Roman"/>
                <w:lang w:val="lv-LV" w:eastAsia="lv-LV"/>
              </w:rPr>
            </w:pPr>
            <w:r w:rsidRPr="003D3369">
              <w:rPr>
                <w:rFonts w:eastAsia="Times New Roman"/>
                <w:lang w:val="lv-LV" w:eastAsia="lv-LV"/>
              </w:rPr>
              <w:t>Projekta izpildē iesaistītās institūcijas</w:t>
            </w:r>
          </w:p>
        </w:tc>
        <w:tc>
          <w:tcPr>
            <w:tcW w:w="5488" w:type="dxa"/>
            <w:hideMark/>
          </w:tcPr>
          <w:p w14:paraId="342C0A7A" w14:textId="78D8B0EC" w:rsidR="00B84C4B" w:rsidRPr="003D3369" w:rsidRDefault="00D53219" w:rsidP="00D53219">
            <w:pPr>
              <w:jc w:val="both"/>
              <w:rPr>
                <w:rFonts w:eastAsia="Times New Roman"/>
                <w:lang w:val="lv-LV" w:eastAsia="lv-LV"/>
              </w:rPr>
            </w:pPr>
            <w:r>
              <w:rPr>
                <w:iCs/>
                <w:lang w:val="lv-LV"/>
              </w:rPr>
              <w:t>Finanšu ministrija</w:t>
            </w:r>
            <w:r w:rsidR="00626696" w:rsidRPr="003D3369">
              <w:rPr>
                <w:iCs/>
                <w:lang w:val="lv-LV"/>
              </w:rPr>
              <w:t>, Iepirkumu uzraudzības birojs, Labklājības ministrija,</w:t>
            </w:r>
            <w:r>
              <w:rPr>
                <w:iCs/>
                <w:lang w:val="lv-LV"/>
              </w:rPr>
              <w:t xml:space="preserve"> Ekonomikas ministrija</w:t>
            </w:r>
            <w:r w:rsidR="00626696" w:rsidRPr="003D3369">
              <w:rPr>
                <w:iCs/>
                <w:lang w:val="lv-LV"/>
              </w:rPr>
              <w:t>, Izglītības un zinātnes ministrija, Vides aizsardzības un reģionālās attīstības ministrija, Centrālā finanšu un līgumu aģentūra</w:t>
            </w:r>
            <w:r>
              <w:rPr>
                <w:iCs/>
                <w:lang w:val="lv-LV"/>
              </w:rPr>
              <w:t>, Sabirdrības integrācijas fonds, Valsts reģionālās attīstības aģentūra, Kultūras ministrija</w:t>
            </w:r>
            <w:r w:rsidR="00626696" w:rsidRPr="003D3369">
              <w:rPr>
                <w:iCs/>
                <w:lang w:val="lv-LV"/>
              </w:rPr>
              <w:t xml:space="preserve"> un Satiksmes ministrija.</w:t>
            </w:r>
          </w:p>
        </w:tc>
      </w:tr>
      <w:tr w:rsidR="003A7D89" w:rsidRPr="003D3369" w14:paraId="72897F53" w14:textId="77777777" w:rsidTr="0056050A">
        <w:trPr>
          <w:trHeight w:val="606"/>
        </w:trPr>
        <w:tc>
          <w:tcPr>
            <w:tcW w:w="705" w:type="dxa"/>
          </w:tcPr>
          <w:p w14:paraId="0272E0F2" w14:textId="77777777" w:rsidR="003A7D89" w:rsidRPr="003D3369" w:rsidRDefault="003A7D89" w:rsidP="00F22471">
            <w:pPr>
              <w:jc w:val="both"/>
              <w:rPr>
                <w:rFonts w:eastAsia="Times New Roman"/>
                <w:lang w:val="lv-LV" w:eastAsia="lv-LV"/>
              </w:rPr>
            </w:pPr>
            <w:r w:rsidRPr="003D3369">
              <w:rPr>
                <w:rFonts w:eastAsia="Times New Roman"/>
                <w:lang w:val="lv-LV" w:eastAsia="lv-LV"/>
              </w:rPr>
              <w:t>2.</w:t>
            </w:r>
          </w:p>
        </w:tc>
        <w:tc>
          <w:tcPr>
            <w:tcW w:w="2854" w:type="dxa"/>
            <w:hideMark/>
          </w:tcPr>
          <w:p w14:paraId="0C2C46FC" w14:textId="77777777" w:rsidR="003A7D89" w:rsidRPr="003D3369" w:rsidRDefault="003A7D89" w:rsidP="00F22471">
            <w:pPr>
              <w:jc w:val="both"/>
              <w:rPr>
                <w:rFonts w:eastAsia="Times New Roman"/>
                <w:lang w:val="lv-LV" w:eastAsia="lv-LV"/>
              </w:rPr>
            </w:pPr>
            <w:r w:rsidRPr="003D3369">
              <w:rPr>
                <w:rFonts w:eastAsia="Times New Roman"/>
                <w:lang w:val="lv-LV" w:eastAsia="lv-LV"/>
              </w:rPr>
              <w:t>Projekta izpildes ietekme uz pārvaldes funkcijām</w:t>
            </w:r>
          </w:p>
        </w:tc>
        <w:tc>
          <w:tcPr>
            <w:tcW w:w="5488" w:type="dxa"/>
            <w:hideMark/>
          </w:tcPr>
          <w:p w14:paraId="19ABE554" w14:textId="77777777" w:rsidR="00B84C4B" w:rsidRPr="003D3369" w:rsidRDefault="00BF2E4B" w:rsidP="00D743CB">
            <w:pPr>
              <w:jc w:val="both"/>
              <w:rPr>
                <w:rFonts w:eastAsia="Times New Roman"/>
                <w:lang w:val="lv-LV" w:eastAsia="lv-LV"/>
              </w:rPr>
            </w:pPr>
            <w:r w:rsidRPr="003D3369">
              <w:rPr>
                <w:rFonts w:eastAsia="Times New Roman"/>
                <w:lang w:val="lv-LV" w:eastAsia="lv-LV"/>
              </w:rPr>
              <w:t>Projekts šo jomu neskar</w:t>
            </w:r>
          </w:p>
        </w:tc>
      </w:tr>
      <w:tr w:rsidR="003A7D89" w:rsidRPr="003D3369" w14:paraId="373DC38F" w14:textId="77777777" w:rsidTr="0056050A">
        <w:trPr>
          <w:trHeight w:val="232"/>
        </w:trPr>
        <w:tc>
          <w:tcPr>
            <w:tcW w:w="705" w:type="dxa"/>
          </w:tcPr>
          <w:p w14:paraId="1FE69079" w14:textId="77777777" w:rsidR="003A7D89" w:rsidRPr="003D3369" w:rsidRDefault="003A7D89" w:rsidP="00F22471">
            <w:pPr>
              <w:jc w:val="both"/>
              <w:rPr>
                <w:rFonts w:eastAsia="Times New Roman"/>
                <w:lang w:val="lv-LV" w:eastAsia="lv-LV"/>
              </w:rPr>
            </w:pPr>
            <w:r w:rsidRPr="003D3369">
              <w:rPr>
                <w:rFonts w:eastAsia="Times New Roman"/>
                <w:lang w:val="lv-LV" w:eastAsia="lv-LV"/>
              </w:rPr>
              <w:t>3.</w:t>
            </w:r>
          </w:p>
        </w:tc>
        <w:tc>
          <w:tcPr>
            <w:tcW w:w="2854" w:type="dxa"/>
            <w:hideMark/>
          </w:tcPr>
          <w:p w14:paraId="6B4130D2" w14:textId="77777777" w:rsidR="003A7D89" w:rsidRPr="003D3369" w:rsidRDefault="003A7D89" w:rsidP="00F22471">
            <w:pPr>
              <w:jc w:val="both"/>
              <w:rPr>
                <w:rFonts w:eastAsia="Times New Roman"/>
                <w:lang w:val="lv-LV" w:eastAsia="lv-LV"/>
              </w:rPr>
            </w:pPr>
            <w:r w:rsidRPr="003D3369">
              <w:rPr>
                <w:rFonts w:eastAsia="Times New Roman"/>
                <w:lang w:val="lv-LV" w:eastAsia="lv-LV"/>
              </w:rPr>
              <w:t>Projekta izpildes ietekme uz pārvaldes institucionālo struktūru. Jaunu institūciju izveide</w:t>
            </w:r>
          </w:p>
        </w:tc>
        <w:tc>
          <w:tcPr>
            <w:tcW w:w="5488" w:type="dxa"/>
            <w:hideMark/>
          </w:tcPr>
          <w:p w14:paraId="3EFAD157" w14:textId="77777777" w:rsidR="003A7D89" w:rsidRPr="003D3369" w:rsidRDefault="00E96F9B" w:rsidP="00D743CB">
            <w:pPr>
              <w:jc w:val="both"/>
              <w:rPr>
                <w:rFonts w:eastAsia="Times New Roman"/>
                <w:lang w:val="lv-LV" w:eastAsia="lv-LV"/>
              </w:rPr>
            </w:pPr>
            <w:r w:rsidRPr="003D3369">
              <w:rPr>
                <w:lang w:val="lv-LV"/>
              </w:rPr>
              <w:t>MK</w:t>
            </w:r>
            <w:r w:rsidR="003A7D89" w:rsidRPr="003D3369">
              <w:rPr>
                <w:lang w:val="lv-LV"/>
              </w:rPr>
              <w:t xml:space="preserve"> </w:t>
            </w:r>
            <w:r w:rsidR="00A46462" w:rsidRPr="003D3369">
              <w:rPr>
                <w:lang w:val="lv-LV"/>
              </w:rPr>
              <w:t>noteikumu</w:t>
            </w:r>
            <w:r w:rsidR="003A7D89" w:rsidRPr="003D3369">
              <w:rPr>
                <w:lang w:val="lv-LV"/>
              </w:rPr>
              <w:t xml:space="preserve"> projekta izpildei nav nepieciešams izveidot jaunas institūcijas</w:t>
            </w:r>
            <w:r w:rsidR="003A7D89" w:rsidRPr="003D3369">
              <w:rPr>
                <w:rFonts w:eastAsia="Times New Roman"/>
                <w:lang w:val="lv-LV" w:eastAsia="lv-LV"/>
              </w:rPr>
              <w:t>.</w:t>
            </w:r>
          </w:p>
        </w:tc>
      </w:tr>
      <w:tr w:rsidR="003A7D89" w:rsidRPr="001671DD" w14:paraId="1BD8A64E" w14:textId="77777777" w:rsidTr="0056050A">
        <w:trPr>
          <w:trHeight w:val="976"/>
        </w:trPr>
        <w:tc>
          <w:tcPr>
            <w:tcW w:w="705" w:type="dxa"/>
          </w:tcPr>
          <w:p w14:paraId="57840D54" w14:textId="77777777" w:rsidR="003A7D89" w:rsidRPr="003D3369" w:rsidRDefault="003A7D89" w:rsidP="00F22471">
            <w:pPr>
              <w:jc w:val="both"/>
              <w:rPr>
                <w:rFonts w:eastAsia="Times New Roman"/>
                <w:lang w:val="lv-LV" w:eastAsia="lv-LV"/>
              </w:rPr>
            </w:pPr>
            <w:r w:rsidRPr="003D3369">
              <w:rPr>
                <w:rFonts w:eastAsia="Times New Roman"/>
                <w:lang w:val="lv-LV" w:eastAsia="lv-LV"/>
              </w:rPr>
              <w:t>4.</w:t>
            </w:r>
          </w:p>
        </w:tc>
        <w:tc>
          <w:tcPr>
            <w:tcW w:w="2854" w:type="dxa"/>
            <w:hideMark/>
          </w:tcPr>
          <w:p w14:paraId="00003B31" w14:textId="77777777" w:rsidR="003A7D89" w:rsidRPr="003D3369" w:rsidRDefault="003A7D89" w:rsidP="00F22471">
            <w:pPr>
              <w:jc w:val="both"/>
              <w:rPr>
                <w:rFonts w:eastAsia="Times New Roman"/>
                <w:lang w:val="lv-LV" w:eastAsia="lv-LV"/>
              </w:rPr>
            </w:pPr>
            <w:r w:rsidRPr="003D3369">
              <w:rPr>
                <w:rFonts w:eastAsia="Times New Roman"/>
                <w:lang w:val="lv-LV" w:eastAsia="lv-LV"/>
              </w:rPr>
              <w:t>Projekta izpildes ietekmes uz pārvaldes institucionālo struktūru. Esošu institūciju likvidācija</w:t>
            </w:r>
          </w:p>
        </w:tc>
        <w:tc>
          <w:tcPr>
            <w:tcW w:w="5488" w:type="dxa"/>
            <w:hideMark/>
          </w:tcPr>
          <w:p w14:paraId="23EB7AF4" w14:textId="77777777" w:rsidR="003A7D89" w:rsidRPr="003D3369" w:rsidRDefault="00E96F9B" w:rsidP="00D743CB">
            <w:pPr>
              <w:jc w:val="both"/>
              <w:rPr>
                <w:lang w:val="lv-LV"/>
              </w:rPr>
            </w:pPr>
            <w:r w:rsidRPr="003D3369">
              <w:rPr>
                <w:lang w:val="lv-LV"/>
              </w:rPr>
              <w:t>MK</w:t>
            </w:r>
            <w:r w:rsidR="003A7D89" w:rsidRPr="003D3369">
              <w:rPr>
                <w:lang w:val="lv-LV"/>
              </w:rPr>
              <w:t xml:space="preserve"> </w:t>
            </w:r>
            <w:r w:rsidR="00A46462" w:rsidRPr="003D3369">
              <w:rPr>
                <w:lang w:val="lv-LV"/>
              </w:rPr>
              <w:t>noteikumu</w:t>
            </w:r>
            <w:r w:rsidR="003A7D89" w:rsidRPr="003D3369">
              <w:rPr>
                <w:lang w:val="lv-LV"/>
              </w:rPr>
              <w:t xml:space="preserve"> projekta izpildei nav nepieciešams likvidēt esošās institūcijas</w:t>
            </w:r>
            <w:r w:rsidR="003A7D89" w:rsidRPr="003D3369">
              <w:rPr>
                <w:rFonts w:eastAsia="Times New Roman"/>
                <w:lang w:val="lv-LV" w:eastAsia="lv-LV"/>
              </w:rPr>
              <w:t>.</w:t>
            </w:r>
          </w:p>
        </w:tc>
      </w:tr>
      <w:tr w:rsidR="003A7D89" w:rsidRPr="001671DD" w14:paraId="33643677" w14:textId="77777777" w:rsidTr="0056050A">
        <w:trPr>
          <w:trHeight w:val="508"/>
        </w:trPr>
        <w:tc>
          <w:tcPr>
            <w:tcW w:w="705" w:type="dxa"/>
          </w:tcPr>
          <w:p w14:paraId="6170C06C" w14:textId="77777777" w:rsidR="003A7D89" w:rsidRPr="003D3369" w:rsidRDefault="003A7D89" w:rsidP="00F22471">
            <w:pPr>
              <w:jc w:val="both"/>
              <w:rPr>
                <w:rFonts w:eastAsia="Times New Roman"/>
                <w:lang w:val="lv-LV" w:eastAsia="lv-LV"/>
              </w:rPr>
            </w:pPr>
            <w:r w:rsidRPr="003D3369">
              <w:rPr>
                <w:rFonts w:eastAsia="Times New Roman"/>
                <w:lang w:val="lv-LV" w:eastAsia="lv-LV"/>
              </w:rPr>
              <w:t>5.</w:t>
            </w:r>
          </w:p>
        </w:tc>
        <w:tc>
          <w:tcPr>
            <w:tcW w:w="2854" w:type="dxa"/>
            <w:hideMark/>
          </w:tcPr>
          <w:p w14:paraId="3D92D104" w14:textId="77777777" w:rsidR="003A7D89" w:rsidRPr="003D3369" w:rsidRDefault="003A7D89" w:rsidP="00F22471">
            <w:pPr>
              <w:jc w:val="both"/>
              <w:rPr>
                <w:rFonts w:eastAsia="Times New Roman"/>
                <w:lang w:val="lv-LV" w:eastAsia="lv-LV"/>
              </w:rPr>
            </w:pPr>
            <w:r w:rsidRPr="003D3369">
              <w:rPr>
                <w:rFonts w:eastAsia="Times New Roman"/>
                <w:lang w:val="lv-LV" w:eastAsia="lv-LV"/>
              </w:rPr>
              <w:t>Projekta izpildes ietekmes uz pārvaldes institucionālo struktūru. Esošu institūciju reorganizācija</w:t>
            </w:r>
          </w:p>
        </w:tc>
        <w:tc>
          <w:tcPr>
            <w:tcW w:w="5488" w:type="dxa"/>
            <w:hideMark/>
          </w:tcPr>
          <w:p w14:paraId="446961DE" w14:textId="77777777" w:rsidR="003A7D89" w:rsidRPr="003D3369" w:rsidRDefault="00E96F9B" w:rsidP="00D743CB">
            <w:pPr>
              <w:jc w:val="both"/>
              <w:rPr>
                <w:rFonts w:eastAsia="Times New Roman"/>
                <w:lang w:val="lv-LV" w:eastAsia="lv-LV"/>
              </w:rPr>
            </w:pPr>
            <w:r w:rsidRPr="003D3369">
              <w:rPr>
                <w:rFonts w:eastAsia="Times New Roman"/>
                <w:lang w:val="lv-LV" w:eastAsia="lv-LV"/>
              </w:rPr>
              <w:t>MK</w:t>
            </w:r>
            <w:r w:rsidR="003A7D89" w:rsidRPr="003D3369">
              <w:rPr>
                <w:rFonts w:eastAsia="Times New Roman"/>
                <w:lang w:val="lv-LV" w:eastAsia="lv-LV"/>
              </w:rPr>
              <w:t xml:space="preserve"> </w:t>
            </w:r>
            <w:r w:rsidR="00A46462" w:rsidRPr="003D3369">
              <w:rPr>
                <w:lang w:val="lv-LV"/>
              </w:rPr>
              <w:t>noteikumu</w:t>
            </w:r>
            <w:r w:rsidR="003A7D89" w:rsidRPr="003D3369">
              <w:rPr>
                <w:lang w:val="lv-LV"/>
              </w:rPr>
              <w:t xml:space="preserve"> projekta izpildei nav nepieciešams reorganizēt esošās institūcijas</w:t>
            </w:r>
            <w:r w:rsidR="003A7D89" w:rsidRPr="003D3369">
              <w:rPr>
                <w:rFonts w:eastAsia="Times New Roman"/>
                <w:lang w:val="lv-LV" w:eastAsia="lv-LV"/>
              </w:rPr>
              <w:t>.</w:t>
            </w:r>
          </w:p>
          <w:p w14:paraId="19DC4C34" w14:textId="77777777" w:rsidR="00B84C4B" w:rsidRPr="003D3369" w:rsidRDefault="00B84C4B" w:rsidP="00742BAF">
            <w:pPr>
              <w:jc w:val="both"/>
              <w:rPr>
                <w:rFonts w:eastAsia="Times New Roman"/>
                <w:lang w:val="lv-LV" w:eastAsia="lv-LV"/>
              </w:rPr>
            </w:pPr>
          </w:p>
        </w:tc>
      </w:tr>
      <w:tr w:rsidR="003A7D89" w:rsidRPr="003D3369" w14:paraId="5C0522D0" w14:textId="77777777" w:rsidTr="0056050A">
        <w:trPr>
          <w:trHeight w:val="242"/>
        </w:trPr>
        <w:tc>
          <w:tcPr>
            <w:tcW w:w="705" w:type="dxa"/>
          </w:tcPr>
          <w:p w14:paraId="268A4953" w14:textId="77777777" w:rsidR="003A7D89" w:rsidRPr="003D3369" w:rsidRDefault="003A7D89" w:rsidP="00F22471">
            <w:pPr>
              <w:jc w:val="both"/>
              <w:rPr>
                <w:rFonts w:eastAsia="Times New Roman"/>
                <w:lang w:val="lv-LV" w:eastAsia="lv-LV"/>
              </w:rPr>
            </w:pPr>
            <w:r w:rsidRPr="003D3369">
              <w:rPr>
                <w:rFonts w:eastAsia="Times New Roman"/>
                <w:lang w:val="lv-LV" w:eastAsia="lv-LV"/>
              </w:rPr>
              <w:t>6.</w:t>
            </w:r>
          </w:p>
        </w:tc>
        <w:tc>
          <w:tcPr>
            <w:tcW w:w="2854" w:type="dxa"/>
            <w:hideMark/>
          </w:tcPr>
          <w:p w14:paraId="222BC3AE" w14:textId="77777777" w:rsidR="003A7D89" w:rsidRPr="003D3369" w:rsidRDefault="003A7D89" w:rsidP="00F22471">
            <w:pPr>
              <w:jc w:val="both"/>
              <w:rPr>
                <w:rFonts w:eastAsia="Times New Roman"/>
                <w:lang w:val="lv-LV" w:eastAsia="lv-LV"/>
              </w:rPr>
            </w:pPr>
            <w:r w:rsidRPr="003D3369">
              <w:rPr>
                <w:rFonts w:eastAsia="Times New Roman"/>
                <w:lang w:val="lv-LV" w:eastAsia="lv-LV"/>
              </w:rPr>
              <w:t>Cita informācija</w:t>
            </w:r>
          </w:p>
        </w:tc>
        <w:tc>
          <w:tcPr>
            <w:tcW w:w="5488" w:type="dxa"/>
            <w:hideMark/>
          </w:tcPr>
          <w:p w14:paraId="03FEAB7A" w14:textId="77777777" w:rsidR="003A7D89" w:rsidRPr="003D3369" w:rsidRDefault="003A7D89" w:rsidP="00C66CCF">
            <w:pPr>
              <w:jc w:val="both"/>
              <w:rPr>
                <w:rFonts w:eastAsia="Times New Roman"/>
                <w:lang w:val="lv-LV" w:eastAsia="lv-LV"/>
              </w:rPr>
            </w:pPr>
            <w:r w:rsidRPr="003D3369">
              <w:rPr>
                <w:rFonts w:eastAsia="Times New Roman"/>
                <w:lang w:val="lv-LV" w:eastAsia="lv-LV"/>
              </w:rPr>
              <w:t>Nav.</w:t>
            </w:r>
          </w:p>
        </w:tc>
      </w:tr>
    </w:tbl>
    <w:p w14:paraId="263FA748" w14:textId="77777777" w:rsidR="00154076" w:rsidRPr="00FA412F" w:rsidRDefault="00154076" w:rsidP="00A43665">
      <w:pPr>
        <w:tabs>
          <w:tab w:val="right" w:pos="9072"/>
        </w:tabs>
        <w:rPr>
          <w:sz w:val="24"/>
          <w:szCs w:val="24"/>
          <w:lang w:val="lv-LV"/>
        </w:rPr>
      </w:pPr>
    </w:p>
    <w:p w14:paraId="5F9623E0" w14:textId="77777777" w:rsidR="00B257F0" w:rsidRDefault="00B257F0" w:rsidP="006F5071">
      <w:pPr>
        <w:tabs>
          <w:tab w:val="left" w:pos="6840"/>
        </w:tabs>
        <w:ind w:firstLine="714"/>
        <w:jc w:val="both"/>
        <w:rPr>
          <w:sz w:val="24"/>
          <w:szCs w:val="24"/>
          <w:lang w:val="lv-LV"/>
        </w:rPr>
      </w:pPr>
    </w:p>
    <w:p w14:paraId="730147CD" w14:textId="2B057F6A" w:rsidR="006F5071" w:rsidRDefault="006F5071" w:rsidP="006F5071">
      <w:pPr>
        <w:tabs>
          <w:tab w:val="left" w:pos="6840"/>
        </w:tabs>
        <w:ind w:firstLine="714"/>
        <w:jc w:val="both"/>
        <w:rPr>
          <w:sz w:val="24"/>
          <w:szCs w:val="24"/>
          <w:lang w:val="lv-LV"/>
        </w:rPr>
      </w:pPr>
      <w:r w:rsidRPr="00FA412F">
        <w:rPr>
          <w:sz w:val="24"/>
          <w:szCs w:val="24"/>
          <w:lang w:val="lv-LV"/>
        </w:rPr>
        <w:t>Finanšu ministrs</w:t>
      </w:r>
      <w:r w:rsidRPr="00FA412F">
        <w:rPr>
          <w:sz w:val="24"/>
          <w:szCs w:val="24"/>
          <w:lang w:val="lv-LV"/>
        </w:rPr>
        <w:tab/>
      </w:r>
      <w:r w:rsidR="00EE4E77" w:rsidRPr="00FA412F">
        <w:rPr>
          <w:sz w:val="24"/>
          <w:szCs w:val="24"/>
          <w:lang w:val="lv-LV"/>
        </w:rPr>
        <w:t>J</w:t>
      </w:r>
      <w:r w:rsidRPr="00FA412F">
        <w:rPr>
          <w:sz w:val="24"/>
          <w:szCs w:val="24"/>
          <w:lang w:val="lv-LV"/>
        </w:rPr>
        <w:t>.</w:t>
      </w:r>
      <w:r w:rsidR="00EE4E77" w:rsidRPr="00FA412F">
        <w:rPr>
          <w:sz w:val="24"/>
          <w:szCs w:val="24"/>
          <w:lang w:val="lv-LV"/>
        </w:rPr>
        <w:t>Reirs</w:t>
      </w:r>
    </w:p>
    <w:p w14:paraId="1DEB4475" w14:textId="77777777" w:rsidR="00B257F0" w:rsidRPr="00FA412F" w:rsidRDefault="00B257F0" w:rsidP="006F5071">
      <w:pPr>
        <w:tabs>
          <w:tab w:val="left" w:pos="6840"/>
        </w:tabs>
        <w:ind w:firstLine="714"/>
        <w:jc w:val="both"/>
        <w:rPr>
          <w:sz w:val="24"/>
          <w:szCs w:val="24"/>
          <w:lang w:val="lv-LV"/>
        </w:rPr>
      </w:pPr>
    </w:p>
    <w:p w14:paraId="6B98CEDF" w14:textId="77777777" w:rsidR="006F5071" w:rsidRPr="00584A32" w:rsidRDefault="006F5071" w:rsidP="006F5071">
      <w:pPr>
        <w:pStyle w:val="NoSpacing"/>
        <w:jc w:val="both"/>
        <w:rPr>
          <w:rFonts w:ascii="Times New Roman" w:hAnsi="Times New Roman"/>
          <w:sz w:val="20"/>
          <w:szCs w:val="20"/>
        </w:rPr>
      </w:pPr>
    </w:p>
    <w:p w14:paraId="60452989" w14:textId="32445F8C" w:rsidR="006F5071" w:rsidRPr="00584A32" w:rsidRDefault="00700C6C" w:rsidP="006F5071">
      <w:pPr>
        <w:pStyle w:val="NoSpacing"/>
        <w:jc w:val="both"/>
        <w:rPr>
          <w:rFonts w:ascii="Times New Roman" w:hAnsi="Times New Roman"/>
          <w:sz w:val="20"/>
          <w:szCs w:val="20"/>
        </w:rPr>
      </w:pPr>
      <w:r>
        <w:rPr>
          <w:rFonts w:ascii="Times New Roman" w:hAnsi="Times New Roman"/>
          <w:sz w:val="20"/>
          <w:szCs w:val="20"/>
        </w:rPr>
        <w:t>20</w:t>
      </w:r>
      <w:r w:rsidR="002A1416">
        <w:rPr>
          <w:rFonts w:ascii="Times New Roman" w:hAnsi="Times New Roman"/>
          <w:sz w:val="20"/>
          <w:szCs w:val="20"/>
        </w:rPr>
        <w:t>.08</w:t>
      </w:r>
      <w:r w:rsidR="00634A17">
        <w:rPr>
          <w:rFonts w:ascii="Times New Roman" w:hAnsi="Times New Roman"/>
          <w:sz w:val="20"/>
          <w:szCs w:val="20"/>
        </w:rPr>
        <w:t>.2015</w:t>
      </w:r>
      <w:r w:rsidR="00584A32">
        <w:rPr>
          <w:rFonts w:ascii="Times New Roman" w:hAnsi="Times New Roman"/>
          <w:sz w:val="20"/>
          <w:szCs w:val="20"/>
        </w:rPr>
        <w:t xml:space="preserve"> 13:20</w:t>
      </w:r>
    </w:p>
    <w:p w14:paraId="58575598" w14:textId="78F9198C" w:rsidR="006F5071" w:rsidRPr="00584A32" w:rsidRDefault="006F5071" w:rsidP="006F5071">
      <w:pPr>
        <w:pStyle w:val="NoSpacing"/>
        <w:jc w:val="both"/>
        <w:rPr>
          <w:rFonts w:ascii="Times New Roman" w:hAnsi="Times New Roman"/>
          <w:sz w:val="20"/>
          <w:szCs w:val="20"/>
        </w:rPr>
      </w:pPr>
      <w:r w:rsidRPr="00584A32">
        <w:rPr>
          <w:rFonts w:ascii="Times New Roman" w:hAnsi="Times New Roman"/>
          <w:sz w:val="20"/>
          <w:szCs w:val="20"/>
        </w:rPr>
        <w:t>1 </w:t>
      </w:r>
      <w:r w:rsidR="007C3CC0">
        <w:rPr>
          <w:rFonts w:ascii="Times New Roman" w:hAnsi="Times New Roman"/>
          <w:sz w:val="20"/>
          <w:szCs w:val="20"/>
        </w:rPr>
        <w:t>481</w:t>
      </w:r>
    </w:p>
    <w:p w14:paraId="297B867B" w14:textId="77777777" w:rsidR="006F5071" w:rsidRPr="00584A32" w:rsidRDefault="006F5071" w:rsidP="006F5071">
      <w:pPr>
        <w:pStyle w:val="NoSpacing"/>
        <w:jc w:val="both"/>
        <w:rPr>
          <w:rFonts w:ascii="Times New Roman" w:hAnsi="Times New Roman"/>
          <w:sz w:val="20"/>
          <w:szCs w:val="20"/>
        </w:rPr>
      </w:pPr>
      <w:r w:rsidRPr="00584A32">
        <w:rPr>
          <w:rFonts w:ascii="Times New Roman" w:hAnsi="Times New Roman"/>
          <w:sz w:val="20"/>
          <w:szCs w:val="20"/>
        </w:rPr>
        <w:t>E.Zandbergs</w:t>
      </w:r>
    </w:p>
    <w:p w14:paraId="02E2E37F" w14:textId="77777777" w:rsidR="006F5071" w:rsidRPr="00584A32" w:rsidRDefault="006F5071" w:rsidP="006F5071">
      <w:pPr>
        <w:pStyle w:val="NoSpacing"/>
        <w:jc w:val="both"/>
        <w:rPr>
          <w:rFonts w:ascii="Times New Roman" w:hAnsi="Times New Roman"/>
          <w:sz w:val="20"/>
          <w:szCs w:val="20"/>
        </w:rPr>
      </w:pPr>
      <w:r w:rsidRPr="00584A32">
        <w:rPr>
          <w:rFonts w:ascii="Times New Roman" w:hAnsi="Times New Roman"/>
          <w:sz w:val="20"/>
          <w:szCs w:val="20"/>
        </w:rPr>
        <w:t>Tālr.: 67095532</w:t>
      </w:r>
    </w:p>
    <w:p w14:paraId="34933142" w14:textId="7A1FCC85" w:rsidR="00BE6E9C" w:rsidRPr="003D3369" w:rsidRDefault="006F5071" w:rsidP="007B0D55">
      <w:pPr>
        <w:pStyle w:val="NoSpacing"/>
        <w:jc w:val="both"/>
        <w:rPr>
          <w:color w:val="000000"/>
        </w:rPr>
      </w:pPr>
      <w:r w:rsidRPr="00584A32">
        <w:rPr>
          <w:rFonts w:ascii="Times New Roman" w:hAnsi="Times New Roman"/>
          <w:sz w:val="20"/>
          <w:szCs w:val="20"/>
        </w:rPr>
        <w:t>Edgars.Zandbergs@fm.gov.lv</w:t>
      </w:r>
      <w:r w:rsidR="00A43665" w:rsidRPr="0096451F">
        <w:rPr>
          <w:sz w:val="24"/>
          <w:szCs w:val="24"/>
        </w:rPr>
        <w:tab/>
      </w:r>
    </w:p>
    <w:sectPr w:rsidR="00BE6E9C" w:rsidRPr="003D3369" w:rsidSect="00C97F6E">
      <w:endnotePr>
        <w:numFmt w:val="decimal"/>
      </w:endnotePr>
      <w:type w:val="continuous"/>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66D80" w14:textId="77777777" w:rsidR="00FC77DA" w:rsidRDefault="00FC77DA" w:rsidP="00B014C2">
      <w:r>
        <w:separator/>
      </w:r>
    </w:p>
  </w:endnote>
  <w:endnote w:type="continuationSeparator" w:id="0">
    <w:p w14:paraId="3638B297" w14:textId="77777777" w:rsidR="00FC77DA" w:rsidRDefault="00FC77DA" w:rsidP="00B0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13C42" w14:textId="2AF3575B" w:rsidR="00CF44CB" w:rsidRPr="00CF44CB" w:rsidRDefault="009E2EEC" w:rsidP="00CF44CB">
    <w:pPr>
      <w:pStyle w:val="BodyText"/>
      <w:rPr>
        <w:sz w:val="18"/>
        <w:szCs w:val="18"/>
      </w:rPr>
    </w:pPr>
    <w:r>
      <w:rPr>
        <w:sz w:val="18"/>
        <w:szCs w:val="18"/>
      </w:rPr>
      <w:t>FMAnot_</w:t>
    </w:r>
    <w:r w:rsidR="00B12E20">
      <w:rPr>
        <w:sz w:val="18"/>
        <w:szCs w:val="18"/>
      </w:rPr>
      <w:t>20</w:t>
    </w:r>
    <w:r w:rsidR="00661A72">
      <w:rPr>
        <w:sz w:val="18"/>
        <w:szCs w:val="18"/>
      </w:rPr>
      <w:t>08</w:t>
    </w:r>
    <w:r w:rsidR="00F17D9D">
      <w:rPr>
        <w:sz w:val="18"/>
        <w:szCs w:val="18"/>
      </w:rPr>
      <w:t>15</w:t>
    </w:r>
    <w:r w:rsidR="00CF44CB" w:rsidRPr="00CF44CB">
      <w:rPr>
        <w:sz w:val="18"/>
        <w:szCs w:val="18"/>
      </w:rPr>
      <w:t>_</w:t>
    </w:r>
    <w:r w:rsidR="00B12E20">
      <w:rPr>
        <w:sz w:val="18"/>
        <w:szCs w:val="18"/>
      </w:rPr>
      <w:t>TP7-13</w:t>
    </w:r>
    <w:r w:rsidR="00CF44CB" w:rsidRPr="00CF44CB">
      <w:rPr>
        <w:sz w:val="18"/>
        <w:szCs w:val="18"/>
      </w:rPr>
      <w:t xml:space="preserve">; Ministru kabineta noteikumu projekta „Grozījumi Ministru kabineta 2011.gada 6.septembra noteikumos Nr.694 „Noteikumi par darbības programmas „Cilvēkresursi un nodarbinātība” papildinājuma 1.6.1.1.aktivitātes „Programmas vadības un atbalsta funkciju nodrošināšana”, darbības programmas „Uzņēmējdarbība un inovācijas” papildinājuma 2.4.1.1.aktivitātes „Programmas vadības un atbalsta funkciju nodrošināšana”, darbības programmas „Infrastruktūra un pakalpojumi” papildinājuma 3.7.1.1.aktivitātes „Programmas vadības un atbalsta funkciju nodrošināšana” un 3.8.1.1.aktivitātes „Programmas vadības un atbalsta funkciju nodrošināšana” projektu iesniegumu atlases otro kārtu””  sākotnējās ietekmes novērtējuma </w:t>
    </w:r>
    <w:smartTag w:uri="schemas-tilde-lv/tildestengine" w:element="veidnes">
      <w:smartTagPr>
        <w:attr w:name="text" w:val="ziņojums"/>
        <w:attr w:name="baseform" w:val="ziņojums"/>
        <w:attr w:name="id" w:val="-1"/>
      </w:smartTagPr>
      <w:r w:rsidR="00CF44CB" w:rsidRPr="00CF44CB">
        <w:rPr>
          <w:sz w:val="18"/>
          <w:szCs w:val="18"/>
        </w:rPr>
        <w:t>ziņojums</w:t>
      </w:r>
    </w:smartTag>
    <w:r w:rsidR="00CF44CB" w:rsidRPr="00CF44CB">
      <w:rPr>
        <w:sz w:val="18"/>
        <w:szCs w:val="18"/>
      </w:rPr>
      <w:t xml:space="preserve"> (anotācija)</w:t>
    </w:r>
  </w:p>
  <w:p w14:paraId="08D1627B" w14:textId="77777777" w:rsidR="000275AB" w:rsidRPr="00CF44CB" w:rsidRDefault="000275AB" w:rsidP="00CF44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0E660" w14:textId="0481DA67" w:rsidR="000275AB" w:rsidRPr="00CF44CB" w:rsidRDefault="00B12E20" w:rsidP="00D7256E">
    <w:pPr>
      <w:pStyle w:val="BodyText"/>
      <w:rPr>
        <w:sz w:val="18"/>
        <w:szCs w:val="18"/>
      </w:rPr>
    </w:pPr>
    <w:r>
      <w:rPr>
        <w:sz w:val="18"/>
        <w:szCs w:val="18"/>
      </w:rPr>
      <w:t>FMAnot_20</w:t>
    </w:r>
    <w:r w:rsidR="00661A72">
      <w:rPr>
        <w:sz w:val="18"/>
        <w:szCs w:val="18"/>
      </w:rPr>
      <w:t>08</w:t>
    </w:r>
    <w:r w:rsidR="000275AB" w:rsidRPr="00CF44CB">
      <w:rPr>
        <w:sz w:val="18"/>
        <w:szCs w:val="18"/>
      </w:rPr>
      <w:t>1</w:t>
    </w:r>
    <w:r w:rsidR="00F17D9D">
      <w:rPr>
        <w:sz w:val="18"/>
        <w:szCs w:val="18"/>
      </w:rPr>
      <w:t>5</w:t>
    </w:r>
    <w:r>
      <w:rPr>
        <w:sz w:val="18"/>
        <w:szCs w:val="18"/>
      </w:rPr>
      <w:t>_TP7-13</w:t>
    </w:r>
    <w:r w:rsidR="000275AB" w:rsidRPr="00CF44CB">
      <w:rPr>
        <w:sz w:val="18"/>
        <w:szCs w:val="18"/>
      </w:rPr>
      <w:t xml:space="preserve">; </w:t>
    </w:r>
    <w:bookmarkStart w:id="4" w:name="OLE_LINK12"/>
    <w:bookmarkStart w:id="5" w:name="OLE_LINK13"/>
    <w:bookmarkStart w:id="6" w:name="_Hlk259447629"/>
    <w:r w:rsidR="000275AB" w:rsidRPr="00CF44CB">
      <w:rPr>
        <w:sz w:val="18"/>
        <w:szCs w:val="18"/>
      </w:rPr>
      <w:t xml:space="preserve">Ministru kabineta noteikumu projekta </w:t>
    </w:r>
    <w:r w:rsidR="00CF44CB" w:rsidRPr="00CF44CB">
      <w:rPr>
        <w:sz w:val="18"/>
        <w:szCs w:val="18"/>
      </w:rPr>
      <w:t xml:space="preserve">„Grozījumi Ministru kabineta 2011.gada 6.septembra noteikumos Nr.694 „Noteikumi par darbības programmas „Cilvēkresursi un nodarbinātība” papildinājuma 1.6.1.1.aktivitātes „Programmas vadības un atbalsta funkciju nodrošināšana”, darbības programmas „Uzņēmējdarbība un inovācijas” papildinājuma 2.4.1.1.aktivitātes „Programmas vadības un atbalsta funkciju nodrošināšana”, darbības programmas „Infrastruktūra un pakalpojumi” papildinājuma 3.7.1.1.aktivitātes „Programmas vadības un atbalsta funkciju nodrošināšana” un 3.8.1.1.aktivitātes „Programmas vadības un atbalsta funkciju nodrošināšana” projektu iesniegumu atlases otro kārtu”” </w:t>
    </w:r>
    <w:r w:rsidR="000275AB" w:rsidRPr="00CF44CB">
      <w:rPr>
        <w:sz w:val="18"/>
        <w:szCs w:val="18"/>
      </w:rPr>
      <w:t xml:space="preserve"> sākotnējās ietekmes novērtējuma </w:t>
    </w:r>
    <w:smartTag w:uri="schemas-tilde-lv/tildestengine" w:element="veidnes">
      <w:smartTagPr>
        <w:attr w:name="text" w:val="ziņojums"/>
        <w:attr w:name="baseform" w:val="ziņojums"/>
        <w:attr w:name="id" w:val="-1"/>
      </w:smartTagPr>
      <w:r w:rsidR="000275AB" w:rsidRPr="00CF44CB">
        <w:rPr>
          <w:sz w:val="18"/>
          <w:szCs w:val="18"/>
        </w:rPr>
        <w:t>ziņojums</w:t>
      </w:r>
    </w:smartTag>
    <w:r w:rsidR="000275AB" w:rsidRPr="00CF44CB">
      <w:rPr>
        <w:sz w:val="18"/>
        <w:szCs w:val="18"/>
      </w:rPr>
      <w:t xml:space="preserve"> (anotācija)</w:t>
    </w:r>
    <w:bookmarkEnd w:id="4"/>
    <w:bookmarkEnd w:id="5"/>
    <w:bookmarkEnd w:id="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F5961" w14:textId="77777777" w:rsidR="00FC77DA" w:rsidRDefault="00FC77DA" w:rsidP="00B014C2">
      <w:r>
        <w:separator/>
      </w:r>
    </w:p>
  </w:footnote>
  <w:footnote w:type="continuationSeparator" w:id="0">
    <w:p w14:paraId="203AAD14" w14:textId="77777777" w:rsidR="00FC77DA" w:rsidRDefault="00FC77DA" w:rsidP="00B01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70797"/>
      <w:docPartObj>
        <w:docPartGallery w:val="Page Numbers (Top of Page)"/>
        <w:docPartUnique/>
      </w:docPartObj>
    </w:sdtPr>
    <w:sdtEndPr>
      <w:rPr>
        <w:sz w:val="24"/>
        <w:szCs w:val="24"/>
      </w:rPr>
    </w:sdtEndPr>
    <w:sdtContent>
      <w:p w14:paraId="63D3DC7E" w14:textId="77777777" w:rsidR="000275AB" w:rsidRPr="00B014C2" w:rsidRDefault="004C2284">
        <w:pPr>
          <w:pStyle w:val="Header"/>
          <w:jc w:val="center"/>
          <w:rPr>
            <w:sz w:val="24"/>
            <w:szCs w:val="24"/>
          </w:rPr>
        </w:pPr>
        <w:r w:rsidRPr="00B014C2">
          <w:rPr>
            <w:sz w:val="24"/>
            <w:szCs w:val="24"/>
          </w:rPr>
          <w:fldChar w:fldCharType="begin"/>
        </w:r>
        <w:r w:rsidR="000275AB" w:rsidRPr="00B014C2">
          <w:rPr>
            <w:sz w:val="24"/>
            <w:szCs w:val="24"/>
          </w:rPr>
          <w:instrText xml:space="preserve"> PAGE   \* MERGEFORMAT </w:instrText>
        </w:r>
        <w:r w:rsidRPr="00B014C2">
          <w:rPr>
            <w:sz w:val="24"/>
            <w:szCs w:val="24"/>
          </w:rPr>
          <w:fldChar w:fldCharType="separate"/>
        </w:r>
        <w:r w:rsidR="0046442B">
          <w:rPr>
            <w:noProof/>
            <w:sz w:val="24"/>
            <w:szCs w:val="24"/>
          </w:rPr>
          <w:t>4</w:t>
        </w:r>
        <w:r w:rsidRPr="00B014C2">
          <w:rPr>
            <w:sz w:val="24"/>
            <w:szCs w:val="24"/>
          </w:rPr>
          <w:fldChar w:fldCharType="end"/>
        </w:r>
      </w:p>
    </w:sdtContent>
  </w:sdt>
  <w:p w14:paraId="51BEC86E" w14:textId="77777777" w:rsidR="000275AB" w:rsidRDefault="000275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20D22"/>
    <w:multiLevelType w:val="hybridMultilevel"/>
    <w:tmpl w:val="E7927C34"/>
    <w:lvl w:ilvl="0" w:tplc="658899F6">
      <w:start w:val="1"/>
      <w:numFmt w:val="bullet"/>
      <w:lvlText w:val="-"/>
      <w:lvlJc w:val="left"/>
      <w:pPr>
        <w:ind w:left="1069" w:hanging="360"/>
      </w:pPr>
      <w:rPr>
        <w:rFonts w:ascii="Times New Roman" w:eastAsia="Calibri" w:hAnsi="Times New Roman" w:cs="Times New Roman" w:hint="default"/>
        <w:sz w:val="24"/>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
    <w:nsid w:val="13A01F58"/>
    <w:multiLevelType w:val="hybridMultilevel"/>
    <w:tmpl w:val="A2482CEA"/>
    <w:lvl w:ilvl="0" w:tplc="33D271E4">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nsid w:val="16980861"/>
    <w:multiLevelType w:val="hybridMultilevel"/>
    <w:tmpl w:val="6C2651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912446"/>
    <w:multiLevelType w:val="hybridMultilevel"/>
    <w:tmpl w:val="05CA9674"/>
    <w:lvl w:ilvl="0" w:tplc="D27436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F105507"/>
    <w:multiLevelType w:val="hybridMultilevel"/>
    <w:tmpl w:val="C108E8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1FD230B"/>
    <w:multiLevelType w:val="hybridMultilevel"/>
    <w:tmpl w:val="56AC93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2F42DDC"/>
    <w:multiLevelType w:val="hybridMultilevel"/>
    <w:tmpl w:val="5CB03484"/>
    <w:lvl w:ilvl="0" w:tplc="FB2C82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3E366A1"/>
    <w:multiLevelType w:val="hybridMultilevel"/>
    <w:tmpl w:val="5CF6E35E"/>
    <w:lvl w:ilvl="0" w:tplc="BBA2D6DC">
      <w:start w:val="2010"/>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nsid w:val="2EEE26CF"/>
    <w:multiLevelType w:val="hybridMultilevel"/>
    <w:tmpl w:val="32B4AF9C"/>
    <w:lvl w:ilvl="0" w:tplc="E7B0EE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162388F"/>
    <w:multiLevelType w:val="hybridMultilevel"/>
    <w:tmpl w:val="5ADC0D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D4B236C"/>
    <w:multiLevelType w:val="hybridMultilevel"/>
    <w:tmpl w:val="272065E8"/>
    <w:lvl w:ilvl="0" w:tplc="F22E746E">
      <w:start w:val="1"/>
      <w:numFmt w:val="bullet"/>
      <w:lvlText w:val="–"/>
      <w:lvlJc w:val="left"/>
      <w:pPr>
        <w:ind w:left="720" w:hanging="360"/>
      </w:pPr>
      <w:rPr>
        <w:rFonts w:ascii="Times New Roman" w:hAnsi="Times New Roman" w:cs="Times New Roman" w:hint="default"/>
        <w:color w:val="000000"/>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475E1AC4"/>
    <w:multiLevelType w:val="hybridMultilevel"/>
    <w:tmpl w:val="92704E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1A43636"/>
    <w:multiLevelType w:val="hybridMultilevel"/>
    <w:tmpl w:val="BE8E03F0"/>
    <w:lvl w:ilvl="0" w:tplc="335A49F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592113F1"/>
    <w:multiLevelType w:val="hybridMultilevel"/>
    <w:tmpl w:val="6812063E"/>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E791B88"/>
    <w:multiLevelType w:val="hybridMultilevel"/>
    <w:tmpl w:val="FACE33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6756102"/>
    <w:multiLevelType w:val="hybridMultilevel"/>
    <w:tmpl w:val="A686F9D2"/>
    <w:lvl w:ilvl="0" w:tplc="F3FCCA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nsid w:val="6E300641"/>
    <w:multiLevelType w:val="hybridMultilevel"/>
    <w:tmpl w:val="CBAAB1CE"/>
    <w:lvl w:ilvl="0" w:tplc="C492AEA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6E673E6C"/>
    <w:multiLevelType w:val="hybridMultilevel"/>
    <w:tmpl w:val="D6089AE6"/>
    <w:lvl w:ilvl="0" w:tplc="20D6392C">
      <w:start w:val="143"/>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nsid w:val="712C625F"/>
    <w:multiLevelType w:val="hybridMultilevel"/>
    <w:tmpl w:val="C55E3054"/>
    <w:lvl w:ilvl="0" w:tplc="EACE7FA0">
      <w:start w:val="1"/>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abstractNum w:abstractNumId="19">
    <w:nsid w:val="795C0C91"/>
    <w:multiLevelType w:val="hybridMultilevel"/>
    <w:tmpl w:val="E91A353C"/>
    <w:lvl w:ilvl="0" w:tplc="833C27D2">
      <w:start w:val="1"/>
      <w:numFmt w:val="decimal"/>
      <w:lvlText w:val="%1."/>
      <w:lvlJc w:val="left"/>
      <w:pPr>
        <w:ind w:left="1049" w:hanging="360"/>
      </w:pPr>
      <w:rPr>
        <w:rFonts w:hint="default"/>
      </w:r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20">
    <w:nsid w:val="7AD17025"/>
    <w:multiLevelType w:val="hybridMultilevel"/>
    <w:tmpl w:val="B28C23C2"/>
    <w:lvl w:ilvl="0" w:tplc="0AB0476E">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1">
    <w:nsid w:val="7F1645FE"/>
    <w:multiLevelType w:val="hybridMultilevel"/>
    <w:tmpl w:val="25243A60"/>
    <w:lvl w:ilvl="0" w:tplc="90C8AF22">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8"/>
  </w:num>
  <w:num w:numId="2">
    <w:abstractNumId w:val="7"/>
  </w:num>
  <w:num w:numId="3">
    <w:abstractNumId w:val="15"/>
  </w:num>
  <w:num w:numId="4">
    <w:abstractNumId w:val="1"/>
  </w:num>
  <w:num w:numId="5">
    <w:abstractNumId w:val="0"/>
  </w:num>
  <w:num w:numId="6">
    <w:abstractNumId w:val="10"/>
  </w:num>
  <w:num w:numId="7">
    <w:abstractNumId w:val="21"/>
  </w:num>
  <w:num w:numId="8">
    <w:abstractNumId w:val="6"/>
  </w:num>
  <w:num w:numId="9">
    <w:abstractNumId w:val="12"/>
  </w:num>
  <w:num w:numId="10">
    <w:abstractNumId w:val="16"/>
  </w:num>
  <w:num w:numId="11">
    <w:abstractNumId w:val="3"/>
  </w:num>
  <w:num w:numId="12">
    <w:abstractNumId w:val="8"/>
  </w:num>
  <w:num w:numId="13">
    <w:abstractNumId w:val="19"/>
  </w:num>
  <w:num w:numId="14">
    <w:abstractNumId w:val="2"/>
  </w:num>
  <w:num w:numId="15">
    <w:abstractNumId w:val="5"/>
  </w:num>
  <w:num w:numId="16">
    <w:abstractNumId w:val="4"/>
  </w:num>
  <w:num w:numId="17">
    <w:abstractNumId w:val="14"/>
  </w:num>
  <w:num w:numId="18">
    <w:abstractNumId w:val="11"/>
  </w:num>
  <w:num w:numId="19">
    <w:abstractNumId w:val="13"/>
  </w:num>
  <w:num w:numId="20">
    <w:abstractNumId w:val="20"/>
  </w:num>
  <w:num w:numId="21">
    <w:abstractNumId w:val="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9C5"/>
    <w:rsid w:val="000016AB"/>
    <w:rsid w:val="00001F0B"/>
    <w:rsid w:val="00004C45"/>
    <w:rsid w:val="0001186C"/>
    <w:rsid w:val="000120A0"/>
    <w:rsid w:val="000123F0"/>
    <w:rsid w:val="00014006"/>
    <w:rsid w:val="00016152"/>
    <w:rsid w:val="0001626D"/>
    <w:rsid w:val="0001764D"/>
    <w:rsid w:val="00020A02"/>
    <w:rsid w:val="000214DF"/>
    <w:rsid w:val="00026BA7"/>
    <w:rsid w:val="00026C03"/>
    <w:rsid w:val="000275AB"/>
    <w:rsid w:val="0002762A"/>
    <w:rsid w:val="00030C14"/>
    <w:rsid w:val="00031099"/>
    <w:rsid w:val="000320DD"/>
    <w:rsid w:val="0003693D"/>
    <w:rsid w:val="00036E03"/>
    <w:rsid w:val="0004167C"/>
    <w:rsid w:val="000445F3"/>
    <w:rsid w:val="00047EF5"/>
    <w:rsid w:val="00050184"/>
    <w:rsid w:val="00050EA4"/>
    <w:rsid w:val="00052380"/>
    <w:rsid w:val="00056370"/>
    <w:rsid w:val="000564DA"/>
    <w:rsid w:val="0006007E"/>
    <w:rsid w:val="00060806"/>
    <w:rsid w:val="00060D39"/>
    <w:rsid w:val="000634B4"/>
    <w:rsid w:val="000643D5"/>
    <w:rsid w:val="00066E95"/>
    <w:rsid w:val="000673B0"/>
    <w:rsid w:val="00071114"/>
    <w:rsid w:val="000729ED"/>
    <w:rsid w:val="00072ECD"/>
    <w:rsid w:val="00081C1D"/>
    <w:rsid w:val="00081F44"/>
    <w:rsid w:val="00083704"/>
    <w:rsid w:val="000847AE"/>
    <w:rsid w:val="0008484B"/>
    <w:rsid w:val="0008486C"/>
    <w:rsid w:val="00086412"/>
    <w:rsid w:val="00087524"/>
    <w:rsid w:val="000904FF"/>
    <w:rsid w:val="000918F0"/>
    <w:rsid w:val="00091DBA"/>
    <w:rsid w:val="0009444E"/>
    <w:rsid w:val="0009670A"/>
    <w:rsid w:val="00097583"/>
    <w:rsid w:val="000A164A"/>
    <w:rsid w:val="000A28ED"/>
    <w:rsid w:val="000A402E"/>
    <w:rsid w:val="000A4AED"/>
    <w:rsid w:val="000A5FB9"/>
    <w:rsid w:val="000A7751"/>
    <w:rsid w:val="000B0719"/>
    <w:rsid w:val="000B08FC"/>
    <w:rsid w:val="000B10BD"/>
    <w:rsid w:val="000B2AE3"/>
    <w:rsid w:val="000C3FBC"/>
    <w:rsid w:val="000D0388"/>
    <w:rsid w:val="000D19C8"/>
    <w:rsid w:val="000D2F05"/>
    <w:rsid w:val="000D4DC9"/>
    <w:rsid w:val="000D6B45"/>
    <w:rsid w:val="000D6DF2"/>
    <w:rsid w:val="000E2F17"/>
    <w:rsid w:val="000E409F"/>
    <w:rsid w:val="000E4277"/>
    <w:rsid w:val="000E7755"/>
    <w:rsid w:val="000F0232"/>
    <w:rsid w:val="000F6C72"/>
    <w:rsid w:val="000F6E9E"/>
    <w:rsid w:val="001000B5"/>
    <w:rsid w:val="001002E4"/>
    <w:rsid w:val="0010079A"/>
    <w:rsid w:val="0010385C"/>
    <w:rsid w:val="00103FE1"/>
    <w:rsid w:val="0010410B"/>
    <w:rsid w:val="001047E8"/>
    <w:rsid w:val="00114D8E"/>
    <w:rsid w:val="00115E25"/>
    <w:rsid w:val="00120651"/>
    <w:rsid w:val="0012067B"/>
    <w:rsid w:val="00120C26"/>
    <w:rsid w:val="0012315B"/>
    <w:rsid w:val="001232D1"/>
    <w:rsid w:val="001254CC"/>
    <w:rsid w:val="001267F1"/>
    <w:rsid w:val="001305B3"/>
    <w:rsid w:val="00130D33"/>
    <w:rsid w:val="00131980"/>
    <w:rsid w:val="00131C62"/>
    <w:rsid w:val="00134E0F"/>
    <w:rsid w:val="001428EB"/>
    <w:rsid w:val="00142A69"/>
    <w:rsid w:val="00142AC2"/>
    <w:rsid w:val="00142CBB"/>
    <w:rsid w:val="00144D39"/>
    <w:rsid w:val="00147614"/>
    <w:rsid w:val="00153C1A"/>
    <w:rsid w:val="00154076"/>
    <w:rsid w:val="00155953"/>
    <w:rsid w:val="00156679"/>
    <w:rsid w:val="001611D0"/>
    <w:rsid w:val="001671DD"/>
    <w:rsid w:val="0017312C"/>
    <w:rsid w:val="001733BE"/>
    <w:rsid w:val="0017472D"/>
    <w:rsid w:val="001764E7"/>
    <w:rsid w:val="00182537"/>
    <w:rsid w:val="00182CC4"/>
    <w:rsid w:val="001831F7"/>
    <w:rsid w:val="00184308"/>
    <w:rsid w:val="00184C02"/>
    <w:rsid w:val="00184E37"/>
    <w:rsid w:val="001864A5"/>
    <w:rsid w:val="00186895"/>
    <w:rsid w:val="001871BB"/>
    <w:rsid w:val="00190498"/>
    <w:rsid w:val="00190F61"/>
    <w:rsid w:val="00191102"/>
    <w:rsid w:val="00191B2C"/>
    <w:rsid w:val="00194800"/>
    <w:rsid w:val="00195271"/>
    <w:rsid w:val="00196D43"/>
    <w:rsid w:val="001971A4"/>
    <w:rsid w:val="001973A7"/>
    <w:rsid w:val="001A082F"/>
    <w:rsid w:val="001A2ABA"/>
    <w:rsid w:val="001A3B25"/>
    <w:rsid w:val="001A3C19"/>
    <w:rsid w:val="001A69A7"/>
    <w:rsid w:val="001B0C97"/>
    <w:rsid w:val="001B262F"/>
    <w:rsid w:val="001B3236"/>
    <w:rsid w:val="001B4EB9"/>
    <w:rsid w:val="001B5566"/>
    <w:rsid w:val="001B5F59"/>
    <w:rsid w:val="001B6F62"/>
    <w:rsid w:val="001B7875"/>
    <w:rsid w:val="001C1BFF"/>
    <w:rsid w:val="001C1C5C"/>
    <w:rsid w:val="001C2869"/>
    <w:rsid w:val="001C2D96"/>
    <w:rsid w:val="001C5831"/>
    <w:rsid w:val="001C6A1F"/>
    <w:rsid w:val="001D02A2"/>
    <w:rsid w:val="001D2EDB"/>
    <w:rsid w:val="001D39D9"/>
    <w:rsid w:val="001D416F"/>
    <w:rsid w:val="001D46D6"/>
    <w:rsid w:val="001D5E9C"/>
    <w:rsid w:val="001D76FC"/>
    <w:rsid w:val="001E0CE6"/>
    <w:rsid w:val="001E3BD0"/>
    <w:rsid w:val="001E5031"/>
    <w:rsid w:val="001E7850"/>
    <w:rsid w:val="001E7BB7"/>
    <w:rsid w:val="001F02C1"/>
    <w:rsid w:val="001F6151"/>
    <w:rsid w:val="001F7527"/>
    <w:rsid w:val="00200612"/>
    <w:rsid w:val="00201620"/>
    <w:rsid w:val="002057A5"/>
    <w:rsid w:val="00205FEE"/>
    <w:rsid w:val="0021241F"/>
    <w:rsid w:val="00213D6A"/>
    <w:rsid w:val="002149CB"/>
    <w:rsid w:val="00216B96"/>
    <w:rsid w:val="00221058"/>
    <w:rsid w:val="00221205"/>
    <w:rsid w:val="00221561"/>
    <w:rsid w:val="00221CAE"/>
    <w:rsid w:val="00224C7C"/>
    <w:rsid w:val="0023085A"/>
    <w:rsid w:val="00230FB6"/>
    <w:rsid w:val="00231EB0"/>
    <w:rsid w:val="0023241C"/>
    <w:rsid w:val="00233657"/>
    <w:rsid w:val="00233F7A"/>
    <w:rsid w:val="0023462C"/>
    <w:rsid w:val="00234C58"/>
    <w:rsid w:val="00234DDC"/>
    <w:rsid w:val="00235168"/>
    <w:rsid w:val="00245D09"/>
    <w:rsid w:val="00247529"/>
    <w:rsid w:val="002507A0"/>
    <w:rsid w:val="002523D8"/>
    <w:rsid w:val="002543B5"/>
    <w:rsid w:val="0025484B"/>
    <w:rsid w:val="00257EAE"/>
    <w:rsid w:val="00261B9F"/>
    <w:rsid w:val="0026446F"/>
    <w:rsid w:val="00265C1B"/>
    <w:rsid w:val="002701D0"/>
    <w:rsid w:val="002702EB"/>
    <w:rsid w:val="00271EC3"/>
    <w:rsid w:val="00280A6B"/>
    <w:rsid w:val="00284232"/>
    <w:rsid w:val="00285613"/>
    <w:rsid w:val="00285CAB"/>
    <w:rsid w:val="0028698C"/>
    <w:rsid w:val="00287254"/>
    <w:rsid w:val="00290331"/>
    <w:rsid w:val="0029306A"/>
    <w:rsid w:val="002954D4"/>
    <w:rsid w:val="00295C0F"/>
    <w:rsid w:val="00297E4A"/>
    <w:rsid w:val="002A0052"/>
    <w:rsid w:val="002A0CEE"/>
    <w:rsid w:val="002A1416"/>
    <w:rsid w:val="002A61AA"/>
    <w:rsid w:val="002B30A6"/>
    <w:rsid w:val="002B34B0"/>
    <w:rsid w:val="002B4507"/>
    <w:rsid w:val="002B4D01"/>
    <w:rsid w:val="002B667D"/>
    <w:rsid w:val="002B7607"/>
    <w:rsid w:val="002B768A"/>
    <w:rsid w:val="002C0E0E"/>
    <w:rsid w:val="002C20C8"/>
    <w:rsid w:val="002C4039"/>
    <w:rsid w:val="002C5F68"/>
    <w:rsid w:val="002C7CA2"/>
    <w:rsid w:val="002D259E"/>
    <w:rsid w:val="002D3E95"/>
    <w:rsid w:val="002D43D4"/>
    <w:rsid w:val="002D7C26"/>
    <w:rsid w:val="002E018E"/>
    <w:rsid w:val="002E1D56"/>
    <w:rsid w:val="002E332C"/>
    <w:rsid w:val="002E3CFA"/>
    <w:rsid w:val="002E6122"/>
    <w:rsid w:val="002E7059"/>
    <w:rsid w:val="002E7201"/>
    <w:rsid w:val="002E7530"/>
    <w:rsid w:val="002E7962"/>
    <w:rsid w:val="002E7BEF"/>
    <w:rsid w:val="002F063C"/>
    <w:rsid w:val="002F26A9"/>
    <w:rsid w:val="002F3C7E"/>
    <w:rsid w:val="002F423D"/>
    <w:rsid w:val="002F4553"/>
    <w:rsid w:val="002F6D2C"/>
    <w:rsid w:val="003000F0"/>
    <w:rsid w:val="003124BE"/>
    <w:rsid w:val="00314594"/>
    <w:rsid w:val="00314A13"/>
    <w:rsid w:val="00315BB0"/>
    <w:rsid w:val="00320EB0"/>
    <w:rsid w:val="00321E80"/>
    <w:rsid w:val="00322A15"/>
    <w:rsid w:val="00324F11"/>
    <w:rsid w:val="00330AF0"/>
    <w:rsid w:val="003312F2"/>
    <w:rsid w:val="00335837"/>
    <w:rsid w:val="00335C2E"/>
    <w:rsid w:val="003365BB"/>
    <w:rsid w:val="003369C8"/>
    <w:rsid w:val="003372CD"/>
    <w:rsid w:val="00340E1F"/>
    <w:rsid w:val="00341D01"/>
    <w:rsid w:val="0034284E"/>
    <w:rsid w:val="00344B27"/>
    <w:rsid w:val="00345C8B"/>
    <w:rsid w:val="0034724B"/>
    <w:rsid w:val="0034794E"/>
    <w:rsid w:val="003479DF"/>
    <w:rsid w:val="00356364"/>
    <w:rsid w:val="0035647E"/>
    <w:rsid w:val="00356CDF"/>
    <w:rsid w:val="00357B86"/>
    <w:rsid w:val="00360437"/>
    <w:rsid w:val="00360962"/>
    <w:rsid w:val="003611ED"/>
    <w:rsid w:val="00361DA6"/>
    <w:rsid w:val="00362D30"/>
    <w:rsid w:val="003707C8"/>
    <w:rsid w:val="0037270A"/>
    <w:rsid w:val="0037415E"/>
    <w:rsid w:val="0037466C"/>
    <w:rsid w:val="00376A40"/>
    <w:rsid w:val="00382BA7"/>
    <w:rsid w:val="00383500"/>
    <w:rsid w:val="00384799"/>
    <w:rsid w:val="00385DB0"/>
    <w:rsid w:val="00386053"/>
    <w:rsid w:val="00391942"/>
    <w:rsid w:val="00396D2E"/>
    <w:rsid w:val="003A159B"/>
    <w:rsid w:val="003A5545"/>
    <w:rsid w:val="003A56E6"/>
    <w:rsid w:val="003A5F98"/>
    <w:rsid w:val="003A7D89"/>
    <w:rsid w:val="003B04FD"/>
    <w:rsid w:val="003B060D"/>
    <w:rsid w:val="003B2464"/>
    <w:rsid w:val="003B3003"/>
    <w:rsid w:val="003B3450"/>
    <w:rsid w:val="003B4994"/>
    <w:rsid w:val="003B5399"/>
    <w:rsid w:val="003B590B"/>
    <w:rsid w:val="003C1C94"/>
    <w:rsid w:val="003C406A"/>
    <w:rsid w:val="003C5329"/>
    <w:rsid w:val="003D3369"/>
    <w:rsid w:val="003D342E"/>
    <w:rsid w:val="003D3A14"/>
    <w:rsid w:val="003D3AEC"/>
    <w:rsid w:val="003D3E55"/>
    <w:rsid w:val="003E0167"/>
    <w:rsid w:val="003E0BD3"/>
    <w:rsid w:val="003E284A"/>
    <w:rsid w:val="003E2968"/>
    <w:rsid w:val="003E3604"/>
    <w:rsid w:val="003E6CB3"/>
    <w:rsid w:val="003F0C4F"/>
    <w:rsid w:val="003F17ED"/>
    <w:rsid w:val="003F4E09"/>
    <w:rsid w:val="00401C5F"/>
    <w:rsid w:val="00402B2B"/>
    <w:rsid w:val="00404C10"/>
    <w:rsid w:val="00404D4B"/>
    <w:rsid w:val="00406C83"/>
    <w:rsid w:val="004074FD"/>
    <w:rsid w:val="00410EC7"/>
    <w:rsid w:val="00410FEE"/>
    <w:rsid w:val="004124C6"/>
    <w:rsid w:val="00414CC7"/>
    <w:rsid w:val="004154BE"/>
    <w:rsid w:val="00415C03"/>
    <w:rsid w:val="00416535"/>
    <w:rsid w:val="00416848"/>
    <w:rsid w:val="00416C3A"/>
    <w:rsid w:val="00417839"/>
    <w:rsid w:val="00420FC8"/>
    <w:rsid w:val="0042129F"/>
    <w:rsid w:val="004232D7"/>
    <w:rsid w:val="0042395B"/>
    <w:rsid w:val="0042472B"/>
    <w:rsid w:val="00431CB5"/>
    <w:rsid w:val="0043234F"/>
    <w:rsid w:val="0043384C"/>
    <w:rsid w:val="00434ACC"/>
    <w:rsid w:val="00434CF7"/>
    <w:rsid w:val="00435CDA"/>
    <w:rsid w:val="00436083"/>
    <w:rsid w:val="00436E46"/>
    <w:rsid w:val="00436E6A"/>
    <w:rsid w:val="004413C4"/>
    <w:rsid w:val="004426FC"/>
    <w:rsid w:val="00442884"/>
    <w:rsid w:val="00443B04"/>
    <w:rsid w:val="0044567A"/>
    <w:rsid w:val="004465FC"/>
    <w:rsid w:val="0045065F"/>
    <w:rsid w:val="004522D7"/>
    <w:rsid w:val="004527EA"/>
    <w:rsid w:val="00457B62"/>
    <w:rsid w:val="00457CC8"/>
    <w:rsid w:val="00460A29"/>
    <w:rsid w:val="0046442B"/>
    <w:rsid w:val="00472EF3"/>
    <w:rsid w:val="00475A76"/>
    <w:rsid w:val="004775F4"/>
    <w:rsid w:val="00484C10"/>
    <w:rsid w:val="00485E0B"/>
    <w:rsid w:val="0048681E"/>
    <w:rsid w:val="00486BD6"/>
    <w:rsid w:val="00487753"/>
    <w:rsid w:val="0049013B"/>
    <w:rsid w:val="00491F0A"/>
    <w:rsid w:val="0049359B"/>
    <w:rsid w:val="004960FB"/>
    <w:rsid w:val="00497086"/>
    <w:rsid w:val="004A0E4C"/>
    <w:rsid w:val="004A22E5"/>
    <w:rsid w:val="004A554F"/>
    <w:rsid w:val="004B116C"/>
    <w:rsid w:val="004B18A4"/>
    <w:rsid w:val="004B1FE7"/>
    <w:rsid w:val="004B3914"/>
    <w:rsid w:val="004B77C0"/>
    <w:rsid w:val="004C1463"/>
    <w:rsid w:val="004C2284"/>
    <w:rsid w:val="004D42F2"/>
    <w:rsid w:val="004D4997"/>
    <w:rsid w:val="004D54CD"/>
    <w:rsid w:val="004D6EF0"/>
    <w:rsid w:val="004D790D"/>
    <w:rsid w:val="004E01F5"/>
    <w:rsid w:val="004E3075"/>
    <w:rsid w:val="004E69F2"/>
    <w:rsid w:val="004E7B96"/>
    <w:rsid w:val="004F0E94"/>
    <w:rsid w:val="004F178A"/>
    <w:rsid w:val="004F2331"/>
    <w:rsid w:val="004F2B79"/>
    <w:rsid w:val="004F4B36"/>
    <w:rsid w:val="004F55B5"/>
    <w:rsid w:val="00500B5F"/>
    <w:rsid w:val="00501F08"/>
    <w:rsid w:val="00502247"/>
    <w:rsid w:val="00503D5C"/>
    <w:rsid w:val="00505A0D"/>
    <w:rsid w:val="00505B7D"/>
    <w:rsid w:val="00506DDA"/>
    <w:rsid w:val="00510235"/>
    <w:rsid w:val="00511ADB"/>
    <w:rsid w:val="0051358D"/>
    <w:rsid w:val="00513AF6"/>
    <w:rsid w:val="00514E6E"/>
    <w:rsid w:val="00517C20"/>
    <w:rsid w:val="00522B62"/>
    <w:rsid w:val="00524D01"/>
    <w:rsid w:val="005254AB"/>
    <w:rsid w:val="00530C47"/>
    <w:rsid w:val="00530DCB"/>
    <w:rsid w:val="00531687"/>
    <w:rsid w:val="00532532"/>
    <w:rsid w:val="00532EE4"/>
    <w:rsid w:val="00532FEB"/>
    <w:rsid w:val="005352DB"/>
    <w:rsid w:val="00535CAB"/>
    <w:rsid w:val="00537A29"/>
    <w:rsid w:val="005422C3"/>
    <w:rsid w:val="00542739"/>
    <w:rsid w:val="00542F49"/>
    <w:rsid w:val="00543052"/>
    <w:rsid w:val="0054469D"/>
    <w:rsid w:val="005457B1"/>
    <w:rsid w:val="00546599"/>
    <w:rsid w:val="00546E77"/>
    <w:rsid w:val="00550A95"/>
    <w:rsid w:val="00554A7A"/>
    <w:rsid w:val="0056050A"/>
    <w:rsid w:val="005608F4"/>
    <w:rsid w:val="005631C8"/>
    <w:rsid w:val="0056412F"/>
    <w:rsid w:val="0056506A"/>
    <w:rsid w:val="00565A2D"/>
    <w:rsid w:val="005663B6"/>
    <w:rsid w:val="00566994"/>
    <w:rsid w:val="0056795E"/>
    <w:rsid w:val="00570B3E"/>
    <w:rsid w:val="005747E7"/>
    <w:rsid w:val="0057501D"/>
    <w:rsid w:val="00575D4B"/>
    <w:rsid w:val="00576AEE"/>
    <w:rsid w:val="00576D8A"/>
    <w:rsid w:val="00580317"/>
    <w:rsid w:val="0058086F"/>
    <w:rsid w:val="0058249F"/>
    <w:rsid w:val="00584A32"/>
    <w:rsid w:val="0058679B"/>
    <w:rsid w:val="005877DA"/>
    <w:rsid w:val="00593CA6"/>
    <w:rsid w:val="0059700D"/>
    <w:rsid w:val="00597137"/>
    <w:rsid w:val="00597231"/>
    <w:rsid w:val="005A1D6F"/>
    <w:rsid w:val="005A21B6"/>
    <w:rsid w:val="005A2A2D"/>
    <w:rsid w:val="005A37FF"/>
    <w:rsid w:val="005A6E2E"/>
    <w:rsid w:val="005B1128"/>
    <w:rsid w:val="005B29DE"/>
    <w:rsid w:val="005B2E12"/>
    <w:rsid w:val="005B4307"/>
    <w:rsid w:val="005C0E91"/>
    <w:rsid w:val="005C251D"/>
    <w:rsid w:val="005C6DDB"/>
    <w:rsid w:val="005D0E68"/>
    <w:rsid w:val="005D1220"/>
    <w:rsid w:val="005D16DC"/>
    <w:rsid w:val="005D3658"/>
    <w:rsid w:val="005D4522"/>
    <w:rsid w:val="005D6171"/>
    <w:rsid w:val="005E4730"/>
    <w:rsid w:val="005E713D"/>
    <w:rsid w:val="005F03EE"/>
    <w:rsid w:val="005F09EC"/>
    <w:rsid w:val="005F3202"/>
    <w:rsid w:val="00600142"/>
    <w:rsid w:val="00603C4C"/>
    <w:rsid w:val="00607722"/>
    <w:rsid w:val="0061033B"/>
    <w:rsid w:val="00610DDF"/>
    <w:rsid w:val="00614602"/>
    <w:rsid w:val="006218A6"/>
    <w:rsid w:val="00625D54"/>
    <w:rsid w:val="00626696"/>
    <w:rsid w:val="00626F78"/>
    <w:rsid w:val="00630367"/>
    <w:rsid w:val="006309F5"/>
    <w:rsid w:val="00630BAA"/>
    <w:rsid w:val="00631039"/>
    <w:rsid w:val="00634095"/>
    <w:rsid w:val="00634A17"/>
    <w:rsid w:val="00636440"/>
    <w:rsid w:val="00641379"/>
    <w:rsid w:val="00643B54"/>
    <w:rsid w:val="00643D4E"/>
    <w:rsid w:val="006456BB"/>
    <w:rsid w:val="00647402"/>
    <w:rsid w:val="00650716"/>
    <w:rsid w:val="006512F4"/>
    <w:rsid w:val="00651669"/>
    <w:rsid w:val="006543B3"/>
    <w:rsid w:val="00654C63"/>
    <w:rsid w:val="006552C3"/>
    <w:rsid w:val="00657C47"/>
    <w:rsid w:val="00661A72"/>
    <w:rsid w:val="00663763"/>
    <w:rsid w:val="00663C21"/>
    <w:rsid w:val="00663D20"/>
    <w:rsid w:val="00664C33"/>
    <w:rsid w:val="00665020"/>
    <w:rsid w:val="00667AFE"/>
    <w:rsid w:val="00667BAB"/>
    <w:rsid w:val="006711E1"/>
    <w:rsid w:val="006722B5"/>
    <w:rsid w:val="00672A2F"/>
    <w:rsid w:val="00673175"/>
    <w:rsid w:val="00674BA7"/>
    <w:rsid w:val="00676770"/>
    <w:rsid w:val="0068051B"/>
    <w:rsid w:val="00681496"/>
    <w:rsid w:val="00682B64"/>
    <w:rsid w:val="0068409B"/>
    <w:rsid w:val="00684EA2"/>
    <w:rsid w:val="006910BE"/>
    <w:rsid w:val="006924BE"/>
    <w:rsid w:val="006A3A28"/>
    <w:rsid w:val="006A4F5A"/>
    <w:rsid w:val="006A511B"/>
    <w:rsid w:val="006A668E"/>
    <w:rsid w:val="006A6AD4"/>
    <w:rsid w:val="006A7488"/>
    <w:rsid w:val="006A7638"/>
    <w:rsid w:val="006B0E03"/>
    <w:rsid w:val="006B4516"/>
    <w:rsid w:val="006C114F"/>
    <w:rsid w:val="006C15FA"/>
    <w:rsid w:val="006C68E0"/>
    <w:rsid w:val="006D0B9B"/>
    <w:rsid w:val="006D1F62"/>
    <w:rsid w:val="006D23AE"/>
    <w:rsid w:val="006D30BF"/>
    <w:rsid w:val="006D662F"/>
    <w:rsid w:val="006D69A4"/>
    <w:rsid w:val="006E07AC"/>
    <w:rsid w:val="006E09B6"/>
    <w:rsid w:val="006E0ECB"/>
    <w:rsid w:val="006E1F97"/>
    <w:rsid w:val="006E3949"/>
    <w:rsid w:val="006F02CA"/>
    <w:rsid w:val="006F0C19"/>
    <w:rsid w:val="006F24A8"/>
    <w:rsid w:val="006F5071"/>
    <w:rsid w:val="006F56C1"/>
    <w:rsid w:val="00700C6C"/>
    <w:rsid w:val="00703EDE"/>
    <w:rsid w:val="007049BD"/>
    <w:rsid w:val="0070513A"/>
    <w:rsid w:val="007058E9"/>
    <w:rsid w:val="0070678E"/>
    <w:rsid w:val="00706EC2"/>
    <w:rsid w:val="007115FF"/>
    <w:rsid w:val="00720EE5"/>
    <w:rsid w:val="00721401"/>
    <w:rsid w:val="007217E4"/>
    <w:rsid w:val="00721D6C"/>
    <w:rsid w:val="00721E50"/>
    <w:rsid w:val="007230B9"/>
    <w:rsid w:val="007243A0"/>
    <w:rsid w:val="00725107"/>
    <w:rsid w:val="00725B16"/>
    <w:rsid w:val="007278CF"/>
    <w:rsid w:val="00732C19"/>
    <w:rsid w:val="00732F77"/>
    <w:rsid w:val="007363F2"/>
    <w:rsid w:val="00737AB8"/>
    <w:rsid w:val="00742BAF"/>
    <w:rsid w:val="00743E33"/>
    <w:rsid w:val="00744513"/>
    <w:rsid w:val="00755404"/>
    <w:rsid w:val="0075648C"/>
    <w:rsid w:val="00763941"/>
    <w:rsid w:val="00767185"/>
    <w:rsid w:val="00767E0F"/>
    <w:rsid w:val="007715A2"/>
    <w:rsid w:val="00771E40"/>
    <w:rsid w:val="0077435A"/>
    <w:rsid w:val="00781C31"/>
    <w:rsid w:val="00787727"/>
    <w:rsid w:val="00790E90"/>
    <w:rsid w:val="00791433"/>
    <w:rsid w:val="007918C0"/>
    <w:rsid w:val="00793496"/>
    <w:rsid w:val="0079381C"/>
    <w:rsid w:val="00793A6B"/>
    <w:rsid w:val="00794226"/>
    <w:rsid w:val="00794B98"/>
    <w:rsid w:val="00797D6F"/>
    <w:rsid w:val="007A0D95"/>
    <w:rsid w:val="007A14D0"/>
    <w:rsid w:val="007A2498"/>
    <w:rsid w:val="007B0767"/>
    <w:rsid w:val="007B0D55"/>
    <w:rsid w:val="007B461A"/>
    <w:rsid w:val="007C07B9"/>
    <w:rsid w:val="007C1582"/>
    <w:rsid w:val="007C1D0A"/>
    <w:rsid w:val="007C2960"/>
    <w:rsid w:val="007C2992"/>
    <w:rsid w:val="007C3CC0"/>
    <w:rsid w:val="007C62F5"/>
    <w:rsid w:val="007C7357"/>
    <w:rsid w:val="007C7B92"/>
    <w:rsid w:val="007D054D"/>
    <w:rsid w:val="007D14B7"/>
    <w:rsid w:val="007D45FD"/>
    <w:rsid w:val="007D6721"/>
    <w:rsid w:val="007D6900"/>
    <w:rsid w:val="007D7A8A"/>
    <w:rsid w:val="007E0403"/>
    <w:rsid w:val="007E0A01"/>
    <w:rsid w:val="007E1DC0"/>
    <w:rsid w:val="007E4A42"/>
    <w:rsid w:val="007E63F8"/>
    <w:rsid w:val="007E7623"/>
    <w:rsid w:val="007F0242"/>
    <w:rsid w:val="007F0C15"/>
    <w:rsid w:val="008029F3"/>
    <w:rsid w:val="00810BB4"/>
    <w:rsid w:val="00812990"/>
    <w:rsid w:val="008136DD"/>
    <w:rsid w:val="00814B24"/>
    <w:rsid w:val="00815CC0"/>
    <w:rsid w:val="008173C3"/>
    <w:rsid w:val="008175B1"/>
    <w:rsid w:val="00817839"/>
    <w:rsid w:val="00823419"/>
    <w:rsid w:val="00823C4F"/>
    <w:rsid w:val="0082492B"/>
    <w:rsid w:val="008253A7"/>
    <w:rsid w:val="008265EF"/>
    <w:rsid w:val="00827407"/>
    <w:rsid w:val="00832308"/>
    <w:rsid w:val="00836318"/>
    <w:rsid w:val="00836455"/>
    <w:rsid w:val="008377C4"/>
    <w:rsid w:val="00837E38"/>
    <w:rsid w:val="00840961"/>
    <w:rsid w:val="008444BD"/>
    <w:rsid w:val="00844DC6"/>
    <w:rsid w:val="00851D2A"/>
    <w:rsid w:val="008535B7"/>
    <w:rsid w:val="00855B83"/>
    <w:rsid w:val="00860387"/>
    <w:rsid w:val="00861366"/>
    <w:rsid w:val="00861F33"/>
    <w:rsid w:val="008620C5"/>
    <w:rsid w:val="0086238A"/>
    <w:rsid w:val="00864EFE"/>
    <w:rsid w:val="008657D2"/>
    <w:rsid w:val="00866076"/>
    <w:rsid w:val="0086655D"/>
    <w:rsid w:val="00873D99"/>
    <w:rsid w:val="00874C25"/>
    <w:rsid w:val="0087682B"/>
    <w:rsid w:val="00877FED"/>
    <w:rsid w:val="00880F80"/>
    <w:rsid w:val="008822A5"/>
    <w:rsid w:val="008833AC"/>
    <w:rsid w:val="0088512F"/>
    <w:rsid w:val="00885C85"/>
    <w:rsid w:val="00890CFA"/>
    <w:rsid w:val="00891DAA"/>
    <w:rsid w:val="00891EFC"/>
    <w:rsid w:val="0089622A"/>
    <w:rsid w:val="00897C16"/>
    <w:rsid w:val="008A4831"/>
    <w:rsid w:val="008A492C"/>
    <w:rsid w:val="008A4C41"/>
    <w:rsid w:val="008A515D"/>
    <w:rsid w:val="008A615D"/>
    <w:rsid w:val="008A6918"/>
    <w:rsid w:val="008A69DC"/>
    <w:rsid w:val="008B4856"/>
    <w:rsid w:val="008B7C3D"/>
    <w:rsid w:val="008C2886"/>
    <w:rsid w:val="008C5D45"/>
    <w:rsid w:val="008D1537"/>
    <w:rsid w:val="008D17E5"/>
    <w:rsid w:val="008D1A76"/>
    <w:rsid w:val="008D4690"/>
    <w:rsid w:val="008D6725"/>
    <w:rsid w:val="008D78FF"/>
    <w:rsid w:val="008E476F"/>
    <w:rsid w:val="008E54FE"/>
    <w:rsid w:val="008E5F7D"/>
    <w:rsid w:val="008E6217"/>
    <w:rsid w:val="008F41DB"/>
    <w:rsid w:val="008F48C1"/>
    <w:rsid w:val="008F4C9D"/>
    <w:rsid w:val="008F5394"/>
    <w:rsid w:val="008F636C"/>
    <w:rsid w:val="008F6397"/>
    <w:rsid w:val="0090048A"/>
    <w:rsid w:val="009041C1"/>
    <w:rsid w:val="0090449A"/>
    <w:rsid w:val="00904A06"/>
    <w:rsid w:val="0090536A"/>
    <w:rsid w:val="00911D0C"/>
    <w:rsid w:val="00914BCD"/>
    <w:rsid w:val="00914CB3"/>
    <w:rsid w:val="00916328"/>
    <w:rsid w:val="00917324"/>
    <w:rsid w:val="00920CC5"/>
    <w:rsid w:val="009223CF"/>
    <w:rsid w:val="009223E3"/>
    <w:rsid w:val="009239D8"/>
    <w:rsid w:val="0092468A"/>
    <w:rsid w:val="009260C5"/>
    <w:rsid w:val="00930CFF"/>
    <w:rsid w:val="00932B78"/>
    <w:rsid w:val="00933744"/>
    <w:rsid w:val="0094012A"/>
    <w:rsid w:val="00940388"/>
    <w:rsid w:val="009429B7"/>
    <w:rsid w:val="00944903"/>
    <w:rsid w:val="009450CF"/>
    <w:rsid w:val="00945AEE"/>
    <w:rsid w:val="0094732D"/>
    <w:rsid w:val="00947CF8"/>
    <w:rsid w:val="009520C3"/>
    <w:rsid w:val="0095680E"/>
    <w:rsid w:val="0095696B"/>
    <w:rsid w:val="00957601"/>
    <w:rsid w:val="00962169"/>
    <w:rsid w:val="00962693"/>
    <w:rsid w:val="00962CEA"/>
    <w:rsid w:val="0096451F"/>
    <w:rsid w:val="00971B45"/>
    <w:rsid w:val="00972275"/>
    <w:rsid w:val="00977A1D"/>
    <w:rsid w:val="00983170"/>
    <w:rsid w:val="0098472B"/>
    <w:rsid w:val="00986E14"/>
    <w:rsid w:val="009912E1"/>
    <w:rsid w:val="00992DA4"/>
    <w:rsid w:val="0099344A"/>
    <w:rsid w:val="00994A10"/>
    <w:rsid w:val="00995388"/>
    <w:rsid w:val="00996D7F"/>
    <w:rsid w:val="009A164D"/>
    <w:rsid w:val="009A19C7"/>
    <w:rsid w:val="009A38AD"/>
    <w:rsid w:val="009A4558"/>
    <w:rsid w:val="009A6C4D"/>
    <w:rsid w:val="009A712C"/>
    <w:rsid w:val="009B0DB2"/>
    <w:rsid w:val="009B2F66"/>
    <w:rsid w:val="009C1ADF"/>
    <w:rsid w:val="009C2CBE"/>
    <w:rsid w:val="009C2CF9"/>
    <w:rsid w:val="009C5919"/>
    <w:rsid w:val="009C6996"/>
    <w:rsid w:val="009C7064"/>
    <w:rsid w:val="009C7B1F"/>
    <w:rsid w:val="009D10C0"/>
    <w:rsid w:val="009D1B21"/>
    <w:rsid w:val="009D389E"/>
    <w:rsid w:val="009D3A3F"/>
    <w:rsid w:val="009D46D6"/>
    <w:rsid w:val="009D5C1D"/>
    <w:rsid w:val="009D6B85"/>
    <w:rsid w:val="009E116E"/>
    <w:rsid w:val="009E182A"/>
    <w:rsid w:val="009E1AEA"/>
    <w:rsid w:val="009E2B24"/>
    <w:rsid w:val="009E2CB0"/>
    <w:rsid w:val="009E2EEC"/>
    <w:rsid w:val="009E388E"/>
    <w:rsid w:val="009E4C1F"/>
    <w:rsid w:val="009E532D"/>
    <w:rsid w:val="009E5351"/>
    <w:rsid w:val="009E604D"/>
    <w:rsid w:val="009F1B35"/>
    <w:rsid w:val="009F37B4"/>
    <w:rsid w:val="009F3B93"/>
    <w:rsid w:val="009F4D79"/>
    <w:rsid w:val="00A01864"/>
    <w:rsid w:val="00A045ED"/>
    <w:rsid w:val="00A14437"/>
    <w:rsid w:val="00A14502"/>
    <w:rsid w:val="00A15971"/>
    <w:rsid w:val="00A246DC"/>
    <w:rsid w:val="00A263DD"/>
    <w:rsid w:val="00A271B4"/>
    <w:rsid w:val="00A30576"/>
    <w:rsid w:val="00A30F97"/>
    <w:rsid w:val="00A31FDC"/>
    <w:rsid w:val="00A32343"/>
    <w:rsid w:val="00A326B1"/>
    <w:rsid w:val="00A32FA1"/>
    <w:rsid w:val="00A3336D"/>
    <w:rsid w:val="00A3399F"/>
    <w:rsid w:val="00A34AC6"/>
    <w:rsid w:val="00A34F24"/>
    <w:rsid w:val="00A37DC3"/>
    <w:rsid w:val="00A425FC"/>
    <w:rsid w:val="00A42926"/>
    <w:rsid w:val="00A43634"/>
    <w:rsid w:val="00A43665"/>
    <w:rsid w:val="00A441B5"/>
    <w:rsid w:val="00A454E0"/>
    <w:rsid w:val="00A46462"/>
    <w:rsid w:val="00A464A9"/>
    <w:rsid w:val="00A4657A"/>
    <w:rsid w:val="00A47339"/>
    <w:rsid w:val="00A47536"/>
    <w:rsid w:val="00A51399"/>
    <w:rsid w:val="00A520CC"/>
    <w:rsid w:val="00A52BA6"/>
    <w:rsid w:val="00A5445A"/>
    <w:rsid w:val="00A54A27"/>
    <w:rsid w:val="00A552DA"/>
    <w:rsid w:val="00A6113D"/>
    <w:rsid w:val="00A6164F"/>
    <w:rsid w:val="00A6235A"/>
    <w:rsid w:val="00A62805"/>
    <w:rsid w:val="00A6716E"/>
    <w:rsid w:val="00A700D6"/>
    <w:rsid w:val="00A805C2"/>
    <w:rsid w:val="00A806F1"/>
    <w:rsid w:val="00A83574"/>
    <w:rsid w:val="00A87BE9"/>
    <w:rsid w:val="00A9241A"/>
    <w:rsid w:val="00A95893"/>
    <w:rsid w:val="00A963C3"/>
    <w:rsid w:val="00A96F94"/>
    <w:rsid w:val="00AA127F"/>
    <w:rsid w:val="00AA230A"/>
    <w:rsid w:val="00AA5C4F"/>
    <w:rsid w:val="00AA712A"/>
    <w:rsid w:val="00AA7E8A"/>
    <w:rsid w:val="00AB1A94"/>
    <w:rsid w:val="00AB248D"/>
    <w:rsid w:val="00AB2915"/>
    <w:rsid w:val="00AB2B24"/>
    <w:rsid w:val="00AB488D"/>
    <w:rsid w:val="00AB5B30"/>
    <w:rsid w:val="00AB5FC3"/>
    <w:rsid w:val="00AB6101"/>
    <w:rsid w:val="00AB7EEA"/>
    <w:rsid w:val="00AC0231"/>
    <w:rsid w:val="00AC07D2"/>
    <w:rsid w:val="00AC6009"/>
    <w:rsid w:val="00AD0DF6"/>
    <w:rsid w:val="00AD2826"/>
    <w:rsid w:val="00AD4944"/>
    <w:rsid w:val="00AD5849"/>
    <w:rsid w:val="00AD7CF0"/>
    <w:rsid w:val="00AE05F1"/>
    <w:rsid w:val="00AE1659"/>
    <w:rsid w:val="00AE2C62"/>
    <w:rsid w:val="00AE4EB6"/>
    <w:rsid w:val="00AE51EC"/>
    <w:rsid w:val="00AE6325"/>
    <w:rsid w:val="00AE690E"/>
    <w:rsid w:val="00AE6E0C"/>
    <w:rsid w:val="00AF062F"/>
    <w:rsid w:val="00AF1E99"/>
    <w:rsid w:val="00B00407"/>
    <w:rsid w:val="00B00E57"/>
    <w:rsid w:val="00B014C2"/>
    <w:rsid w:val="00B033B8"/>
    <w:rsid w:val="00B0347F"/>
    <w:rsid w:val="00B04FAA"/>
    <w:rsid w:val="00B121E8"/>
    <w:rsid w:val="00B12E20"/>
    <w:rsid w:val="00B13499"/>
    <w:rsid w:val="00B1662F"/>
    <w:rsid w:val="00B20342"/>
    <w:rsid w:val="00B20D39"/>
    <w:rsid w:val="00B221CA"/>
    <w:rsid w:val="00B257F0"/>
    <w:rsid w:val="00B274BB"/>
    <w:rsid w:val="00B30133"/>
    <w:rsid w:val="00B37577"/>
    <w:rsid w:val="00B41A5A"/>
    <w:rsid w:val="00B45711"/>
    <w:rsid w:val="00B46B34"/>
    <w:rsid w:val="00B5655C"/>
    <w:rsid w:val="00B56C7F"/>
    <w:rsid w:val="00B56EB8"/>
    <w:rsid w:val="00B57637"/>
    <w:rsid w:val="00B60083"/>
    <w:rsid w:val="00B60EEC"/>
    <w:rsid w:val="00B6151B"/>
    <w:rsid w:val="00B6163A"/>
    <w:rsid w:val="00B62197"/>
    <w:rsid w:val="00B63BE0"/>
    <w:rsid w:val="00B6474E"/>
    <w:rsid w:val="00B65CFA"/>
    <w:rsid w:val="00B70F42"/>
    <w:rsid w:val="00B73E34"/>
    <w:rsid w:val="00B74BCA"/>
    <w:rsid w:val="00B756EA"/>
    <w:rsid w:val="00B75B65"/>
    <w:rsid w:val="00B7774A"/>
    <w:rsid w:val="00B81E82"/>
    <w:rsid w:val="00B82499"/>
    <w:rsid w:val="00B84C4B"/>
    <w:rsid w:val="00B85C22"/>
    <w:rsid w:val="00B866E5"/>
    <w:rsid w:val="00B91EA5"/>
    <w:rsid w:val="00B931D1"/>
    <w:rsid w:val="00B943B1"/>
    <w:rsid w:val="00B959C6"/>
    <w:rsid w:val="00B95DB8"/>
    <w:rsid w:val="00BA0A22"/>
    <w:rsid w:val="00BA14F4"/>
    <w:rsid w:val="00BA2E9B"/>
    <w:rsid w:val="00BA502A"/>
    <w:rsid w:val="00BA6526"/>
    <w:rsid w:val="00BA7189"/>
    <w:rsid w:val="00BB09C5"/>
    <w:rsid w:val="00BB142B"/>
    <w:rsid w:val="00BB1AFB"/>
    <w:rsid w:val="00BB1C9B"/>
    <w:rsid w:val="00BB2330"/>
    <w:rsid w:val="00BB4180"/>
    <w:rsid w:val="00BB6E67"/>
    <w:rsid w:val="00BB7960"/>
    <w:rsid w:val="00BC06E8"/>
    <w:rsid w:val="00BC4144"/>
    <w:rsid w:val="00BC4472"/>
    <w:rsid w:val="00BC51A3"/>
    <w:rsid w:val="00BC66EB"/>
    <w:rsid w:val="00BD0CF0"/>
    <w:rsid w:val="00BD1934"/>
    <w:rsid w:val="00BD1A48"/>
    <w:rsid w:val="00BD351F"/>
    <w:rsid w:val="00BD4752"/>
    <w:rsid w:val="00BD63E9"/>
    <w:rsid w:val="00BE09FB"/>
    <w:rsid w:val="00BE0EC8"/>
    <w:rsid w:val="00BE4892"/>
    <w:rsid w:val="00BE5531"/>
    <w:rsid w:val="00BE649D"/>
    <w:rsid w:val="00BE6E9C"/>
    <w:rsid w:val="00BF13E2"/>
    <w:rsid w:val="00BF249C"/>
    <w:rsid w:val="00BF2E4B"/>
    <w:rsid w:val="00BF2F17"/>
    <w:rsid w:val="00BF4361"/>
    <w:rsid w:val="00BF6568"/>
    <w:rsid w:val="00C01826"/>
    <w:rsid w:val="00C02217"/>
    <w:rsid w:val="00C0224F"/>
    <w:rsid w:val="00C044F2"/>
    <w:rsid w:val="00C11C6A"/>
    <w:rsid w:val="00C16A63"/>
    <w:rsid w:val="00C16F7D"/>
    <w:rsid w:val="00C1739F"/>
    <w:rsid w:val="00C20A0F"/>
    <w:rsid w:val="00C20EF9"/>
    <w:rsid w:val="00C21A1E"/>
    <w:rsid w:val="00C21A32"/>
    <w:rsid w:val="00C24F0A"/>
    <w:rsid w:val="00C25337"/>
    <w:rsid w:val="00C257F3"/>
    <w:rsid w:val="00C307D2"/>
    <w:rsid w:val="00C31A26"/>
    <w:rsid w:val="00C327A5"/>
    <w:rsid w:val="00C32F05"/>
    <w:rsid w:val="00C339B4"/>
    <w:rsid w:val="00C33F2C"/>
    <w:rsid w:val="00C34377"/>
    <w:rsid w:val="00C34941"/>
    <w:rsid w:val="00C37B14"/>
    <w:rsid w:val="00C4032D"/>
    <w:rsid w:val="00C40FDA"/>
    <w:rsid w:val="00C42ACF"/>
    <w:rsid w:val="00C44943"/>
    <w:rsid w:val="00C44C95"/>
    <w:rsid w:val="00C4549D"/>
    <w:rsid w:val="00C45AB4"/>
    <w:rsid w:val="00C5082A"/>
    <w:rsid w:val="00C52C5E"/>
    <w:rsid w:val="00C5549D"/>
    <w:rsid w:val="00C61BDC"/>
    <w:rsid w:val="00C61FF9"/>
    <w:rsid w:val="00C627A2"/>
    <w:rsid w:val="00C65525"/>
    <w:rsid w:val="00C6637E"/>
    <w:rsid w:val="00C66CCF"/>
    <w:rsid w:val="00C7152A"/>
    <w:rsid w:val="00C728A7"/>
    <w:rsid w:val="00C7500F"/>
    <w:rsid w:val="00C751EA"/>
    <w:rsid w:val="00C75A4F"/>
    <w:rsid w:val="00C772EA"/>
    <w:rsid w:val="00C810C6"/>
    <w:rsid w:val="00C811F1"/>
    <w:rsid w:val="00C8212B"/>
    <w:rsid w:val="00C821AB"/>
    <w:rsid w:val="00C83591"/>
    <w:rsid w:val="00C83878"/>
    <w:rsid w:val="00C84027"/>
    <w:rsid w:val="00C85068"/>
    <w:rsid w:val="00C86127"/>
    <w:rsid w:val="00C87B1B"/>
    <w:rsid w:val="00C9370E"/>
    <w:rsid w:val="00C93C55"/>
    <w:rsid w:val="00C946C6"/>
    <w:rsid w:val="00C95CFC"/>
    <w:rsid w:val="00C9779A"/>
    <w:rsid w:val="00C97C3E"/>
    <w:rsid w:val="00C97F6E"/>
    <w:rsid w:val="00CA0169"/>
    <w:rsid w:val="00CA0B16"/>
    <w:rsid w:val="00CA0E9F"/>
    <w:rsid w:val="00CA1356"/>
    <w:rsid w:val="00CA181C"/>
    <w:rsid w:val="00CA34C6"/>
    <w:rsid w:val="00CA4ADF"/>
    <w:rsid w:val="00CA6526"/>
    <w:rsid w:val="00CA7E59"/>
    <w:rsid w:val="00CB07F2"/>
    <w:rsid w:val="00CB1829"/>
    <w:rsid w:val="00CB189E"/>
    <w:rsid w:val="00CB19CB"/>
    <w:rsid w:val="00CB204F"/>
    <w:rsid w:val="00CB3A88"/>
    <w:rsid w:val="00CB45B6"/>
    <w:rsid w:val="00CB5D7B"/>
    <w:rsid w:val="00CB6882"/>
    <w:rsid w:val="00CB7A76"/>
    <w:rsid w:val="00CC16CB"/>
    <w:rsid w:val="00CC2408"/>
    <w:rsid w:val="00CC4F60"/>
    <w:rsid w:val="00CC76C2"/>
    <w:rsid w:val="00CC7CB9"/>
    <w:rsid w:val="00CD40FD"/>
    <w:rsid w:val="00CD4E1C"/>
    <w:rsid w:val="00CE09F6"/>
    <w:rsid w:val="00CE128B"/>
    <w:rsid w:val="00CE46A5"/>
    <w:rsid w:val="00CF0131"/>
    <w:rsid w:val="00CF05DA"/>
    <w:rsid w:val="00CF3010"/>
    <w:rsid w:val="00CF370C"/>
    <w:rsid w:val="00CF44CB"/>
    <w:rsid w:val="00CF4D9E"/>
    <w:rsid w:val="00CF50F6"/>
    <w:rsid w:val="00CF5C7C"/>
    <w:rsid w:val="00D0079F"/>
    <w:rsid w:val="00D03BE9"/>
    <w:rsid w:val="00D11E93"/>
    <w:rsid w:val="00D12D69"/>
    <w:rsid w:val="00D12F6E"/>
    <w:rsid w:val="00D212DF"/>
    <w:rsid w:val="00D215C9"/>
    <w:rsid w:val="00D23D51"/>
    <w:rsid w:val="00D23E53"/>
    <w:rsid w:val="00D24EDC"/>
    <w:rsid w:val="00D251C4"/>
    <w:rsid w:val="00D277E5"/>
    <w:rsid w:val="00D315BC"/>
    <w:rsid w:val="00D31657"/>
    <w:rsid w:val="00D31FAE"/>
    <w:rsid w:val="00D419F1"/>
    <w:rsid w:val="00D478F2"/>
    <w:rsid w:val="00D50452"/>
    <w:rsid w:val="00D521E4"/>
    <w:rsid w:val="00D53219"/>
    <w:rsid w:val="00D56DA8"/>
    <w:rsid w:val="00D62CCB"/>
    <w:rsid w:val="00D63353"/>
    <w:rsid w:val="00D65456"/>
    <w:rsid w:val="00D71175"/>
    <w:rsid w:val="00D7155A"/>
    <w:rsid w:val="00D71706"/>
    <w:rsid w:val="00D7256E"/>
    <w:rsid w:val="00D72F3D"/>
    <w:rsid w:val="00D74282"/>
    <w:rsid w:val="00D743CB"/>
    <w:rsid w:val="00D80386"/>
    <w:rsid w:val="00D8286C"/>
    <w:rsid w:val="00D83021"/>
    <w:rsid w:val="00D94F4A"/>
    <w:rsid w:val="00D95EF7"/>
    <w:rsid w:val="00DA0A55"/>
    <w:rsid w:val="00DA33A5"/>
    <w:rsid w:val="00DA3D82"/>
    <w:rsid w:val="00DA4F89"/>
    <w:rsid w:val="00DA61A3"/>
    <w:rsid w:val="00DA6973"/>
    <w:rsid w:val="00DA775F"/>
    <w:rsid w:val="00DB0477"/>
    <w:rsid w:val="00DB1642"/>
    <w:rsid w:val="00DB28DC"/>
    <w:rsid w:val="00DB35ED"/>
    <w:rsid w:val="00DB7168"/>
    <w:rsid w:val="00DC0A98"/>
    <w:rsid w:val="00DC1068"/>
    <w:rsid w:val="00DC2009"/>
    <w:rsid w:val="00DC27BB"/>
    <w:rsid w:val="00DC2AFF"/>
    <w:rsid w:val="00DC614F"/>
    <w:rsid w:val="00DC7ACA"/>
    <w:rsid w:val="00DD0266"/>
    <w:rsid w:val="00DD21C0"/>
    <w:rsid w:val="00DD42C2"/>
    <w:rsid w:val="00DD5665"/>
    <w:rsid w:val="00DE01CE"/>
    <w:rsid w:val="00DE0762"/>
    <w:rsid w:val="00DE67FC"/>
    <w:rsid w:val="00DE7E94"/>
    <w:rsid w:val="00DF00C1"/>
    <w:rsid w:val="00DF05BB"/>
    <w:rsid w:val="00DF0637"/>
    <w:rsid w:val="00DF0A7E"/>
    <w:rsid w:val="00DF210B"/>
    <w:rsid w:val="00DF4BCE"/>
    <w:rsid w:val="00DF5D85"/>
    <w:rsid w:val="00E00728"/>
    <w:rsid w:val="00E03A78"/>
    <w:rsid w:val="00E07DF2"/>
    <w:rsid w:val="00E12BE9"/>
    <w:rsid w:val="00E147E0"/>
    <w:rsid w:val="00E16A3D"/>
    <w:rsid w:val="00E21CA5"/>
    <w:rsid w:val="00E22906"/>
    <w:rsid w:val="00E22D5A"/>
    <w:rsid w:val="00E22EBE"/>
    <w:rsid w:val="00E25884"/>
    <w:rsid w:val="00E26AAA"/>
    <w:rsid w:val="00E3385D"/>
    <w:rsid w:val="00E360B7"/>
    <w:rsid w:val="00E3710D"/>
    <w:rsid w:val="00E43842"/>
    <w:rsid w:val="00E44062"/>
    <w:rsid w:val="00E4416C"/>
    <w:rsid w:val="00E45FE7"/>
    <w:rsid w:val="00E5107B"/>
    <w:rsid w:val="00E51BA8"/>
    <w:rsid w:val="00E51BE9"/>
    <w:rsid w:val="00E52FCD"/>
    <w:rsid w:val="00E54741"/>
    <w:rsid w:val="00E56A1F"/>
    <w:rsid w:val="00E56EE5"/>
    <w:rsid w:val="00E5743D"/>
    <w:rsid w:val="00E61C72"/>
    <w:rsid w:val="00E62150"/>
    <w:rsid w:val="00E6447F"/>
    <w:rsid w:val="00E64F10"/>
    <w:rsid w:val="00E65F36"/>
    <w:rsid w:val="00E65F64"/>
    <w:rsid w:val="00E671E2"/>
    <w:rsid w:val="00E7064B"/>
    <w:rsid w:val="00E70B81"/>
    <w:rsid w:val="00E73425"/>
    <w:rsid w:val="00E73C02"/>
    <w:rsid w:val="00E7628E"/>
    <w:rsid w:val="00E77577"/>
    <w:rsid w:val="00E8006C"/>
    <w:rsid w:val="00E80352"/>
    <w:rsid w:val="00E80F42"/>
    <w:rsid w:val="00E90C7E"/>
    <w:rsid w:val="00E91CE2"/>
    <w:rsid w:val="00E921F7"/>
    <w:rsid w:val="00E9274F"/>
    <w:rsid w:val="00E96F9B"/>
    <w:rsid w:val="00EA2820"/>
    <w:rsid w:val="00EA6137"/>
    <w:rsid w:val="00EB03F5"/>
    <w:rsid w:val="00EB263C"/>
    <w:rsid w:val="00EB4862"/>
    <w:rsid w:val="00EB522F"/>
    <w:rsid w:val="00EB6A3A"/>
    <w:rsid w:val="00EC009D"/>
    <w:rsid w:val="00EC09FD"/>
    <w:rsid w:val="00EC1C10"/>
    <w:rsid w:val="00EC1CD1"/>
    <w:rsid w:val="00EC3233"/>
    <w:rsid w:val="00EC4103"/>
    <w:rsid w:val="00ED175B"/>
    <w:rsid w:val="00ED24B3"/>
    <w:rsid w:val="00ED29AD"/>
    <w:rsid w:val="00ED377B"/>
    <w:rsid w:val="00ED49F3"/>
    <w:rsid w:val="00ED7EE2"/>
    <w:rsid w:val="00EE35DE"/>
    <w:rsid w:val="00EE4A82"/>
    <w:rsid w:val="00EE4E64"/>
    <w:rsid w:val="00EE4E77"/>
    <w:rsid w:val="00EE4FC3"/>
    <w:rsid w:val="00EF26A5"/>
    <w:rsid w:val="00EF335B"/>
    <w:rsid w:val="00EF4B50"/>
    <w:rsid w:val="00EF662A"/>
    <w:rsid w:val="00EF6CB9"/>
    <w:rsid w:val="00EF6E5B"/>
    <w:rsid w:val="00EF7435"/>
    <w:rsid w:val="00EF7A99"/>
    <w:rsid w:val="00F017F1"/>
    <w:rsid w:val="00F02F53"/>
    <w:rsid w:val="00F10EB1"/>
    <w:rsid w:val="00F1185E"/>
    <w:rsid w:val="00F12786"/>
    <w:rsid w:val="00F14553"/>
    <w:rsid w:val="00F154DF"/>
    <w:rsid w:val="00F15932"/>
    <w:rsid w:val="00F17D9D"/>
    <w:rsid w:val="00F17FB6"/>
    <w:rsid w:val="00F20476"/>
    <w:rsid w:val="00F20A3B"/>
    <w:rsid w:val="00F210C4"/>
    <w:rsid w:val="00F213B5"/>
    <w:rsid w:val="00F2244C"/>
    <w:rsid w:val="00F22471"/>
    <w:rsid w:val="00F23AB0"/>
    <w:rsid w:val="00F23B3F"/>
    <w:rsid w:val="00F23E38"/>
    <w:rsid w:val="00F24053"/>
    <w:rsid w:val="00F25271"/>
    <w:rsid w:val="00F25DD3"/>
    <w:rsid w:val="00F27161"/>
    <w:rsid w:val="00F33C48"/>
    <w:rsid w:val="00F33E2D"/>
    <w:rsid w:val="00F45FC6"/>
    <w:rsid w:val="00F5188A"/>
    <w:rsid w:val="00F52E6F"/>
    <w:rsid w:val="00F52FB8"/>
    <w:rsid w:val="00F543D6"/>
    <w:rsid w:val="00F543F9"/>
    <w:rsid w:val="00F55D66"/>
    <w:rsid w:val="00F573E5"/>
    <w:rsid w:val="00F600B1"/>
    <w:rsid w:val="00F64547"/>
    <w:rsid w:val="00F65DC0"/>
    <w:rsid w:val="00F65EC5"/>
    <w:rsid w:val="00F67545"/>
    <w:rsid w:val="00F73E4D"/>
    <w:rsid w:val="00F73FBF"/>
    <w:rsid w:val="00F768B2"/>
    <w:rsid w:val="00F80221"/>
    <w:rsid w:val="00F807CB"/>
    <w:rsid w:val="00F81BA5"/>
    <w:rsid w:val="00F82D25"/>
    <w:rsid w:val="00F82F53"/>
    <w:rsid w:val="00F858B1"/>
    <w:rsid w:val="00F86F4B"/>
    <w:rsid w:val="00F90307"/>
    <w:rsid w:val="00F9294A"/>
    <w:rsid w:val="00F92A3D"/>
    <w:rsid w:val="00F93606"/>
    <w:rsid w:val="00F97A74"/>
    <w:rsid w:val="00FA1EA9"/>
    <w:rsid w:val="00FA2DB4"/>
    <w:rsid w:val="00FA371D"/>
    <w:rsid w:val="00FA412F"/>
    <w:rsid w:val="00FA6053"/>
    <w:rsid w:val="00FA6507"/>
    <w:rsid w:val="00FA6DB0"/>
    <w:rsid w:val="00FA7C2F"/>
    <w:rsid w:val="00FB0DAF"/>
    <w:rsid w:val="00FB0E25"/>
    <w:rsid w:val="00FB4555"/>
    <w:rsid w:val="00FC02DA"/>
    <w:rsid w:val="00FC4CC7"/>
    <w:rsid w:val="00FC77DA"/>
    <w:rsid w:val="00FD3BBA"/>
    <w:rsid w:val="00FD4326"/>
    <w:rsid w:val="00FD7D7A"/>
    <w:rsid w:val="00FE0EE3"/>
    <w:rsid w:val="00FE2734"/>
    <w:rsid w:val="00FF1D9A"/>
    <w:rsid w:val="00FF3E15"/>
    <w:rsid w:val="00FF4A85"/>
    <w:rsid w:val="00FF5C79"/>
    <w:rsid w:val="00FF6971"/>
    <w:rsid w:val="00FF7B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3730AC56"/>
  <w15:docId w15:val="{74DE8E36-E2FF-44F5-BA2D-3E08F6A52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semiHidden/>
    <w:unhideWhenUsed/>
    <w:rsid w:val="00E360B7"/>
  </w:style>
  <w:style w:type="character" w:customStyle="1" w:styleId="CommentTextChar">
    <w:name w:val="Comment Text Char"/>
    <w:basedOn w:val="DefaultParagraphFont"/>
    <w:link w:val="CommentText"/>
    <w:uiPriority w:val="99"/>
    <w:semiHidden/>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styleId="FollowedHyperlink">
    <w:name w:val="FollowedHyperlink"/>
    <w:basedOn w:val="DefaultParagraphFont"/>
    <w:uiPriority w:val="99"/>
    <w:semiHidden/>
    <w:unhideWhenUsed/>
    <w:rsid w:val="00382BA7"/>
    <w:rPr>
      <w:color w:val="800080" w:themeColor="followedHyperlink"/>
      <w:u w:val="single"/>
    </w:rPr>
  </w:style>
  <w:style w:type="paragraph" w:customStyle="1" w:styleId="tvhtml">
    <w:name w:val="tv_html"/>
    <w:basedOn w:val="Normal"/>
    <w:rsid w:val="00154076"/>
    <w:pPr>
      <w:spacing w:before="100" w:beforeAutospacing="1" w:after="100" w:afterAutospacing="1"/>
    </w:pPr>
    <w:rPr>
      <w:rFonts w:eastAsia="Times New Roman"/>
      <w:sz w:val="24"/>
      <w:szCs w:val="24"/>
      <w:lang w:val="lv-LV" w:eastAsia="lv-LV"/>
    </w:rPr>
  </w:style>
  <w:style w:type="paragraph" w:styleId="FootnoteText">
    <w:name w:val="footnote text"/>
    <w:basedOn w:val="Normal"/>
    <w:link w:val="FootnoteTextChar"/>
    <w:uiPriority w:val="99"/>
    <w:semiHidden/>
    <w:unhideWhenUsed/>
    <w:rsid w:val="006924BE"/>
    <w:rPr>
      <w:rFonts w:asciiTheme="minorHAnsi" w:eastAsiaTheme="minorHAnsi" w:hAnsiTheme="minorHAnsi" w:cstheme="minorBidi"/>
      <w:lang w:val="lv-LV"/>
    </w:rPr>
  </w:style>
  <w:style w:type="character" w:customStyle="1" w:styleId="FootnoteTextChar">
    <w:name w:val="Footnote Text Char"/>
    <w:basedOn w:val="DefaultParagraphFont"/>
    <w:link w:val="FootnoteText"/>
    <w:uiPriority w:val="99"/>
    <w:semiHidden/>
    <w:rsid w:val="006924BE"/>
    <w:rPr>
      <w:rFonts w:asciiTheme="minorHAnsi" w:hAnsiTheme="minorHAnsi"/>
      <w:sz w:val="20"/>
      <w:szCs w:val="20"/>
    </w:rPr>
  </w:style>
  <w:style w:type="character" w:styleId="FootnoteReference">
    <w:name w:val="footnote reference"/>
    <w:basedOn w:val="DefaultParagraphFont"/>
    <w:uiPriority w:val="99"/>
    <w:semiHidden/>
    <w:unhideWhenUsed/>
    <w:rsid w:val="006924BE"/>
    <w:rPr>
      <w:vertAlign w:val="superscript"/>
    </w:rPr>
  </w:style>
  <w:style w:type="paragraph" w:styleId="NoSpacing">
    <w:name w:val="No Spacing"/>
    <w:uiPriority w:val="1"/>
    <w:qFormat/>
    <w:rsid w:val="006F5071"/>
    <w:pPr>
      <w:spacing w:after="0" w:line="240" w:lineRule="auto"/>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46769">
      <w:bodyDiv w:val="1"/>
      <w:marLeft w:val="0"/>
      <w:marRight w:val="0"/>
      <w:marTop w:val="0"/>
      <w:marBottom w:val="0"/>
      <w:divBdr>
        <w:top w:val="none" w:sz="0" w:space="0" w:color="auto"/>
        <w:left w:val="none" w:sz="0" w:space="0" w:color="auto"/>
        <w:bottom w:val="none" w:sz="0" w:space="0" w:color="auto"/>
        <w:right w:val="none" w:sz="0" w:space="0" w:color="auto"/>
      </w:divBdr>
    </w:div>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456726768">
      <w:bodyDiv w:val="1"/>
      <w:marLeft w:val="0"/>
      <w:marRight w:val="0"/>
      <w:marTop w:val="0"/>
      <w:marBottom w:val="0"/>
      <w:divBdr>
        <w:top w:val="none" w:sz="0" w:space="0" w:color="auto"/>
        <w:left w:val="none" w:sz="0" w:space="0" w:color="auto"/>
        <w:bottom w:val="none" w:sz="0" w:space="0" w:color="auto"/>
        <w:right w:val="none" w:sz="0" w:space="0" w:color="auto"/>
      </w:divBdr>
    </w:div>
    <w:div w:id="570428983">
      <w:bodyDiv w:val="1"/>
      <w:marLeft w:val="0"/>
      <w:marRight w:val="0"/>
      <w:marTop w:val="0"/>
      <w:marBottom w:val="0"/>
      <w:divBdr>
        <w:top w:val="none" w:sz="0" w:space="0" w:color="auto"/>
        <w:left w:val="none" w:sz="0" w:space="0" w:color="auto"/>
        <w:bottom w:val="none" w:sz="0" w:space="0" w:color="auto"/>
        <w:right w:val="none" w:sz="0" w:space="0" w:color="auto"/>
      </w:divBdr>
    </w:div>
    <w:div w:id="626005937">
      <w:bodyDiv w:val="1"/>
      <w:marLeft w:val="0"/>
      <w:marRight w:val="0"/>
      <w:marTop w:val="0"/>
      <w:marBottom w:val="0"/>
      <w:divBdr>
        <w:top w:val="none" w:sz="0" w:space="0" w:color="auto"/>
        <w:left w:val="none" w:sz="0" w:space="0" w:color="auto"/>
        <w:bottom w:val="none" w:sz="0" w:space="0" w:color="auto"/>
        <w:right w:val="none" w:sz="0" w:space="0" w:color="auto"/>
      </w:divBdr>
    </w:div>
    <w:div w:id="845751636">
      <w:bodyDiv w:val="1"/>
      <w:marLeft w:val="0"/>
      <w:marRight w:val="0"/>
      <w:marTop w:val="0"/>
      <w:marBottom w:val="0"/>
      <w:divBdr>
        <w:top w:val="none" w:sz="0" w:space="0" w:color="auto"/>
        <w:left w:val="none" w:sz="0" w:space="0" w:color="auto"/>
        <w:bottom w:val="none" w:sz="0" w:space="0" w:color="auto"/>
        <w:right w:val="none" w:sz="0" w:space="0" w:color="auto"/>
      </w:divBdr>
    </w:div>
    <w:div w:id="1153327934">
      <w:bodyDiv w:val="1"/>
      <w:marLeft w:val="0"/>
      <w:marRight w:val="0"/>
      <w:marTop w:val="0"/>
      <w:marBottom w:val="0"/>
      <w:divBdr>
        <w:top w:val="none" w:sz="0" w:space="0" w:color="auto"/>
        <w:left w:val="none" w:sz="0" w:space="0" w:color="auto"/>
        <w:bottom w:val="none" w:sz="0" w:space="0" w:color="auto"/>
        <w:right w:val="none" w:sz="0" w:space="0" w:color="auto"/>
      </w:divBdr>
    </w:div>
    <w:div w:id="1217162123">
      <w:bodyDiv w:val="1"/>
      <w:marLeft w:val="0"/>
      <w:marRight w:val="0"/>
      <w:marTop w:val="0"/>
      <w:marBottom w:val="0"/>
      <w:divBdr>
        <w:top w:val="none" w:sz="0" w:space="0" w:color="auto"/>
        <w:left w:val="none" w:sz="0" w:space="0" w:color="auto"/>
        <w:bottom w:val="none" w:sz="0" w:space="0" w:color="auto"/>
        <w:right w:val="none" w:sz="0" w:space="0" w:color="auto"/>
      </w:divBdr>
    </w:div>
    <w:div w:id="1220093701">
      <w:bodyDiv w:val="1"/>
      <w:marLeft w:val="0"/>
      <w:marRight w:val="0"/>
      <w:marTop w:val="0"/>
      <w:marBottom w:val="0"/>
      <w:divBdr>
        <w:top w:val="none" w:sz="0" w:space="0" w:color="auto"/>
        <w:left w:val="none" w:sz="0" w:space="0" w:color="auto"/>
        <w:bottom w:val="none" w:sz="0" w:space="0" w:color="auto"/>
        <w:right w:val="none" w:sz="0" w:space="0" w:color="auto"/>
      </w:divBdr>
    </w:div>
    <w:div w:id="1227649641">
      <w:bodyDiv w:val="1"/>
      <w:marLeft w:val="0"/>
      <w:marRight w:val="0"/>
      <w:marTop w:val="0"/>
      <w:marBottom w:val="0"/>
      <w:divBdr>
        <w:top w:val="none" w:sz="0" w:space="0" w:color="auto"/>
        <w:left w:val="none" w:sz="0" w:space="0" w:color="auto"/>
        <w:bottom w:val="none" w:sz="0" w:space="0" w:color="auto"/>
        <w:right w:val="none" w:sz="0" w:space="0" w:color="auto"/>
      </w:divBdr>
    </w:div>
    <w:div w:id="1514033673">
      <w:bodyDiv w:val="1"/>
      <w:marLeft w:val="0"/>
      <w:marRight w:val="0"/>
      <w:marTop w:val="0"/>
      <w:marBottom w:val="0"/>
      <w:divBdr>
        <w:top w:val="none" w:sz="0" w:space="0" w:color="auto"/>
        <w:left w:val="none" w:sz="0" w:space="0" w:color="auto"/>
        <w:bottom w:val="none" w:sz="0" w:space="0" w:color="auto"/>
        <w:right w:val="none" w:sz="0" w:space="0" w:color="auto"/>
      </w:divBdr>
    </w:div>
    <w:div w:id="166192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4E544-C9CD-4676-89DD-62A043351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7998</Words>
  <Characters>4559</Characters>
  <Application>Microsoft Office Word</Application>
  <DocSecurity>0</DocSecurity>
  <Lines>37</Lines>
  <Paragraphs>25</Paragraphs>
  <ScaleCrop>false</ScaleCrop>
  <HeadingPairs>
    <vt:vector size="2" baseType="variant">
      <vt:variant>
        <vt:lpstr>Title</vt:lpstr>
      </vt:variant>
      <vt:variant>
        <vt:i4>1</vt:i4>
      </vt:variant>
    </vt:vector>
  </HeadingPairs>
  <TitlesOfParts>
    <vt:vector size="1" baseType="lpstr">
      <vt:lpstr/>
    </vt:vector>
  </TitlesOfParts>
  <Company>LR Ekonomikas ministrija</Company>
  <LinksUpToDate>false</LinksUpToDate>
  <CharactersWithSpaces>12532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dc:title>
  <dc:subject>Ministru kabineta noteikumu projekta sākotnējās ietekmes novērtējuma ziņojums (anotācija)</dc:subject>
  <dc:creator>edgars.zandbergs@fm.gov.lv</dc:creator>
  <dc:description>67095532
e-pasts: Edgars.Zandbergs@fm.gov.lv</dc:description>
  <cp:lastModifiedBy>Finanšu ministrija</cp:lastModifiedBy>
  <cp:revision>33</cp:revision>
  <cp:lastPrinted>2014-01-23T06:52:00Z</cp:lastPrinted>
  <dcterms:created xsi:type="dcterms:W3CDTF">2015-07-09T11:22:00Z</dcterms:created>
  <dcterms:modified xsi:type="dcterms:W3CDTF">2015-08-21T12:01:00Z</dcterms:modified>
</cp:coreProperties>
</file>