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18" w:rsidRPr="007F7755" w:rsidRDefault="007A2DC5" w:rsidP="00197973">
      <w:pPr>
        <w:spacing w:after="0" w:line="240" w:lineRule="auto"/>
        <w:jc w:val="center"/>
        <w:rPr>
          <w:rFonts w:ascii="Times New Roman" w:eastAsia="Times New Roman" w:hAnsi="Times New Roman" w:cs="Times New Roman"/>
          <w:b/>
          <w:bCs/>
          <w:sz w:val="26"/>
          <w:szCs w:val="26"/>
        </w:rPr>
      </w:pPr>
      <w:r w:rsidRPr="007F7755">
        <w:rPr>
          <w:rFonts w:ascii="Times New Roman" w:hAnsi="Times New Roman" w:cs="Times New Roman"/>
          <w:b/>
          <w:sz w:val="26"/>
          <w:szCs w:val="26"/>
        </w:rPr>
        <w:t>Ministru kabineta noteikumu projekta</w:t>
      </w:r>
      <w:r w:rsidR="00B241FD" w:rsidRPr="007F7755">
        <w:rPr>
          <w:rFonts w:ascii="Times New Roman" w:hAnsi="Times New Roman" w:cs="Times New Roman"/>
          <w:b/>
          <w:sz w:val="26"/>
          <w:szCs w:val="26"/>
        </w:rPr>
        <w:t xml:space="preserve"> </w:t>
      </w:r>
      <w:r w:rsidR="00843AFD" w:rsidRPr="007F7755">
        <w:rPr>
          <w:rFonts w:ascii="Times New Roman" w:hAnsi="Times New Roman" w:cs="Times New Roman"/>
          <w:b/>
          <w:sz w:val="26"/>
          <w:szCs w:val="26"/>
        </w:rPr>
        <w:t>„</w:t>
      </w:r>
      <w:r w:rsidR="00891DEE" w:rsidRPr="00891DEE">
        <w:rPr>
          <w:rFonts w:ascii="Times New Roman" w:eastAsia="Times New Roman" w:hAnsi="Times New Roman" w:cs="Times New Roman"/>
          <w:b/>
          <w:bCs/>
          <w:sz w:val="26"/>
          <w:szCs w:val="26"/>
        </w:rPr>
        <w:t xml:space="preserve">Nozares, kurās nepiemēro </w:t>
      </w:r>
      <w:proofErr w:type="spellStart"/>
      <w:r w:rsidR="00891DEE" w:rsidRPr="00891DEE">
        <w:rPr>
          <w:rFonts w:ascii="Times New Roman" w:eastAsia="Times New Roman" w:hAnsi="Times New Roman" w:cs="Times New Roman"/>
          <w:b/>
          <w:bCs/>
          <w:sz w:val="26"/>
          <w:szCs w:val="26"/>
        </w:rPr>
        <w:t>mikrouzņēmumu</w:t>
      </w:r>
      <w:proofErr w:type="spellEnd"/>
      <w:r w:rsidR="00891DEE" w:rsidRPr="00891DEE">
        <w:rPr>
          <w:rFonts w:ascii="Times New Roman" w:eastAsia="Times New Roman" w:hAnsi="Times New Roman" w:cs="Times New Roman"/>
          <w:b/>
          <w:bCs/>
          <w:sz w:val="26"/>
          <w:szCs w:val="26"/>
        </w:rPr>
        <w:t xml:space="preserve"> nodokļa režīmu</w:t>
      </w:r>
      <w:r w:rsidR="00843AFD" w:rsidRPr="007F7755">
        <w:rPr>
          <w:rFonts w:ascii="Times New Roman" w:hAnsi="Times New Roman" w:cs="Times New Roman"/>
          <w:b/>
          <w:sz w:val="26"/>
          <w:szCs w:val="26"/>
        </w:rPr>
        <w:t xml:space="preserve">” </w:t>
      </w:r>
      <w:r w:rsidR="00B241FD" w:rsidRPr="007F7755">
        <w:rPr>
          <w:rFonts w:ascii="Times New Roman" w:hAnsi="Times New Roman" w:cs="Times New Roman"/>
          <w:b/>
          <w:sz w:val="26"/>
          <w:szCs w:val="26"/>
        </w:rPr>
        <w:t>sākotnējās ietekmes novērtējuma ziņojums (anotācija)</w:t>
      </w:r>
    </w:p>
    <w:tbl>
      <w:tblPr>
        <w:tblpPr w:leftFromText="180" w:rightFromText="180" w:vertAnchor="text" w:horzAnchor="margin" w:tblpXSpec="center" w:tblpY="149"/>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3548"/>
        <w:gridCol w:w="5670"/>
      </w:tblGrid>
      <w:tr w:rsidR="00DA6C86" w:rsidRPr="007F7755" w:rsidTr="00511203">
        <w:trPr>
          <w:trHeight w:val="419"/>
        </w:trPr>
        <w:tc>
          <w:tcPr>
            <w:tcW w:w="5000" w:type="pct"/>
            <w:gridSpan w:val="3"/>
            <w:vAlign w:val="center"/>
          </w:tcPr>
          <w:p w:rsidR="00DA6C86" w:rsidRPr="007F7755" w:rsidRDefault="00DA6C86" w:rsidP="00197973">
            <w:pPr>
              <w:pStyle w:val="naisnod"/>
              <w:spacing w:before="0" w:beforeAutospacing="0" w:after="0" w:afterAutospacing="0"/>
              <w:ind w:right="57"/>
              <w:jc w:val="center"/>
              <w:rPr>
                <w:b/>
                <w:sz w:val="26"/>
                <w:szCs w:val="26"/>
              </w:rPr>
            </w:pPr>
            <w:r w:rsidRPr="007F7755">
              <w:rPr>
                <w:b/>
                <w:sz w:val="26"/>
                <w:szCs w:val="26"/>
              </w:rPr>
              <w:t>I. Tiesību akta projekta izstrādes nepieciešamība</w:t>
            </w:r>
          </w:p>
        </w:tc>
      </w:tr>
      <w:tr w:rsidR="00DA6C86" w:rsidRPr="007F7755" w:rsidTr="00FC7AFC">
        <w:trPr>
          <w:trHeight w:val="415"/>
        </w:trPr>
        <w:tc>
          <w:tcPr>
            <w:tcW w:w="287" w:type="pct"/>
          </w:tcPr>
          <w:p w:rsidR="00DA6C86" w:rsidRPr="007F7755" w:rsidRDefault="00DA6C86" w:rsidP="00176CB2">
            <w:pPr>
              <w:pStyle w:val="naiskr"/>
              <w:spacing w:before="0" w:beforeAutospacing="0" w:after="0" w:afterAutospacing="0"/>
              <w:ind w:right="57"/>
              <w:jc w:val="center"/>
              <w:rPr>
                <w:sz w:val="26"/>
                <w:szCs w:val="26"/>
              </w:rPr>
            </w:pPr>
            <w:r w:rsidRPr="007F7755">
              <w:rPr>
                <w:sz w:val="26"/>
                <w:szCs w:val="26"/>
              </w:rPr>
              <w:t>1.</w:t>
            </w:r>
          </w:p>
        </w:tc>
        <w:tc>
          <w:tcPr>
            <w:tcW w:w="1814" w:type="pct"/>
          </w:tcPr>
          <w:p w:rsidR="00DD7205" w:rsidRPr="007F7755" w:rsidRDefault="00DA6C86" w:rsidP="00F57E68">
            <w:pPr>
              <w:pStyle w:val="naiskr"/>
              <w:spacing w:before="0" w:beforeAutospacing="0" w:after="0" w:afterAutospacing="0"/>
              <w:ind w:left="57" w:right="57"/>
              <w:rPr>
                <w:sz w:val="26"/>
                <w:szCs w:val="26"/>
              </w:rPr>
            </w:pPr>
            <w:r w:rsidRPr="007F7755">
              <w:rPr>
                <w:sz w:val="26"/>
                <w:szCs w:val="26"/>
              </w:rPr>
              <w:t>Pamatojums</w:t>
            </w:r>
          </w:p>
          <w:p w:rsidR="00DD7205" w:rsidRPr="007F7755" w:rsidRDefault="00DD7205" w:rsidP="00DD7205">
            <w:pPr>
              <w:rPr>
                <w:rFonts w:ascii="Times New Roman" w:hAnsi="Times New Roman" w:cs="Times New Roman"/>
                <w:sz w:val="26"/>
                <w:szCs w:val="26"/>
              </w:rPr>
            </w:pPr>
          </w:p>
          <w:p w:rsidR="00DD7205" w:rsidRPr="007F7755" w:rsidRDefault="00DD7205" w:rsidP="00DD7205">
            <w:pPr>
              <w:rPr>
                <w:rFonts w:ascii="Times New Roman" w:hAnsi="Times New Roman" w:cs="Times New Roman"/>
                <w:sz w:val="26"/>
                <w:szCs w:val="26"/>
              </w:rPr>
            </w:pPr>
          </w:p>
          <w:p w:rsidR="00DD7205" w:rsidRPr="007F7755" w:rsidRDefault="00DD7205" w:rsidP="00DD7205">
            <w:pPr>
              <w:rPr>
                <w:rFonts w:ascii="Times New Roman" w:hAnsi="Times New Roman" w:cs="Times New Roman"/>
                <w:sz w:val="26"/>
                <w:szCs w:val="26"/>
              </w:rPr>
            </w:pPr>
          </w:p>
          <w:p w:rsidR="00DD7205" w:rsidRPr="007F7755" w:rsidRDefault="00DD7205" w:rsidP="00DD7205">
            <w:pPr>
              <w:rPr>
                <w:rFonts w:ascii="Times New Roman" w:hAnsi="Times New Roman" w:cs="Times New Roman"/>
                <w:sz w:val="26"/>
                <w:szCs w:val="26"/>
              </w:rPr>
            </w:pPr>
          </w:p>
          <w:p w:rsidR="00DA6C86" w:rsidRPr="007F7755" w:rsidRDefault="00DA6C86" w:rsidP="00DD7205">
            <w:pPr>
              <w:ind w:firstLine="720"/>
              <w:rPr>
                <w:rFonts w:ascii="Times New Roman" w:hAnsi="Times New Roman" w:cs="Times New Roman"/>
                <w:sz w:val="26"/>
                <w:szCs w:val="26"/>
              </w:rPr>
            </w:pPr>
          </w:p>
        </w:tc>
        <w:tc>
          <w:tcPr>
            <w:tcW w:w="2899" w:type="pct"/>
          </w:tcPr>
          <w:p w:rsidR="005618A9" w:rsidRPr="007F7755" w:rsidRDefault="00A00839" w:rsidP="0036766D">
            <w:pPr>
              <w:pStyle w:val="ListParagraph"/>
              <w:numPr>
                <w:ilvl w:val="0"/>
                <w:numId w:val="36"/>
              </w:numPr>
              <w:spacing w:after="0" w:line="240" w:lineRule="auto"/>
              <w:ind w:left="2" w:right="57" w:firstLine="0"/>
              <w:jc w:val="both"/>
              <w:rPr>
                <w:rFonts w:ascii="Times New Roman" w:hAnsi="Times New Roman" w:cs="Times New Roman"/>
                <w:sz w:val="26"/>
                <w:szCs w:val="26"/>
              </w:rPr>
            </w:pP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likuma  2.panta 1.</w:t>
            </w:r>
            <w:r w:rsidRPr="007F7755">
              <w:rPr>
                <w:rFonts w:ascii="Times New Roman" w:hAnsi="Times New Roman" w:cs="Times New Roman"/>
                <w:sz w:val="26"/>
                <w:szCs w:val="26"/>
                <w:vertAlign w:val="superscript"/>
              </w:rPr>
              <w:t>2</w:t>
            </w:r>
            <w:r w:rsidRPr="007F7755">
              <w:rPr>
                <w:rFonts w:ascii="Times New Roman" w:hAnsi="Times New Roman" w:cs="Times New Roman"/>
                <w:sz w:val="26"/>
                <w:szCs w:val="26"/>
              </w:rPr>
              <w:t xml:space="preserve">daļa paredz, ka Ministru kabinets nosaka nozares, kurās, veicot saimniecisko darbību, </w:t>
            </w:r>
            <w:proofErr w:type="spellStart"/>
            <w:r w:rsidRPr="007F7755">
              <w:rPr>
                <w:rFonts w:ascii="Times New Roman" w:hAnsi="Times New Roman" w:cs="Times New Roman"/>
                <w:sz w:val="26"/>
                <w:szCs w:val="26"/>
              </w:rPr>
              <w:t>mikrouzņēmums</w:t>
            </w:r>
            <w:proofErr w:type="spellEnd"/>
            <w:r w:rsidRPr="007F7755">
              <w:rPr>
                <w:rFonts w:ascii="Times New Roman" w:hAnsi="Times New Roman" w:cs="Times New Roman"/>
                <w:sz w:val="26"/>
                <w:szCs w:val="26"/>
              </w:rPr>
              <w:t xml:space="preserve"> nav tiesīgs kļūt un būt par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maksātāju, </w:t>
            </w:r>
            <w:r w:rsidR="00616D48" w:rsidRPr="007F7755">
              <w:rPr>
                <w:rFonts w:ascii="Times New Roman" w:hAnsi="Times New Roman" w:cs="Times New Roman"/>
                <w:sz w:val="26"/>
                <w:szCs w:val="26"/>
              </w:rPr>
              <w:t xml:space="preserve">jo </w:t>
            </w:r>
            <w:proofErr w:type="spellStart"/>
            <w:r w:rsidR="00616D48" w:rsidRPr="007F7755">
              <w:rPr>
                <w:rFonts w:ascii="Times New Roman" w:hAnsi="Times New Roman" w:cs="Times New Roman"/>
                <w:sz w:val="26"/>
                <w:szCs w:val="26"/>
              </w:rPr>
              <w:t>mikrouzņēmumu</w:t>
            </w:r>
            <w:proofErr w:type="spellEnd"/>
            <w:r w:rsidR="00616D48" w:rsidRPr="007F7755">
              <w:rPr>
                <w:rFonts w:ascii="Times New Roman" w:hAnsi="Times New Roman" w:cs="Times New Roman"/>
                <w:sz w:val="26"/>
                <w:szCs w:val="26"/>
              </w:rPr>
              <w:t xml:space="preserve"> nodokļa režīma piemērošana attiecīgajās nozarēs neatbilst šā likuma mērķim.</w:t>
            </w:r>
          </w:p>
          <w:p w:rsidR="00A00839" w:rsidRPr="007F7755" w:rsidRDefault="00A00839" w:rsidP="00FB610B">
            <w:pPr>
              <w:pStyle w:val="ListParagraph"/>
              <w:numPr>
                <w:ilvl w:val="0"/>
                <w:numId w:val="36"/>
              </w:numPr>
              <w:spacing w:after="0" w:line="240" w:lineRule="auto"/>
              <w:ind w:left="2" w:right="57" w:firstLine="0"/>
              <w:jc w:val="both"/>
              <w:rPr>
                <w:rFonts w:ascii="Times New Roman" w:hAnsi="Times New Roman" w:cs="Times New Roman"/>
                <w:sz w:val="26"/>
                <w:szCs w:val="26"/>
              </w:rPr>
            </w:pP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likuma pārejas noteikumu 10.punktā noteikt</w:t>
            </w:r>
            <w:r w:rsidR="00E31BA3" w:rsidRPr="007F7755">
              <w:rPr>
                <w:rFonts w:ascii="Times New Roman" w:hAnsi="Times New Roman" w:cs="Times New Roman"/>
                <w:sz w:val="26"/>
                <w:szCs w:val="26"/>
              </w:rPr>
              <w:t>s</w:t>
            </w:r>
            <w:r w:rsidRPr="007F7755">
              <w:rPr>
                <w:rFonts w:ascii="Times New Roman" w:hAnsi="Times New Roman" w:cs="Times New Roman"/>
                <w:sz w:val="26"/>
                <w:szCs w:val="26"/>
              </w:rPr>
              <w:t>, ka Ministru kabinets līdz 2015.gada 1.augustam izdod šā likuma 2.panta 1.</w:t>
            </w:r>
            <w:r w:rsidRPr="007F7755">
              <w:rPr>
                <w:rFonts w:ascii="Times New Roman" w:hAnsi="Times New Roman" w:cs="Times New Roman"/>
                <w:sz w:val="26"/>
                <w:szCs w:val="26"/>
                <w:vertAlign w:val="superscript"/>
              </w:rPr>
              <w:t>2</w:t>
            </w:r>
            <w:r w:rsidRPr="007F7755">
              <w:rPr>
                <w:rFonts w:ascii="Times New Roman" w:hAnsi="Times New Roman" w:cs="Times New Roman"/>
                <w:sz w:val="26"/>
                <w:szCs w:val="26"/>
              </w:rPr>
              <w:t>daļā paredzētos noteikumus.</w:t>
            </w:r>
          </w:p>
        </w:tc>
      </w:tr>
      <w:tr w:rsidR="00DA6C86" w:rsidRPr="007F7755" w:rsidTr="00FC7AFC">
        <w:trPr>
          <w:trHeight w:val="472"/>
        </w:trPr>
        <w:tc>
          <w:tcPr>
            <w:tcW w:w="287" w:type="pct"/>
          </w:tcPr>
          <w:p w:rsidR="00DA6C86" w:rsidRPr="007F7755" w:rsidRDefault="00DA6C86" w:rsidP="00176CB2">
            <w:pPr>
              <w:pStyle w:val="naiskr"/>
              <w:spacing w:before="0" w:beforeAutospacing="0" w:after="0" w:afterAutospacing="0"/>
              <w:ind w:right="57"/>
              <w:jc w:val="center"/>
              <w:rPr>
                <w:sz w:val="26"/>
                <w:szCs w:val="26"/>
              </w:rPr>
            </w:pPr>
            <w:r w:rsidRPr="007F7755">
              <w:rPr>
                <w:sz w:val="26"/>
                <w:szCs w:val="26"/>
              </w:rPr>
              <w:t>2.</w:t>
            </w:r>
          </w:p>
        </w:tc>
        <w:tc>
          <w:tcPr>
            <w:tcW w:w="1814" w:type="pct"/>
          </w:tcPr>
          <w:p w:rsidR="00DA6C86" w:rsidRPr="007F7755" w:rsidRDefault="00502937" w:rsidP="00A80DF5">
            <w:pPr>
              <w:pStyle w:val="naiskr"/>
              <w:tabs>
                <w:tab w:val="left" w:pos="170"/>
              </w:tabs>
              <w:spacing w:before="0" w:beforeAutospacing="0" w:after="0" w:afterAutospacing="0"/>
              <w:ind w:left="57" w:right="57"/>
              <w:rPr>
                <w:sz w:val="26"/>
                <w:szCs w:val="26"/>
              </w:rPr>
            </w:pPr>
            <w:r w:rsidRPr="007F7755">
              <w:rPr>
                <w:sz w:val="26"/>
                <w:szCs w:val="26"/>
              </w:rPr>
              <w:t>Pašreizējā situācija un problēmas, kuru risināšanai tiesību akta projekts izstrādāts, tiesiskā regulējuma mērķis un būtība</w:t>
            </w:r>
          </w:p>
        </w:tc>
        <w:tc>
          <w:tcPr>
            <w:tcW w:w="2899" w:type="pct"/>
          </w:tcPr>
          <w:p w:rsidR="00BC1250" w:rsidRDefault="00A80DF5" w:rsidP="007C4C15">
            <w:pPr>
              <w:spacing w:after="120" w:line="240" w:lineRule="auto"/>
              <w:jc w:val="both"/>
              <w:rPr>
                <w:rFonts w:ascii="Times New Roman" w:hAnsi="Times New Roman" w:cs="Times New Roman"/>
                <w:sz w:val="26"/>
                <w:szCs w:val="26"/>
              </w:rPr>
            </w:pP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likumā ir noteikts likuma mērķis - mazināt administratīvo un nodokļu slogu </w:t>
            </w:r>
            <w:proofErr w:type="spellStart"/>
            <w:r w:rsidRPr="007F7755">
              <w:rPr>
                <w:rFonts w:ascii="Times New Roman" w:hAnsi="Times New Roman" w:cs="Times New Roman"/>
                <w:sz w:val="26"/>
                <w:szCs w:val="26"/>
              </w:rPr>
              <w:t>mikrouzņēmumiem</w:t>
            </w:r>
            <w:proofErr w:type="spellEnd"/>
            <w:r w:rsidRPr="007F7755">
              <w:rPr>
                <w:rFonts w:ascii="Times New Roman" w:hAnsi="Times New Roman" w:cs="Times New Roman"/>
                <w:sz w:val="26"/>
                <w:szCs w:val="26"/>
              </w:rPr>
              <w:t xml:space="preserve">, jo īpaši saimnieciskās darbības uzsākšanas periodā, kā arī nozarēs ar zemu ienākuma līmeņa potenciālu, vienlaikus ievērojot sabiedrības kopējās intereses godīgas konkurences un sociālās drošības jomā. Likums paredz, ka Ministru kabinets noteiks nozares, kurās, veicot saimniecisko darbību, </w:t>
            </w:r>
            <w:proofErr w:type="spellStart"/>
            <w:r w:rsidRPr="007F7755">
              <w:rPr>
                <w:rFonts w:ascii="Times New Roman" w:hAnsi="Times New Roman" w:cs="Times New Roman"/>
                <w:sz w:val="26"/>
                <w:szCs w:val="26"/>
              </w:rPr>
              <w:t>mikrouzņēmums</w:t>
            </w:r>
            <w:proofErr w:type="spellEnd"/>
            <w:r w:rsidRPr="007F7755">
              <w:rPr>
                <w:rFonts w:ascii="Times New Roman" w:hAnsi="Times New Roman" w:cs="Times New Roman"/>
                <w:sz w:val="26"/>
                <w:szCs w:val="26"/>
              </w:rPr>
              <w:t xml:space="preserve"> nav tiesīgs būt par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maksātāju, </w:t>
            </w:r>
            <w:r w:rsidR="007C4C15" w:rsidRPr="007F7755">
              <w:rPr>
                <w:rFonts w:ascii="Times New Roman" w:hAnsi="Times New Roman" w:cs="Times New Roman"/>
                <w:sz w:val="26"/>
                <w:szCs w:val="26"/>
              </w:rPr>
              <w:t xml:space="preserve">jo </w:t>
            </w:r>
            <w:proofErr w:type="spellStart"/>
            <w:r w:rsidR="007C4C15" w:rsidRPr="007F7755">
              <w:rPr>
                <w:rFonts w:ascii="Times New Roman" w:hAnsi="Times New Roman" w:cs="Times New Roman"/>
                <w:sz w:val="26"/>
                <w:szCs w:val="26"/>
              </w:rPr>
              <w:t>mikrouzņēmumu</w:t>
            </w:r>
            <w:proofErr w:type="spellEnd"/>
            <w:r w:rsidR="007C4C15" w:rsidRPr="007F7755">
              <w:rPr>
                <w:rFonts w:ascii="Times New Roman" w:hAnsi="Times New Roman" w:cs="Times New Roman"/>
                <w:sz w:val="26"/>
                <w:szCs w:val="26"/>
              </w:rPr>
              <w:t xml:space="preserve"> </w:t>
            </w:r>
            <w:r w:rsidRPr="007F7755">
              <w:rPr>
                <w:rFonts w:ascii="Times New Roman" w:hAnsi="Times New Roman" w:cs="Times New Roman"/>
                <w:sz w:val="26"/>
                <w:szCs w:val="26"/>
              </w:rPr>
              <w:t>nodokļa režīma piemērošana attiecīgajās nozarēs neatbilst šā likuma mērķim.</w:t>
            </w:r>
          </w:p>
          <w:p w:rsidR="00400A54" w:rsidRDefault="00400A54" w:rsidP="00070C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Lai sasniegtu </w:t>
            </w: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nodokļa likumā ietverto mērķi un nodrošinātu atbilstošu </w:t>
            </w: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nodokļa režīma piemērošanu, noteikumu projektā ir uzskaitītas nozares, kurās:</w:t>
            </w:r>
          </w:p>
          <w:p w:rsidR="000424CF" w:rsidRPr="000424CF" w:rsidRDefault="0036766D" w:rsidP="00070C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424CF" w:rsidRPr="000424CF">
              <w:rPr>
                <w:rFonts w:ascii="Times New Roman" w:hAnsi="Times New Roman" w:cs="Times New Roman"/>
                <w:sz w:val="26"/>
                <w:szCs w:val="26"/>
              </w:rPr>
              <w:t xml:space="preserve">netiek ievērotas sabiedrības intereses sociālās drošības jomā, jo  pastāv augsts nelaimes gadījumu risks un </w:t>
            </w:r>
            <w:proofErr w:type="spellStart"/>
            <w:r w:rsidR="000424CF" w:rsidRPr="000424CF">
              <w:rPr>
                <w:rFonts w:ascii="Times New Roman" w:hAnsi="Times New Roman" w:cs="Times New Roman"/>
                <w:sz w:val="26"/>
                <w:szCs w:val="26"/>
              </w:rPr>
              <w:t>mikrouzņēmumu</w:t>
            </w:r>
            <w:proofErr w:type="spellEnd"/>
            <w:r w:rsidR="000424CF" w:rsidRPr="000424CF">
              <w:rPr>
                <w:rFonts w:ascii="Times New Roman" w:hAnsi="Times New Roman" w:cs="Times New Roman"/>
                <w:sz w:val="26"/>
                <w:szCs w:val="26"/>
              </w:rPr>
              <w:t xml:space="preserve"> nodokļa maksātāja darbiniekiem sociālo pakalpojumu klāsts pieejams mazākā apmērā nekā tiem darbiniekiem, par kuriem nodokļi tiek maksāti vispārējā režīmā; </w:t>
            </w:r>
          </w:p>
          <w:p w:rsidR="000424CF" w:rsidRPr="000424CF" w:rsidRDefault="000424CF" w:rsidP="00070C4A">
            <w:pPr>
              <w:spacing w:after="0" w:line="240" w:lineRule="auto"/>
              <w:jc w:val="both"/>
              <w:rPr>
                <w:rFonts w:ascii="Times New Roman" w:hAnsi="Times New Roman" w:cs="Times New Roman"/>
                <w:sz w:val="26"/>
                <w:szCs w:val="26"/>
              </w:rPr>
            </w:pPr>
            <w:r w:rsidRPr="000424CF">
              <w:rPr>
                <w:rFonts w:ascii="Times New Roman" w:hAnsi="Times New Roman" w:cs="Times New Roman"/>
                <w:sz w:val="26"/>
                <w:szCs w:val="26"/>
              </w:rPr>
              <w:t xml:space="preserve">- pastāv augsts risks, ka </w:t>
            </w: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nodokļa</w:t>
            </w:r>
            <w:r w:rsidRPr="000424CF">
              <w:rPr>
                <w:rFonts w:ascii="Times New Roman" w:hAnsi="Times New Roman" w:cs="Times New Roman"/>
                <w:sz w:val="26"/>
                <w:szCs w:val="26"/>
              </w:rPr>
              <w:t xml:space="preserve"> režīmu izmanto nodokļu plānošanas nolūkā, t.sk., lai izvairītos no nodokļu nomaksas atbilstoši saimnieciskās darbības ietvaros veikto darījumu ekonomiskajai būtībai; </w:t>
            </w:r>
          </w:p>
          <w:p w:rsidR="000424CF" w:rsidRPr="000424CF" w:rsidRDefault="000424CF" w:rsidP="00070C4A">
            <w:pPr>
              <w:spacing w:after="0" w:line="240" w:lineRule="auto"/>
              <w:jc w:val="both"/>
              <w:rPr>
                <w:rFonts w:ascii="Times New Roman" w:hAnsi="Times New Roman" w:cs="Times New Roman"/>
                <w:sz w:val="26"/>
                <w:szCs w:val="26"/>
              </w:rPr>
            </w:pPr>
            <w:r w:rsidRPr="000424CF">
              <w:rPr>
                <w:rFonts w:ascii="Times New Roman" w:hAnsi="Times New Roman" w:cs="Times New Roman"/>
                <w:sz w:val="26"/>
                <w:szCs w:val="26"/>
              </w:rPr>
              <w:t xml:space="preserve">- </w:t>
            </w:r>
            <w:r w:rsidR="00AE1B89">
              <w:rPr>
                <w:rFonts w:ascii="Times New Roman" w:hAnsi="Times New Roman" w:cs="Times New Roman"/>
                <w:sz w:val="26"/>
                <w:szCs w:val="26"/>
              </w:rPr>
              <w:t xml:space="preserve">jomā ir augsts ienākumu potenciāls un ir </w:t>
            </w:r>
            <w:r w:rsidRPr="000424CF">
              <w:rPr>
                <w:rFonts w:ascii="Times New Roman" w:hAnsi="Times New Roman" w:cs="Times New Roman"/>
                <w:sz w:val="26"/>
                <w:szCs w:val="26"/>
              </w:rPr>
              <w:t>nepieciešamas atbilstošas zināšanas un kvalifikācija;</w:t>
            </w:r>
          </w:p>
          <w:p w:rsidR="007F2BB0" w:rsidRDefault="000424CF" w:rsidP="00070C4A">
            <w:pPr>
              <w:spacing w:after="0" w:line="240" w:lineRule="auto"/>
              <w:jc w:val="both"/>
              <w:rPr>
                <w:rFonts w:ascii="Times New Roman" w:hAnsi="Times New Roman" w:cs="Times New Roman"/>
                <w:sz w:val="26"/>
                <w:szCs w:val="26"/>
              </w:rPr>
            </w:pPr>
            <w:r w:rsidRPr="000424CF">
              <w:rPr>
                <w:rFonts w:ascii="Times New Roman" w:hAnsi="Times New Roman" w:cs="Times New Roman"/>
                <w:sz w:val="26"/>
                <w:szCs w:val="26"/>
              </w:rPr>
              <w:t>- netiek ievērotas sabiedrības int</w:t>
            </w:r>
            <w:r>
              <w:rPr>
                <w:rFonts w:ascii="Times New Roman" w:hAnsi="Times New Roman" w:cs="Times New Roman"/>
                <w:sz w:val="26"/>
                <w:szCs w:val="26"/>
              </w:rPr>
              <w:t>ereses godīgas konkurences jomā</w:t>
            </w:r>
            <w:r w:rsidR="005234B5">
              <w:rPr>
                <w:rFonts w:ascii="Times New Roman" w:hAnsi="Times New Roman" w:cs="Times New Roman"/>
                <w:sz w:val="26"/>
                <w:szCs w:val="26"/>
              </w:rPr>
              <w:t xml:space="preserve">. </w:t>
            </w:r>
          </w:p>
          <w:p w:rsidR="00C80B51" w:rsidRDefault="00C80B51" w:rsidP="00070C4A">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Analizējot nozaru loku</w:t>
            </w:r>
            <w:r w:rsidR="002B2982">
              <w:rPr>
                <w:rFonts w:ascii="Times New Roman" w:hAnsi="Times New Roman" w:cs="Times New Roman"/>
                <w:sz w:val="26"/>
                <w:szCs w:val="26"/>
              </w:rPr>
              <w:t>,</w:t>
            </w:r>
            <w:r>
              <w:rPr>
                <w:rFonts w:ascii="Times New Roman" w:hAnsi="Times New Roman" w:cs="Times New Roman"/>
                <w:sz w:val="26"/>
                <w:szCs w:val="26"/>
              </w:rPr>
              <w:t xml:space="preserve"> tika vērtēts darbinieku nelaimes gadījumu risks un 9 nozares iekļautas nelaimes gadījumu darbā riska dēļ</w:t>
            </w:r>
            <w:r w:rsidR="000F310A">
              <w:rPr>
                <w:rFonts w:ascii="Times New Roman" w:hAnsi="Times New Roman" w:cs="Times New Roman"/>
                <w:sz w:val="26"/>
                <w:szCs w:val="26"/>
              </w:rPr>
              <w:t>.</w:t>
            </w:r>
            <w:r>
              <w:rPr>
                <w:rFonts w:ascii="Times New Roman" w:hAnsi="Times New Roman" w:cs="Times New Roman"/>
                <w:sz w:val="26"/>
                <w:szCs w:val="26"/>
              </w:rPr>
              <w:t xml:space="preserve"> </w:t>
            </w:r>
            <w:r w:rsidR="000F310A">
              <w:rPr>
                <w:rFonts w:ascii="Times New Roman" w:hAnsi="Times New Roman" w:cs="Times New Roman"/>
                <w:sz w:val="26"/>
                <w:szCs w:val="26"/>
              </w:rPr>
              <w:t>I</w:t>
            </w:r>
            <w:r>
              <w:rPr>
                <w:rFonts w:ascii="Times New Roman" w:hAnsi="Times New Roman" w:cs="Times New Roman"/>
                <w:sz w:val="26"/>
                <w:szCs w:val="26"/>
              </w:rPr>
              <w:t xml:space="preserve">nformācija par minētajam riskam visvairāk pakļautajām  nozarēm saņemta no Labklājības ministrijas. </w:t>
            </w:r>
          </w:p>
          <w:p w:rsidR="0058427C" w:rsidRDefault="00C80B51" w:rsidP="000F31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Analizējot konkurences kropļošanas iespējamības aspektu</w:t>
            </w:r>
            <w:r w:rsidR="002B2982">
              <w:rPr>
                <w:rFonts w:ascii="Times New Roman" w:hAnsi="Times New Roman" w:cs="Times New Roman"/>
                <w:sz w:val="26"/>
                <w:szCs w:val="26"/>
              </w:rPr>
              <w:t>,</w:t>
            </w:r>
            <w:r>
              <w:rPr>
                <w:rFonts w:ascii="Times New Roman" w:hAnsi="Times New Roman" w:cs="Times New Roman"/>
                <w:sz w:val="26"/>
                <w:szCs w:val="26"/>
              </w:rPr>
              <w:t xml:space="preserve"> tika vērtēts nodarbināto darbinieku skaits nozarē kopā un </w:t>
            </w: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nodokļa maksātāj</w:t>
            </w:r>
            <w:r w:rsidR="000F310A">
              <w:rPr>
                <w:rFonts w:ascii="Times New Roman" w:hAnsi="Times New Roman" w:cs="Times New Roman"/>
                <w:sz w:val="26"/>
                <w:szCs w:val="26"/>
              </w:rPr>
              <w:t>u</w:t>
            </w:r>
            <w:r>
              <w:rPr>
                <w:rFonts w:ascii="Times New Roman" w:hAnsi="Times New Roman" w:cs="Times New Roman"/>
                <w:sz w:val="26"/>
                <w:szCs w:val="26"/>
              </w:rPr>
              <w:t xml:space="preserve"> darbinieku skaits konkrētajā nozarē. Ja </w:t>
            </w:r>
            <w:proofErr w:type="spellStart"/>
            <w:r>
              <w:rPr>
                <w:rFonts w:ascii="Times New Roman" w:hAnsi="Times New Roman" w:cs="Times New Roman"/>
                <w:sz w:val="26"/>
                <w:szCs w:val="26"/>
              </w:rPr>
              <w:t>mikrouzņēmumos</w:t>
            </w:r>
            <w:proofErr w:type="spellEnd"/>
            <w:r>
              <w:rPr>
                <w:rFonts w:ascii="Times New Roman" w:hAnsi="Times New Roman" w:cs="Times New Roman"/>
                <w:sz w:val="26"/>
                <w:szCs w:val="26"/>
              </w:rPr>
              <w:t xml:space="preserve"> nodarbināto skaits pārsniedz 30% no nozarē nodarbināto skaita, </w:t>
            </w:r>
            <w:r w:rsidR="0040650A">
              <w:rPr>
                <w:rFonts w:ascii="Times New Roman" w:hAnsi="Times New Roman" w:cs="Times New Roman"/>
                <w:sz w:val="26"/>
                <w:szCs w:val="26"/>
              </w:rPr>
              <w:t xml:space="preserve">Finanšu ministrijas </w:t>
            </w:r>
            <w:r w:rsidR="000F310A">
              <w:rPr>
                <w:rFonts w:ascii="Times New Roman" w:hAnsi="Times New Roman" w:cs="Times New Roman"/>
                <w:sz w:val="26"/>
                <w:szCs w:val="26"/>
              </w:rPr>
              <w:t xml:space="preserve">ieskatā, var </w:t>
            </w:r>
            <w:r>
              <w:rPr>
                <w:rFonts w:ascii="Times New Roman" w:hAnsi="Times New Roman" w:cs="Times New Roman"/>
                <w:sz w:val="26"/>
                <w:szCs w:val="26"/>
              </w:rPr>
              <w:t xml:space="preserve">uzskatīt, ka </w:t>
            </w:r>
            <w:r w:rsidR="0040650A">
              <w:rPr>
                <w:rFonts w:ascii="Times New Roman" w:hAnsi="Times New Roman" w:cs="Times New Roman"/>
                <w:sz w:val="26"/>
                <w:szCs w:val="26"/>
              </w:rPr>
              <w:t>nodokļa režīms kropļo konkurenci konkrētajā segmentā (sarakstā  šādas iekļautas 7 jomas)</w:t>
            </w:r>
            <w:r w:rsidR="0040650A" w:rsidRPr="0040650A">
              <w:rPr>
                <w:rFonts w:ascii="Times New Roman" w:hAnsi="Times New Roman" w:cs="Times New Roman"/>
                <w:sz w:val="26"/>
                <w:szCs w:val="26"/>
              </w:rPr>
              <w:t>. Piemēram, 2014. gadā 55% personu, kas nodarboj</w:t>
            </w:r>
            <w:r w:rsidR="000F310A">
              <w:rPr>
                <w:rFonts w:ascii="Times New Roman" w:hAnsi="Times New Roman" w:cs="Times New Roman"/>
                <w:sz w:val="26"/>
                <w:szCs w:val="26"/>
              </w:rPr>
              <w:t>a</w:t>
            </w:r>
            <w:r w:rsidR="0040650A" w:rsidRPr="0040650A">
              <w:rPr>
                <w:rFonts w:ascii="Times New Roman" w:hAnsi="Times New Roman" w:cs="Times New Roman"/>
                <w:sz w:val="26"/>
                <w:szCs w:val="26"/>
              </w:rPr>
              <w:t xml:space="preserve">s jomā </w:t>
            </w:r>
            <w:r w:rsidR="000F310A">
              <w:rPr>
                <w:rFonts w:ascii="Times New Roman" w:hAnsi="Times New Roman" w:cs="Times New Roman"/>
                <w:sz w:val="26"/>
                <w:szCs w:val="26"/>
              </w:rPr>
              <w:t>“</w:t>
            </w:r>
            <w:r w:rsidR="0040650A" w:rsidRPr="0040650A">
              <w:rPr>
                <w:rFonts w:ascii="Times New Roman" w:hAnsi="Times New Roman" w:cs="Times New Roman"/>
                <w:sz w:val="26"/>
                <w:szCs w:val="26"/>
              </w:rPr>
              <w:t>Juridiskie un grāmatvedības pakalpojumi</w:t>
            </w:r>
            <w:r w:rsidR="000F310A">
              <w:rPr>
                <w:rFonts w:ascii="Times New Roman" w:hAnsi="Times New Roman" w:cs="Times New Roman"/>
                <w:sz w:val="26"/>
                <w:szCs w:val="26"/>
              </w:rPr>
              <w:t>”</w:t>
            </w:r>
            <w:r w:rsidR="0040650A" w:rsidRPr="0040650A">
              <w:rPr>
                <w:rFonts w:ascii="Times New Roman" w:hAnsi="Times New Roman" w:cs="Times New Roman"/>
                <w:sz w:val="26"/>
                <w:szCs w:val="26"/>
              </w:rPr>
              <w:t xml:space="preserve">, ir nodarbināti </w:t>
            </w:r>
            <w:proofErr w:type="spellStart"/>
            <w:r w:rsidR="0040650A" w:rsidRPr="0040650A">
              <w:rPr>
                <w:rFonts w:ascii="Times New Roman" w:hAnsi="Times New Roman" w:cs="Times New Roman"/>
                <w:sz w:val="26"/>
                <w:szCs w:val="26"/>
              </w:rPr>
              <w:t>mikrouzņēmumos</w:t>
            </w:r>
            <w:proofErr w:type="spellEnd"/>
            <w:r w:rsidR="0040650A" w:rsidRPr="0040650A">
              <w:rPr>
                <w:rFonts w:ascii="Times New Roman" w:hAnsi="Times New Roman" w:cs="Times New Roman"/>
                <w:sz w:val="26"/>
                <w:szCs w:val="26"/>
              </w:rPr>
              <w:t>, k</w:t>
            </w:r>
            <w:r w:rsidR="000F310A">
              <w:rPr>
                <w:rFonts w:ascii="Times New Roman" w:hAnsi="Times New Roman" w:cs="Times New Roman"/>
                <w:sz w:val="26"/>
                <w:szCs w:val="26"/>
              </w:rPr>
              <w:t>uri</w:t>
            </w:r>
            <w:r w:rsidR="0040650A" w:rsidRPr="0040650A">
              <w:rPr>
                <w:rFonts w:ascii="Times New Roman" w:hAnsi="Times New Roman" w:cs="Times New Roman"/>
                <w:sz w:val="26"/>
                <w:szCs w:val="26"/>
              </w:rPr>
              <w:t xml:space="preserve"> maksā </w:t>
            </w:r>
            <w:proofErr w:type="spellStart"/>
            <w:r w:rsidR="0040650A" w:rsidRPr="0040650A">
              <w:rPr>
                <w:rFonts w:ascii="Times New Roman" w:hAnsi="Times New Roman" w:cs="Times New Roman"/>
                <w:sz w:val="26"/>
                <w:szCs w:val="26"/>
              </w:rPr>
              <w:t>mikrou</w:t>
            </w:r>
            <w:r w:rsidR="0040650A">
              <w:rPr>
                <w:rFonts w:ascii="Times New Roman" w:hAnsi="Times New Roman" w:cs="Times New Roman"/>
                <w:sz w:val="26"/>
                <w:szCs w:val="26"/>
              </w:rPr>
              <w:t>zņ</w:t>
            </w:r>
            <w:r w:rsidR="0040650A" w:rsidRPr="0040650A">
              <w:rPr>
                <w:rFonts w:ascii="Times New Roman" w:hAnsi="Times New Roman" w:cs="Times New Roman"/>
                <w:sz w:val="26"/>
                <w:szCs w:val="26"/>
              </w:rPr>
              <w:t>ēmumu</w:t>
            </w:r>
            <w:proofErr w:type="spellEnd"/>
            <w:r w:rsidR="0040650A" w:rsidRPr="0040650A">
              <w:rPr>
                <w:rFonts w:ascii="Times New Roman" w:hAnsi="Times New Roman" w:cs="Times New Roman"/>
                <w:sz w:val="26"/>
                <w:szCs w:val="26"/>
              </w:rPr>
              <w:t xml:space="preserve"> nodokli. </w:t>
            </w:r>
            <w:r w:rsidR="0040650A">
              <w:rPr>
                <w:rFonts w:ascii="Times New Roman" w:hAnsi="Times New Roman" w:cs="Times New Roman"/>
                <w:sz w:val="26"/>
                <w:szCs w:val="26"/>
              </w:rPr>
              <w:t>Vērtējot nodokļu plānošanas aspektu</w:t>
            </w:r>
            <w:r w:rsidR="002B2982">
              <w:rPr>
                <w:rFonts w:ascii="Times New Roman" w:hAnsi="Times New Roman" w:cs="Times New Roman"/>
                <w:sz w:val="26"/>
                <w:szCs w:val="26"/>
              </w:rPr>
              <w:t>,</w:t>
            </w:r>
            <w:r w:rsidR="0040650A">
              <w:rPr>
                <w:rFonts w:ascii="Times New Roman" w:hAnsi="Times New Roman" w:cs="Times New Roman"/>
                <w:sz w:val="26"/>
                <w:szCs w:val="26"/>
              </w:rPr>
              <w:t xml:space="preserve"> tika salīdzināti procentuālie rādītāji par darbinieku skaitu, apgrozījuma lielumu un pam</w:t>
            </w:r>
            <w:r w:rsidR="000F310A">
              <w:rPr>
                <w:rFonts w:ascii="Times New Roman" w:hAnsi="Times New Roman" w:cs="Times New Roman"/>
                <w:sz w:val="26"/>
                <w:szCs w:val="26"/>
              </w:rPr>
              <w:t>a</w:t>
            </w:r>
            <w:r w:rsidR="0040650A">
              <w:rPr>
                <w:rFonts w:ascii="Times New Roman" w:hAnsi="Times New Roman" w:cs="Times New Roman"/>
                <w:sz w:val="26"/>
                <w:szCs w:val="26"/>
              </w:rPr>
              <w:t>tlīdzekļu esamību. Rezultātā konstatēts, ka 21 jomā šo rādītāju sakarības ir neatbilst</w:t>
            </w:r>
            <w:r w:rsidR="00F4430B">
              <w:rPr>
                <w:rFonts w:ascii="Times New Roman" w:hAnsi="Times New Roman" w:cs="Times New Roman"/>
                <w:sz w:val="26"/>
                <w:szCs w:val="26"/>
              </w:rPr>
              <w:t>o</w:t>
            </w:r>
            <w:r w:rsidR="0040650A">
              <w:rPr>
                <w:rFonts w:ascii="Times New Roman" w:hAnsi="Times New Roman" w:cs="Times New Roman"/>
                <w:sz w:val="26"/>
                <w:szCs w:val="26"/>
              </w:rPr>
              <w:t>šas</w:t>
            </w:r>
            <w:r w:rsidR="00F4430B">
              <w:rPr>
                <w:rFonts w:ascii="Times New Roman" w:hAnsi="Times New Roman" w:cs="Times New Roman"/>
                <w:sz w:val="26"/>
                <w:szCs w:val="26"/>
              </w:rPr>
              <w:t>,</w:t>
            </w:r>
            <w:r w:rsidR="0040650A">
              <w:rPr>
                <w:rFonts w:ascii="Times New Roman" w:hAnsi="Times New Roman" w:cs="Times New Roman"/>
                <w:sz w:val="26"/>
                <w:szCs w:val="26"/>
              </w:rPr>
              <w:t xml:space="preserve"> līdz ar to tika </w:t>
            </w:r>
            <w:r w:rsidR="00F4430B">
              <w:rPr>
                <w:rFonts w:ascii="Times New Roman" w:hAnsi="Times New Roman" w:cs="Times New Roman"/>
                <w:sz w:val="26"/>
                <w:szCs w:val="26"/>
              </w:rPr>
              <w:t>secināts</w:t>
            </w:r>
            <w:r w:rsidR="0040650A">
              <w:rPr>
                <w:rFonts w:ascii="Times New Roman" w:hAnsi="Times New Roman" w:cs="Times New Roman"/>
                <w:sz w:val="26"/>
                <w:szCs w:val="26"/>
              </w:rPr>
              <w:t>, ka šīs nozares izm</w:t>
            </w:r>
            <w:r w:rsidR="0058427C">
              <w:rPr>
                <w:rFonts w:ascii="Times New Roman" w:hAnsi="Times New Roman" w:cs="Times New Roman"/>
                <w:sz w:val="26"/>
                <w:szCs w:val="26"/>
              </w:rPr>
              <w:t>an</w:t>
            </w:r>
            <w:r w:rsidR="0040650A">
              <w:rPr>
                <w:rFonts w:ascii="Times New Roman" w:hAnsi="Times New Roman" w:cs="Times New Roman"/>
                <w:sz w:val="26"/>
                <w:szCs w:val="26"/>
              </w:rPr>
              <w:t>to nod</w:t>
            </w:r>
            <w:r w:rsidR="0058427C">
              <w:rPr>
                <w:rFonts w:ascii="Times New Roman" w:hAnsi="Times New Roman" w:cs="Times New Roman"/>
                <w:sz w:val="26"/>
                <w:szCs w:val="26"/>
              </w:rPr>
              <w:t>o</w:t>
            </w:r>
            <w:r w:rsidR="0040650A">
              <w:rPr>
                <w:rFonts w:ascii="Times New Roman" w:hAnsi="Times New Roman" w:cs="Times New Roman"/>
                <w:sz w:val="26"/>
                <w:szCs w:val="26"/>
              </w:rPr>
              <w:t xml:space="preserve">kļu plānošanai. </w:t>
            </w:r>
          </w:p>
          <w:p w:rsidR="0058427C" w:rsidRDefault="0058427C" w:rsidP="002913D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Piemēram, jomā </w:t>
            </w:r>
            <w:r w:rsidR="00F4430B">
              <w:rPr>
                <w:rFonts w:ascii="Times New Roman" w:hAnsi="Times New Roman" w:cs="Times New Roman"/>
                <w:sz w:val="26"/>
                <w:szCs w:val="26"/>
              </w:rPr>
              <w:t>“</w:t>
            </w:r>
            <w:r>
              <w:rPr>
                <w:rFonts w:ascii="Times New Roman" w:hAnsi="Times New Roman" w:cs="Times New Roman"/>
                <w:sz w:val="26"/>
                <w:szCs w:val="26"/>
              </w:rPr>
              <w:t>Biroja un administratīvās darbības</w:t>
            </w:r>
            <w:r w:rsidR="00F4430B">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nodokļa režīmā ir nodarbināti 33% </w:t>
            </w:r>
            <w:r w:rsidR="00F4430B">
              <w:rPr>
                <w:rFonts w:ascii="Times New Roman" w:hAnsi="Times New Roman" w:cs="Times New Roman"/>
                <w:sz w:val="26"/>
                <w:szCs w:val="26"/>
              </w:rPr>
              <w:t xml:space="preserve">no </w:t>
            </w:r>
            <w:r>
              <w:rPr>
                <w:rFonts w:ascii="Times New Roman" w:hAnsi="Times New Roman" w:cs="Times New Roman"/>
                <w:sz w:val="26"/>
                <w:szCs w:val="26"/>
              </w:rPr>
              <w:t>visas nozares darbiniek</w:t>
            </w:r>
            <w:r w:rsidR="00F4430B">
              <w:rPr>
                <w:rFonts w:ascii="Times New Roman" w:hAnsi="Times New Roman" w:cs="Times New Roman"/>
                <w:sz w:val="26"/>
                <w:szCs w:val="26"/>
              </w:rPr>
              <w:t>iem</w:t>
            </w:r>
            <w:r>
              <w:rPr>
                <w:rFonts w:ascii="Times New Roman" w:hAnsi="Times New Roman" w:cs="Times New Roman"/>
                <w:sz w:val="26"/>
                <w:szCs w:val="26"/>
              </w:rPr>
              <w:t xml:space="preserve">, bet apgrozījums šiem uzņēmumiem ir tikai 9% no visas nozares apgrozījuma, savukārt pamatlīdzekļi tikai 1% no nozarē izmantotajiem, kas ļauj secināt, ka pēc būtības biroja darbinieki, izmantojot </w:t>
            </w: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nodokļa režīmu, tiek iznomāti un nodokļa režīmu izmanto nodokļ</w:t>
            </w:r>
            <w:r w:rsidR="00F4430B">
              <w:rPr>
                <w:rFonts w:ascii="Times New Roman" w:hAnsi="Times New Roman" w:cs="Times New Roman"/>
                <w:sz w:val="26"/>
                <w:szCs w:val="26"/>
              </w:rPr>
              <w:t>u</w:t>
            </w:r>
            <w:r>
              <w:rPr>
                <w:rFonts w:ascii="Times New Roman" w:hAnsi="Times New Roman" w:cs="Times New Roman"/>
                <w:sz w:val="26"/>
                <w:szCs w:val="26"/>
              </w:rPr>
              <w:t xml:space="preserve"> optimizācijai. Piemēram, nozar</w:t>
            </w:r>
            <w:r w:rsidR="00F4430B">
              <w:rPr>
                <w:rFonts w:ascii="Times New Roman" w:hAnsi="Times New Roman" w:cs="Times New Roman"/>
                <w:sz w:val="26"/>
                <w:szCs w:val="26"/>
              </w:rPr>
              <w:t>ē</w:t>
            </w:r>
            <w:r>
              <w:rPr>
                <w:rFonts w:ascii="Times New Roman" w:hAnsi="Times New Roman" w:cs="Times New Roman"/>
                <w:sz w:val="26"/>
                <w:szCs w:val="26"/>
              </w:rPr>
              <w:t xml:space="preserve"> </w:t>
            </w:r>
            <w:r w:rsidR="00F4430B">
              <w:rPr>
                <w:rFonts w:ascii="Times New Roman" w:hAnsi="Times New Roman" w:cs="Times New Roman"/>
                <w:sz w:val="26"/>
                <w:szCs w:val="26"/>
              </w:rPr>
              <w:t>“</w:t>
            </w:r>
            <w:r>
              <w:rPr>
                <w:rFonts w:ascii="Times New Roman" w:hAnsi="Times New Roman" w:cs="Times New Roman"/>
                <w:sz w:val="26"/>
                <w:szCs w:val="26"/>
              </w:rPr>
              <w:t>Citi būvdarbi</w:t>
            </w:r>
            <w:r w:rsidR="00F4430B">
              <w:rPr>
                <w:rFonts w:ascii="Times New Roman" w:hAnsi="Times New Roman" w:cs="Times New Roman"/>
                <w:sz w:val="26"/>
                <w:szCs w:val="26"/>
              </w:rPr>
              <w:t>”</w:t>
            </w:r>
            <w:r>
              <w:rPr>
                <w:rFonts w:ascii="Times New Roman" w:hAnsi="Times New Roman" w:cs="Times New Roman"/>
                <w:sz w:val="26"/>
                <w:szCs w:val="26"/>
              </w:rPr>
              <w:t xml:space="preserve"> tiek nodarbināti 43% no nozarē nodarbinātajiem, bet apgrozījums minētajām personām ir tikai 7% no nozares uzņēmumiem</w:t>
            </w:r>
            <w:r w:rsidR="00F4430B">
              <w:rPr>
                <w:rFonts w:ascii="Times New Roman" w:hAnsi="Times New Roman" w:cs="Times New Roman"/>
                <w:sz w:val="26"/>
                <w:szCs w:val="26"/>
              </w:rPr>
              <w:t>.</w:t>
            </w:r>
            <w:r>
              <w:rPr>
                <w:rFonts w:ascii="Times New Roman" w:hAnsi="Times New Roman" w:cs="Times New Roman"/>
                <w:sz w:val="26"/>
                <w:szCs w:val="26"/>
              </w:rPr>
              <w:t xml:space="preserve"> </w:t>
            </w:r>
            <w:r w:rsidR="00F4430B">
              <w:rPr>
                <w:rFonts w:ascii="Times New Roman" w:hAnsi="Times New Roman" w:cs="Times New Roman"/>
                <w:sz w:val="26"/>
                <w:szCs w:val="26"/>
              </w:rPr>
              <w:t>T</w:t>
            </w:r>
            <w:r>
              <w:rPr>
                <w:rFonts w:ascii="Times New Roman" w:hAnsi="Times New Roman" w:cs="Times New Roman"/>
                <w:sz w:val="26"/>
                <w:szCs w:val="26"/>
              </w:rPr>
              <w:t xml:space="preserve">as liecina par darbaspēka nodalīšanu no pārējiem aktīviem, darbaspēka nodokļu optimizācijas nolūkos.  </w:t>
            </w:r>
            <w:r w:rsidR="0038021B">
              <w:rPr>
                <w:rFonts w:ascii="Times New Roman" w:hAnsi="Times New Roman" w:cs="Times New Roman"/>
                <w:sz w:val="26"/>
                <w:szCs w:val="26"/>
              </w:rPr>
              <w:t>Analizējot nozares</w:t>
            </w:r>
            <w:r w:rsidR="002B2982">
              <w:rPr>
                <w:rFonts w:ascii="Times New Roman" w:hAnsi="Times New Roman" w:cs="Times New Roman"/>
                <w:sz w:val="26"/>
                <w:szCs w:val="26"/>
              </w:rPr>
              <w:t>,</w:t>
            </w:r>
            <w:r w:rsidR="0038021B">
              <w:rPr>
                <w:rFonts w:ascii="Times New Roman" w:hAnsi="Times New Roman" w:cs="Times New Roman"/>
                <w:sz w:val="26"/>
                <w:szCs w:val="26"/>
              </w:rPr>
              <w:t xml:space="preserve"> tika vērtēts arī parasto uzņēmumu darbaspēka un ienākumu nodokļu īpatsvars pret apgrozījumu, kā rezultātā tika konstatētas 11 jomas, kurās nodokļu īpatsvars ir 15 un vairāk procenti un</w:t>
            </w:r>
            <w:r w:rsidR="00227853">
              <w:rPr>
                <w:rFonts w:ascii="Times New Roman" w:hAnsi="Times New Roman" w:cs="Times New Roman"/>
                <w:sz w:val="26"/>
                <w:szCs w:val="26"/>
              </w:rPr>
              <w:t>,</w:t>
            </w:r>
            <w:r w:rsidR="0038021B">
              <w:rPr>
                <w:rFonts w:ascii="Times New Roman" w:hAnsi="Times New Roman" w:cs="Times New Roman"/>
                <w:sz w:val="26"/>
                <w:szCs w:val="26"/>
              </w:rPr>
              <w:t xml:space="preserve"> šajās jomās izvēloties maksāt </w:t>
            </w:r>
            <w:proofErr w:type="spellStart"/>
            <w:r w:rsidR="0038021B">
              <w:rPr>
                <w:rFonts w:ascii="Times New Roman" w:hAnsi="Times New Roman" w:cs="Times New Roman"/>
                <w:sz w:val="26"/>
                <w:szCs w:val="26"/>
              </w:rPr>
              <w:t>mikrouzņēmumu</w:t>
            </w:r>
            <w:proofErr w:type="spellEnd"/>
            <w:r w:rsidR="0038021B">
              <w:rPr>
                <w:rFonts w:ascii="Times New Roman" w:hAnsi="Times New Roman" w:cs="Times New Roman"/>
                <w:sz w:val="26"/>
                <w:szCs w:val="26"/>
              </w:rPr>
              <w:t xml:space="preserve"> nodokli, komersants ietaupa vismaz 6% no kopējās minēto nodokļu masas, kas arī tika konstatēts kā risks nodokļu plānošanai. Papildus tika vērtētas arī nozares algas un konstatētas būtiskas neatbilstības 17 nozarēs. Daļa no konstatētajiem riskiem nozarēs pārklājās. Rezultātā ar minētajiem riskiem tika atlasītas 37 </w:t>
            </w:r>
            <w:r w:rsidR="0038021B">
              <w:rPr>
                <w:rFonts w:ascii="Times New Roman" w:hAnsi="Times New Roman" w:cs="Times New Roman"/>
                <w:sz w:val="26"/>
                <w:szCs w:val="26"/>
              </w:rPr>
              <w:lastRenderedPageBreak/>
              <w:t>nozares, kur</w:t>
            </w:r>
            <w:r w:rsidR="002B2982">
              <w:rPr>
                <w:rFonts w:ascii="Times New Roman" w:hAnsi="Times New Roman" w:cs="Times New Roman"/>
                <w:sz w:val="26"/>
                <w:szCs w:val="26"/>
              </w:rPr>
              <w:t>ā</w:t>
            </w:r>
            <w:r w:rsidR="0038021B">
              <w:rPr>
                <w:rFonts w:ascii="Times New Roman" w:hAnsi="Times New Roman" w:cs="Times New Roman"/>
                <w:sz w:val="26"/>
                <w:szCs w:val="26"/>
              </w:rPr>
              <w:t>s nebūs iespējams izmanto</w:t>
            </w:r>
            <w:r w:rsidR="002B2982">
              <w:rPr>
                <w:rFonts w:ascii="Times New Roman" w:hAnsi="Times New Roman" w:cs="Times New Roman"/>
                <w:sz w:val="26"/>
                <w:szCs w:val="26"/>
              </w:rPr>
              <w:t>t</w:t>
            </w:r>
            <w:r w:rsidR="0038021B">
              <w:rPr>
                <w:rFonts w:ascii="Times New Roman" w:hAnsi="Times New Roman" w:cs="Times New Roman"/>
                <w:sz w:val="26"/>
                <w:szCs w:val="26"/>
              </w:rPr>
              <w:t xml:space="preserve"> </w:t>
            </w:r>
            <w:proofErr w:type="spellStart"/>
            <w:r w:rsidR="0038021B">
              <w:rPr>
                <w:rFonts w:ascii="Times New Roman" w:hAnsi="Times New Roman" w:cs="Times New Roman"/>
                <w:sz w:val="26"/>
                <w:szCs w:val="26"/>
              </w:rPr>
              <w:t>mikrouzņēmumu</w:t>
            </w:r>
            <w:proofErr w:type="spellEnd"/>
            <w:r w:rsidR="0038021B">
              <w:rPr>
                <w:rFonts w:ascii="Times New Roman" w:hAnsi="Times New Roman" w:cs="Times New Roman"/>
                <w:sz w:val="26"/>
                <w:szCs w:val="26"/>
              </w:rPr>
              <w:t xml:space="preserve"> nodokļa režīmu.   </w:t>
            </w:r>
            <w:r>
              <w:rPr>
                <w:rFonts w:ascii="Times New Roman" w:hAnsi="Times New Roman" w:cs="Times New Roman"/>
                <w:sz w:val="26"/>
                <w:szCs w:val="26"/>
              </w:rPr>
              <w:t xml:space="preserve"> </w:t>
            </w:r>
          </w:p>
          <w:p w:rsidR="00CD783F" w:rsidRDefault="00CD783F" w:rsidP="002913D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Saskaņā ar </w:t>
            </w: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nodokļa li</w:t>
            </w:r>
            <w:r w:rsidR="00070C4A">
              <w:rPr>
                <w:rFonts w:ascii="Times New Roman" w:hAnsi="Times New Roman" w:cs="Times New Roman"/>
                <w:sz w:val="26"/>
                <w:szCs w:val="26"/>
              </w:rPr>
              <w:t>kumu tiesiskais regulējums</w:t>
            </w:r>
            <w:r w:rsidR="00227853">
              <w:rPr>
                <w:rFonts w:ascii="Times New Roman" w:hAnsi="Times New Roman" w:cs="Times New Roman"/>
                <w:sz w:val="26"/>
                <w:szCs w:val="26"/>
              </w:rPr>
              <w:t>, kas</w:t>
            </w:r>
            <w:r w:rsidR="00070C4A">
              <w:rPr>
                <w:rFonts w:ascii="Times New Roman" w:hAnsi="Times New Roman" w:cs="Times New Roman"/>
                <w:sz w:val="26"/>
                <w:szCs w:val="26"/>
              </w:rPr>
              <w:t xml:space="preserve"> </w:t>
            </w:r>
            <w:r>
              <w:rPr>
                <w:rFonts w:ascii="Times New Roman" w:hAnsi="Times New Roman" w:cs="Times New Roman"/>
                <w:sz w:val="26"/>
                <w:szCs w:val="26"/>
              </w:rPr>
              <w:t xml:space="preserve">ierobežo </w:t>
            </w:r>
            <w:r w:rsidR="00070C4A">
              <w:rPr>
                <w:rFonts w:ascii="Times New Roman" w:hAnsi="Times New Roman" w:cs="Times New Roman"/>
                <w:sz w:val="26"/>
                <w:szCs w:val="26"/>
              </w:rPr>
              <w:t>tiesīb</w:t>
            </w:r>
            <w:r w:rsidR="00227853">
              <w:rPr>
                <w:rFonts w:ascii="Times New Roman" w:hAnsi="Times New Roman" w:cs="Times New Roman"/>
                <w:sz w:val="26"/>
                <w:szCs w:val="26"/>
              </w:rPr>
              <w:t>as</w:t>
            </w:r>
            <w:r w:rsidR="00070C4A">
              <w:rPr>
                <w:rFonts w:ascii="Times New Roman" w:hAnsi="Times New Roman" w:cs="Times New Roman"/>
                <w:sz w:val="26"/>
                <w:szCs w:val="26"/>
              </w:rPr>
              <w:t xml:space="preserve"> izvēlēties </w:t>
            </w:r>
            <w:r>
              <w:rPr>
                <w:rFonts w:ascii="Times New Roman" w:hAnsi="Times New Roman" w:cs="Times New Roman"/>
                <w:sz w:val="26"/>
                <w:szCs w:val="26"/>
              </w:rPr>
              <w:t xml:space="preserve">maksāt </w:t>
            </w: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nodokli konkrētajās nozarēs</w:t>
            </w:r>
            <w:r w:rsidR="00227853">
              <w:rPr>
                <w:rFonts w:ascii="Times New Roman" w:hAnsi="Times New Roman" w:cs="Times New Roman"/>
                <w:sz w:val="26"/>
                <w:szCs w:val="26"/>
              </w:rPr>
              <w:t>,</w:t>
            </w:r>
            <w:r>
              <w:rPr>
                <w:rFonts w:ascii="Times New Roman" w:hAnsi="Times New Roman" w:cs="Times New Roman"/>
                <w:sz w:val="26"/>
                <w:szCs w:val="26"/>
              </w:rPr>
              <w:t xml:space="preserve"> stāsies spēkā 2016.gada 1.janvārī</w:t>
            </w:r>
            <w:r w:rsidR="0038021B">
              <w:rPr>
                <w:rFonts w:ascii="Times New Roman" w:hAnsi="Times New Roman" w:cs="Times New Roman"/>
                <w:sz w:val="26"/>
                <w:szCs w:val="26"/>
              </w:rPr>
              <w:t xml:space="preserve"> (jaundibinātiem </w:t>
            </w:r>
            <w:proofErr w:type="spellStart"/>
            <w:r w:rsidR="0038021B">
              <w:rPr>
                <w:rFonts w:ascii="Times New Roman" w:hAnsi="Times New Roman" w:cs="Times New Roman"/>
                <w:sz w:val="26"/>
                <w:szCs w:val="26"/>
              </w:rPr>
              <w:t>mikrou</w:t>
            </w:r>
            <w:r w:rsidR="004874E0">
              <w:rPr>
                <w:rFonts w:ascii="Times New Roman" w:hAnsi="Times New Roman" w:cs="Times New Roman"/>
                <w:sz w:val="26"/>
                <w:szCs w:val="26"/>
              </w:rPr>
              <w:t>zņ</w:t>
            </w:r>
            <w:r w:rsidR="0038021B">
              <w:rPr>
                <w:rFonts w:ascii="Times New Roman" w:hAnsi="Times New Roman" w:cs="Times New Roman"/>
                <w:sz w:val="26"/>
                <w:szCs w:val="26"/>
              </w:rPr>
              <w:t>ēmumu</w:t>
            </w:r>
            <w:proofErr w:type="spellEnd"/>
            <w:r w:rsidR="0038021B">
              <w:rPr>
                <w:rFonts w:ascii="Times New Roman" w:hAnsi="Times New Roman" w:cs="Times New Roman"/>
                <w:sz w:val="26"/>
                <w:szCs w:val="26"/>
              </w:rPr>
              <w:t xml:space="preserve"> nodokļa maksātājiem)</w:t>
            </w:r>
            <w:r>
              <w:rPr>
                <w:rFonts w:ascii="Times New Roman" w:hAnsi="Times New Roman" w:cs="Times New Roman"/>
                <w:sz w:val="26"/>
                <w:szCs w:val="26"/>
              </w:rPr>
              <w:t xml:space="preserve">. </w:t>
            </w:r>
          </w:p>
          <w:p w:rsidR="002913DA" w:rsidRDefault="002913DA" w:rsidP="002913DA">
            <w:pPr>
              <w:spacing w:after="12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nodokļa likumā ir paredzēts pārejas periods nozaru ierobežojuma piemērošanai. </w:t>
            </w:r>
            <w:r w:rsidRPr="002913DA">
              <w:rPr>
                <w:rFonts w:ascii="Times New Roman" w:hAnsi="Times New Roman" w:cs="Times New Roman"/>
                <w:sz w:val="26"/>
                <w:szCs w:val="26"/>
              </w:rPr>
              <w:t xml:space="preserve">Ja </w:t>
            </w:r>
            <w:proofErr w:type="spellStart"/>
            <w:r w:rsidRPr="002913DA">
              <w:rPr>
                <w:rFonts w:ascii="Times New Roman" w:hAnsi="Times New Roman" w:cs="Times New Roman"/>
                <w:sz w:val="26"/>
                <w:szCs w:val="26"/>
              </w:rPr>
              <w:t>mikrouzņēmums</w:t>
            </w:r>
            <w:proofErr w:type="spellEnd"/>
            <w:r w:rsidRPr="002913DA">
              <w:rPr>
                <w:rFonts w:ascii="Times New Roman" w:hAnsi="Times New Roman" w:cs="Times New Roman"/>
                <w:sz w:val="26"/>
                <w:szCs w:val="26"/>
              </w:rPr>
              <w:t xml:space="preserve"> </w:t>
            </w:r>
            <w:proofErr w:type="spellStart"/>
            <w:r w:rsidRPr="002913DA">
              <w:rPr>
                <w:rFonts w:ascii="Times New Roman" w:hAnsi="Times New Roman" w:cs="Times New Roman"/>
                <w:sz w:val="26"/>
                <w:szCs w:val="26"/>
              </w:rPr>
              <w:t>mikrouzņēmumu</w:t>
            </w:r>
            <w:proofErr w:type="spellEnd"/>
            <w:r w:rsidRPr="002913DA">
              <w:rPr>
                <w:rFonts w:ascii="Times New Roman" w:hAnsi="Times New Roman" w:cs="Times New Roman"/>
                <w:sz w:val="26"/>
                <w:szCs w:val="26"/>
              </w:rPr>
              <w:t xml:space="preserve"> nodokļa maksātāja statusu ieguvis līdz 2015.gada 30.aprīlim un veic saimniecisko darbību nozarē, kurā nav tiesības piemērot </w:t>
            </w:r>
            <w:proofErr w:type="spellStart"/>
            <w:r w:rsidRPr="002913DA">
              <w:rPr>
                <w:rFonts w:ascii="Times New Roman" w:hAnsi="Times New Roman" w:cs="Times New Roman"/>
                <w:sz w:val="26"/>
                <w:szCs w:val="26"/>
              </w:rPr>
              <w:t>mikrouzņēmumu</w:t>
            </w:r>
            <w:proofErr w:type="spellEnd"/>
            <w:r w:rsidRPr="002913DA">
              <w:rPr>
                <w:rFonts w:ascii="Times New Roman" w:hAnsi="Times New Roman" w:cs="Times New Roman"/>
                <w:sz w:val="26"/>
                <w:szCs w:val="26"/>
              </w:rPr>
              <w:t xml:space="preserve"> nodokļa maksātāja režīmu, </w:t>
            </w:r>
            <w:proofErr w:type="spellStart"/>
            <w:r w:rsidRPr="002913DA">
              <w:rPr>
                <w:rFonts w:ascii="Times New Roman" w:hAnsi="Times New Roman" w:cs="Times New Roman"/>
                <w:sz w:val="26"/>
                <w:szCs w:val="26"/>
              </w:rPr>
              <w:t>mikrouzņēmumu</w:t>
            </w:r>
            <w:proofErr w:type="spellEnd"/>
            <w:r w:rsidRPr="002913DA">
              <w:rPr>
                <w:rFonts w:ascii="Times New Roman" w:hAnsi="Times New Roman" w:cs="Times New Roman"/>
                <w:sz w:val="26"/>
                <w:szCs w:val="26"/>
              </w:rPr>
              <w:t xml:space="preserve"> nodokļa maksātāja statusu piemēro 2016., 2017. un 2018. gadā.</w:t>
            </w:r>
            <w:r>
              <w:rPr>
                <w:rFonts w:ascii="Times New Roman" w:hAnsi="Times New Roman" w:cs="Times New Roman"/>
                <w:sz w:val="26"/>
                <w:szCs w:val="26"/>
              </w:rPr>
              <w:t xml:space="preserve"> </w:t>
            </w:r>
            <w:r w:rsidRPr="002913DA">
              <w:rPr>
                <w:rFonts w:ascii="Times New Roman" w:hAnsi="Times New Roman" w:cs="Times New Roman"/>
                <w:sz w:val="26"/>
                <w:szCs w:val="26"/>
              </w:rPr>
              <w:t xml:space="preserve">Ja </w:t>
            </w:r>
            <w:proofErr w:type="spellStart"/>
            <w:r w:rsidRPr="002913DA">
              <w:rPr>
                <w:rFonts w:ascii="Times New Roman" w:hAnsi="Times New Roman" w:cs="Times New Roman"/>
                <w:sz w:val="26"/>
                <w:szCs w:val="26"/>
              </w:rPr>
              <w:t>mikrouzņēmums</w:t>
            </w:r>
            <w:proofErr w:type="spellEnd"/>
            <w:r w:rsidRPr="002913DA">
              <w:rPr>
                <w:rFonts w:ascii="Times New Roman" w:hAnsi="Times New Roman" w:cs="Times New Roman"/>
                <w:sz w:val="26"/>
                <w:szCs w:val="26"/>
              </w:rPr>
              <w:t xml:space="preserve"> </w:t>
            </w:r>
            <w:proofErr w:type="spellStart"/>
            <w:r w:rsidRPr="002913DA">
              <w:rPr>
                <w:rFonts w:ascii="Times New Roman" w:hAnsi="Times New Roman" w:cs="Times New Roman"/>
                <w:sz w:val="26"/>
                <w:szCs w:val="26"/>
              </w:rPr>
              <w:t>mikrouzņēmumu</w:t>
            </w:r>
            <w:proofErr w:type="spellEnd"/>
            <w:r w:rsidRPr="002913DA">
              <w:rPr>
                <w:rFonts w:ascii="Times New Roman" w:hAnsi="Times New Roman" w:cs="Times New Roman"/>
                <w:sz w:val="26"/>
                <w:szCs w:val="26"/>
              </w:rPr>
              <w:t xml:space="preserve"> nodokļa maksātāja statusu ieguvis no 2015.gada 1.maija līdz 2015.gada 31.decembrim un veic saimniecisko darbību nozarē, kurā nav tiesības piemērot </w:t>
            </w:r>
            <w:proofErr w:type="spellStart"/>
            <w:r w:rsidRPr="002913DA">
              <w:rPr>
                <w:rFonts w:ascii="Times New Roman" w:hAnsi="Times New Roman" w:cs="Times New Roman"/>
                <w:sz w:val="26"/>
                <w:szCs w:val="26"/>
              </w:rPr>
              <w:t>mikrouzņēmumu</w:t>
            </w:r>
            <w:proofErr w:type="spellEnd"/>
            <w:r w:rsidRPr="002913DA">
              <w:rPr>
                <w:rFonts w:ascii="Times New Roman" w:hAnsi="Times New Roman" w:cs="Times New Roman"/>
                <w:sz w:val="26"/>
                <w:szCs w:val="26"/>
              </w:rPr>
              <w:t xml:space="preserve"> nodokļa maksātāja režīmu, </w:t>
            </w:r>
            <w:proofErr w:type="spellStart"/>
            <w:r w:rsidRPr="002913DA">
              <w:rPr>
                <w:rFonts w:ascii="Times New Roman" w:hAnsi="Times New Roman" w:cs="Times New Roman"/>
                <w:sz w:val="26"/>
                <w:szCs w:val="26"/>
              </w:rPr>
              <w:t>mikrouzņēmumu</w:t>
            </w:r>
            <w:proofErr w:type="spellEnd"/>
            <w:r w:rsidRPr="002913DA">
              <w:rPr>
                <w:rFonts w:ascii="Times New Roman" w:hAnsi="Times New Roman" w:cs="Times New Roman"/>
                <w:sz w:val="26"/>
                <w:szCs w:val="26"/>
              </w:rPr>
              <w:t xml:space="preserve"> nodokļa maksātāja statusu piemēro tikai 2016. gadā.</w:t>
            </w:r>
          </w:p>
          <w:p w:rsidR="004874E0" w:rsidRPr="007F7755" w:rsidRDefault="004874E0" w:rsidP="004874E0">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Ministru kabineta noteikumu projekts paredz 37 nozares, kurās turpmāk nevarēs piemērot </w:t>
            </w: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nodokļa režīmu, vienlaicīgi atbilstoši likuma normām šobrīd reģistrētajiem </w:t>
            </w:r>
            <w:proofErr w:type="spellStart"/>
            <w:r>
              <w:rPr>
                <w:rFonts w:ascii="Times New Roman" w:hAnsi="Times New Roman" w:cs="Times New Roman"/>
                <w:sz w:val="26"/>
                <w:szCs w:val="26"/>
              </w:rPr>
              <w:t>mikrouzņēmumu</w:t>
            </w:r>
            <w:proofErr w:type="spellEnd"/>
            <w:r>
              <w:rPr>
                <w:rFonts w:ascii="Times New Roman" w:hAnsi="Times New Roman" w:cs="Times New Roman"/>
                <w:sz w:val="26"/>
                <w:szCs w:val="26"/>
              </w:rPr>
              <w:t xml:space="preserve"> nodokļa maksātājiem i</w:t>
            </w:r>
            <w:r w:rsidR="00860854">
              <w:rPr>
                <w:rFonts w:ascii="Times New Roman" w:hAnsi="Times New Roman" w:cs="Times New Roman"/>
                <w:sz w:val="26"/>
                <w:szCs w:val="26"/>
              </w:rPr>
              <w:t xml:space="preserve">r paredzēts pārejas periods no 1 </w:t>
            </w:r>
            <w:r w:rsidR="002B2982">
              <w:rPr>
                <w:rFonts w:ascii="Times New Roman" w:hAnsi="Times New Roman" w:cs="Times New Roman"/>
                <w:sz w:val="26"/>
                <w:szCs w:val="26"/>
              </w:rPr>
              <w:t xml:space="preserve">līdz </w:t>
            </w:r>
            <w:r>
              <w:rPr>
                <w:rFonts w:ascii="Times New Roman" w:hAnsi="Times New Roman" w:cs="Times New Roman"/>
                <w:sz w:val="26"/>
                <w:szCs w:val="26"/>
              </w:rPr>
              <w:t xml:space="preserve">3 gadiem.  </w:t>
            </w:r>
          </w:p>
        </w:tc>
      </w:tr>
      <w:tr w:rsidR="00DA6C86" w:rsidRPr="007F7755" w:rsidTr="00FC7AFC">
        <w:trPr>
          <w:trHeight w:val="476"/>
        </w:trPr>
        <w:tc>
          <w:tcPr>
            <w:tcW w:w="287" w:type="pct"/>
          </w:tcPr>
          <w:p w:rsidR="00DA6C86" w:rsidRPr="007F7755" w:rsidRDefault="00DA6C86" w:rsidP="00176CB2">
            <w:pPr>
              <w:pStyle w:val="naiskr"/>
              <w:spacing w:before="0" w:beforeAutospacing="0" w:after="0" w:afterAutospacing="0"/>
              <w:ind w:right="57"/>
              <w:jc w:val="center"/>
              <w:rPr>
                <w:sz w:val="26"/>
                <w:szCs w:val="26"/>
              </w:rPr>
            </w:pPr>
            <w:r w:rsidRPr="007F7755">
              <w:rPr>
                <w:sz w:val="26"/>
                <w:szCs w:val="26"/>
              </w:rPr>
              <w:lastRenderedPageBreak/>
              <w:t>3.</w:t>
            </w:r>
          </w:p>
        </w:tc>
        <w:tc>
          <w:tcPr>
            <w:tcW w:w="1814" w:type="pct"/>
          </w:tcPr>
          <w:p w:rsidR="00DA6C86" w:rsidRPr="007F7755" w:rsidRDefault="00DA6C86" w:rsidP="00F57E68">
            <w:pPr>
              <w:pStyle w:val="naiskr"/>
              <w:spacing w:before="0" w:beforeAutospacing="0" w:after="0" w:afterAutospacing="0"/>
              <w:ind w:left="57" w:right="57"/>
              <w:rPr>
                <w:sz w:val="26"/>
                <w:szCs w:val="26"/>
              </w:rPr>
            </w:pPr>
            <w:r w:rsidRPr="007F7755">
              <w:rPr>
                <w:sz w:val="26"/>
                <w:szCs w:val="26"/>
              </w:rPr>
              <w:t>Projekta izstrādē iesaistītās institūcijas</w:t>
            </w:r>
          </w:p>
        </w:tc>
        <w:tc>
          <w:tcPr>
            <w:tcW w:w="2899" w:type="pct"/>
          </w:tcPr>
          <w:p w:rsidR="00DA6C86" w:rsidRPr="007F7755" w:rsidRDefault="001F0072" w:rsidP="00E31BA3">
            <w:pPr>
              <w:spacing w:before="120" w:after="120" w:line="240" w:lineRule="auto"/>
              <w:ind w:left="57" w:right="57"/>
              <w:jc w:val="both"/>
              <w:rPr>
                <w:rFonts w:ascii="Times New Roman" w:hAnsi="Times New Roman" w:cs="Times New Roman"/>
                <w:sz w:val="26"/>
                <w:szCs w:val="26"/>
              </w:rPr>
            </w:pPr>
            <w:r w:rsidRPr="007F7755">
              <w:rPr>
                <w:rFonts w:ascii="Times New Roman" w:hAnsi="Times New Roman" w:cs="Times New Roman"/>
                <w:sz w:val="26"/>
                <w:szCs w:val="26"/>
              </w:rPr>
              <w:t>Finanšu</w:t>
            </w:r>
            <w:r w:rsidR="007A4902" w:rsidRPr="007F7755">
              <w:rPr>
                <w:rFonts w:ascii="Times New Roman" w:hAnsi="Times New Roman" w:cs="Times New Roman"/>
                <w:sz w:val="26"/>
                <w:szCs w:val="26"/>
              </w:rPr>
              <w:t xml:space="preserve"> ministrija</w:t>
            </w:r>
            <w:r w:rsidR="001E523D">
              <w:rPr>
                <w:rFonts w:ascii="Times New Roman" w:hAnsi="Times New Roman" w:cs="Times New Roman"/>
                <w:sz w:val="26"/>
                <w:szCs w:val="26"/>
              </w:rPr>
              <w:t>, Labklājības ministrija, Ekonomikas ministrija</w:t>
            </w:r>
            <w:r w:rsidR="00A80DF5" w:rsidRPr="007F7755">
              <w:rPr>
                <w:rFonts w:ascii="Times New Roman" w:hAnsi="Times New Roman" w:cs="Times New Roman"/>
                <w:sz w:val="26"/>
                <w:szCs w:val="26"/>
              </w:rPr>
              <w:t xml:space="preserve"> un Valsts ieņēmumu dienests</w:t>
            </w:r>
          </w:p>
        </w:tc>
      </w:tr>
      <w:tr w:rsidR="00DA6C86" w:rsidRPr="007F7755" w:rsidTr="00FC7AFC">
        <w:tc>
          <w:tcPr>
            <w:tcW w:w="287" w:type="pct"/>
          </w:tcPr>
          <w:p w:rsidR="00DA6C86" w:rsidRPr="007F7755" w:rsidRDefault="00DA6C86" w:rsidP="00176CB2">
            <w:pPr>
              <w:pStyle w:val="naiskr"/>
              <w:spacing w:before="0" w:beforeAutospacing="0" w:after="0" w:afterAutospacing="0"/>
              <w:ind w:right="57"/>
              <w:jc w:val="center"/>
              <w:rPr>
                <w:sz w:val="26"/>
                <w:szCs w:val="26"/>
              </w:rPr>
            </w:pPr>
            <w:r w:rsidRPr="007F7755">
              <w:rPr>
                <w:sz w:val="26"/>
                <w:szCs w:val="26"/>
              </w:rPr>
              <w:t>4.</w:t>
            </w:r>
          </w:p>
        </w:tc>
        <w:tc>
          <w:tcPr>
            <w:tcW w:w="1814" w:type="pct"/>
          </w:tcPr>
          <w:p w:rsidR="00DA6C86" w:rsidRPr="007F7755" w:rsidRDefault="00DA6C86" w:rsidP="00F57E68">
            <w:pPr>
              <w:pStyle w:val="naiskr"/>
              <w:spacing w:before="0" w:beforeAutospacing="0" w:after="0" w:afterAutospacing="0"/>
              <w:ind w:left="57" w:right="57"/>
              <w:rPr>
                <w:sz w:val="26"/>
                <w:szCs w:val="26"/>
              </w:rPr>
            </w:pPr>
            <w:r w:rsidRPr="007F7755">
              <w:rPr>
                <w:sz w:val="26"/>
                <w:szCs w:val="26"/>
              </w:rPr>
              <w:t>Cita informācija</w:t>
            </w:r>
          </w:p>
        </w:tc>
        <w:tc>
          <w:tcPr>
            <w:tcW w:w="2899" w:type="pct"/>
          </w:tcPr>
          <w:p w:rsidR="004F1CA3" w:rsidRPr="007F7755" w:rsidRDefault="007C4C15" w:rsidP="007C7FF8">
            <w:pPr>
              <w:pStyle w:val="ListParagraph"/>
              <w:spacing w:after="120" w:line="240" w:lineRule="auto"/>
              <w:ind w:left="0"/>
              <w:jc w:val="both"/>
              <w:rPr>
                <w:rFonts w:ascii="Times New Roman" w:hAnsi="Times New Roman" w:cs="Times New Roman"/>
                <w:sz w:val="26"/>
                <w:szCs w:val="26"/>
              </w:rPr>
            </w:pPr>
            <w:r w:rsidRPr="007F7755">
              <w:rPr>
                <w:rFonts w:ascii="Times New Roman" w:hAnsi="Times New Roman" w:cs="Times New Roman"/>
                <w:sz w:val="26"/>
                <w:szCs w:val="26"/>
              </w:rPr>
              <w:t>Nav</w:t>
            </w:r>
            <w:r w:rsidR="004F1CA3" w:rsidRPr="007F7755">
              <w:rPr>
                <w:rFonts w:ascii="Times New Roman" w:hAnsi="Times New Roman" w:cs="Times New Roman"/>
                <w:sz w:val="26"/>
                <w:szCs w:val="26"/>
              </w:rPr>
              <w:t>.</w:t>
            </w:r>
          </w:p>
        </w:tc>
      </w:tr>
    </w:tbl>
    <w:p w:rsidR="00511203" w:rsidRPr="007F7755" w:rsidRDefault="00511203" w:rsidP="00171D36">
      <w:pPr>
        <w:spacing w:after="0" w:line="240" w:lineRule="auto"/>
        <w:rPr>
          <w:rFonts w:ascii="Times New Roman" w:hAnsi="Times New Roman" w:cs="Times New Roman"/>
          <w:sz w:val="26"/>
          <w:szCs w:val="26"/>
        </w:rPr>
      </w:pPr>
    </w:p>
    <w:tbl>
      <w:tblPr>
        <w:tblStyle w:val="TableGrid"/>
        <w:tblW w:w="9393" w:type="dxa"/>
        <w:tblInd w:w="-5" w:type="dxa"/>
        <w:tblLook w:val="04A0" w:firstRow="1" w:lastRow="0" w:firstColumn="1" w:lastColumn="0" w:noHBand="0" w:noVBand="1"/>
      </w:tblPr>
      <w:tblGrid>
        <w:gridCol w:w="846"/>
        <w:gridCol w:w="2553"/>
        <w:gridCol w:w="5994"/>
      </w:tblGrid>
      <w:tr w:rsidR="00F56EA8" w:rsidRPr="007F7755" w:rsidTr="00CB41D2">
        <w:tc>
          <w:tcPr>
            <w:tcW w:w="9393" w:type="dxa"/>
            <w:gridSpan w:val="3"/>
          </w:tcPr>
          <w:p w:rsidR="00F56EA8" w:rsidRPr="007F7755" w:rsidRDefault="00F56EA8" w:rsidP="00F56EA8">
            <w:pPr>
              <w:ind w:right="57"/>
              <w:jc w:val="center"/>
              <w:rPr>
                <w:rFonts w:ascii="Times New Roman" w:eastAsia="Times New Roman" w:hAnsi="Times New Roman" w:cs="Times New Roman"/>
                <w:b/>
                <w:sz w:val="26"/>
                <w:szCs w:val="26"/>
              </w:rPr>
            </w:pPr>
            <w:r w:rsidRPr="007F7755">
              <w:rPr>
                <w:rFonts w:ascii="Times New Roman" w:eastAsia="Times New Roman" w:hAnsi="Times New Roman" w:cs="Times New Roman"/>
                <w:b/>
                <w:sz w:val="26"/>
                <w:szCs w:val="26"/>
              </w:rPr>
              <w:t>II. Tiesību akta projekta ietekme uz sabiedrību, tautsaimniecības attīstību</w:t>
            </w:r>
          </w:p>
          <w:p w:rsidR="00F56EA8" w:rsidRPr="007F7755" w:rsidRDefault="00F56EA8" w:rsidP="00F56EA8">
            <w:pPr>
              <w:jc w:val="center"/>
              <w:rPr>
                <w:rFonts w:ascii="Times New Roman" w:hAnsi="Times New Roman" w:cs="Times New Roman"/>
                <w:sz w:val="26"/>
                <w:szCs w:val="26"/>
              </w:rPr>
            </w:pPr>
            <w:r w:rsidRPr="007F7755">
              <w:rPr>
                <w:rFonts w:ascii="Times New Roman" w:eastAsia="Times New Roman" w:hAnsi="Times New Roman" w:cs="Times New Roman"/>
                <w:b/>
                <w:sz w:val="26"/>
                <w:szCs w:val="26"/>
              </w:rPr>
              <w:t>un administratīvo slogu</w:t>
            </w:r>
          </w:p>
        </w:tc>
      </w:tr>
      <w:tr w:rsidR="00F56EA8" w:rsidRPr="007F7755" w:rsidTr="00CB41D2">
        <w:tc>
          <w:tcPr>
            <w:tcW w:w="846" w:type="dxa"/>
          </w:tcPr>
          <w:p w:rsidR="00F56EA8" w:rsidRPr="007F7755" w:rsidRDefault="00F56EA8" w:rsidP="00F56EA8">
            <w:pPr>
              <w:rPr>
                <w:rFonts w:ascii="Times New Roman" w:hAnsi="Times New Roman" w:cs="Times New Roman"/>
                <w:sz w:val="26"/>
                <w:szCs w:val="26"/>
              </w:rPr>
            </w:pPr>
            <w:r w:rsidRPr="007F7755">
              <w:rPr>
                <w:rFonts w:ascii="Times New Roman" w:eastAsia="Times New Roman" w:hAnsi="Times New Roman" w:cs="Times New Roman"/>
                <w:sz w:val="26"/>
                <w:szCs w:val="26"/>
              </w:rPr>
              <w:t>1.</w:t>
            </w:r>
          </w:p>
        </w:tc>
        <w:tc>
          <w:tcPr>
            <w:tcW w:w="2553" w:type="dxa"/>
          </w:tcPr>
          <w:p w:rsidR="00F56EA8" w:rsidRPr="007F7755" w:rsidRDefault="00F56EA8" w:rsidP="00F56EA8">
            <w:pPr>
              <w:rPr>
                <w:rFonts w:ascii="Times New Roman" w:hAnsi="Times New Roman" w:cs="Times New Roman"/>
                <w:sz w:val="26"/>
                <w:szCs w:val="26"/>
              </w:rPr>
            </w:pPr>
            <w:r w:rsidRPr="007F7755">
              <w:rPr>
                <w:rFonts w:ascii="Times New Roman" w:eastAsia="Times New Roman" w:hAnsi="Times New Roman" w:cs="Times New Roman"/>
                <w:sz w:val="26"/>
                <w:szCs w:val="26"/>
              </w:rPr>
              <w:t xml:space="preserve">Sabiedrības </w:t>
            </w:r>
            <w:proofErr w:type="spellStart"/>
            <w:r w:rsidRPr="007F7755">
              <w:rPr>
                <w:rFonts w:ascii="Times New Roman" w:eastAsia="Times New Roman" w:hAnsi="Times New Roman" w:cs="Times New Roman"/>
                <w:sz w:val="26"/>
                <w:szCs w:val="26"/>
              </w:rPr>
              <w:t>mērķgrupas</w:t>
            </w:r>
            <w:proofErr w:type="spellEnd"/>
            <w:r w:rsidRPr="007F7755">
              <w:rPr>
                <w:rFonts w:ascii="Times New Roman" w:eastAsia="Times New Roman" w:hAnsi="Times New Roman" w:cs="Times New Roman"/>
                <w:sz w:val="26"/>
                <w:szCs w:val="26"/>
              </w:rPr>
              <w:t>, kuras tiesiskais regulējums ietekmē vai varētu ietekmēt</w:t>
            </w:r>
          </w:p>
        </w:tc>
        <w:tc>
          <w:tcPr>
            <w:tcW w:w="5994" w:type="dxa"/>
          </w:tcPr>
          <w:p w:rsidR="00F56EA8" w:rsidRPr="007F7755" w:rsidRDefault="007C4C15" w:rsidP="00CB2E5A">
            <w:pPr>
              <w:ind w:left="57" w:right="57"/>
              <w:jc w:val="both"/>
              <w:rPr>
                <w:rFonts w:ascii="Times New Roman" w:hAnsi="Times New Roman" w:cs="Times New Roman"/>
                <w:sz w:val="26"/>
                <w:szCs w:val="26"/>
              </w:rPr>
            </w:pPr>
            <w:r w:rsidRPr="007F7755">
              <w:rPr>
                <w:rFonts w:ascii="Times New Roman" w:hAnsi="Times New Roman" w:cs="Times New Roman"/>
                <w:sz w:val="26"/>
                <w:szCs w:val="26"/>
              </w:rPr>
              <w:t xml:space="preserve">Saimnieciskās darbības veicēji – fiziskās un juridiskās personas (sabiedrības ar ierobežotu atbildību, zemnieku vai zvejnieku saimniecības, individuālie uzņēmumi), kas izvēlējušās maksāt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nodokli vai plāno izvēlēties šo nodokļu maksāšanas režīmu </w:t>
            </w:r>
          </w:p>
        </w:tc>
      </w:tr>
      <w:tr w:rsidR="00F56EA8" w:rsidRPr="007F7755" w:rsidTr="00CB41D2">
        <w:tc>
          <w:tcPr>
            <w:tcW w:w="846" w:type="dxa"/>
          </w:tcPr>
          <w:p w:rsidR="00F56EA8" w:rsidRPr="007F7755" w:rsidRDefault="00F56EA8" w:rsidP="00F56EA8">
            <w:pPr>
              <w:rPr>
                <w:rFonts w:ascii="Times New Roman" w:hAnsi="Times New Roman" w:cs="Times New Roman"/>
                <w:sz w:val="26"/>
                <w:szCs w:val="26"/>
              </w:rPr>
            </w:pPr>
            <w:r w:rsidRPr="007F7755">
              <w:rPr>
                <w:rFonts w:ascii="Times New Roman" w:eastAsia="Times New Roman" w:hAnsi="Times New Roman" w:cs="Times New Roman"/>
                <w:sz w:val="26"/>
                <w:szCs w:val="26"/>
              </w:rPr>
              <w:t>2.</w:t>
            </w:r>
          </w:p>
        </w:tc>
        <w:tc>
          <w:tcPr>
            <w:tcW w:w="2553" w:type="dxa"/>
          </w:tcPr>
          <w:p w:rsidR="00F56EA8" w:rsidRPr="007F7755" w:rsidRDefault="00F56EA8" w:rsidP="00F56EA8">
            <w:pPr>
              <w:rPr>
                <w:rFonts w:ascii="Times New Roman" w:hAnsi="Times New Roman" w:cs="Times New Roman"/>
                <w:sz w:val="26"/>
                <w:szCs w:val="26"/>
              </w:rPr>
            </w:pPr>
            <w:r w:rsidRPr="007F7755">
              <w:rPr>
                <w:rFonts w:ascii="Times New Roman" w:eastAsia="Times New Roman" w:hAnsi="Times New Roman" w:cs="Times New Roman"/>
                <w:sz w:val="26"/>
                <w:szCs w:val="26"/>
              </w:rPr>
              <w:t>Tiesiskā regulējuma ietekme uz tautsaimniecību un administratīvo slogu</w:t>
            </w:r>
          </w:p>
        </w:tc>
        <w:tc>
          <w:tcPr>
            <w:tcW w:w="5994" w:type="dxa"/>
          </w:tcPr>
          <w:p w:rsidR="00DB0903" w:rsidRPr="007F7755" w:rsidRDefault="008F29C4" w:rsidP="008F29C4">
            <w:pPr>
              <w:shd w:val="clear" w:color="auto" w:fill="FFFFFF"/>
              <w:spacing w:after="120"/>
              <w:jc w:val="both"/>
              <w:rPr>
                <w:rFonts w:ascii="Times New Roman" w:hAnsi="Times New Roman" w:cs="Times New Roman"/>
                <w:sz w:val="26"/>
                <w:szCs w:val="26"/>
              </w:rPr>
            </w:pPr>
            <w:r w:rsidRPr="007F7755">
              <w:rPr>
                <w:rFonts w:ascii="Times New Roman" w:hAnsi="Times New Roman" w:cs="Times New Roman"/>
                <w:sz w:val="26"/>
                <w:szCs w:val="26"/>
              </w:rPr>
              <w:t xml:space="preserve">1.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režīmu nevarēs izvēlēties fiziskās un juridiskās personas (sabiedrības ar ierobežotu atbildību, zemnieku vai zvejnieku saimniecības, individuālie uzņēmumi), ja to saimnieciskās darbības </w:t>
            </w:r>
            <w:proofErr w:type="spellStart"/>
            <w:r w:rsidRPr="007F7755">
              <w:rPr>
                <w:rFonts w:ascii="Times New Roman" w:hAnsi="Times New Roman" w:cs="Times New Roman"/>
                <w:sz w:val="26"/>
                <w:szCs w:val="26"/>
              </w:rPr>
              <w:t>pamatnozare</w:t>
            </w:r>
            <w:proofErr w:type="spellEnd"/>
            <w:r w:rsidRPr="007F7755">
              <w:rPr>
                <w:rFonts w:ascii="Times New Roman" w:hAnsi="Times New Roman" w:cs="Times New Roman"/>
                <w:sz w:val="26"/>
                <w:szCs w:val="26"/>
              </w:rPr>
              <w:t xml:space="preserve"> būs ietverta nozaru </w:t>
            </w:r>
            <w:r w:rsidRPr="007F7755">
              <w:rPr>
                <w:rFonts w:ascii="Times New Roman" w:hAnsi="Times New Roman" w:cs="Times New Roman"/>
                <w:sz w:val="26"/>
                <w:szCs w:val="26"/>
              </w:rPr>
              <w:lastRenderedPageBreak/>
              <w:t xml:space="preserve">uzskaitījumā, kurās </w:t>
            </w:r>
            <w:proofErr w:type="spellStart"/>
            <w:r w:rsidRPr="007F7755">
              <w:rPr>
                <w:rFonts w:ascii="Times New Roman" w:hAnsi="Times New Roman" w:cs="Times New Roman"/>
                <w:sz w:val="26"/>
                <w:szCs w:val="26"/>
              </w:rPr>
              <w:t>mikrouzņēmums</w:t>
            </w:r>
            <w:proofErr w:type="spellEnd"/>
            <w:r w:rsidRPr="007F7755">
              <w:rPr>
                <w:rFonts w:ascii="Times New Roman" w:hAnsi="Times New Roman" w:cs="Times New Roman"/>
                <w:sz w:val="26"/>
                <w:szCs w:val="26"/>
              </w:rPr>
              <w:t xml:space="preserve"> nav tiesīgs kļūt un būt par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maksātāju.</w:t>
            </w:r>
          </w:p>
          <w:p w:rsidR="008F29C4" w:rsidRPr="007F7755" w:rsidRDefault="008F29C4" w:rsidP="008F29C4">
            <w:pPr>
              <w:shd w:val="clear" w:color="auto" w:fill="FFFFFF"/>
              <w:spacing w:after="120"/>
              <w:jc w:val="both"/>
              <w:rPr>
                <w:rFonts w:ascii="Times New Roman" w:hAnsi="Times New Roman" w:cs="Times New Roman"/>
                <w:sz w:val="26"/>
                <w:szCs w:val="26"/>
              </w:rPr>
            </w:pPr>
            <w:r w:rsidRPr="007F7755">
              <w:rPr>
                <w:rFonts w:ascii="Times New Roman" w:hAnsi="Times New Roman" w:cs="Times New Roman"/>
                <w:sz w:val="26"/>
                <w:szCs w:val="26"/>
              </w:rPr>
              <w:t xml:space="preserve">2. </w:t>
            </w:r>
            <w:proofErr w:type="spellStart"/>
            <w:r w:rsidRPr="007F7755">
              <w:rPr>
                <w:rFonts w:ascii="Times New Roman" w:hAnsi="Times New Roman" w:cs="Times New Roman"/>
                <w:sz w:val="26"/>
                <w:szCs w:val="26"/>
              </w:rPr>
              <w:t>Mikrouzņēmumam</w:t>
            </w:r>
            <w:proofErr w:type="spellEnd"/>
            <w:r w:rsidRPr="007F7755">
              <w:rPr>
                <w:rFonts w:ascii="Times New Roman" w:hAnsi="Times New Roman" w:cs="Times New Roman"/>
                <w:sz w:val="26"/>
                <w:szCs w:val="26"/>
              </w:rPr>
              <w:t xml:space="preserve">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deklarācijā būs jānorāda informācija par to, ka </w:t>
            </w:r>
            <w:proofErr w:type="spellStart"/>
            <w:r w:rsidRPr="007F7755">
              <w:rPr>
                <w:rFonts w:ascii="Times New Roman" w:hAnsi="Times New Roman" w:cs="Times New Roman"/>
                <w:sz w:val="26"/>
                <w:szCs w:val="26"/>
              </w:rPr>
              <w:t>mikrouzņēmuma</w:t>
            </w:r>
            <w:proofErr w:type="spellEnd"/>
            <w:r w:rsidRPr="007F7755">
              <w:rPr>
                <w:rFonts w:ascii="Times New Roman" w:hAnsi="Times New Roman" w:cs="Times New Roman"/>
                <w:sz w:val="26"/>
                <w:szCs w:val="26"/>
              </w:rPr>
              <w:t xml:space="preserve"> saimnieciskās darbības </w:t>
            </w:r>
            <w:proofErr w:type="spellStart"/>
            <w:r w:rsidRPr="007F7755">
              <w:rPr>
                <w:rFonts w:ascii="Times New Roman" w:hAnsi="Times New Roman" w:cs="Times New Roman"/>
                <w:sz w:val="26"/>
                <w:szCs w:val="26"/>
              </w:rPr>
              <w:t>pamatnozare</w:t>
            </w:r>
            <w:proofErr w:type="spellEnd"/>
            <w:r w:rsidRPr="007F7755">
              <w:rPr>
                <w:rFonts w:ascii="Times New Roman" w:hAnsi="Times New Roman" w:cs="Times New Roman"/>
                <w:sz w:val="26"/>
                <w:szCs w:val="26"/>
              </w:rPr>
              <w:t xml:space="preserve"> nav ietverta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likuma 2.panta 1.</w:t>
            </w:r>
            <w:r w:rsidRPr="007F7755">
              <w:rPr>
                <w:rFonts w:ascii="Times New Roman" w:hAnsi="Times New Roman" w:cs="Times New Roman"/>
                <w:sz w:val="26"/>
                <w:szCs w:val="26"/>
                <w:vertAlign w:val="superscript"/>
              </w:rPr>
              <w:t>2</w:t>
            </w:r>
            <w:r w:rsidRPr="007F7755">
              <w:rPr>
                <w:rFonts w:ascii="Times New Roman" w:hAnsi="Times New Roman" w:cs="Times New Roman"/>
                <w:sz w:val="26"/>
                <w:szCs w:val="26"/>
              </w:rPr>
              <w:t xml:space="preserve"> daļā minētajos Ministru kabineta noteikumos.</w:t>
            </w:r>
          </w:p>
          <w:p w:rsidR="008F29C4" w:rsidRPr="007F7755" w:rsidRDefault="008F29C4" w:rsidP="00616D48">
            <w:pPr>
              <w:shd w:val="clear" w:color="auto" w:fill="FFFFFF"/>
              <w:spacing w:after="120"/>
              <w:jc w:val="both"/>
              <w:rPr>
                <w:rFonts w:ascii="Times New Roman" w:hAnsi="Times New Roman" w:cs="Times New Roman"/>
                <w:sz w:val="26"/>
                <w:szCs w:val="26"/>
              </w:rPr>
            </w:pPr>
            <w:r w:rsidRPr="007F7755">
              <w:rPr>
                <w:rFonts w:ascii="Times New Roman" w:hAnsi="Times New Roman" w:cs="Times New Roman"/>
                <w:sz w:val="26"/>
                <w:szCs w:val="26"/>
              </w:rPr>
              <w:t xml:space="preserve">3. Valsts ieņēmumu dienestam būs jāizvērtē, vai </w:t>
            </w:r>
            <w:proofErr w:type="spellStart"/>
            <w:r w:rsidRPr="007F7755">
              <w:rPr>
                <w:rFonts w:ascii="Times New Roman" w:hAnsi="Times New Roman" w:cs="Times New Roman"/>
                <w:sz w:val="26"/>
                <w:szCs w:val="26"/>
              </w:rPr>
              <w:t>mikrouzņēmuma</w:t>
            </w:r>
            <w:proofErr w:type="spellEnd"/>
            <w:r w:rsidRPr="007F7755">
              <w:rPr>
                <w:rFonts w:ascii="Times New Roman" w:hAnsi="Times New Roman" w:cs="Times New Roman"/>
                <w:sz w:val="26"/>
                <w:szCs w:val="26"/>
              </w:rPr>
              <w:t xml:space="preserve"> saimnieciskās darbības </w:t>
            </w:r>
            <w:proofErr w:type="spellStart"/>
            <w:r w:rsidRPr="007F7755">
              <w:rPr>
                <w:rFonts w:ascii="Times New Roman" w:hAnsi="Times New Roman" w:cs="Times New Roman"/>
                <w:sz w:val="26"/>
                <w:szCs w:val="26"/>
              </w:rPr>
              <w:t>pamatnozare</w:t>
            </w:r>
            <w:proofErr w:type="spellEnd"/>
            <w:r w:rsidRPr="007F7755">
              <w:rPr>
                <w:rFonts w:ascii="Times New Roman" w:hAnsi="Times New Roman" w:cs="Times New Roman"/>
                <w:sz w:val="26"/>
                <w:szCs w:val="26"/>
              </w:rPr>
              <w:t xml:space="preserve"> </w:t>
            </w:r>
            <w:r w:rsidR="00616D48" w:rsidRPr="007F7755">
              <w:rPr>
                <w:rFonts w:ascii="Times New Roman" w:hAnsi="Times New Roman" w:cs="Times New Roman"/>
                <w:sz w:val="26"/>
                <w:szCs w:val="26"/>
              </w:rPr>
              <w:t>ir</w:t>
            </w:r>
            <w:r w:rsidRPr="007F7755">
              <w:rPr>
                <w:rFonts w:ascii="Times New Roman" w:hAnsi="Times New Roman" w:cs="Times New Roman"/>
                <w:sz w:val="26"/>
                <w:szCs w:val="26"/>
              </w:rPr>
              <w:t xml:space="preserve"> ietverta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likuma 2.panta 1.</w:t>
            </w:r>
            <w:r w:rsidRPr="007F7755">
              <w:rPr>
                <w:rFonts w:ascii="Times New Roman" w:hAnsi="Times New Roman" w:cs="Times New Roman"/>
                <w:sz w:val="26"/>
                <w:szCs w:val="26"/>
                <w:vertAlign w:val="superscript"/>
              </w:rPr>
              <w:t>2</w:t>
            </w:r>
            <w:r w:rsidRPr="007F7755">
              <w:rPr>
                <w:rFonts w:ascii="Times New Roman" w:hAnsi="Times New Roman" w:cs="Times New Roman"/>
                <w:sz w:val="26"/>
                <w:szCs w:val="26"/>
              </w:rPr>
              <w:t xml:space="preserve"> daļā minētajos Ministru kabineta noteikumos.</w:t>
            </w:r>
          </w:p>
        </w:tc>
      </w:tr>
      <w:tr w:rsidR="00F56EA8" w:rsidRPr="007F7755" w:rsidTr="00CB41D2">
        <w:tc>
          <w:tcPr>
            <w:tcW w:w="846" w:type="dxa"/>
          </w:tcPr>
          <w:p w:rsidR="00F56EA8" w:rsidRPr="007F7755" w:rsidRDefault="00F56EA8" w:rsidP="00F56EA8">
            <w:pPr>
              <w:rPr>
                <w:rFonts w:ascii="Times New Roman" w:hAnsi="Times New Roman" w:cs="Times New Roman"/>
                <w:sz w:val="26"/>
                <w:szCs w:val="26"/>
              </w:rPr>
            </w:pPr>
            <w:r w:rsidRPr="007F7755">
              <w:rPr>
                <w:rFonts w:ascii="Times New Roman" w:eastAsia="Times New Roman" w:hAnsi="Times New Roman" w:cs="Times New Roman"/>
                <w:sz w:val="26"/>
                <w:szCs w:val="26"/>
              </w:rPr>
              <w:lastRenderedPageBreak/>
              <w:t>3.</w:t>
            </w:r>
          </w:p>
        </w:tc>
        <w:tc>
          <w:tcPr>
            <w:tcW w:w="2553" w:type="dxa"/>
          </w:tcPr>
          <w:p w:rsidR="00F56EA8" w:rsidRPr="007F7755" w:rsidRDefault="00F56EA8" w:rsidP="00F56EA8">
            <w:pPr>
              <w:rPr>
                <w:rFonts w:ascii="Times New Roman" w:hAnsi="Times New Roman" w:cs="Times New Roman"/>
                <w:sz w:val="26"/>
                <w:szCs w:val="26"/>
              </w:rPr>
            </w:pPr>
            <w:r w:rsidRPr="007F7755">
              <w:rPr>
                <w:rFonts w:ascii="Times New Roman" w:eastAsia="Times New Roman" w:hAnsi="Times New Roman" w:cs="Times New Roman"/>
                <w:sz w:val="26"/>
                <w:szCs w:val="26"/>
              </w:rPr>
              <w:t>Administratīvo izmaksu monetārs novērtējums</w:t>
            </w:r>
          </w:p>
        </w:tc>
        <w:tc>
          <w:tcPr>
            <w:tcW w:w="5994" w:type="dxa"/>
          </w:tcPr>
          <w:p w:rsidR="00F56EA8" w:rsidRPr="007F7755" w:rsidRDefault="0066521F" w:rsidP="008E441B">
            <w:pPr>
              <w:jc w:val="both"/>
              <w:rPr>
                <w:rFonts w:ascii="Times New Roman" w:hAnsi="Times New Roman" w:cs="Times New Roman"/>
                <w:sz w:val="26"/>
                <w:szCs w:val="26"/>
              </w:rPr>
            </w:pPr>
            <w:r w:rsidRPr="0066521F">
              <w:rPr>
                <w:rFonts w:ascii="Times New Roman" w:hAnsi="Times New Roman" w:cs="Times New Roman"/>
                <w:sz w:val="26"/>
                <w:szCs w:val="26"/>
              </w:rPr>
              <w:t>Projekts šo jomu neskar.</w:t>
            </w:r>
          </w:p>
        </w:tc>
      </w:tr>
      <w:tr w:rsidR="00F56EA8" w:rsidRPr="007F7755" w:rsidTr="00CB41D2">
        <w:tc>
          <w:tcPr>
            <w:tcW w:w="846" w:type="dxa"/>
          </w:tcPr>
          <w:p w:rsidR="00F56EA8" w:rsidRPr="007F7755" w:rsidRDefault="00F56EA8" w:rsidP="00F56EA8">
            <w:pPr>
              <w:rPr>
                <w:rFonts w:ascii="Times New Roman" w:hAnsi="Times New Roman" w:cs="Times New Roman"/>
                <w:sz w:val="26"/>
                <w:szCs w:val="26"/>
              </w:rPr>
            </w:pPr>
            <w:r w:rsidRPr="007F7755">
              <w:rPr>
                <w:rFonts w:ascii="Times New Roman" w:eastAsia="Times New Roman" w:hAnsi="Times New Roman" w:cs="Times New Roman"/>
                <w:sz w:val="26"/>
                <w:szCs w:val="26"/>
              </w:rPr>
              <w:t>4.</w:t>
            </w:r>
          </w:p>
        </w:tc>
        <w:tc>
          <w:tcPr>
            <w:tcW w:w="2553" w:type="dxa"/>
          </w:tcPr>
          <w:p w:rsidR="00F56EA8" w:rsidRPr="007F7755" w:rsidRDefault="00F56EA8" w:rsidP="00F56EA8">
            <w:pPr>
              <w:rPr>
                <w:rFonts w:ascii="Times New Roman" w:hAnsi="Times New Roman" w:cs="Times New Roman"/>
                <w:sz w:val="26"/>
                <w:szCs w:val="26"/>
              </w:rPr>
            </w:pPr>
            <w:r w:rsidRPr="007F7755">
              <w:rPr>
                <w:rFonts w:ascii="Times New Roman" w:eastAsia="Times New Roman" w:hAnsi="Times New Roman" w:cs="Times New Roman"/>
                <w:sz w:val="26"/>
                <w:szCs w:val="26"/>
              </w:rPr>
              <w:t>Cita informācija</w:t>
            </w:r>
          </w:p>
        </w:tc>
        <w:tc>
          <w:tcPr>
            <w:tcW w:w="5994" w:type="dxa"/>
          </w:tcPr>
          <w:p w:rsidR="00F56EA8" w:rsidRPr="007F7755" w:rsidRDefault="003C6E0A" w:rsidP="009C73B6">
            <w:pPr>
              <w:jc w:val="both"/>
              <w:rPr>
                <w:rFonts w:ascii="Times New Roman" w:hAnsi="Times New Roman" w:cs="Times New Roman"/>
                <w:sz w:val="26"/>
                <w:szCs w:val="26"/>
              </w:rPr>
            </w:pPr>
            <w:proofErr w:type="spellStart"/>
            <w:r w:rsidRPr="007F7755">
              <w:rPr>
                <w:rFonts w:ascii="Times New Roman" w:hAnsi="Times New Roman" w:cs="Times New Roman"/>
                <w:sz w:val="26"/>
                <w:szCs w:val="26"/>
              </w:rPr>
              <w:t>Mikrouzņēmum</w:t>
            </w:r>
            <w:r w:rsidR="00347092" w:rsidRPr="007F7755">
              <w:rPr>
                <w:rFonts w:ascii="Times New Roman" w:hAnsi="Times New Roman" w:cs="Times New Roman"/>
                <w:sz w:val="26"/>
                <w:szCs w:val="26"/>
              </w:rPr>
              <w:t>i</w:t>
            </w:r>
            <w:proofErr w:type="spellEnd"/>
            <w:r w:rsidRPr="007F7755">
              <w:rPr>
                <w:rFonts w:ascii="Times New Roman" w:hAnsi="Times New Roman" w:cs="Times New Roman"/>
                <w:sz w:val="26"/>
                <w:szCs w:val="26"/>
              </w:rPr>
              <w:t xml:space="preserve">, kas veic saimniecisko darbību </w:t>
            </w:r>
            <w:proofErr w:type="spellStart"/>
            <w:r w:rsidRPr="007F7755">
              <w:rPr>
                <w:rFonts w:ascii="Times New Roman" w:hAnsi="Times New Roman" w:cs="Times New Roman"/>
                <w:sz w:val="26"/>
                <w:szCs w:val="26"/>
              </w:rPr>
              <w:t>pamatnozarē</w:t>
            </w:r>
            <w:r w:rsidR="00347092" w:rsidRPr="007F7755">
              <w:rPr>
                <w:rFonts w:ascii="Times New Roman" w:hAnsi="Times New Roman" w:cs="Times New Roman"/>
                <w:sz w:val="26"/>
                <w:szCs w:val="26"/>
              </w:rPr>
              <w:t>s</w:t>
            </w:r>
            <w:proofErr w:type="spellEnd"/>
            <w:r w:rsidRPr="007F7755">
              <w:rPr>
                <w:rFonts w:ascii="Times New Roman" w:hAnsi="Times New Roman" w:cs="Times New Roman"/>
                <w:sz w:val="26"/>
                <w:szCs w:val="26"/>
              </w:rPr>
              <w:t xml:space="preserve">, </w:t>
            </w:r>
            <w:r w:rsidR="00347092" w:rsidRPr="007F7755">
              <w:rPr>
                <w:rFonts w:ascii="Times New Roman" w:hAnsi="Times New Roman" w:cs="Times New Roman"/>
                <w:sz w:val="26"/>
                <w:szCs w:val="26"/>
              </w:rPr>
              <w:t xml:space="preserve">kas nenodrošina </w:t>
            </w:r>
            <w:proofErr w:type="spellStart"/>
            <w:r w:rsidR="00347092" w:rsidRPr="007F7755">
              <w:rPr>
                <w:rFonts w:ascii="Times New Roman" w:hAnsi="Times New Roman" w:cs="Times New Roman"/>
                <w:sz w:val="26"/>
                <w:szCs w:val="26"/>
              </w:rPr>
              <w:t>mikrouzņēmumu</w:t>
            </w:r>
            <w:proofErr w:type="spellEnd"/>
            <w:r w:rsidR="00347092" w:rsidRPr="007F7755">
              <w:rPr>
                <w:rFonts w:ascii="Times New Roman" w:hAnsi="Times New Roman" w:cs="Times New Roman"/>
                <w:sz w:val="26"/>
                <w:szCs w:val="26"/>
              </w:rPr>
              <w:t xml:space="preserve"> nodokļa režīma piemērošanu atbilstoši </w:t>
            </w:r>
            <w:proofErr w:type="spellStart"/>
            <w:r w:rsidR="00347092" w:rsidRPr="007F7755">
              <w:rPr>
                <w:rFonts w:ascii="Times New Roman" w:hAnsi="Times New Roman" w:cs="Times New Roman"/>
                <w:sz w:val="26"/>
                <w:szCs w:val="26"/>
              </w:rPr>
              <w:t>Mikrouzņēmumu</w:t>
            </w:r>
            <w:proofErr w:type="spellEnd"/>
            <w:r w:rsidR="00347092" w:rsidRPr="007F7755">
              <w:rPr>
                <w:rFonts w:ascii="Times New Roman" w:hAnsi="Times New Roman" w:cs="Times New Roman"/>
                <w:sz w:val="26"/>
                <w:szCs w:val="26"/>
              </w:rPr>
              <w:t xml:space="preserve"> nodokļa likuma mērķim, maksās nodokļus vispārējā kārtībā, </w:t>
            </w:r>
            <w:r w:rsidR="009C73B6" w:rsidRPr="007F7755">
              <w:rPr>
                <w:rFonts w:ascii="Times New Roman" w:hAnsi="Times New Roman" w:cs="Times New Roman"/>
                <w:sz w:val="26"/>
                <w:szCs w:val="26"/>
              </w:rPr>
              <w:t>tādējādi</w:t>
            </w:r>
            <w:r w:rsidR="00E31BA3" w:rsidRPr="007F7755">
              <w:rPr>
                <w:rFonts w:ascii="Times New Roman" w:hAnsi="Times New Roman" w:cs="Times New Roman"/>
                <w:sz w:val="26"/>
                <w:szCs w:val="26"/>
              </w:rPr>
              <w:t xml:space="preserve"> </w:t>
            </w:r>
            <w:r w:rsidR="00347092" w:rsidRPr="007F7755">
              <w:rPr>
                <w:rFonts w:ascii="Times New Roman" w:hAnsi="Times New Roman" w:cs="Times New Roman"/>
                <w:sz w:val="26"/>
                <w:szCs w:val="26"/>
              </w:rPr>
              <w:t>tiks novērsta izvairīšanās no nodokļu nomaksas pilnā apmērā.</w:t>
            </w:r>
          </w:p>
        </w:tc>
      </w:tr>
    </w:tbl>
    <w:p w:rsidR="00FA1208" w:rsidRPr="007F7755" w:rsidRDefault="002E2FD1" w:rsidP="00171D36">
      <w:pPr>
        <w:spacing w:after="0" w:line="240" w:lineRule="auto"/>
        <w:rPr>
          <w:rFonts w:ascii="Times New Roman" w:hAnsi="Times New Roman" w:cs="Times New Roman"/>
          <w:sz w:val="26"/>
          <w:szCs w:val="26"/>
        </w:rPr>
      </w:pPr>
      <w:r w:rsidRPr="007F7755">
        <w:rPr>
          <w:rFonts w:ascii="Times New Roman" w:hAnsi="Times New Roman" w:cs="Times New Roman"/>
          <w:sz w:val="26"/>
          <w:szCs w:val="26"/>
        </w:rPr>
        <w:t xml:space="preserve"> </w:t>
      </w:r>
    </w:p>
    <w:tbl>
      <w:tblPr>
        <w:tblpPr w:leftFromText="180" w:rightFromText="180" w:vertAnchor="text" w:tblpX="-150" w:tblpY="348"/>
        <w:tblW w:w="52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10"/>
        <w:gridCol w:w="1211"/>
        <w:gridCol w:w="1342"/>
        <w:gridCol w:w="1163"/>
        <w:gridCol w:w="1071"/>
        <w:gridCol w:w="1393"/>
      </w:tblGrid>
      <w:tr w:rsidR="0019303E" w:rsidRPr="007F7755" w:rsidTr="0019303E">
        <w:tc>
          <w:tcPr>
            <w:tcW w:w="5000" w:type="pct"/>
            <w:gridSpan w:val="6"/>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center"/>
              <w:rPr>
                <w:rFonts w:ascii="Times New Roman" w:hAnsi="Times New Roman" w:cs="Times New Roman"/>
                <w:b/>
                <w:bCs/>
                <w:sz w:val="26"/>
                <w:szCs w:val="26"/>
              </w:rPr>
            </w:pPr>
            <w:r w:rsidRPr="007F7755">
              <w:rPr>
                <w:rFonts w:ascii="Times New Roman" w:hAnsi="Times New Roman" w:cs="Times New Roman"/>
                <w:b/>
                <w:bCs/>
                <w:sz w:val="26"/>
                <w:szCs w:val="26"/>
              </w:rPr>
              <w:t>III. Tiesību akta projekta ietekme uz valsts budžetu un pašvaldību budžetiem</w:t>
            </w:r>
          </w:p>
        </w:tc>
      </w:tr>
      <w:tr w:rsidR="0019303E" w:rsidRPr="007F7755" w:rsidTr="0019303E">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b/>
                <w:bCs/>
                <w:sz w:val="26"/>
                <w:szCs w:val="26"/>
              </w:rPr>
            </w:pPr>
            <w:r w:rsidRPr="007F7755">
              <w:rPr>
                <w:rFonts w:ascii="Times New Roman" w:hAnsi="Times New Roman" w:cs="Times New Roman"/>
                <w:b/>
                <w:bCs/>
                <w:sz w:val="26"/>
                <w:szCs w:val="26"/>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b/>
                <w:bCs/>
                <w:sz w:val="26"/>
                <w:szCs w:val="26"/>
              </w:rPr>
            </w:pPr>
            <w:r w:rsidRPr="007F7755">
              <w:rPr>
                <w:rFonts w:ascii="Times New Roman" w:hAnsi="Times New Roman" w:cs="Times New Roman"/>
                <w:b/>
                <w:bCs/>
                <w:sz w:val="26"/>
                <w:szCs w:val="26"/>
              </w:rPr>
              <w:t>2015</w:t>
            </w:r>
          </w:p>
        </w:tc>
        <w:tc>
          <w:tcPr>
            <w:tcW w:w="1889" w:type="pct"/>
            <w:gridSpan w:val="3"/>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Turpmākie trīs gadi (</w:t>
            </w:r>
            <w:proofErr w:type="spellStart"/>
            <w:r w:rsidRPr="007F7755">
              <w:rPr>
                <w:rFonts w:ascii="Times New Roman" w:hAnsi="Times New Roman" w:cs="Times New Roman"/>
                <w:i/>
                <w:sz w:val="26"/>
                <w:szCs w:val="26"/>
              </w:rPr>
              <w:t>euro</w:t>
            </w:r>
            <w:proofErr w:type="spellEnd"/>
            <w:r w:rsidRPr="007F7755">
              <w:rPr>
                <w:rFonts w:ascii="Times New Roman" w:hAnsi="Times New Roman" w:cs="Times New Roman"/>
                <w:sz w:val="26"/>
                <w:szCs w:val="26"/>
              </w:rPr>
              <w:t>)</w:t>
            </w:r>
          </w:p>
        </w:tc>
      </w:tr>
      <w:tr w:rsidR="0019303E" w:rsidRPr="007F7755" w:rsidTr="0019303E">
        <w:tc>
          <w:tcPr>
            <w:tcW w:w="0" w:type="auto"/>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both"/>
              <w:rPr>
                <w:rFonts w:ascii="Times New Roman" w:hAnsi="Times New Roman" w:cs="Times New Roman"/>
                <w:b/>
                <w:bCs/>
                <w:sz w:val="26"/>
                <w:szCs w:val="26"/>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both"/>
              <w:rPr>
                <w:rFonts w:ascii="Times New Roman" w:hAnsi="Times New Roman" w:cs="Times New Roman"/>
                <w:b/>
                <w:bCs/>
                <w:sz w:val="26"/>
                <w:szCs w:val="26"/>
              </w:rPr>
            </w:pPr>
          </w:p>
        </w:tc>
        <w:tc>
          <w:tcPr>
            <w:tcW w:w="619"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b/>
                <w:bCs/>
                <w:sz w:val="26"/>
                <w:szCs w:val="26"/>
              </w:rPr>
            </w:pPr>
            <w:r w:rsidRPr="007F7755">
              <w:rPr>
                <w:rFonts w:ascii="Times New Roman" w:hAnsi="Times New Roman" w:cs="Times New Roman"/>
                <w:b/>
                <w:bCs/>
                <w:sz w:val="26"/>
                <w:szCs w:val="26"/>
              </w:rPr>
              <w:t>2016</w:t>
            </w:r>
          </w:p>
        </w:tc>
        <w:tc>
          <w:tcPr>
            <w:tcW w:w="531"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b/>
                <w:bCs/>
                <w:sz w:val="26"/>
                <w:szCs w:val="26"/>
              </w:rPr>
            </w:pPr>
            <w:r w:rsidRPr="007F7755">
              <w:rPr>
                <w:rFonts w:ascii="Times New Roman" w:hAnsi="Times New Roman" w:cs="Times New Roman"/>
                <w:b/>
                <w:bCs/>
                <w:sz w:val="26"/>
                <w:szCs w:val="26"/>
              </w:rPr>
              <w:t>2017</w:t>
            </w:r>
          </w:p>
        </w:tc>
        <w:tc>
          <w:tcPr>
            <w:tcW w:w="739"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b/>
                <w:bCs/>
                <w:sz w:val="26"/>
                <w:szCs w:val="26"/>
              </w:rPr>
            </w:pPr>
            <w:r w:rsidRPr="007F7755">
              <w:rPr>
                <w:rFonts w:ascii="Times New Roman" w:hAnsi="Times New Roman" w:cs="Times New Roman"/>
                <w:b/>
                <w:bCs/>
                <w:sz w:val="26"/>
                <w:szCs w:val="26"/>
              </w:rPr>
              <w:t>2018</w:t>
            </w:r>
          </w:p>
        </w:tc>
      </w:tr>
      <w:tr w:rsidR="0019303E" w:rsidRPr="007F7755" w:rsidTr="0019303E">
        <w:tc>
          <w:tcPr>
            <w:tcW w:w="0" w:type="auto"/>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both"/>
              <w:rPr>
                <w:rFonts w:ascii="Times New Roman" w:hAnsi="Times New Roman" w:cs="Times New Roman"/>
                <w:b/>
                <w:bCs/>
                <w:sz w:val="26"/>
                <w:szCs w:val="26"/>
              </w:rPr>
            </w:pPr>
          </w:p>
        </w:tc>
        <w:tc>
          <w:tcPr>
            <w:tcW w:w="645"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saskaņā ar valsts budžetu kārtējam gadam</w:t>
            </w:r>
          </w:p>
        </w:tc>
        <w:tc>
          <w:tcPr>
            <w:tcW w:w="714"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izmaiņas kārtējā gadā, salīdzinot ar valsts budžetu kārtējam gadam</w:t>
            </w:r>
          </w:p>
        </w:tc>
        <w:tc>
          <w:tcPr>
            <w:tcW w:w="619"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izmaiņas, salīdzinot ar kārtējo (n) gadu</w:t>
            </w:r>
          </w:p>
        </w:tc>
        <w:tc>
          <w:tcPr>
            <w:tcW w:w="531"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izmaiņas, salīdzinot ar kārtējo (n) gadu</w:t>
            </w:r>
          </w:p>
        </w:tc>
        <w:tc>
          <w:tcPr>
            <w:tcW w:w="739"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izmaiņas, salīdzinot ar kārtējo (n) gadu</w:t>
            </w:r>
          </w:p>
        </w:tc>
      </w:tr>
      <w:tr w:rsidR="0019303E" w:rsidRPr="007F7755" w:rsidTr="0019303E">
        <w:trPr>
          <w:trHeight w:val="159"/>
        </w:trPr>
        <w:tc>
          <w:tcPr>
            <w:tcW w:w="0" w:type="auto"/>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1</w:t>
            </w:r>
          </w:p>
        </w:tc>
        <w:tc>
          <w:tcPr>
            <w:tcW w:w="645"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2</w:t>
            </w:r>
          </w:p>
        </w:tc>
        <w:tc>
          <w:tcPr>
            <w:tcW w:w="714"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3</w:t>
            </w:r>
          </w:p>
        </w:tc>
        <w:tc>
          <w:tcPr>
            <w:tcW w:w="619"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4</w:t>
            </w:r>
          </w:p>
        </w:tc>
        <w:tc>
          <w:tcPr>
            <w:tcW w:w="531"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5</w:t>
            </w:r>
          </w:p>
        </w:tc>
        <w:tc>
          <w:tcPr>
            <w:tcW w:w="739"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6</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1. Budžeta ieņēmumi:</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jc w:val="both"/>
              <w:rPr>
                <w:rFonts w:ascii="Times New Roman" w:hAnsi="Times New Roman" w:cs="Times New Roman"/>
                <w:sz w:val="26"/>
                <w:szCs w:val="26"/>
              </w:rPr>
            </w:pPr>
            <w:r w:rsidRPr="007F7755">
              <w:rPr>
                <w:rFonts w:ascii="Times New Roman" w:hAnsi="Times New Roman" w:cs="Times New Roman"/>
                <w:sz w:val="26"/>
                <w:szCs w:val="26"/>
              </w:rPr>
              <w:t>1.1. valsts pamatbudžets, tai skaitā ieņēmumi no maksas pakalpojumiem un citi pašu ieņēmumi</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lastRenderedPageBreak/>
              <w:t>1.2. valsts speciālais budžets</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1.3. pašvaldību budžets</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2. Budžeta izdevumi:</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ind w:left="95" w:hanging="27"/>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2.1. valsts pamatbudžets</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2.2. valsts speciālais budžets</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2.3. pašvaldību budžets</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3. Finansiālā ietekme:</w:t>
            </w:r>
          </w:p>
        </w:tc>
        <w:tc>
          <w:tcPr>
            <w:tcW w:w="645" w:type="pct"/>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3.1. valsts pamatbudžets</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3.2. speciālais budžets</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3.3. pašvaldību budžets</w:t>
            </w:r>
          </w:p>
        </w:tc>
        <w:tc>
          <w:tcPr>
            <w:tcW w:w="645"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vMerge w:val="restar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4. Finanšu līdzekļi papildu izde</w:t>
            </w:r>
            <w:r w:rsidRPr="007F7755">
              <w:rPr>
                <w:rFonts w:ascii="Times New Roman" w:hAnsi="Times New Roman" w:cs="Times New Roman"/>
                <w:sz w:val="26"/>
                <w:szCs w:val="26"/>
              </w:rPr>
              <w:softHyphen/>
              <w:t>vumu finansēšanai (kompensējošu izdevumu samazinājumu norāda ar "+" zīmi)</w:t>
            </w:r>
          </w:p>
        </w:tc>
        <w:tc>
          <w:tcPr>
            <w:tcW w:w="645" w:type="pct"/>
            <w:vMerge w:val="restar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X</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both"/>
              <w:rPr>
                <w:rFonts w:ascii="Times New Roman" w:hAnsi="Times New Roman" w:cs="Times New Roman"/>
                <w:sz w:val="26"/>
                <w:szCs w:val="26"/>
              </w:rPr>
            </w:pPr>
          </w:p>
        </w:tc>
        <w:tc>
          <w:tcPr>
            <w:tcW w:w="645" w:type="pct"/>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center"/>
              <w:rPr>
                <w:rFonts w:ascii="Times New Roman" w:hAnsi="Times New Roman" w:cs="Times New Roman"/>
                <w:sz w:val="26"/>
                <w:szCs w:val="26"/>
              </w:rPr>
            </w:pP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both"/>
              <w:rPr>
                <w:rFonts w:ascii="Times New Roman" w:hAnsi="Times New Roman" w:cs="Times New Roman"/>
                <w:sz w:val="26"/>
                <w:szCs w:val="26"/>
              </w:rPr>
            </w:pPr>
          </w:p>
        </w:tc>
        <w:tc>
          <w:tcPr>
            <w:tcW w:w="645" w:type="pct"/>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center"/>
              <w:rPr>
                <w:rFonts w:ascii="Times New Roman" w:hAnsi="Times New Roman" w:cs="Times New Roman"/>
                <w:sz w:val="26"/>
                <w:szCs w:val="26"/>
              </w:rPr>
            </w:pP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5. Precizēta finansiālā ietekme:</w:t>
            </w:r>
          </w:p>
        </w:tc>
        <w:tc>
          <w:tcPr>
            <w:tcW w:w="645" w:type="pct"/>
            <w:vMerge w:val="restar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center"/>
              <w:rPr>
                <w:rFonts w:ascii="Times New Roman" w:hAnsi="Times New Roman" w:cs="Times New Roman"/>
                <w:sz w:val="26"/>
                <w:szCs w:val="26"/>
              </w:rPr>
            </w:pPr>
            <w:r w:rsidRPr="007F7755">
              <w:rPr>
                <w:rFonts w:ascii="Times New Roman" w:hAnsi="Times New Roman" w:cs="Times New Roman"/>
                <w:sz w:val="26"/>
                <w:szCs w:val="26"/>
              </w:rPr>
              <w:t>X</w:t>
            </w: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5.1. valsts pamatbudžets</w:t>
            </w:r>
          </w:p>
        </w:tc>
        <w:tc>
          <w:tcPr>
            <w:tcW w:w="645" w:type="pct"/>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center"/>
              <w:rPr>
                <w:rFonts w:ascii="Times New Roman" w:hAnsi="Times New Roman" w:cs="Times New Roman"/>
                <w:sz w:val="26"/>
                <w:szCs w:val="26"/>
              </w:rPr>
            </w:pP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5.2. speciālais budžets</w:t>
            </w:r>
          </w:p>
        </w:tc>
        <w:tc>
          <w:tcPr>
            <w:tcW w:w="645" w:type="pct"/>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center"/>
              <w:rPr>
                <w:rFonts w:ascii="Times New Roman" w:hAnsi="Times New Roman" w:cs="Times New Roman"/>
                <w:sz w:val="26"/>
                <w:szCs w:val="26"/>
              </w:rPr>
            </w:pP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5.3. pašvaldību budžets</w:t>
            </w:r>
          </w:p>
        </w:tc>
        <w:tc>
          <w:tcPr>
            <w:tcW w:w="645" w:type="pct"/>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center"/>
              <w:rPr>
                <w:rFonts w:ascii="Times New Roman" w:hAnsi="Times New Roman" w:cs="Times New Roman"/>
                <w:sz w:val="26"/>
                <w:szCs w:val="26"/>
              </w:rPr>
            </w:pPr>
          </w:p>
        </w:tc>
        <w:tc>
          <w:tcPr>
            <w:tcW w:w="714"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61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531"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c>
          <w:tcPr>
            <w:tcW w:w="739" w:type="pct"/>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line="360" w:lineRule="auto"/>
              <w:jc w:val="center"/>
              <w:rPr>
                <w:rFonts w:ascii="Times New Roman" w:hAnsi="Times New Roman" w:cs="Times New Roman"/>
                <w:sz w:val="26"/>
                <w:szCs w:val="26"/>
              </w:rPr>
            </w:pPr>
            <w:r w:rsidRPr="007F7755">
              <w:rPr>
                <w:rFonts w:ascii="Times New Roman" w:hAnsi="Times New Roman" w:cs="Times New Roman"/>
                <w:sz w:val="26"/>
                <w:szCs w:val="26"/>
              </w:rPr>
              <w:t>0</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jc w:val="both"/>
              <w:rPr>
                <w:rFonts w:ascii="Times New Roman" w:hAnsi="Times New Roman" w:cs="Times New Roman"/>
                <w:sz w:val="26"/>
                <w:szCs w:val="26"/>
              </w:rPr>
            </w:pPr>
            <w:r w:rsidRPr="007F7755">
              <w:rPr>
                <w:rFonts w:ascii="Times New Roman" w:hAnsi="Times New Roman" w:cs="Times New Roman"/>
                <w:sz w:val="26"/>
                <w:szCs w:val="26"/>
              </w:rPr>
              <w:t>6. Detalizēts ieņēmumu un izdevu</w:t>
            </w:r>
            <w:r w:rsidRPr="007F7755">
              <w:rPr>
                <w:rFonts w:ascii="Times New Roman" w:hAnsi="Times New Roman" w:cs="Times New Roman"/>
                <w:sz w:val="26"/>
                <w:szCs w:val="26"/>
              </w:rPr>
              <w:softHyphen/>
              <w:t xml:space="preserve">mu aprēķins (ja nepieciešams, detalizētu ieņēmumu un izdevumu </w:t>
            </w:r>
            <w:r w:rsidRPr="007F7755">
              <w:rPr>
                <w:rFonts w:ascii="Times New Roman" w:hAnsi="Times New Roman" w:cs="Times New Roman"/>
                <w:sz w:val="26"/>
                <w:szCs w:val="26"/>
              </w:rPr>
              <w:lastRenderedPageBreak/>
              <w:t>aprēķinu var pievienot anotācijas pielikumā):</w:t>
            </w:r>
          </w:p>
        </w:tc>
        <w:tc>
          <w:tcPr>
            <w:tcW w:w="3249" w:type="pct"/>
            <w:gridSpan w:val="5"/>
            <w:vMerge w:val="restart"/>
            <w:tcBorders>
              <w:top w:val="outset" w:sz="6" w:space="0" w:color="000000"/>
              <w:left w:val="outset" w:sz="6" w:space="0" w:color="000000"/>
              <w:bottom w:val="outset" w:sz="6" w:space="0" w:color="000000"/>
              <w:right w:val="outset" w:sz="6" w:space="0" w:color="000000"/>
            </w:tcBorders>
            <w:vAlign w:val="center"/>
          </w:tcPr>
          <w:p w:rsidR="009B69DD" w:rsidRPr="009B69DD" w:rsidRDefault="009B69DD" w:rsidP="00226E64">
            <w:pPr>
              <w:spacing w:after="0" w:line="240" w:lineRule="auto"/>
              <w:jc w:val="both"/>
              <w:rPr>
                <w:rFonts w:ascii="Times New Roman" w:hAnsi="Times New Roman" w:cs="Times New Roman"/>
                <w:sz w:val="26"/>
                <w:szCs w:val="26"/>
              </w:rPr>
            </w:pPr>
            <w:r w:rsidRPr="009B69DD">
              <w:rPr>
                <w:rFonts w:ascii="Times New Roman" w:hAnsi="Times New Roman" w:cs="Times New Roman"/>
                <w:sz w:val="26"/>
                <w:szCs w:val="26"/>
              </w:rPr>
              <w:lastRenderedPageBreak/>
              <w:t xml:space="preserve">Tā kā </w:t>
            </w:r>
            <w:proofErr w:type="spellStart"/>
            <w:r w:rsidRPr="009B69DD">
              <w:rPr>
                <w:rFonts w:ascii="Times New Roman" w:hAnsi="Times New Roman" w:cs="Times New Roman"/>
                <w:sz w:val="26"/>
                <w:szCs w:val="26"/>
              </w:rPr>
              <w:t>Mikrouzņēmumu</w:t>
            </w:r>
            <w:proofErr w:type="spellEnd"/>
            <w:r w:rsidRPr="009B69DD">
              <w:rPr>
                <w:rFonts w:ascii="Times New Roman" w:hAnsi="Times New Roman" w:cs="Times New Roman"/>
                <w:sz w:val="26"/>
                <w:szCs w:val="26"/>
              </w:rPr>
              <w:t xml:space="preserve"> nodokļa likuma pārejas noteikumu 10.punktā noteikts, ka Ministru kabinets izdod šā likuma 2.panta 1.</w:t>
            </w:r>
            <w:r w:rsidRPr="009B69DD">
              <w:rPr>
                <w:rFonts w:ascii="Times New Roman" w:hAnsi="Times New Roman" w:cs="Times New Roman"/>
                <w:sz w:val="26"/>
                <w:szCs w:val="26"/>
                <w:vertAlign w:val="superscript"/>
              </w:rPr>
              <w:t>2</w:t>
            </w:r>
            <w:r w:rsidRPr="009B69DD">
              <w:rPr>
                <w:rFonts w:ascii="Times New Roman" w:hAnsi="Times New Roman" w:cs="Times New Roman"/>
                <w:sz w:val="26"/>
                <w:szCs w:val="26"/>
              </w:rPr>
              <w:t xml:space="preserve">daļā paredzētos noteikumus nozaru ierobežojuma piemērošanai, izstrādājot budžeta ieņēmumu </w:t>
            </w:r>
            <w:r w:rsidRPr="009B69DD">
              <w:rPr>
                <w:rFonts w:ascii="Times New Roman" w:hAnsi="Times New Roman" w:cs="Times New Roman"/>
                <w:sz w:val="26"/>
                <w:szCs w:val="26"/>
              </w:rPr>
              <w:lastRenderedPageBreak/>
              <w:t>prognozes vidējam termiņam, tika ņemts vērā, ka nozaru ierobežojumi būtiski samazinās nodokļu optimizācijas iespējas, tādējādi tika prognozēts straujāks budžeta ieņēmumu pieaugums. Ja Ministru kabineta noteikumu projekts nozaru ierobežojuma piemērošanai netiks pieņemts, vai tiks sašaurināts tajos ietvertais nozaru saraksts, tas var samazināt budžeta ieņēmumu apmēru vidējā termiņā.</w:t>
            </w:r>
          </w:p>
          <w:p w:rsidR="0019303E" w:rsidRPr="007F7755" w:rsidRDefault="009B69DD" w:rsidP="00226E64">
            <w:pPr>
              <w:spacing w:after="0" w:line="240" w:lineRule="auto"/>
              <w:jc w:val="both"/>
              <w:rPr>
                <w:rFonts w:ascii="Times New Roman" w:hAnsi="Times New Roman" w:cs="Times New Roman"/>
                <w:sz w:val="26"/>
                <w:szCs w:val="26"/>
              </w:rPr>
            </w:pPr>
            <w:r w:rsidRPr="009B69DD">
              <w:rPr>
                <w:rFonts w:ascii="Times New Roman" w:hAnsi="Times New Roman" w:cs="Times New Roman"/>
                <w:sz w:val="26"/>
                <w:szCs w:val="26"/>
              </w:rPr>
              <w:t xml:space="preserve">Šobrīd reģistrētajiem </w:t>
            </w:r>
            <w:proofErr w:type="spellStart"/>
            <w:r w:rsidRPr="009B69DD">
              <w:rPr>
                <w:rFonts w:ascii="Times New Roman" w:hAnsi="Times New Roman" w:cs="Times New Roman"/>
                <w:sz w:val="26"/>
                <w:szCs w:val="26"/>
              </w:rPr>
              <w:t>mikrouzņēmumu</w:t>
            </w:r>
            <w:proofErr w:type="spellEnd"/>
            <w:r w:rsidRPr="009B69DD">
              <w:rPr>
                <w:rFonts w:ascii="Times New Roman" w:hAnsi="Times New Roman" w:cs="Times New Roman"/>
                <w:sz w:val="26"/>
                <w:szCs w:val="26"/>
              </w:rPr>
              <w:t xml:space="preserve"> nodokļa maksātājiem ir</w:t>
            </w:r>
            <w:r>
              <w:rPr>
                <w:rFonts w:ascii="Times New Roman" w:hAnsi="Times New Roman" w:cs="Times New Roman"/>
                <w:sz w:val="26"/>
                <w:szCs w:val="26"/>
              </w:rPr>
              <w:t xml:space="preserve"> paredzēts pārejas periods no 1 līdz </w:t>
            </w:r>
            <w:r w:rsidRPr="009B69DD">
              <w:rPr>
                <w:rFonts w:ascii="Times New Roman" w:hAnsi="Times New Roman" w:cs="Times New Roman"/>
                <w:sz w:val="26"/>
                <w:szCs w:val="26"/>
              </w:rPr>
              <w:t xml:space="preserve">3 gadiem.  Ir grūti prognozēt </w:t>
            </w:r>
            <w:proofErr w:type="spellStart"/>
            <w:r w:rsidRPr="009B69DD">
              <w:rPr>
                <w:rFonts w:ascii="Times New Roman" w:hAnsi="Times New Roman" w:cs="Times New Roman"/>
                <w:sz w:val="26"/>
                <w:szCs w:val="26"/>
              </w:rPr>
              <w:t>mikrouzņēmumu</w:t>
            </w:r>
            <w:proofErr w:type="spellEnd"/>
            <w:r w:rsidRPr="009B69DD">
              <w:rPr>
                <w:rFonts w:ascii="Times New Roman" w:hAnsi="Times New Roman" w:cs="Times New Roman"/>
                <w:sz w:val="26"/>
                <w:szCs w:val="26"/>
              </w:rPr>
              <w:t xml:space="preserve"> nodokļa maksātāju rīcību, noslēdzoties pārejas periodam (tiks mainīs darbības veids, notiks pāreja uz vispārējo nodokļu maksāšanas režīmu, izbeigta darbība u.tml.), taču, ņemot vērā nodokļu optimizācijas iespēju ierobežošanu, fiskālā ietekme ir vērtējama kā pozitīva.</w:t>
            </w: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lastRenderedPageBreak/>
              <w:t>6.1. detalizēts ieņēmumu aprēķins</w:t>
            </w:r>
          </w:p>
        </w:tc>
        <w:tc>
          <w:tcPr>
            <w:tcW w:w="3249" w:type="pct"/>
            <w:gridSpan w:val="5"/>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both"/>
              <w:rPr>
                <w:rFonts w:ascii="Times New Roman" w:hAnsi="Times New Roman" w:cs="Times New Roman"/>
                <w:sz w:val="26"/>
                <w:szCs w:val="26"/>
              </w:rPr>
            </w:pP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6.2. detalizēts izdevumu aprēķins</w:t>
            </w:r>
          </w:p>
        </w:tc>
        <w:tc>
          <w:tcPr>
            <w:tcW w:w="3249" w:type="pct"/>
            <w:gridSpan w:val="5"/>
            <w:vMerge/>
            <w:tcBorders>
              <w:top w:val="outset" w:sz="6" w:space="0" w:color="000000"/>
              <w:left w:val="outset" w:sz="6" w:space="0" w:color="000000"/>
              <w:bottom w:val="outset" w:sz="6" w:space="0" w:color="000000"/>
              <w:right w:val="outset" w:sz="6" w:space="0" w:color="000000"/>
            </w:tcBorders>
            <w:vAlign w:val="center"/>
          </w:tcPr>
          <w:p w:rsidR="0019303E" w:rsidRPr="007F7755" w:rsidRDefault="0019303E" w:rsidP="0019303E">
            <w:pPr>
              <w:jc w:val="both"/>
              <w:rPr>
                <w:rFonts w:ascii="Times New Roman" w:hAnsi="Times New Roman" w:cs="Times New Roman"/>
                <w:sz w:val="26"/>
                <w:szCs w:val="26"/>
              </w:rPr>
            </w:pPr>
          </w:p>
        </w:tc>
      </w:tr>
      <w:tr w:rsidR="0019303E" w:rsidRPr="007F7755" w:rsidTr="0019303E">
        <w:tc>
          <w:tcPr>
            <w:tcW w:w="0" w:type="auto"/>
            <w:tcBorders>
              <w:top w:val="outset" w:sz="6" w:space="0" w:color="000000"/>
              <w:left w:val="outset" w:sz="6" w:space="0" w:color="000000"/>
              <w:bottom w:val="outset" w:sz="6" w:space="0" w:color="000000"/>
              <w:right w:val="outset" w:sz="6" w:space="0" w:color="000000"/>
            </w:tcBorders>
          </w:tcPr>
          <w:p w:rsidR="0019303E" w:rsidRPr="007F7755" w:rsidRDefault="0019303E" w:rsidP="0019303E">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7. Cita informācija</w:t>
            </w:r>
          </w:p>
        </w:tc>
        <w:tc>
          <w:tcPr>
            <w:tcW w:w="3249" w:type="pct"/>
            <w:gridSpan w:val="5"/>
            <w:tcBorders>
              <w:top w:val="outset" w:sz="6" w:space="0" w:color="000000"/>
              <w:left w:val="outset" w:sz="6" w:space="0" w:color="000000"/>
              <w:bottom w:val="outset" w:sz="6" w:space="0" w:color="000000"/>
              <w:right w:val="outset" w:sz="6" w:space="0" w:color="000000"/>
            </w:tcBorders>
          </w:tcPr>
          <w:p w:rsidR="0019303E" w:rsidRPr="007F7755" w:rsidRDefault="009B69DD" w:rsidP="00226E64">
            <w:pPr>
              <w:spacing w:after="0" w:line="240" w:lineRule="auto"/>
              <w:jc w:val="both"/>
              <w:rPr>
                <w:rFonts w:ascii="Times New Roman" w:hAnsi="Times New Roman" w:cs="Times New Roman"/>
                <w:sz w:val="26"/>
                <w:szCs w:val="26"/>
              </w:rPr>
            </w:pPr>
            <w:r w:rsidRPr="009B69DD">
              <w:rPr>
                <w:rFonts w:ascii="Times New Roman" w:hAnsi="Times New Roman" w:cs="Times New Roman"/>
                <w:sz w:val="26"/>
                <w:szCs w:val="26"/>
              </w:rPr>
              <w:t xml:space="preserve">Minētā norma varētu attiekties uz aptuveni 13 tūkst. </w:t>
            </w:r>
            <w:proofErr w:type="spellStart"/>
            <w:r w:rsidRPr="009B69DD">
              <w:rPr>
                <w:rFonts w:ascii="Times New Roman" w:hAnsi="Times New Roman" w:cs="Times New Roman"/>
                <w:sz w:val="26"/>
                <w:szCs w:val="26"/>
              </w:rPr>
              <w:t>mikrouzņēmumiem</w:t>
            </w:r>
            <w:proofErr w:type="spellEnd"/>
            <w:r w:rsidRPr="009B69DD">
              <w:rPr>
                <w:rFonts w:ascii="Times New Roman" w:hAnsi="Times New Roman" w:cs="Times New Roman"/>
                <w:sz w:val="26"/>
                <w:szCs w:val="26"/>
              </w:rPr>
              <w:t>.</w:t>
            </w:r>
          </w:p>
        </w:tc>
      </w:tr>
    </w:tbl>
    <w:p w:rsidR="00FB585A" w:rsidRPr="007F7755" w:rsidRDefault="00FB585A" w:rsidP="00171D36">
      <w:pPr>
        <w:spacing w:after="0" w:line="240" w:lineRule="auto"/>
        <w:rPr>
          <w:rFonts w:ascii="Times New Roman" w:hAnsi="Times New Roman" w:cs="Times New Roman"/>
          <w:sz w:val="26"/>
          <w:szCs w:val="26"/>
        </w:rPr>
      </w:pPr>
    </w:p>
    <w:tbl>
      <w:tblPr>
        <w:tblW w:w="5083"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1"/>
        <w:gridCol w:w="2154"/>
        <w:gridCol w:w="6780"/>
      </w:tblGrid>
      <w:tr w:rsidR="00FB585A" w:rsidRPr="007F7755" w:rsidTr="00FB585A">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FB585A" w:rsidRPr="007F7755" w:rsidRDefault="00FB585A" w:rsidP="00C62F86">
            <w:pPr>
              <w:spacing w:before="100" w:beforeAutospacing="1" w:after="100" w:afterAutospacing="1"/>
              <w:jc w:val="center"/>
              <w:rPr>
                <w:rFonts w:ascii="Times New Roman" w:hAnsi="Times New Roman" w:cs="Times New Roman"/>
                <w:b/>
                <w:bCs/>
                <w:sz w:val="26"/>
                <w:szCs w:val="26"/>
              </w:rPr>
            </w:pPr>
            <w:r w:rsidRPr="007F7755">
              <w:rPr>
                <w:rFonts w:ascii="Times New Roman" w:hAnsi="Times New Roman" w:cs="Times New Roman"/>
                <w:b/>
                <w:bCs/>
                <w:sz w:val="26"/>
                <w:szCs w:val="26"/>
              </w:rPr>
              <w:t>VI. Sabiedrības līdzdalība un komunikācijas aktivitātes</w:t>
            </w:r>
          </w:p>
        </w:tc>
      </w:tr>
      <w:tr w:rsidR="00FB585A" w:rsidRPr="007F7755" w:rsidTr="00FB585A">
        <w:tc>
          <w:tcPr>
            <w:tcW w:w="0" w:type="auto"/>
            <w:tcBorders>
              <w:top w:val="outset" w:sz="6" w:space="0" w:color="000000"/>
              <w:left w:val="outset" w:sz="6" w:space="0" w:color="000000"/>
              <w:bottom w:val="outset" w:sz="6" w:space="0" w:color="000000"/>
              <w:right w:val="outset" w:sz="6" w:space="0" w:color="000000"/>
            </w:tcBorders>
            <w:vAlign w:val="center"/>
          </w:tcPr>
          <w:p w:rsidR="00FB585A" w:rsidRPr="007F7755" w:rsidRDefault="00FB585A" w:rsidP="00C62F86">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1.</w:t>
            </w:r>
          </w:p>
        </w:tc>
        <w:tc>
          <w:tcPr>
            <w:tcW w:w="1170" w:type="pct"/>
            <w:tcBorders>
              <w:top w:val="outset" w:sz="6" w:space="0" w:color="000000"/>
              <w:left w:val="outset" w:sz="6" w:space="0" w:color="000000"/>
              <w:bottom w:val="outset" w:sz="6" w:space="0" w:color="000000"/>
              <w:right w:val="outset" w:sz="6" w:space="0" w:color="000000"/>
            </w:tcBorders>
            <w:vAlign w:val="center"/>
          </w:tcPr>
          <w:p w:rsidR="00FB585A" w:rsidRPr="007F7755" w:rsidRDefault="00FB585A" w:rsidP="00FB585A">
            <w:pPr>
              <w:spacing w:before="100" w:beforeAutospacing="1" w:after="100" w:afterAutospacing="1"/>
              <w:rPr>
                <w:rFonts w:ascii="Times New Roman" w:hAnsi="Times New Roman" w:cs="Times New Roman"/>
                <w:sz w:val="26"/>
                <w:szCs w:val="26"/>
              </w:rPr>
            </w:pPr>
            <w:r w:rsidRPr="007F7755">
              <w:rPr>
                <w:rFonts w:ascii="Times New Roman" w:hAnsi="Times New Roman" w:cs="Times New Roman"/>
                <w:sz w:val="26"/>
                <w:szCs w:val="26"/>
              </w:rPr>
              <w:t>Plānotās sabiedrības līdzdalības un komunikācijas aktivitātes saistībā ar projektu</w:t>
            </w:r>
          </w:p>
        </w:tc>
        <w:tc>
          <w:tcPr>
            <w:tcW w:w="3683" w:type="pct"/>
            <w:tcBorders>
              <w:top w:val="outset" w:sz="6" w:space="0" w:color="000000"/>
              <w:left w:val="outset" w:sz="6" w:space="0" w:color="000000"/>
              <w:bottom w:val="outset" w:sz="6" w:space="0" w:color="000000"/>
              <w:right w:val="outset" w:sz="6" w:space="0" w:color="000000"/>
            </w:tcBorders>
            <w:vAlign w:val="center"/>
          </w:tcPr>
          <w:p w:rsidR="007F7755" w:rsidRPr="007F7755" w:rsidRDefault="00A9586B" w:rsidP="00227853">
            <w:pPr>
              <w:spacing w:after="0" w:line="240" w:lineRule="auto"/>
              <w:jc w:val="both"/>
              <w:rPr>
                <w:rFonts w:ascii="Times New Roman" w:hAnsi="Times New Roman" w:cs="Times New Roman"/>
                <w:sz w:val="26"/>
                <w:szCs w:val="26"/>
              </w:rPr>
            </w:pPr>
            <w:r w:rsidRPr="007F7755">
              <w:rPr>
                <w:rFonts w:ascii="Times New Roman" w:hAnsi="Times New Roman" w:cs="Times New Roman"/>
                <w:sz w:val="26"/>
                <w:szCs w:val="26"/>
              </w:rPr>
              <w:t xml:space="preserve">Saeima </w:t>
            </w:r>
            <w:r w:rsidR="006B6407">
              <w:rPr>
                <w:rFonts w:ascii="Times New Roman" w:hAnsi="Times New Roman" w:cs="Times New Roman"/>
                <w:sz w:val="26"/>
                <w:szCs w:val="26"/>
              </w:rPr>
              <w:t>2015.</w:t>
            </w:r>
            <w:r w:rsidRPr="007F7755">
              <w:rPr>
                <w:rFonts w:ascii="Times New Roman" w:hAnsi="Times New Roman" w:cs="Times New Roman"/>
                <w:sz w:val="26"/>
                <w:szCs w:val="26"/>
              </w:rPr>
              <w:t xml:space="preserve">gada 23.aprīlī pieņēma </w:t>
            </w:r>
            <w:r w:rsidR="002B2982">
              <w:rPr>
                <w:rFonts w:ascii="Times New Roman" w:hAnsi="Times New Roman" w:cs="Times New Roman"/>
                <w:sz w:val="26"/>
                <w:szCs w:val="26"/>
              </w:rPr>
              <w:t>likumu “G</w:t>
            </w:r>
            <w:r w:rsidRPr="007F7755">
              <w:rPr>
                <w:rFonts w:ascii="Times New Roman" w:hAnsi="Times New Roman" w:cs="Times New Roman"/>
                <w:sz w:val="26"/>
                <w:szCs w:val="26"/>
              </w:rPr>
              <w:t>rozījum</w:t>
            </w:r>
            <w:r w:rsidR="002B2982">
              <w:rPr>
                <w:rFonts w:ascii="Times New Roman" w:hAnsi="Times New Roman" w:cs="Times New Roman"/>
                <w:sz w:val="26"/>
                <w:szCs w:val="26"/>
              </w:rPr>
              <w:t>i</w:t>
            </w:r>
            <w:r w:rsidRPr="007F7755">
              <w:rPr>
                <w:rFonts w:ascii="Times New Roman" w:hAnsi="Times New Roman" w:cs="Times New Roman"/>
                <w:sz w:val="26"/>
                <w:szCs w:val="26"/>
              </w:rPr>
              <w:t xml:space="preserve">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likumā</w:t>
            </w:r>
            <w:r w:rsidR="002B2982">
              <w:rPr>
                <w:rFonts w:ascii="Times New Roman" w:hAnsi="Times New Roman" w:cs="Times New Roman"/>
                <w:sz w:val="26"/>
                <w:szCs w:val="26"/>
              </w:rPr>
              <w:t>”</w:t>
            </w:r>
            <w:r w:rsidRPr="007F7755">
              <w:rPr>
                <w:rFonts w:ascii="Times New Roman" w:hAnsi="Times New Roman" w:cs="Times New Roman"/>
                <w:sz w:val="26"/>
                <w:szCs w:val="26"/>
              </w:rPr>
              <w:t xml:space="preserve">, kas papildināts ar jaunām normām, kas nosaka likuma mērķi un nozaru ierobežojumu piemērot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režīmu. Tādējādi sabiedrība ir informēta par to, ka  </w:t>
            </w:r>
            <w:proofErr w:type="spellStart"/>
            <w:r w:rsidRPr="007F7755">
              <w:rPr>
                <w:rFonts w:ascii="Times New Roman" w:hAnsi="Times New Roman" w:cs="Times New Roman"/>
                <w:sz w:val="26"/>
                <w:szCs w:val="26"/>
              </w:rPr>
              <w:t>mikrouzņēmumiem</w:t>
            </w:r>
            <w:proofErr w:type="spellEnd"/>
            <w:r w:rsidRPr="007F7755">
              <w:rPr>
                <w:rFonts w:ascii="Times New Roman" w:hAnsi="Times New Roman" w:cs="Times New Roman"/>
                <w:sz w:val="26"/>
                <w:szCs w:val="26"/>
              </w:rPr>
              <w:t xml:space="preserve"> tiks noteikts ierobežojums izvēlēties maksāt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nodokli, ja </w:t>
            </w:r>
            <w:proofErr w:type="spellStart"/>
            <w:r w:rsidRPr="007F7755">
              <w:rPr>
                <w:rFonts w:ascii="Times New Roman" w:hAnsi="Times New Roman" w:cs="Times New Roman"/>
                <w:sz w:val="26"/>
                <w:szCs w:val="26"/>
              </w:rPr>
              <w:t>mikrouzņēmuma</w:t>
            </w:r>
            <w:proofErr w:type="spellEnd"/>
            <w:r w:rsidRPr="007F7755">
              <w:rPr>
                <w:rFonts w:ascii="Times New Roman" w:hAnsi="Times New Roman" w:cs="Times New Roman"/>
                <w:sz w:val="26"/>
                <w:szCs w:val="26"/>
              </w:rPr>
              <w:t xml:space="preserve"> saimnieciskās darbības </w:t>
            </w:r>
            <w:proofErr w:type="spellStart"/>
            <w:r w:rsidRPr="007F7755">
              <w:rPr>
                <w:rFonts w:ascii="Times New Roman" w:hAnsi="Times New Roman" w:cs="Times New Roman"/>
                <w:sz w:val="26"/>
                <w:szCs w:val="26"/>
              </w:rPr>
              <w:t>pamatnozare</w:t>
            </w:r>
            <w:proofErr w:type="spellEnd"/>
            <w:r w:rsidRPr="007F7755">
              <w:rPr>
                <w:rFonts w:ascii="Times New Roman" w:hAnsi="Times New Roman" w:cs="Times New Roman"/>
                <w:sz w:val="26"/>
                <w:szCs w:val="26"/>
              </w:rPr>
              <w:t xml:space="preserve"> ir ietverta Ministru kabineta noteikumos.</w:t>
            </w:r>
          </w:p>
        </w:tc>
      </w:tr>
      <w:tr w:rsidR="00FB585A" w:rsidRPr="007F7755" w:rsidTr="00FB585A">
        <w:tc>
          <w:tcPr>
            <w:tcW w:w="0" w:type="auto"/>
            <w:tcBorders>
              <w:top w:val="outset" w:sz="6" w:space="0" w:color="000000"/>
              <w:left w:val="outset" w:sz="6" w:space="0" w:color="000000"/>
              <w:bottom w:val="outset" w:sz="6" w:space="0" w:color="000000"/>
              <w:right w:val="outset" w:sz="6" w:space="0" w:color="000000"/>
            </w:tcBorders>
            <w:vAlign w:val="center"/>
          </w:tcPr>
          <w:p w:rsidR="00FB585A" w:rsidRPr="007F7755" w:rsidRDefault="00FB585A" w:rsidP="00C62F86">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2.</w:t>
            </w:r>
          </w:p>
        </w:tc>
        <w:tc>
          <w:tcPr>
            <w:tcW w:w="1170" w:type="pct"/>
            <w:tcBorders>
              <w:top w:val="outset" w:sz="6" w:space="0" w:color="000000"/>
              <w:left w:val="outset" w:sz="6" w:space="0" w:color="000000"/>
              <w:bottom w:val="outset" w:sz="6" w:space="0" w:color="000000"/>
              <w:right w:val="outset" w:sz="6" w:space="0" w:color="000000"/>
            </w:tcBorders>
            <w:vAlign w:val="center"/>
          </w:tcPr>
          <w:p w:rsidR="00FB585A" w:rsidRPr="007F7755" w:rsidRDefault="00FB585A" w:rsidP="00FB585A">
            <w:pPr>
              <w:spacing w:before="100" w:beforeAutospacing="1" w:after="100" w:afterAutospacing="1"/>
              <w:rPr>
                <w:rFonts w:ascii="Times New Roman" w:hAnsi="Times New Roman" w:cs="Times New Roman"/>
                <w:sz w:val="26"/>
                <w:szCs w:val="26"/>
              </w:rPr>
            </w:pPr>
            <w:r w:rsidRPr="007F7755">
              <w:rPr>
                <w:rFonts w:ascii="Times New Roman" w:hAnsi="Times New Roman" w:cs="Times New Roman"/>
                <w:sz w:val="26"/>
                <w:szCs w:val="26"/>
              </w:rPr>
              <w:t>Sabiedrības līdzdalība projekta izstrādē</w:t>
            </w:r>
          </w:p>
        </w:tc>
        <w:tc>
          <w:tcPr>
            <w:tcW w:w="3683" w:type="pct"/>
            <w:tcBorders>
              <w:top w:val="outset" w:sz="6" w:space="0" w:color="000000"/>
              <w:left w:val="outset" w:sz="6" w:space="0" w:color="000000"/>
              <w:bottom w:val="outset" w:sz="6" w:space="0" w:color="000000"/>
              <w:right w:val="outset" w:sz="6" w:space="0" w:color="000000"/>
            </w:tcBorders>
            <w:vAlign w:val="center"/>
          </w:tcPr>
          <w:p w:rsidR="00FB585A" w:rsidRPr="007F7755" w:rsidRDefault="0054281C" w:rsidP="008D6D99">
            <w:pPr>
              <w:spacing w:before="100" w:beforeAutospacing="1" w:after="100" w:afterAutospacing="1"/>
              <w:jc w:val="both"/>
              <w:rPr>
                <w:rFonts w:ascii="Times New Roman" w:hAnsi="Times New Roman" w:cs="Times New Roman"/>
                <w:sz w:val="26"/>
                <w:szCs w:val="26"/>
              </w:rPr>
            </w:pPr>
            <w:r w:rsidRPr="0054281C">
              <w:rPr>
                <w:rFonts w:ascii="Times New Roman" w:hAnsi="Times New Roman" w:cs="Times New Roman"/>
                <w:iCs/>
                <w:sz w:val="26"/>
                <w:szCs w:val="26"/>
              </w:rPr>
              <w:t>Projekts šo jomu neskar.</w:t>
            </w:r>
          </w:p>
        </w:tc>
      </w:tr>
      <w:tr w:rsidR="00FB585A" w:rsidRPr="007F7755" w:rsidTr="00FB585A">
        <w:tc>
          <w:tcPr>
            <w:tcW w:w="0" w:type="auto"/>
            <w:tcBorders>
              <w:top w:val="outset" w:sz="6" w:space="0" w:color="000000"/>
              <w:left w:val="outset" w:sz="6" w:space="0" w:color="000000"/>
              <w:bottom w:val="outset" w:sz="6" w:space="0" w:color="000000"/>
              <w:right w:val="outset" w:sz="6" w:space="0" w:color="000000"/>
            </w:tcBorders>
            <w:vAlign w:val="center"/>
          </w:tcPr>
          <w:p w:rsidR="00FB585A" w:rsidRPr="007F7755" w:rsidRDefault="00FB585A" w:rsidP="00C62F86">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3.</w:t>
            </w:r>
          </w:p>
        </w:tc>
        <w:tc>
          <w:tcPr>
            <w:tcW w:w="1170" w:type="pct"/>
            <w:tcBorders>
              <w:top w:val="outset" w:sz="6" w:space="0" w:color="000000"/>
              <w:left w:val="outset" w:sz="6" w:space="0" w:color="000000"/>
              <w:bottom w:val="outset" w:sz="6" w:space="0" w:color="000000"/>
              <w:right w:val="outset" w:sz="6" w:space="0" w:color="000000"/>
            </w:tcBorders>
            <w:vAlign w:val="center"/>
          </w:tcPr>
          <w:p w:rsidR="00FB585A" w:rsidRPr="007F7755" w:rsidRDefault="00FB585A" w:rsidP="00FB585A">
            <w:pPr>
              <w:spacing w:before="100" w:beforeAutospacing="1" w:after="100" w:afterAutospacing="1"/>
              <w:rPr>
                <w:rFonts w:ascii="Times New Roman" w:hAnsi="Times New Roman" w:cs="Times New Roman"/>
                <w:sz w:val="26"/>
                <w:szCs w:val="26"/>
              </w:rPr>
            </w:pPr>
            <w:r w:rsidRPr="007F7755">
              <w:rPr>
                <w:rFonts w:ascii="Times New Roman" w:hAnsi="Times New Roman" w:cs="Times New Roman"/>
                <w:sz w:val="26"/>
                <w:szCs w:val="26"/>
              </w:rPr>
              <w:t>Sabiedrības līdzdalības rezultāti</w:t>
            </w:r>
          </w:p>
        </w:tc>
        <w:tc>
          <w:tcPr>
            <w:tcW w:w="3683" w:type="pct"/>
            <w:tcBorders>
              <w:top w:val="outset" w:sz="6" w:space="0" w:color="000000"/>
              <w:left w:val="outset" w:sz="6" w:space="0" w:color="000000"/>
              <w:bottom w:val="outset" w:sz="6" w:space="0" w:color="000000"/>
              <w:right w:val="outset" w:sz="6" w:space="0" w:color="000000"/>
            </w:tcBorders>
            <w:vAlign w:val="center"/>
          </w:tcPr>
          <w:p w:rsidR="00FB585A" w:rsidRPr="007F7755" w:rsidRDefault="0054281C" w:rsidP="0054281C">
            <w:pPr>
              <w:spacing w:before="100" w:beforeAutospacing="1" w:after="100" w:afterAutospacing="1"/>
              <w:jc w:val="both"/>
              <w:rPr>
                <w:rFonts w:ascii="Times New Roman" w:hAnsi="Times New Roman" w:cs="Times New Roman"/>
                <w:sz w:val="26"/>
                <w:szCs w:val="26"/>
              </w:rPr>
            </w:pPr>
            <w:r w:rsidRPr="0054281C">
              <w:rPr>
                <w:rFonts w:ascii="Times New Roman" w:hAnsi="Times New Roman" w:cs="Times New Roman"/>
                <w:sz w:val="26"/>
                <w:szCs w:val="26"/>
              </w:rPr>
              <w:t>Saskaņošana ar nozaru pārstāvjiem nav notikusi, jo Ministru kabineta noteikumu projekta izstrādes gaitā tika identificētas nozares, kurās notiek nodokļu plānošana.</w:t>
            </w:r>
          </w:p>
        </w:tc>
      </w:tr>
      <w:tr w:rsidR="00FB585A" w:rsidRPr="007F7755" w:rsidTr="00FB585A">
        <w:tc>
          <w:tcPr>
            <w:tcW w:w="0" w:type="auto"/>
            <w:tcBorders>
              <w:top w:val="outset" w:sz="6" w:space="0" w:color="000000"/>
              <w:left w:val="outset" w:sz="6" w:space="0" w:color="000000"/>
              <w:bottom w:val="outset" w:sz="6" w:space="0" w:color="000000"/>
              <w:right w:val="outset" w:sz="6" w:space="0" w:color="000000"/>
            </w:tcBorders>
            <w:vAlign w:val="center"/>
          </w:tcPr>
          <w:p w:rsidR="00FB585A" w:rsidRPr="007F7755" w:rsidRDefault="00FB585A" w:rsidP="00C62F86">
            <w:pPr>
              <w:spacing w:before="100" w:beforeAutospacing="1" w:after="100" w:afterAutospacing="1"/>
              <w:jc w:val="both"/>
              <w:rPr>
                <w:rFonts w:ascii="Times New Roman" w:hAnsi="Times New Roman" w:cs="Times New Roman"/>
                <w:sz w:val="26"/>
                <w:szCs w:val="26"/>
              </w:rPr>
            </w:pPr>
            <w:r w:rsidRPr="007F7755">
              <w:rPr>
                <w:rFonts w:ascii="Times New Roman" w:hAnsi="Times New Roman" w:cs="Times New Roman"/>
                <w:sz w:val="26"/>
                <w:szCs w:val="26"/>
              </w:rPr>
              <w:t>4.</w:t>
            </w:r>
          </w:p>
        </w:tc>
        <w:tc>
          <w:tcPr>
            <w:tcW w:w="1170" w:type="pct"/>
            <w:tcBorders>
              <w:top w:val="outset" w:sz="6" w:space="0" w:color="000000"/>
              <w:left w:val="outset" w:sz="6" w:space="0" w:color="000000"/>
              <w:bottom w:val="outset" w:sz="6" w:space="0" w:color="000000"/>
              <w:right w:val="outset" w:sz="6" w:space="0" w:color="000000"/>
            </w:tcBorders>
            <w:vAlign w:val="center"/>
          </w:tcPr>
          <w:p w:rsidR="00FB585A" w:rsidRPr="007F7755" w:rsidRDefault="00FB585A" w:rsidP="00FB585A">
            <w:pPr>
              <w:spacing w:before="100" w:beforeAutospacing="1" w:after="100" w:afterAutospacing="1"/>
              <w:rPr>
                <w:rFonts w:ascii="Times New Roman" w:hAnsi="Times New Roman" w:cs="Times New Roman"/>
                <w:sz w:val="26"/>
                <w:szCs w:val="26"/>
              </w:rPr>
            </w:pPr>
            <w:r w:rsidRPr="007F7755">
              <w:rPr>
                <w:rFonts w:ascii="Times New Roman" w:hAnsi="Times New Roman" w:cs="Times New Roman"/>
                <w:sz w:val="26"/>
                <w:szCs w:val="26"/>
              </w:rPr>
              <w:t>Cita informācija</w:t>
            </w:r>
          </w:p>
        </w:tc>
        <w:tc>
          <w:tcPr>
            <w:tcW w:w="3683" w:type="pct"/>
            <w:tcBorders>
              <w:top w:val="outset" w:sz="6" w:space="0" w:color="000000"/>
              <w:left w:val="outset" w:sz="6" w:space="0" w:color="000000"/>
              <w:bottom w:val="outset" w:sz="6" w:space="0" w:color="000000"/>
              <w:right w:val="outset" w:sz="6" w:space="0" w:color="000000"/>
            </w:tcBorders>
            <w:vAlign w:val="center"/>
          </w:tcPr>
          <w:p w:rsidR="00FB585A" w:rsidRPr="007F7755" w:rsidRDefault="00FB585A" w:rsidP="00FB585A">
            <w:pPr>
              <w:rPr>
                <w:rFonts w:ascii="Times New Roman" w:hAnsi="Times New Roman" w:cs="Times New Roman"/>
                <w:sz w:val="26"/>
                <w:szCs w:val="26"/>
              </w:rPr>
            </w:pPr>
            <w:r w:rsidRPr="007F7755">
              <w:rPr>
                <w:rFonts w:ascii="Times New Roman" w:hAnsi="Times New Roman" w:cs="Times New Roman"/>
                <w:sz w:val="26"/>
                <w:szCs w:val="26"/>
              </w:rPr>
              <w:t>Nav.</w:t>
            </w:r>
          </w:p>
        </w:tc>
      </w:tr>
    </w:tbl>
    <w:p w:rsidR="0019303E" w:rsidRPr="007F7755" w:rsidRDefault="0019303E" w:rsidP="00171D36">
      <w:pPr>
        <w:spacing w:after="0" w:line="240"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426"/>
        <w:gridCol w:w="2995"/>
        <w:gridCol w:w="5640"/>
      </w:tblGrid>
      <w:tr w:rsidR="00FB585A" w:rsidRPr="007F7755" w:rsidTr="00C62F86">
        <w:tc>
          <w:tcPr>
            <w:tcW w:w="9061" w:type="dxa"/>
            <w:gridSpan w:val="3"/>
          </w:tcPr>
          <w:p w:rsidR="00FB585A" w:rsidRPr="007F7755" w:rsidRDefault="00FB585A" w:rsidP="00C62F86">
            <w:pPr>
              <w:spacing w:before="20" w:after="20"/>
              <w:jc w:val="center"/>
              <w:rPr>
                <w:rFonts w:ascii="Times New Roman" w:hAnsi="Times New Roman" w:cs="Times New Roman"/>
                <w:b/>
                <w:sz w:val="26"/>
                <w:szCs w:val="26"/>
              </w:rPr>
            </w:pPr>
            <w:r w:rsidRPr="007F7755">
              <w:rPr>
                <w:rFonts w:ascii="Times New Roman" w:hAnsi="Times New Roman" w:cs="Times New Roman"/>
                <w:b/>
                <w:sz w:val="26"/>
                <w:szCs w:val="26"/>
              </w:rPr>
              <w:t>VII. Tiesību akta projekta izpildes nodrošināšana un tās ietekme uz institūcijām</w:t>
            </w:r>
          </w:p>
        </w:tc>
      </w:tr>
      <w:tr w:rsidR="00FB585A" w:rsidRPr="007F7755" w:rsidTr="00C62F86">
        <w:tc>
          <w:tcPr>
            <w:tcW w:w="426" w:type="dxa"/>
          </w:tcPr>
          <w:p w:rsidR="00FB585A" w:rsidRPr="007F7755" w:rsidRDefault="00FB585A" w:rsidP="00C62F86">
            <w:pPr>
              <w:rPr>
                <w:rFonts w:ascii="Times New Roman" w:hAnsi="Times New Roman" w:cs="Times New Roman"/>
                <w:sz w:val="26"/>
                <w:szCs w:val="26"/>
              </w:rPr>
            </w:pPr>
            <w:r w:rsidRPr="007F7755">
              <w:rPr>
                <w:rFonts w:ascii="Times New Roman" w:hAnsi="Times New Roman" w:cs="Times New Roman"/>
                <w:sz w:val="26"/>
                <w:szCs w:val="26"/>
              </w:rPr>
              <w:t>1.</w:t>
            </w:r>
          </w:p>
        </w:tc>
        <w:tc>
          <w:tcPr>
            <w:tcW w:w="2995" w:type="dxa"/>
          </w:tcPr>
          <w:p w:rsidR="00FB585A" w:rsidRPr="007F7755" w:rsidRDefault="00FB585A" w:rsidP="00C62F86">
            <w:pPr>
              <w:rPr>
                <w:rFonts w:ascii="Times New Roman" w:hAnsi="Times New Roman" w:cs="Times New Roman"/>
                <w:sz w:val="26"/>
                <w:szCs w:val="26"/>
              </w:rPr>
            </w:pPr>
            <w:r w:rsidRPr="007F7755">
              <w:rPr>
                <w:rFonts w:ascii="Times New Roman" w:hAnsi="Times New Roman" w:cs="Times New Roman"/>
                <w:sz w:val="26"/>
                <w:szCs w:val="26"/>
              </w:rPr>
              <w:t>Projekta izpildē iesaistītās institūcijas</w:t>
            </w:r>
          </w:p>
        </w:tc>
        <w:tc>
          <w:tcPr>
            <w:tcW w:w="5640" w:type="dxa"/>
          </w:tcPr>
          <w:p w:rsidR="00FB585A" w:rsidRPr="007F7755" w:rsidRDefault="00831CFE" w:rsidP="00C62F86">
            <w:pPr>
              <w:jc w:val="both"/>
              <w:rPr>
                <w:rFonts w:ascii="Times New Roman" w:hAnsi="Times New Roman" w:cs="Times New Roman"/>
                <w:sz w:val="26"/>
                <w:szCs w:val="26"/>
              </w:rPr>
            </w:pPr>
            <w:r w:rsidRPr="007F7755">
              <w:rPr>
                <w:rFonts w:ascii="Times New Roman" w:hAnsi="Times New Roman" w:cs="Times New Roman"/>
                <w:sz w:val="26"/>
                <w:szCs w:val="26"/>
              </w:rPr>
              <w:t>Valsts ieņēmumu dienests</w:t>
            </w:r>
          </w:p>
        </w:tc>
      </w:tr>
      <w:tr w:rsidR="00FB585A" w:rsidRPr="007F7755" w:rsidTr="00C62F86">
        <w:tc>
          <w:tcPr>
            <w:tcW w:w="426" w:type="dxa"/>
          </w:tcPr>
          <w:p w:rsidR="00FB585A" w:rsidRPr="007F7755" w:rsidRDefault="00FB585A" w:rsidP="00C62F86">
            <w:pPr>
              <w:rPr>
                <w:rFonts w:ascii="Times New Roman" w:hAnsi="Times New Roman" w:cs="Times New Roman"/>
                <w:sz w:val="26"/>
                <w:szCs w:val="26"/>
              </w:rPr>
            </w:pPr>
            <w:r w:rsidRPr="007F7755">
              <w:rPr>
                <w:rFonts w:ascii="Times New Roman" w:hAnsi="Times New Roman" w:cs="Times New Roman"/>
                <w:sz w:val="26"/>
                <w:szCs w:val="26"/>
              </w:rPr>
              <w:t>2.</w:t>
            </w:r>
          </w:p>
        </w:tc>
        <w:tc>
          <w:tcPr>
            <w:tcW w:w="2995" w:type="dxa"/>
          </w:tcPr>
          <w:p w:rsidR="00FB585A" w:rsidRPr="007F7755" w:rsidRDefault="00FB585A" w:rsidP="00C62F86">
            <w:pPr>
              <w:rPr>
                <w:rFonts w:ascii="Times New Roman" w:hAnsi="Times New Roman" w:cs="Times New Roman"/>
                <w:sz w:val="26"/>
                <w:szCs w:val="26"/>
              </w:rPr>
            </w:pPr>
            <w:r w:rsidRPr="007F7755">
              <w:rPr>
                <w:rFonts w:ascii="Times New Roman" w:hAnsi="Times New Roman" w:cs="Times New Roman"/>
                <w:sz w:val="26"/>
                <w:szCs w:val="26"/>
              </w:rPr>
              <w:t>Projekta izpildes ietekme uz pārvaldes funkcijām un institucionālo struktūru.</w:t>
            </w:r>
          </w:p>
          <w:p w:rsidR="00FB585A" w:rsidRPr="007F7755" w:rsidRDefault="00FB585A" w:rsidP="00C62F86">
            <w:pPr>
              <w:rPr>
                <w:rFonts w:ascii="Times New Roman" w:hAnsi="Times New Roman" w:cs="Times New Roman"/>
                <w:sz w:val="26"/>
                <w:szCs w:val="26"/>
              </w:rPr>
            </w:pPr>
            <w:r w:rsidRPr="007F7755">
              <w:rPr>
                <w:rFonts w:ascii="Times New Roman" w:hAnsi="Times New Roman" w:cs="Times New Roman"/>
                <w:sz w:val="26"/>
                <w:szCs w:val="26"/>
              </w:rPr>
              <w:lastRenderedPageBreak/>
              <w:t>Jaunu institūciju izveide, esošu institūciju likvidācija vai reorganizācija, to ietekme uz institūcijas cilvēkresursiem.</w:t>
            </w:r>
          </w:p>
        </w:tc>
        <w:tc>
          <w:tcPr>
            <w:tcW w:w="5640" w:type="dxa"/>
          </w:tcPr>
          <w:p w:rsidR="00FB585A" w:rsidRPr="007F7755" w:rsidRDefault="00831CFE" w:rsidP="00227853">
            <w:pPr>
              <w:jc w:val="both"/>
              <w:rPr>
                <w:rFonts w:ascii="Times New Roman" w:hAnsi="Times New Roman" w:cs="Times New Roman"/>
                <w:sz w:val="26"/>
                <w:szCs w:val="26"/>
              </w:rPr>
            </w:pPr>
            <w:r w:rsidRPr="007F7755">
              <w:rPr>
                <w:rFonts w:ascii="Times New Roman" w:hAnsi="Times New Roman" w:cs="Times New Roman"/>
                <w:sz w:val="26"/>
                <w:szCs w:val="26"/>
              </w:rPr>
              <w:lastRenderedPageBreak/>
              <w:t xml:space="preserve">Valsts ieņēmumu dienestam būs jāvērtē vēl viens kritērijs, kas nosaka </w:t>
            </w:r>
            <w:proofErr w:type="spellStart"/>
            <w:r w:rsidRPr="007F7755">
              <w:rPr>
                <w:rFonts w:ascii="Times New Roman" w:hAnsi="Times New Roman" w:cs="Times New Roman"/>
                <w:sz w:val="26"/>
                <w:szCs w:val="26"/>
              </w:rPr>
              <w:t>mikrouzņēmumam</w:t>
            </w:r>
            <w:proofErr w:type="spellEnd"/>
            <w:r w:rsidRPr="007F7755">
              <w:rPr>
                <w:rFonts w:ascii="Times New Roman" w:hAnsi="Times New Roman" w:cs="Times New Roman"/>
                <w:sz w:val="26"/>
                <w:szCs w:val="26"/>
              </w:rPr>
              <w:t xml:space="preserve"> tiesības izvēlēties </w:t>
            </w:r>
            <w:proofErr w:type="spellStart"/>
            <w:r w:rsidRPr="007F7755">
              <w:rPr>
                <w:rFonts w:ascii="Times New Roman" w:hAnsi="Times New Roman" w:cs="Times New Roman"/>
                <w:sz w:val="26"/>
                <w:szCs w:val="26"/>
              </w:rPr>
              <w:t>mikrouzņēmumu</w:t>
            </w:r>
            <w:proofErr w:type="spellEnd"/>
            <w:r w:rsidRPr="007F7755">
              <w:rPr>
                <w:rFonts w:ascii="Times New Roman" w:hAnsi="Times New Roman" w:cs="Times New Roman"/>
                <w:sz w:val="26"/>
                <w:szCs w:val="26"/>
              </w:rPr>
              <w:t xml:space="preserve"> nodokļa režīmu.</w:t>
            </w:r>
          </w:p>
          <w:p w:rsidR="00831CFE" w:rsidRPr="007F7755" w:rsidRDefault="00831CFE" w:rsidP="008D6D99">
            <w:pPr>
              <w:jc w:val="both"/>
              <w:rPr>
                <w:rFonts w:ascii="Times New Roman" w:hAnsi="Times New Roman" w:cs="Times New Roman"/>
                <w:sz w:val="26"/>
                <w:szCs w:val="26"/>
              </w:rPr>
            </w:pPr>
            <w:r w:rsidRPr="007F7755">
              <w:rPr>
                <w:rFonts w:ascii="Times New Roman" w:hAnsi="Times New Roman" w:cs="Times New Roman"/>
                <w:sz w:val="26"/>
                <w:szCs w:val="26"/>
              </w:rPr>
              <w:lastRenderedPageBreak/>
              <w:t>Saistībā ar projekta izpildi nav jāveido jauna institūcija vai jāreorganizē</w:t>
            </w:r>
            <w:r w:rsidR="007F7755" w:rsidRPr="007F7755">
              <w:rPr>
                <w:rFonts w:ascii="Times New Roman" w:hAnsi="Times New Roman" w:cs="Times New Roman"/>
                <w:sz w:val="26"/>
                <w:szCs w:val="26"/>
              </w:rPr>
              <w:t xml:space="preserve"> vai jālikvidē</w:t>
            </w:r>
            <w:r w:rsidRPr="007F7755">
              <w:rPr>
                <w:rFonts w:ascii="Times New Roman" w:hAnsi="Times New Roman" w:cs="Times New Roman"/>
                <w:sz w:val="26"/>
                <w:szCs w:val="26"/>
              </w:rPr>
              <w:t xml:space="preserve"> esošā.</w:t>
            </w:r>
          </w:p>
        </w:tc>
      </w:tr>
      <w:tr w:rsidR="00FB585A" w:rsidRPr="007F7755" w:rsidTr="00C62F86">
        <w:tc>
          <w:tcPr>
            <w:tcW w:w="426" w:type="dxa"/>
          </w:tcPr>
          <w:p w:rsidR="00FB585A" w:rsidRPr="007F7755" w:rsidRDefault="00FB585A" w:rsidP="00C62F86">
            <w:pPr>
              <w:rPr>
                <w:rFonts w:ascii="Times New Roman" w:hAnsi="Times New Roman" w:cs="Times New Roman"/>
                <w:sz w:val="26"/>
                <w:szCs w:val="26"/>
              </w:rPr>
            </w:pPr>
            <w:r w:rsidRPr="007F7755">
              <w:rPr>
                <w:rFonts w:ascii="Times New Roman" w:hAnsi="Times New Roman" w:cs="Times New Roman"/>
                <w:sz w:val="26"/>
                <w:szCs w:val="26"/>
              </w:rPr>
              <w:lastRenderedPageBreak/>
              <w:t>3.</w:t>
            </w:r>
          </w:p>
        </w:tc>
        <w:tc>
          <w:tcPr>
            <w:tcW w:w="2995" w:type="dxa"/>
          </w:tcPr>
          <w:p w:rsidR="00FB585A" w:rsidRPr="007F7755" w:rsidRDefault="00FB585A" w:rsidP="00C62F86">
            <w:pPr>
              <w:rPr>
                <w:rFonts w:ascii="Times New Roman" w:hAnsi="Times New Roman" w:cs="Times New Roman"/>
                <w:sz w:val="26"/>
                <w:szCs w:val="26"/>
              </w:rPr>
            </w:pPr>
            <w:r w:rsidRPr="007F7755">
              <w:rPr>
                <w:rFonts w:ascii="Times New Roman" w:hAnsi="Times New Roman" w:cs="Times New Roman"/>
                <w:sz w:val="26"/>
                <w:szCs w:val="26"/>
              </w:rPr>
              <w:t>Cita informācija</w:t>
            </w:r>
          </w:p>
        </w:tc>
        <w:tc>
          <w:tcPr>
            <w:tcW w:w="5640" w:type="dxa"/>
          </w:tcPr>
          <w:p w:rsidR="00FB585A" w:rsidRPr="007F7755" w:rsidRDefault="00FB585A" w:rsidP="00AD3EC9">
            <w:pPr>
              <w:tabs>
                <w:tab w:val="left" w:pos="1501"/>
              </w:tabs>
              <w:rPr>
                <w:rFonts w:ascii="Times New Roman" w:hAnsi="Times New Roman" w:cs="Times New Roman"/>
                <w:sz w:val="26"/>
                <w:szCs w:val="26"/>
              </w:rPr>
            </w:pPr>
            <w:r w:rsidRPr="007F7755">
              <w:rPr>
                <w:rFonts w:ascii="Times New Roman" w:hAnsi="Times New Roman" w:cs="Times New Roman"/>
                <w:sz w:val="26"/>
                <w:szCs w:val="26"/>
              </w:rPr>
              <w:t>Nav.</w:t>
            </w:r>
            <w:r w:rsidR="00AD3EC9">
              <w:rPr>
                <w:rFonts w:ascii="Times New Roman" w:hAnsi="Times New Roman" w:cs="Times New Roman"/>
                <w:sz w:val="26"/>
                <w:szCs w:val="26"/>
              </w:rPr>
              <w:tab/>
            </w:r>
          </w:p>
        </w:tc>
      </w:tr>
    </w:tbl>
    <w:p w:rsidR="00397763" w:rsidRPr="007F7755" w:rsidRDefault="00197973" w:rsidP="00FB585A">
      <w:pPr>
        <w:pStyle w:val="naisf"/>
        <w:spacing w:after="0" w:afterAutospacing="0"/>
        <w:ind w:firstLine="720"/>
        <w:rPr>
          <w:sz w:val="26"/>
          <w:szCs w:val="26"/>
        </w:rPr>
      </w:pPr>
      <w:r>
        <w:rPr>
          <w:sz w:val="26"/>
          <w:szCs w:val="26"/>
        </w:rPr>
        <w:t>A</w:t>
      </w:r>
      <w:r w:rsidR="00FB585A" w:rsidRPr="007F7755">
        <w:rPr>
          <w:sz w:val="26"/>
          <w:szCs w:val="26"/>
        </w:rPr>
        <w:t>notācijas IV un V sadaļa - projekts šīs jomas neskar</w:t>
      </w:r>
      <w:r w:rsidR="005D519B" w:rsidRPr="007F7755">
        <w:rPr>
          <w:sz w:val="26"/>
          <w:szCs w:val="26"/>
        </w:rPr>
        <w:t>.</w:t>
      </w:r>
    </w:p>
    <w:p w:rsidR="00FA1208" w:rsidRPr="007F7755" w:rsidRDefault="00FA1208" w:rsidP="00FA1208">
      <w:pPr>
        <w:pStyle w:val="naisf"/>
        <w:spacing w:before="0" w:beforeAutospacing="0" w:after="0" w:afterAutospacing="0"/>
        <w:rPr>
          <w:sz w:val="26"/>
          <w:szCs w:val="26"/>
        </w:rPr>
      </w:pPr>
    </w:p>
    <w:p w:rsidR="007F7755" w:rsidRDefault="007F7755" w:rsidP="00FA1208">
      <w:pPr>
        <w:pStyle w:val="naisf"/>
        <w:spacing w:before="0" w:beforeAutospacing="0" w:after="0" w:afterAutospacing="0"/>
        <w:rPr>
          <w:sz w:val="26"/>
          <w:szCs w:val="26"/>
        </w:rPr>
      </w:pPr>
    </w:p>
    <w:p w:rsidR="00633377" w:rsidRDefault="00633377" w:rsidP="00FA1208">
      <w:pPr>
        <w:pStyle w:val="naisf"/>
        <w:spacing w:before="0" w:beforeAutospacing="0" w:after="0" w:afterAutospacing="0"/>
        <w:rPr>
          <w:sz w:val="26"/>
          <w:szCs w:val="26"/>
        </w:rPr>
      </w:pPr>
    </w:p>
    <w:p w:rsidR="00633377" w:rsidRDefault="00633377" w:rsidP="00FA1208">
      <w:pPr>
        <w:pStyle w:val="naisf"/>
        <w:spacing w:before="0" w:beforeAutospacing="0" w:after="0" w:afterAutospacing="0"/>
        <w:rPr>
          <w:sz w:val="26"/>
          <w:szCs w:val="26"/>
        </w:rPr>
      </w:pPr>
    </w:p>
    <w:p w:rsidR="00633377" w:rsidRDefault="00633377" w:rsidP="00FA1208">
      <w:pPr>
        <w:pStyle w:val="naisf"/>
        <w:spacing w:before="0" w:beforeAutospacing="0" w:after="0" w:afterAutospacing="0"/>
        <w:rPr>
          <w:sz w:val="26"/>
          <w:szCs w:val="26"/>
        </w:rPr>
      </w:pPr>
    </w:p>
    <w:p w:rsidR="00236887" w:rsidRPr="007F7755" w:rsidRDefault="00984C24" w:rsidP="00FA1208">
      <w:pPr>
        <w:pStyle w:val="naisf"/>
        <w:spacing w:before="0" w:beforeAutospacing="0" w:after="0" w:afterAutospacing="0"/>
        <w:rPr>
          <w:sz w:val="26"/>
          <w:szCs w:val="26"/>
        </w:rPr>
      </w:pPr>
      <w:r w:rsidRPr="007F7755">
        <w:rPr>
          <w:sz w:val="26"/>
          <w:szCs w:val="26"/>
        </w:rPr>
        <w:t>Finanšu ministrs</w:t>
      </w:r>
      <w:r w:rsidRPr="007F7755">
        <w:rPr>
          <w:sz w:val="26"/>
          <w:szCs w:val="26"/>
        </w:rPr>
        <w:tab/>
      </w:r>
      <w:r w:rsidRPr="007F7755">
        <w:rPr>
          <w:sz w:val="26"/>
          <w:szCs w:val="26"/>
        </w:rPr>
        <w:tab/>
      </w:r>
      <w:r w:rsidRPr="007F7755">
        <w:rPr>
          <w:sz w:val="26"/>
          <w:szCs w:val="26"/>
        </w:rPr>
        <w:tab/>
      </w:r>
      <w:r w:rsidRPr="007F7755">
        <w:rPr>
          <w:sz w:val="26"/>
          <w:szCs w:val="26"/>
        </w:rPr>
        <w:tab/>
      </w:r>
      <w:r w:rsidRPr="007F7755">
        <w:rPr>
          <w:sz w:val="26"/>
          <w:szCs w:val="26"/>
        </w:rPr>
        <w:tab/>
      </w:r>
      <w:r w:rsidRPr="007F7755">
        <w:rPr>
          <w:sz w:val="26"/>
          <w:szCs w:val="26"/>
        </w:rPr>
        <w:tab/>
      </w:r>
      <w:r w:rsidRPr="007F7755">
        <w:rPr>
          <w:sz w:val="26"/>
          <w:szCs w:val="26"/>
        </w:rPr>
        <w:tab/>
      </w:r>
      <w:r w:rsidRPr="007F7755">
        <w:rPr>
          <w:sz w:val="26"/>
          <w:szCs w:val="26"/>
        </w:rPr>
        <w:tab/>
      </w:r>
      <w:proofErr w:type="spellStart"/>
      <w:r w:rsidRPr="007F7755">
        <w:rPr>
          <w:sz w:val="26"/>
          <w:szCs w:val="26"/>
        </w:rPr>
        <w:t>J</w:t>
      </w:r>
      <w:r w:rsidR="0001285C" w:rsidRPr="007F7755">
        <w:rPr>
          <w:sz w:val="26"/>
          <w:szCs w:val="26"/>
        </w:rPr>
        <w:t>.R</w:t>
      </w:r>
      <w:r w:rsidRPr="007F7755">
        <w:rPr>
          <w:sz w:val="26"/>
          <w:szCs w:val="26"/>
        </w:rPr>
        <w:t>eirs</w:t>
      </w:r>
      <w:proofErr w:type="spellEnd"/>
    </w:p>
    <w:p w:rsidR="00197973" w:rsidRDefault="00197973" w:rsidP="00FD68DE">
      <w:pPr>
        <w:tabs>
          <w:tab w:val="left" w:pos="1100"/>
        </w:tabs>
        <w:spacing w:after="0" w:line="240" w:lineRule="auto"/>
        <w:jc w:val="both"/>
        <w:rPr>
          <w:rFonts w:ascii="Times New Roman" w:hAnsi="Times New Roman" w:cs="Times New Roman"/>
          <w:sz w:val="20"/>
          <w:szCs w:val="20"/>
        </w:rPr>
      </w:pPr>
    </w:p>
    <w:p w:rsidR="00197973" w:rsidRDefault="00197973"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Default="00CD783F" w:rsidP="00FD68DE">
      <w:pPr>
        <w:tabs>
          <w:tab w:val="left" w:pos="1100"/>
        </w:tabs>
        <w:spacing w:after="0" w:line="240" w:lineRule="auto"/>
        <w:jc w:val="both"/>
        <w:rPr>
          <w:rFonts w:ascii="Times New Roman" w:hAnsi="Times New Roman" w:cs="Times New Roman"/>
          <w:sz w:val="20"/>
          <w:szCs w:val="20"/>
        </w:rPr>
      </w:pPr>
    </w:p>
    <w:p w:rsidR="00CD783F" w:rsidRPr="00CD783F" w:rsidRDefault="00CD783F" w:rsidP="00FD68DE">
      <w:pPr>
        <w:tabs>
          <w:tab w:val="left" w:pos="1100"/>
        </w:tabs>
        <w:spacing w:after="0" w:line="240" w:lineRule="auto"/>
        <w:jc w:val="both"/>
        <w:rPr>
          <w:rFonts w:ascii="Times New Roman" w:hAnsi="Times New Roman" w:cs="Times New Roman"/>
          <w:sz w:val="20"/>
          <w:szCs w:val="20"/>
          <w:u w:val="single"/>
        </w:rPr>
      </w:pPr>
    </w:p>
    <w:p w:rsidR="00197973" w:rsidRDefault="00197973" w:rsidP="00FD68DE">
      <w:pPr>
        <w:tabs>
          <w:tab w:val="left" w:pos="1100"/>
        </w:tabs>
        <w:spacing w:after="0" w:line="240" w:lineRule="auto"/>
        <w:jc w:val="both"/>
        <w:rPr>
          <w:rFonts w:ascii="Times New Roman" w:hAnsi="Times New Roman" w:cs="Times New Roman"/>
          <w:sz w:val="20"/>
          <w:szCs w:val="20"/>
        </w:rPr>
      </w:pPr>
    </w:p>
    <w:p w:rsidR="00A00839" w:rsidRPr="007F7755" w:rsidRDefault="00642A6A" w:rsidP="00FD68DE">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17.09.2015 16:12</w:t>
      </w:r>
      <w:bookmarkStart w:id="0" w:name="_GoBack"/>
      <w:bookmarkEnd w:id="0"/>
    </w:p>
    <w:p w:rsidR="001D070C" w:rsidRDefault="00A00839" w:rsidP="001D070C">
      <w:pPr>
        <w:tabs>
          <w:tab w:val="left" w:pos="1100"/>
        </w:tabs>
        <w:spacing w:after="0" w:line="240" w:lineRule="auto"/>
        <w:jc w:val="both"/>
        <w:rPr>
          <w:rFonts w:ascii="Times New Roman" w:hAnsi="Times New Roman" w:cs="Times New Roman"/>
          <w:sz w:val="20"/>
          <w:szCs w:val="20"/>
        </w:rPr>
      </w:pPr>
      <w:r w:rsidRPr="007F7755">
        <w:rPr>
          <w:rFonts w:ascii="Times New Roman" w:hAnsi="Times New Roman" w:cs="Times New Roman"/>
          <w:sz w:val="20"/>
          <w:szCs w:val="20"/>
        </w:rPr>
        <w:fldChar w:fldCharType="begin"/>
      </w:r>
      <w:r w:rsidRPr="007F7755">
        <w:rPr>
          <w:rFonts w:ascii="Times New Roman" w:hAnsi="Times New Roman" w:cs="Times New Roman"/>
          <w:sz w:val="20"/>
          <w:szCs w:val="20"/>
        </w:rPr>
        <w:instrText xml:space="preserve"> NUMWORDS   \* MERGEFORMAT </w:instrText>
      </w:r>
      <w:r w:rsidRPr="007F7755">
        <w:rPr>
          <w:rFonts w:ascii="Times New Roman" w:hAnsi="Times New Roman" w:cs="Times New Roman"/>
          <w:sz w:val="20"/>
          <w:szCs w:val="20"/>
        </w:rPr>
        <w:fldChar w:fldCharType="separate"/>
      </w:r>
      <w:r w:rsidR="00066194">
        <w:rPr>
          <w:rFonts w:ascii="Times New Roman" w:hAnsi="Times New Roman" w:cs="Times New Roman"/>
          <w:noProof/>
          <w:sz w:val="20"/>
          <w:szCs w:val="20"/>
        </w:rPr>
        <w:t>1507</w:t>
      </w:r>
      <w:r w:rsidRPr="007F7755">
        <w:rPr>
          <w:rFonts w:ascii="Times New Roman" w:hAnsi="Times New Roman" w:cs="Times New Roman"/>
          <w:sz w:val="20"/>
          <w:szCs w:val="20"/>
        </w:rPr>
        <w:fldChar w:fldCharType="end"/>
      </w:r>
      <w:r w:rsidR="00FD68DE" w:rsidRPr="00226E64">
        <w:rPr>
          <w:rFonts w:ascii="Times New Roman" w:hAnsi="Times New Roman" w:cs="Times New Roman"/>
          <w:szCs w:val="20"/>
        </w:rPr>
        <w:tab/>
      </w:r>
    </w:p>
    <w:p w:rsidR="001D070C" w:rsidRDefault="001D070C" w:rsidP="001D070C">
      <w:pPr>
        <w:tabs>
          <w:tab w:val="left" w:pos="1100"/>
        </w:tabs>
        <w:spacing w:after="0" w:line="240" w:lineRule="auto"/>
        <w:jc w:val="both"/>
        <w:rPr>
          <w:rFonts w:ascii="Times New Roman" w:hAnsi="Times New Roman" w:cs="Times New Roman"/>
          <w:sz w:val="20"/>
          <w:szCs w:val="20"/>
        </w:rPr>
      </w:pPr>
    </w:p>
    <w:p w:rsidR="00066194" w:rsidRPr="00066194" w:rsidRDefault="00066194" w:rsidP="00066194">
      <w:pPr>
        <w:spacing w:after="0" w:line="240" w:lineRule="auto"/>
        <w:jc w:val="both"/>
        <w:rPr>
          <w:rFonts w:ascii="Times New Roman" w:eastAsia="Times New Roman" w:hAnsi="Times New Roman" w:cs="Times New Roman"/>
          <w:sz w:val="20"/>
          <w:szCs w:val="20"/>
          <w:lang w:eastAsia="en-US"/>
        </w:rPr>
      </w:pPr>
      <w:r w:rsidRPr="00066194">
        <w:rPr>
          <w:rFonts w:ascii="Times New Roman" w:eastAsia="Times New Roman" w:hAnsi="Times New Roman" w:cs="Times New Roman"/>
          <w:sz w:val="20"/>
          <w:szCs w:val="20"/>
          <w:lang w:eastAsia="en-US"/>
        </w:rPr>
        <w:t>Smirnova</w:t>
      </w:r>
    </w:p>
    <w:p w:rsidR="00066194" w:rsidRPr="00066194" w:rsidRDefault="00066194" w:rsidP="00066194">
      <w:pPr>
        <w:spacing w:after="0" w:line="240" w:lineRule="auto"/>
        <w:jc w:val="both"/>
        <w:rPr>
          <w:rFonts w:ascii="Times New Roman" w:eastAsia="Times New Roman" w:hAnsi="Times New Roman" w:cs="Times New Roman"/>
          <w:sz w:val="20"/>
          <w:szCs w:val="20"/>
          <w:lang w:eastAsia="en-US"/>
        </w:rPr>
      </w:pPr>
      <w:r w:rsidRPr="00066194">
        <w:rPr>
          <w:rFonts w:ascii="Times New Roman" w:eastAsia="Times New Roman" w:hAnsi="Times New Roman" w:cs="Times New Roman"/>
          <w:sz w:val="20"/>
          <w:szCs w:val="20"/>
          <w:lang w:eastAsia="en-US"/>
        </w:rPr>
        <w:t>Tiešo nodokļu departamenta</w:t>
      </w:r>
    </w:p>
    <w:p w:rsidR="00066194" w:rsidRPr="00066194" w:rsidRDefault="00066194" w:rsidP="00066194">
      <w:pPr>
        <w:spacing w:after="0" w:line="240" w:lineRule="auto"/>
        <w:jc w:val="both"/>
        <w:rPr>
          <w:rFonts w:ascii="Times New Roman" w:eastAsia="Times New Roman" w:hAnsi="Times New Roman" w:cs="Times New Roman"/>
          <w:sz w:val="20"/>
          <w:szCs w:val="20"/>
          <w:lang w:eastAsia="en-US"/>
        </w:rPr>
      </w:pPr>
      <w:r w:rsidRPr="00066194">
        <w:rPr>
          <w:rFonts w:ascii="Times New Roman" w:eastAsia="Times New Roman" w:hAnsi="Times New Roman" w:cs="Times New Roman"/>
          <w:sz w:val="20"/>
          <w:szCs w:val="20"/>
          <w:lang w:eastAsia="en-US"/>
        </w:rPr>
        <w:t>Īpašuma un iedzīvotāju ienākuma</w:t>
      </w:r>
    </w:p>
    <w:p w:rsidR="00066194" w:rsidRPr="00066194" w:rsidRDefault="00066194" w:rsidP="00066194">
      <w:pPr>
        <w:spacing w:after="0" w:line="240" w:lineRule="auto"/>
        <w:jc w:val="both"/>
        <w:rPr>
          <w:rFonts w:ascii="Times New Roman" w:eastAsia="Times New Roman" w:hAnsi="Times New Roman" w:cs="Times New Roman"/>
          <w:sz w:val="20"/>
          <w:szCs w:val="20"/>
          <w:lang w:eastAsia="en-US"/>
        </w:rPr>
      </w:pPr>
      <w:r w:rsidRPr="00066194">
        <w:rPr>
          <w:rFonts w:ascii="Times New Roman" w:eastAsia="Times New Roman" w:hAnsi="Times New Roman" w:cs="Times New Roman"/>
          <w:sz w:val="20"/>
          <w:szCs w:val="20"/>
          <w:lang w:eastAsia="en-US"/>
        </w:rPr>
        <w:t>nodokļu nodaļas vecākā referente</w:t>
      </w:r>
    </w:p>
    <w:p w:rsidR="00066194" w:rsidRPr="00066194" w:rsidRDefault="00066194" w:rsidP="00066194">
      <w:pPr>
        <w:spacing w:after="0" w:line="240" w:lineRule="auto"/>
        <w:jc w:val="both"/>
        <w:rPr>
          <w:rFonts w:ascii="Times New Roman" w:eastAsia="Times New Roman" w:hAnsi="Times New Roman" w:cs="Times New Roman"/>
          <w:sz w:val="20"/>
          <w:szCs w:val="20"/>
          <w:lang w:eastAsia="en-US"/>
        </w:rPr>
      </w:pPr>
      <w:r w:rsidRPr="00066194">
        <w:rPr>
          <w:rFonts w:ascii="Times New Roman" w:eastAsia="Times New Roman" w:hAnsi="Times New Roman" w:cs="Times New Roman"/>
          <w:sz w:val="20"/>
          <w:szCs w:val="20"/>
          <w:lang w:eastAsia="en-US"/>
        </w:rPr>
        <w:t>67083843, fakss 67095497,</w:t>
      </w:r>
    </w:p>
    <w:p w:rsidR="00A00839" w:rsidRPr="00A92541" w:rsidRDefault="00462D13" w:rsidP="00066194">
      <w:pPr>
        <w:tabs>
          <w:tab w:val="left" w:pos="1146"/>
        </w:tabs>
        <w:rPr>
          <w:rFonts w:ascii="Times New Roman" w:hAnsi="Times New Roman" w:cs="Times New Roman"/>
          <w:sz w:val="26"/>
          <w:szCs w:val="26"/>
        </w:rPr>
      </w:pPr>
      <w:hyperlink r:id="rId11" w:history="1">
        <w:r w:rsidR="00066194" w:rsidRPr="00066194">
          <w:rPr>
            <w:rFonts w:ascii="Times New Roman" w:eastAsia="Times New Roman" w:hAnsi="Times New Roman" w:cs="Times New Roman"/>
            <w:color w:val="0000FF"/>
            <w:sz w:val="20"/>
            <w:szCs w:val="20"/>
            <w:u w:val="single"/>
            <w:lang w:eastAsia="en-US"/>
          </w:rPr>
          <w:t>Irina.Smirnova@fm.gov.lv</w:t>
        </w:r>
      </w:hyperlink>
      <w:r w:rsidR="00A92541">
        <w:rPr>
          <w:rFonts w:ascii="Times New Roman" w:hAnsi="Times New Roman" w:cs="Times New Roman"/>
          <w:sz w:val="26"/>
          <w:szCs w:val="26"/>
        </w:rPr>
        <w:tab/>
      </w:r>
    </w:p>
    <w:sectPr w:rsidR="00A00839" w:rsidRPr="00A92541" w:rsidSect="00EC05C0">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13" w:rsidRDefault="00462D13" w:rsidP="004369B2">
      <w:pPr>
        <w:spacing w:after="0" w:line="240" w:lineRule="auto"/>
      </w:pPr>
      <w:r>
        <w:separator/>
      </w:r>
    </w:p>
  </w:endnote>
  <w:endnote w:type="continuationSeparator" w:id="0">
    <w:p w:rsidR="00462D13" w:rsidRDefault="00462D13" w:rsidP="004369B2">
      <w:pPr>
        <w:spacing w:after="0" w:line="240" w:lineRule="auto"/>
      </w:pPr>
      <w:r>
        <w:continuationSeparator/>
      </w:r>
    </w:p>
  </w:endnote>
  <w:endnote w:type="continuationNotice" w:id="1">
    <w:p w:rsidR="00462D13" w:rsidRDefault="00462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01" w:rsidRPr="00891DEE" w:rsidRDefault="00F4052D" w:rsidP="00891DEE">
    <w:pPr>
      <w:pStyle w:val="Footer"/>
      <w:jc w:val="both"/>
      <w:rPr>
        <w:sz w:val="20"/>
        <w:szCs w:val="20"/>
      </w:rPr>
    </w:pPr>
    <w:r>
      <w:rPr>
        <w:rFonts w:ascii="Times New Roman" w:hAnsi="Times New Roman" w:cs="Times New Roman"/>
        <w:sz w:val="18"/>
        <w:szCs w:val="20"/>
      </w:rPr>
      <w:fldChar w:fldCharType="begin"/>
    </w:r>
    <w:r>
      <w:rPr>
        <w:rFonts w:ascii="Times New Roman" w:hAnsi="Times New Roman" w:cs="Times New Roman"/>
        <w:sz w:val="18"/>
        <w:szCs w:val="20"/>
      </w:rPr>
      <w:instrText xml:space="preserve"> FILENAME   \* MERGEFORMAT </w:instrText>
    </w:r>
    <w:r>
      <w:rPr>
        <w:rFonts w:ascii="Times New Roman" w:hAnsi="Times New Roman" w:cs="Times New Roman"/>
        <w:sz w:val="18"/>
        <w:szCs w:val="20"/>
      </w:rPr>
      <w:fldChar w:fldCharType="separate"/>
    </w:r>
    <w:r w:rsidR="00226E64">
      <w:rPr>
        <w:rFonts w:ascii="Times New Roman" w:hAnsi="Times New Roman" w:cs="Times New Roman"/>
        <w:noProof/>
        <w:sz w:val="18"/>
        <w:szCs w:val="20"/>
      </w:rPr>
      <w:t>FManot_MUNNoz_170915.docx</w:t>
    </w:r>
    <w:r>
      <w:rPr>
        <w:rFonts w:ascii="Times New Roman" w:hAnsi="Times New Roman" w:cs="Times New Roman"/>
        <w:sz w:val="18"/>
        <w:szCs w:val="20"/>
      </w:rPr>
      <w:fldChar w:fldCharType="end"/>
    </w:r>
    <w:r w:rsidR="00E601A7" w:rsidRPr="00C3198A">
      <w:rPr>
        <w:rFonts w:ascii="Times New Roman" w:hAnsi="Times New Roman" w:cs="Times New Roman"/>
        <w:sz w:val="18"/>
        <w:szCs w:val="20"/>
      </w:rPr>
      <w:t xml:space="preserve">; </w:t>
    </w:r>
    <w:r w:rsidR="00A00839" w:rsidRPr="00A00839">
      <w:rPr>
        <w:rFonts w:ascii="Times New Roman" w:hAnsi="Times New Roman"/>
        <w:sz w:val="20"/>
        <w:szCs w:val="20"/>
      </w:rPr>
      <w:t>Ministr</w:t>
    </w:r>
    <w:r w:rsidR="007F7755">
      <w:rPr>
        <w:rFonts w:ascii="Times New Roman" w:hAnsi="Times New Roman"/>
        <w:sz w:val="20"/>
        <w:szCs w:val="20"/>
      </w:rPr>
      <w:t>u kabineta noteikumu projekta „</w:t>
    </w:r>
    <w:r w:rsidR="00891DEE" w:rsidRPr="00891DEE">
      <w:rPr>
        <w:rFonts w:ascii="Times New Roman" w:hAnsi="Times New Roman"/>
        <w:sz w:val="20"/>
        <w:szCs w:val="20"/>
      </w:rPr>
      <w:t xml:space="preserve">Nozares, kurās nepiemēro </w:t>
    </w:r>
    <w:proofErr w:type="spellStart"/>
    <w:r w:rsidR="00891DEE" w:rsidRPr="00891DEE">
      <w:rPr>
        <w:rFonts w:ascii="Times New Roman" w:hAnsi="Times New Roman"/>
        <w:sz w:val="20"/>
        <w:szCs w:val="20"/>
      </w:rPr>
      <w:t>mikrouzņēmumu</w:t>
    </w:r>
    <w:proofErr w:type="spellEnd"/>
    <w:r w:rsidR="00891DEE" w:rsidRPr="00891DEE">
      <w:rPr>
        <w:rFonts w:ascii="Times New Roman" w:hAnsi="Times New Roman"/>
        <w:sz w:val="20"/>
        <w:szCs w:val="20"/>
      </w:rPr>
      <w:t xml:space="preserve"> nodokļa režīmu</w:t>
    </w:r>
    <w:r w:rsidR="00A00839" w:rsidRPr="00A00839">
      <w:rPr>
        <w:rFonts w:ascii="Times New Roman" w:hAnsi="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A7" w:rsidRPr="00572859" w:rsidRDefault="00F4052D" w:rsidP="00E601A7">
    <w:pPr>
      <w:pStyle w:val="Footer"/>
      <w:jc w:val="both"/>
      <w:rPr>
        <w:sz w:val="20"/>
        <w:szCs w:val="20"/>
      </w:rPr>
    </w:pPr>
    <w:r>
      <w:rPr>
        <w:rFonts w:ascii="Times New Roman" w:hAnsi="Times New Roman" w:cs="Times New Roman"/>
        <w:sz w:val="18"/>
        <w:szCs w:val="20"/>
      </w:rPr>
      <w:fldChar w:fldCharType="begin"/>
    </w:r>
    <w:r>
      <w:rPr>
        <w:rFonts w:ascii="Times New Roman" w:hAnsi="Times New Roman" w:cs="Times New Roman"/>
        <w:sz w:val="18"/>
        <w:szCs w:val="20"/>
      </w:rPr>
      <w:instrText xml:space="preserve"> FILENAME   \* MERGEFORMAT </w:instrText>
    </w:r>
    <w:r>
      <w:rPr>
        <w:rFonts w:ascii="Times New Roman" w:hAnsi="Times New Roman" w:cs="Times New Roman"/>
        <w:sz w:val="18"/>
        <w:szCs w:val="20"/>
      </w:rPr>
      <w:fldChar w:fldCharType="separate"/>
    </w:r>
    <w:r w:rsidR="00226E64">
      <w:rPr>
        <w:rFonts w:ascii="Times New Roman" w:hAnsi="Times New Roman" w:cs="Times New Roman"/>
        <w:noProof/>
        <w:sz w:val="18"/>
        <w:szCs w:val="20"/>
      </w:rPr>
      <w:t>FManot_MUNNoz_170915.docx</w:t>
    </w:r>
    <w:r>
      <w:rPr>
        <w:rFonts w:ascii="Times New Roman" w:hAnsi="Times New Roman" w:cs="Times New Roman"/>
        <w:sz w:val="18"/>
        <w:szCs w:val="20"/>
      </w:rPr>
      <w:fldChar w:fldCharType="end"/>
    </w:r>
    <w:r w:rsidR="00E601A7" w:rsidRPr="00C3198A">
      <w:rPr>
        <w:rFonts w:ascii="Times New Roman" w:hAnsi="Times New Roman" w:cs="Times New Roman"/>
        <w:sz w:val="18"/>
        <w:szCs w:val="20"/>
      </w:rPr>
      <w:t xml:space="preserve">; </w:t>
    </w:r>
    <w:r w:rsidR="00A00839" w:rsidRPr="00A00839">
      <w:rPr>
        <w:rFonts w:ascii="Times New Roman" w:hAnsi="Times New Roman"/>
        <w:sz w:val="20"/>
        <w:szCs w:val="20"/>
      </w:rPr>
      <w:t>Ministr</w:t>
    </w:r>
    <w:r w:rsidR="00891DEE">
      <w:rPr>
        <w:rFonts w:ascii="Times New Roman" w:hAnsi="Times New Roman"/>
        <w:sz w:val="20"/>
        <w:szCs w:val="20"/>
      </w:rPr>
      <w:t>u kabineta noteikumu projekta „</w:t>
    </w:r>
    <w:r w:rsidR="00891DEE" w:rsidRPr="00891DEE">
      <w:rPr>
        <w:rFonts w:ascii="Times New Roman" w:hAnsi="Times New Roman"/>
        <w:sz w:val="20"/>
        <w:szCs w:val="20"/>
      </w:rPr>
      <w:t xml:space="preserve">Nozares, kurās nepiemēro </w:t>
    </w:r>
    <w:proofErr w:type="spellStart"/>
    <w:r w:rsidR="00891DEE" w:rsidRPr="00891DEE">
      <w:rPr>
        <w:rFonts w:ascii="Times New Roman" w:hAnsi="Times New Roman"/>
        <w:sz w:val="20"/>
        <w:szCs w:val="20"/>
      </w:rPr>
      <w:t>mikrouzņēmumu</w:t>
    </w:r>
    <w:proofErr w:type="spellEnd"/>
    <w:r w:rsidR="00891DEE" w:rsidRPr="00891DEE">
      <w:rPr>
        <w:rFonts w:ascii="Times New Roman" w:hAnsi="Times New Roman"/>
        <w:sz w:val="20"/>
        <w:szCs w:val="20"/>
      </w:rPr>
      <w:t xml:space="preserve"> nodokļa </w:t>
    </w:r>
    <w:proofErr w:type="spellStart"/>
    <w:r w:rsidR="00891DEE" w:rsidRPr="00891DEE">
      <w:rPr>
        <w:rFonts w:ascii="Times New Roman" w:hAnsi="Times New Roman"/>
        <w:sz w:val="20"/>
        <w:szCs w:val="20"/>
      </w:rPr>
      <w:t>režīmu</w:t>
    </w:r>
    <w:r w:rsidR="00A00839" w:rsidRPr="00A00839">
      <w:rPr>
        <w:rFonts w:ascii="Times New Roman" w:hAnsi="Times New Roman"/>
        <w:sz w:val="20"/>
        <w:szCs w:val="20"/>
      </w:rPr>
      <w:t>i</w:t>
    </w:r>
    <w:proofErr w:type="spellEnd"/>
    <w:r w:rsidR="00A00839" w:rsidRPr="00A00839">
      <w:rPr>
        <w:rFonts w:ascii="Times New Roman" w:hAnsi="Times New Roman"/>
        <w:sz w:val="20"/>
        <w:szCs w:val="20"/>
      </w:rPr>
      <w:t>” sākotnējās ietekmes novērtējuma ziņojums (anotācija)</w:t>
    </w:r>
  </w:p>
  <w:p w:rsidR="00FE4001" w:rsidRPr="00C3198A" w:rsidRDefault="00FE4001" w:rsidP="00C31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01" w:rsidRPr="00572859" w:rsidRDefault="00DB1A4E" w:rsidP="004F07F8">
    <w:pPr>
      <w:pStyle w:val="Footer"/>
      <w:jc w:val="both"/>
      <w:rPr>
        <w:sz w:val="20"/>
        <w:szCs w:val="20"/>
      </w:rPr>
    </w:pPr>
    <w:r>
      <w:rPr>
        <w:rFonts w:ascii="Times New Roman" w:hAnsi="Times New Roman" w:cs="Times New Roman"/>
        <w:sz w:val="18"/>
        <w:szCs w:val="20"/>
      </w:rPr>
      <w:fldChar w:fldCharType="begin"/>
    </w:r>
    <w:r>
      <w:rPr>
        <w:rFonts w:ascii="Times New Roman" w:hAnsi="Times New Roman" w:cs="Times New Roman"/>
        <w:sz w:val="18"/>
        <w:szCs w:val="20"/>
      </w:rPr>
      <w:instrText xml:space="preserve"> FILENAME   \* MERGEFORMAT </w:instrText>
    </w:r>
    <w:r>
      <w:rPr>
        <w:rFonts w:ascii="Times New Roman" w:hAnsi="Times New Roman" w:cs="Times New Roman"/>
        <w:sz w:val="18"/>
        <w:szCs w:val="20"/>
      </w:rPr>
      <w:fldChar w:fldCharType="separate"/>
    </w:r>
    <w:r w:rsidR="00226E64">
      <w:rPr>
        <w:rFonts w:ascii="Times New Roman" w:hAnsi="Times New Roman" w:cs="Times New Roman"/>
        <w:noProof/>
        <w:sz w:val="18"/>
        <w:szCs w:val="20"/>
      </w:rPr>
      <w:t>FManot_MUNNoz_170915.docx</w:t>
    </w:r>
    <w:r>
      <w:rPr>
        <w:rFonts w:ascii="Times New Roman" w:hAnsi="Times New Roman" w:cs="Times New Roman"/>
        <w:sz w:val="18"/>
        <w:szCs w:val="20"/>
      </w:rPr>
      <w:fldChar w:fldCharType="end"/>
    </w:r>
    <w:r w:rsidR="00FE4001" w:rsidRPr="00C3198A">
      <w:rPr>
        <w:rFonts w:ascii="Times New Roman" w:hAnsi="Times New Roman" w:cs="Times New Roman"/>
        <w:sz w:val="18"/>
        <w:szCs w:val="20"/>
      </w:rPr>
      <w:t xml:space="preserve">; </w:t>
    </w:r>
    <w:r w:rsidR="00A00839" w:rsidRPr="00A00839">
      <w:rPr>
        <w:rFonts w:ascii="Times New Roman" w:hAnsi="Times New Roman"/>
        <w:sz w:val="20"/>
        <w:szCs w:val="20"/>
      </w:rPr>
      <w:t>Ministr</w:t>
    </w:r>
    <w:r w:rsidR="007F7755">
      <w:rPr>
        <w:rFonts w:ascii="Times New Roman" w:hAnsi="Times New Roman"/>
        <w:sz w:val="20"/>
        <w:szCs w:val="20"/>
      </w:rPr>
      <w:t>u kabineta noteikumu projekta „</w:t>
    </w:r>
    <w:r w:rsidR="00891DEE" w:rsidRPr="00891DEE">
      <w:rPr>
        <w:rFonts w:ascii="Times New Roman" w:hAnsi="Times New Roman"/>
        <w:sz w:val="20"/>
        <w:szCs w:val="20"/>
      </w:rPr>
      <w:t xml:space="preserve">Nozares, kurās nepiemēro </w:t>
    </w:r>
    <w:proofErr w:type="spellStart"/>
    <w:r w:rsidR="00891DEE" w:rsidRPr="00891DEE">
      <w:rPr>
        <w:rFonts w:ascii="Times New Roman" w:hAnsi="Times New Roman"/>
        <w:sz w:val="20"/>
        <w:szCs w:val="20"/>
      </w:rPr>
      <w:t>mikrouzņēmumu</w:t>
    </w:r>
    <w:proofErr w:type="spellEnd"/>
    <w:r w:rsidR="00891DEE" w:rsidRPr="00891DEE">
      <w:rPr>
        <w:rFonts w:ascii="Times New Roman" w:hAnsi="Times New Roman"/>
        <w:sz w:val="20"/>
        <w:szCs w:val="20"/>
      </w:rPr>
      <w:t xml:space="preserve"> nodokļa režīmu</w:t>
    </w:r>
    <w:r w:rsidR="00A00839" w:rsidRPr="00A00839">
      <w:rPr>
        <w:rFonts w:ascii="Times New Roman" w:hAnsi="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13" w:rsidRDefault="00462D13" w:rsidP="004369B2">
      <w:pPr>
        <w:spacing w:after="0" w:line="240" w:lineRule="auto"/>
      </w:pPr>
      <w:r>
        <w:separator/>
      </w:r>
    </w:p>
  </w:footnote>
  <w:footnote w:type="continuationSeparator" w:id="0">
    <w:p w:rsidR="00462D13" w:rsidRDefault="00462D13" w:rsidP="004369B2">
      <w:pPr>
        <w:spacing w:after="0" w:line="240" w:lineRule="auto"/>
      </w:pPr>
      <w:r>
        <w:continuationSeparator/>
      </w:r>
    </w:p>
  </w:footnote>
  <w:footnote w:type="continuationNotice" w:id="1">
    <w:p w:rsidR="00462D13" w:rsidRDefault="00462D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rsidR="00FE4001" w:rsidRPr="00171D36" w:rsidRDefault="00FE4001">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642A6A">
          <w:rPr>
            <w:rFonts w:ascii="Times New Roman" w:hAnsi="Times New Roman" w:cs="Times New Roman"/>
            <w:noProof/>
            <w:sz w:val="24"/>
          </w:rPr>
          <w:t>6</w:t>
        </w:r>
        <w:r w:rsidRPr="00171D36">
          <w:rPr>
            <w:rFonts w:ascii="Times New Roman" w:hAnsi="Times New Roman" w:cs="Times New Roman"/>
            <w:noProof/>
            <w:sz w:val="24"/>
          </w:rPr>
          <w:fldChar w:fldCharType="end"/>
        </w:r>
      </w:p>
    </w:sdtContent>
  </w:sdt>
  <w:p w:rsidR="00FE4001" w:rsidRDefault="00FE4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rsidR="00FE4001" w:rsidRPr="00171D36" w:rsidRDefault="00FE4001">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642A6A">
          <w:rPr>
            <w:rFonts w:ascii="Times New Roman" w:hAnsi="Times New Roman" w:cs="Times New Roman"/>
            <w:noProof/>
            <w:sz w:val="24"/>
          </w:rPr>
          <w:t>5</w:t>
        </w:r>
        <w:r w:rsidRPr="00171D36">
          <w:rPr>
            <w:rFonts w:ascii="Times New Roman" w:hAnsi="Times New Roman" w:cs="Times New Roman"/>
            <w:noProof/>
            <w:sz w:val="24"/>
          </w:rPr>
          <w:fldChar w:fldCharType="end"/>
        </w:r>
      </w:p>
    </w:sdtContent>
  </w:sdt>
  <w:p w:rsidR="00FE4001" w:rsidRDefault="00FE4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01" w:rsidRPr="00682179" w:rsidRDefault="00682179" w:rsidP="00682179">
    <w:pPr>
      <w:pStyle w:val="Header"/>
      <w:jc w:val="right"/>
      <w:rPr>
        <w:rFonts w:ascii="Times New Roman" w:hAnsi="Times New Roman" w:cs="Times New Roman"/>
      </w:rPr>
    </w:pPr>
    <w:r w:rsidRPr="00682179">
      <w:rPr>
        <w:rFonts w:ascii="Times New Roman" w:hAnsi="Times New Roman" w:cs="Times New Roman"/>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B1716F5"/>
    <w:multiLevelType w:val="hybridMultilevel"/>
    <w:tmpl w:val="C5D62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5B49D3"/>
    <w:multiLevelType w:val="hybridMultilevel"/>
    <w:tmpl w:val="459E48C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0EC378DF"/>
    <w:multiLevelType w:val="multilevel"/>
    <w:tmpl w:val="C5446898"/>
    <w:lvl w:ilvl="0">
      <w:start w:val="1"/>
      <w:numFmt w:val="decimal"/>
      <w:lvlText w:val="%1."/>
      <w:lvlJc w:val="left"/>
      <w:pPr>
        <w:ind w:left="4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657" w:hanging="144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737" w:hanging="1800"/>
      </w:pPr>
      <w:rPr>
        <w:rFonts w:hint="default"/>
      </w:rPr>
    </w:lvl>
  </w:abstractNum>
  <w:abstractNum w:abstractNumId="7">
    <w:nsid w:val="10C4756E"/>
    <w:multiLevelType w:val="multilevel"/>
    <w:tmpl w:val="7278C8A0"/>
    <w:lvl w:ilvl="0">
      <w:start w:val="1"/>
      <w:numFmt w:val="decimal"/>
      <w:lvlText w:val="%1."/>
      <w:lvlJc w:val="left"/>
      <w:pPr>
        <w:ind w:left="66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3876" w:hanging="1440"/>
      </w:pPr>
      <w:rPr>
        <w:rFonts w:hint="default"/>
      </w:rPr>
    </w:lvl>
  </w:abstractNum>
  <w:abstractNum w:abstractNumId="8">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9">
    <w:nsid w:val="148B57B6"/>
    <w:multiLevelType w:val="multilevel"/>
    <w:tmpl w:val="5AA0251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12">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3">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5">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6">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8">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0">
    <w:nsid w:val="301A0CB6"/>
    <w:multiLevelType w:val="hybridMultilevel"/>
    <w:tmpl w:val="9B243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3BB42E7"/>
    <w:multiLevelType w:val="hybridMultilevel"/>
    <w:tmpl w:val="B2448788"/>
    <w:lvl w:ilvl="0" w:tplc="BDF4EDF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3">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4">
    <w:nsid w:val="3D441DA7"/>
    <w:multiLevelType w:val="hybridMultilevel"/>
    <w:tmpl w:val="B9D4A89E"/>
    <w:lvl w:ilvl="0" w:tplc="418E437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6">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30">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1">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33E2F27"/>
    <w:multiLevelType w:val="hybridMultilevel"/>
    <w:tmpl w:val="4BB4CB1E"/>
    <w:lvl w:ilvl="0" w:tplc="BDFE2A1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3">
    <w:nsid w:val="542E2BCF"/>
    <w:multiLevelType w:val="multilevel"/>
    <w:tmpl w:val="C5446898"/>
    <w:lvl w:ilvl="0">
      <w:start w:val="1"/>
      <w:numFmt w:val="decimal"/>
      <w:lvlText w:val="%1."/>
      <w:lvlJc w:val="left"/>
      <w:pPr>
        <w:ind w:left="4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657" w:hanging="144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737" w:hanging="1800"/>
      </w:pPr>
      <w:rPr>
        <w:rFonts w:hint="default"/>
      </w:rPr>
    </w:lvl>
  </w:abstractNum>
  <w:abstractNum w:abstractNumId="34">
    <w:nsid w:val="5D8034CC"/>
    <w:multiLevelType w:val="hybridMultilevel"/>
    <w:tmpl w:val="19E4C4C4"/>
    <w:lvl w:ilvl="0" w:tplc="F6C2206C">
      <w:start w:val="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0CC3E41"/>
    <w:multiLevelType w:val="hybridMultilevel"/>
    <w:tmpl w:val="1176450E"/>
    <w:lvl w:ilvl="0" w:tplc="2E0A885C">
      <w:start w:val="2"/>
      <w:numFmt w:val="bullet"/>
      <w:lvlText w:val="-"/>
      <w:lvlJc w:val="left"/>
      <w:pPr>
        <w:ind w:left="720" w:hanging="360"/>
      </w:pPr>
      <w:rPr>
        <w:rFonts w:ascii="Times New Roman" w:eastAsia="Times New Roman" w:hAnsi="Times New Roman" w:cs="Times New Roman"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38">
    <w:nsid w:val="633E0457"/>
    <w:multiLevelType w:val="multilevel"/>
    <w:tmpl w:val="D422C91A"/>
    <w:lvl w:ilvl="0">
      <w:start w:val="12"/>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9">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43">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4">
    <w:nsid w:val="6D58173B"/>
    <w:multiLevelType w:val="hybridMultilevel"/>
    <w:tmpl w:val="2584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47">
    <w:nsid w:val="76B007BC"/>
    <w:multiLevelType w:val="hybridMultilevel"/>
    <w:tmpl w:val="3BAA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49">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2"/>
  </w:num>
  <w:num w:numId="3">
    <w:abstractNumId w:val="42"/>
  </w:num>
  <w:num w:numId="4">
    <w:abstractNumId w:val="0"/>
  </w:num>
  <w:num w:numId="5">
    <w:abstractNumId w:val="13"/>
  </w:num>
  <w:num w:numId="6">
    <w:abstractNumId w:val="16"/>
  </w:num>
  <w:num w:numId="7">
    <w:abstractNumId w:val="5"/>
  </w:num>
  <w:num w:numId="8">
    <w:abstractNumId w:val="22"/>
  </w:num>
  <w:num w:numId="9">
    <w:abstractNumId w:val="1"/>
  </w:num>
  <w:num w:numId="10">
    <w:abstractNumId w:val="2"/>
  </w:num>
  <w:num w:numId="11">
    <w:abstractNumId w:val="43"/>
  </w:num>
  <w:num w:numId="12">
    <w:abstractNumId w:val="25"/>
  </w:num>
  <w:num w:numId="13">
    <w:abstractNumId w:val="45"/>
  </w:num>
  <w:num w:numId="14">
    <w:abstractNumId w:val="37"/>
  </w:num>
  <w:num w:numId="15">
    <w:abstractNumId w:val="36"/>
  </w:num>
  <w:num w:numId="16">
    <w:abstractNumId w:val="49"/>
  </w:num>
  <w:num w:numId="17">
    <w:abstractNumId w:val="39"/>
  </w:num>
  <w:num w:numId="18">
    <w:abstractNumId w:val="31"/>
  </w:num>
  <w:num w:numId="19">
    <w:abstractNumId w:val="27"/>
  </w:num>
  <w:num w:numId="20">
    <w:abstractNumId w:val="28"/>
  </w:num>
  <w:num w:numId="21">
    <w:abstractNumId w:val="18"/>
  </w:num>
  <w:num w:numId="22">
    <w:abstractNumId w:val="11"/>
  </w:num>
  <w:num w:numId="23">
    <w:abstractNumId w:val="23"/>
  </w:num>
  <w:num w:numId="24">
    <w:abstractNumId w:val="41"/>
  </w:num>
  <w:num w:numId="25">
    <w:abstractNumId w:val="19"/>
  </w:num>
  <w:num w:numId="26">
    <w:abstractNumId w:val="10"/>
  </w:num>
  <w:num w:numId="27">
    <w:abstractNumId w:val="8"/>
  </w:num>
  <w:num w:numId="28">
    <w:abstractNumId w:val="46"/>
  </w:num>
  <w:num w:numId="29">
    <w:abstractNumId w:val="48"/>
  </w:num>
  <w:num w:numId="30">
    <w:abstractNumId w:val="30"/>
  </w:num>
  <w:num w:numId="31">
    <w:abstractNumId w:val="29"/>
  </w:num>
  <w:num w:numId="32">
    <w:abstractNumId w:val="17"/>
  </w:num>
  <w:num w:numId="33">
    <w:abstractNumId w:val="14"/>
  </w:num>
  <w:num w:numId="34">
    <w:abstractNumId w:val="26"/>
  </w:num>
  <w:num w:numId="35">
    <w:abstractNumId w:val="15"/>
  </w:num>
  <w:num w:numId="36">
    <w:abstractNumId w:val="32"/>
  </w:num>
  <w:num w:numId="37">
    <w:abstractNumId w:val="4"/>
  </w:num>
  <w:num w:numId="38">
    <w:abstractNumId w:val="35"/>
  </w:num>
  <w:num w:numId="39">
    <w:abstractNumId w:val="47"/>
  </w:num>
  <w:num w:numId="40">
    <w:abstractNumId w:val="6"/>
  </w:num>
  <w:num w:numId="41">
    <w:abstractNumId w:val="20"/>
  </w:num>
  <w:num w:numId="42">
    <w:abstractNumId w:val="7"/>
  </w:num>
  <w:num w:numId="43">
    <w:abstractNumId w:val="21"/>
  </w:num>
  <w:num w:numId="44">
    <w:abstractNumId w:val="38"/>
  </w:num>
  <w:num w:numId="45">
    <w:abstractNumId w:val="9"/>
  </w:num>
  <w:num w:numId="46">
    <w:abstractNumId w:val="44"/>
  </w:num>
  <w:num w:numId="47">
    <w:abstractNumId w:val="34"/>
  </w:num>
  <w:num w:numId="48">
    <w:abstractNumId w:val="3"/>
  </w:num>
  <w:num w:numId="49">
    <w:abstractNumId w:val="2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70"/>
    <w:rsid w:val="00002AC4"/>
    <w:rsid w:val="00003F2D"/>
    <w:rsid w:val="000044FD"/>
    <w:rsid w:val="000066F2"/>
    <w:rsid w:val="00007445"/>
    <w:rsid w:val="00011A47"/>
    <w:rsid w:val="0001285C"/>
    <w:rsid w:val="00012F4F"/>
    <w:rsid w:val="000136A3"/>
    <w:rsid w:val="00013DA3"/>
    <w:rsid w:val="00016528"/>
    <w:rsid w:val="00016E0A"/>
    <w:rsid w:val="00022A31"/>
    <w:rsid w:val="00024D59"/>
    <w:rsid w:val="0002742F"/>
    <w:rsid w:val="000277B3"/>
    <w:rsid w:val="00034F6A"/>
    <w:rsid w:val="000424CF"/>
    <w:rsid w:val="000457FC"/>
    <w:rsid w:val="00045D82"/>
    <w:rsid w:val="00047C66"/>
    <w:rsid w:val="00053DD9"/>
    <w:rsid w:val="000545E6"/>
    <w:rsid w:val="00056305"/>
    <w:rsid w:val="000612C8"/>
    <w:rsid w:val="000627FE"/>
    <w:rsid w:val="00062FE4"/>
    <w:rsid w:val="00064268"/>
    <w:rsid w:val="00064E7B"/>
    <w:rsid w:val="00066194"/>
    <w:rsid w:val="00067D02"/>
    <w:rsid w:val="00067F85"/>
    <w:rsid w:val="0007017D"/>
    <w:rsid w:val="00070C4A"/>
    <w:rsid w:val="00070D8C"/>
    <w:rsid w:val="00071243"/>
    <w:rsid w:val="00071906"/>
    <w:rsid w:val="00072A6D"/>
    <w:rsid w:val="00076EDE"/>
    <w:rsid w:val="0008462E"/>
    <w:rsid w:val="00085ADE"/>
    <w:rsid w:val="00085D9E"/>
    <w:rsid w:val="00092D60"/>
    <w:rsid w:val="000A0B88"/>
    <w:rsid w:val="000A150F"/>
    <w:rsid w:val="000A3A53"/>
    <w:rsid w:val="000A6B02"/>
    <w:rsid w:val="000A6BCF"/>
    <w:rsid w:val="000A76F1"/>
    <w:rsid w:val="000B26CD"/>
    <w:rsid w:val="000B40C4"/>
    <w:rsid w:val="000B4579"/>
    <w:rsid w:val="000B5F8D"/>
    <w:rsid w:val="000B6F71"/>
    <w:rsid w:val="000B7633"/>
    <w:rsid w:val="000B7FC9"/>
    <w:rsid w:val="000C04B7"/>
    <w:rsid w:val="000C2751"/>
    <w:rsid w:val="000C28BC"/>
    <w:rsid w:val="000C3185"/>
    <w:rsid w:val="000C674A"/>
    <w:rsid w:val="000C7217"/>
    <w:rsid w:val="000D1A7F"/>
    <w:rsid w:val="000D4D06"/>
    <w:rsid w:val="000D685C"/>
    <w:rsid w:val="000E0CCB"/>
    <w:rsid w:val="000E0EF3"/>
    <w:rsid w:val="000E2525"/>
    <w:rsid w:val="000F0C91"/>
    <w:rsid w:val="000F310A"/>
    <w:rsid w:val="000F56D3"/>
    <w:rsid w:val="001002B8"/>
    <w:rsid w:val="001028F2"/>
    <w:rsid w:val="00106E13"/>
    <w:rsid w:val="00107BB6"/>
    <w:rsid w:val="0011155F"/>
    <w:rsid w:val="00112295"/>
    <w:rsid w:val="00115F3C"/>
    <w:rsid w:val="00117C3F"/>
    <w:rsid w:val="001213C6"/>
    <w:rsid w:val="0012183D"/>
    <w:rsid w:val="001228B8"/>
    <w:rsid w:val="0012464B"/>
    <w:rsid w:val="00124A07"/>
    <w:rsid w:val="0012659F"/>
    <w:rsid w:val="00127DB5"/>
    <w:rsid w:val="0013023A"/>
    <w:rsid w:val="001315BE"/>
    <w:rsid w:val="0013211F"/>
    <w:rsid w:val="00133132"/>
    <w:rsid w:val="00133320"/>
    <w:rsid w:val="001343C0"/>
    <w:rsid w:val="00135FC5"/>
    <w:rsid w:val="001378DE"/>
    <w:rsid w:val="0014072A"/>
    <w:rsid w:val="00140738"/>
    <w:rsid w:val="00142E74"/>
    <w:rsid w:val="00147090"/>
    <w:rsid w:val="00147245"/>
    <w:rsid w:val="00147473"/>
    <w:rsid w:val="001542A5"/>
    <w:rsid w:val="00155DE8"/>
    <w:rsid w:val="00163A60"/>
    <w:rsid w:val="00164829"/>
    <w:rsid w:val="00166EA2"/>
    <w:rsid w:val="00170DA9"/>
    <w:rsid w:val="001719E3"/>
    <w:rsid w:val="00171D17"/>
    <w:rsid w:val="00171D36"/>
    <w:rsid w:val="0017274F"/>
    <w:rsid w:val="001730E1"/>
    <w:rsid w:val="001733B9"/>
    <w:rsid w:val="00174AC6"/>
    <w:rsid w:val="00175420"/>
    <w:rsid w:val="00176624"/>
    <w:rsid w:val="00176CB2"/>
    <w:rsid w:val="00177A5E"/>
    <w:rsid w:val="0018354B"/>
    <w:rsid w:val="00184133"/>
    <w:rsid w:val="00184AED"/>
    <w:rsid w:val="00185097"/>
    <w:rsid w:val="00186B88"/>
    <w:rsid w:val="001904E8"/>
    <w:rsid w:val="00192975"/>
    <w:rsid w:val="0019303E"/>
    <w:rsid w:val="00193EC5"/>
    <w:rsid w:val="001943F4"/>
    <w:rsid w:val="00197973"/>
    <w:rsid w:val="001A03C5"/>
    <w:rsid w:val="001A1164"/>
    <w:rsid w:val="001A2000"/>
    <w:rsid w:val="001A30FE"/>
    <w:rsid w:val="001A3439"/>
    <w:rsid w:val="001A5E56"/>
    <w:rsid w:val="001A6A7F"/>
    <w:rsid w:val="001A7231"/>
    <w:rsid w:val="001A7D41"/>
    <w:rsid w:val="001B0121"/>
    <w:rsid w:val="001B1210"/>
    <w:rsid w:val="001B1A2D"/>
    <w:rsid w:val="001B1D27"/>
    <w:rsid w:val="001B2D57"/>
    <w:rsid w:val="001B42C1"/>
    <w:rsid w:val="001B6DD2"/>
    <w:rsid w:val="001C01DD"/>
    <w:rsid w:val="001C144E"/>
    <w:rsid w:val="001C5C43"/>
    <w:rsid w:val="001D0291"/>
    <w:rsid w:val="001D0391"/>
    <w:rsid w:val="001D070C"/>
    <w:rsid w:val="001D09A2"/>
    <w:rsid w:val="001D0E62"/>
    <w:rsid w:val="001D14F5"/>
    <w:rsid w:val="001D1F5D"/>
    <w:rsid w:val="001D2A1D"/>
    <w:rsid w:val="001E2011"/>
    <w:rsid w:val="001E35DD"/>
    <w:rsid w:val="001E3DE9"/>
    <w:rsid w:val="001E4F58"/>
    <w:rsid w:val="001E523D"/>
    <w:rsid w:val="001E69FC"/>
    <w:rsid w:val="001E6C78"/>
    <w:rsid w:val="001F004D"/>
    <w:rsid w:val="001F0072"/>
    <w:rsid w:val="001F04D5"/>
    <w:rsid w:val="001F1CE7"/>
    <w:rsid w:val="001F1EAC"/>
    <w:rsid w:val="001F30D4"/>
    <w:rsid w:val="001F353C"/>
    <w:rsid w:val="001F6648"/>
    <w:rsid w:val="001F6940"/>
    <w:rsid w:val="00200F15"/>
    <w:rsid w:val="0020233E"/>
    <w:rsid w:val="002030E5"/>
    <w:rsid w:val="00205DB2"/>
    <w:rsid w:val="00205F39"/>
    <w:rsid w:val="00206258"/>
    <w:rsid w:val="00207E38"/>
    <w:rsid w:val="002121D7"/>
    <w:rsid w:val="00212E84"/>
    <w:rsid w:val="002130ED"/>
    <w:rsid w:val="00215CA6"/>
    <w:rsid w:val="0021652A"/>
    <w:rsid w:val="00216601"/>
    <w:rsid w:val="00222807"/>
    <w:rsid w:val="002231C8"/>
    <w:rsid w:val="00225759"/>
    <w:rsid w:val="00226E64"/>
    <w:rsid w:val="002277D8"/>
    <w:rsid w:val="00227853"/>
    <w:rsid w:val="0023149A"/>
    <w:rsid w:val="00232B4D"/>
    <w:rsid w:val="00232EA5"/>
    <w:rsid w:val="00232F12"/>
    <w:rsid w:val="00233B1F"/>
    <w:rsid w:val="00233CDB"/>
    <w:rsid w:val="00234A68"/>
    <w:rsid w:val="00235345"/>
    <w:rsid w:val="00236887"/>
    <w:rsid w:val="002374F4"/>
    <w:rsid w:val="002441D0"/>
    <w:rsid w:val="002456B7"/>
    <w:rsid w:val="00247E19"/>
    <w:rsid w:val="00247EBD"/>
    <w:rsid w:val="00250602"/>
    <w:rsid w:val="00250A47"/>
    <w:rsid w:val="00253005"/>
    <w:rsid w:val="00256C84"/>
    <w:rsid w:val="002609B6"/>
    <w:rsid w:val="002615AC"/>
    <w:rsid w:val="00265558"/>
    <w:rsid w:val="002731B1"/>
    <w:rsid w:val="0027384E"/>
    <w:rsid w:val="002742FB"/>
    <w:rsid w:val="00274308"/>
    <w:rsid w:val="00274407"/>
    <w:rsid w:val="00276EAD"/>
    <w:rsid w:val="00277B1F"/>
    <w:rsid w:val="00280188"/>
    <w:rsid w:val="0028065B"/>
    <w:rsid w:val="0028174B"/>
    <w:rsid w:val="00284D83"/>
    <w:rsid w:val="00285418"/>
    <w:rsid w:val="002909AD"/>
    <w:rsid w:val="002913DA"/>
    <w:rsid w:val="002917F8"/>
    <w:rsid w:val="00292449"/>
    <w:rsid w:val="00296224"/>
    <w:rsid w:val="0029664A"/>
    <w:rsid w:val="002A0ADB"/>
    <w:rsid w:val="002A12EE"/>
    <w:rsid w:val="002A5481"/>
    <w:rsid w:val="002B2982"/>
    <w:rsid w:val="002B37D6"/>
    <w:rsid w:val="002B3996"/>
    <w:rsid w:val="002B412F"/>
    <w:rsid w:val="002B438A"/>
    <w:rsid w:val="002B4604"/>
    <w:rsid w:val="002C01B4"/>
    <w:rsid w:val="002C0BE9"/>
    <w:rsid w:val="002C10EA"/>
    <w:rsid w:val="002C1495"/>
    <w:rsid w:val="002C21ED"/>
    <w:rsid w:val="002C3769"/>
    <w:rsid w:val="002C583D"/>
    <w:rsid w:val="002C5BB1"/>
    <w:rsid w:val="002C6C8C"/>
    <w:rsid w:val="002D14F4"/>
    <w:rsid w:val="002D1DBA"/>
    <w:rsid w:val="002D1E59"/>
    <w:rsid w:val="002D2CBA"/>
    <w:rsid w:val="002D2E02"/>
    <w:rsid w:val="002D339C"/>
    <w:rsid w:val="002E0392"/>
    <w:rsid w:val="002E1C28"/>
    <w:rsid w:val="002E1CDB"/>
    <w:rsid w:val="002E1DFC"/>
    <w:rsid w:val="002E2F44"/>
    <w:rsid w:val="002E2FD1"/>
    <w:rsid w:val="002E5350"/>
    <w:rsid w:val="002E5ACB"/>
    <w:rsid w:val="002E60B5"/>
    <w:rsid w:val="002E65A9"/>
    <w:rsid w:val="002F29D1"/>
    <w:rsid w:val="002F700B"/>
    <w:rsid w:val="00303132"/>
    <w:rsid w:val="003033B2"/>
    <w:rsid w:val="00305E8A"/>
    <w:rsid w:val="00306387"/>
    <w:rsid w:val="0031152D"/>
    <w:rsid w:val="00311AFF"/>
    <w:rsid w:val="00311EA5"/>
    <w:rsid w:val="00322046"/>
    <w:rsid w:val="0032258D"/>
    <w:rsid w:val="00325324"/>
    <w:rsid w:val="0032763C"/>
    <w:rsid w:val="00331BC9"/>
    <w:rsid w:val="003320A3"/>
    <w:rsid w:val="003333D3"/>
    <w:rsid w:val="00333499"/>
    <w:rsid w:val="00333A9B"/>
    <w:rsid w:val="00333EB5"/>
    <w:rsid w:val="00334411"/>
    <w:rsid w:val="00335D25"/>
    <w:rsid w:val="00337461"/>
    <w:rsid w:val="00343428"/>
    <w:rsid w:val="00345E67"/>
    <w:rsid w:val="00347092"/>
    <w:rsid w:val="00347D7A"/>
    <w:rsid w:val="00347E9A"/>
    <w:rsid w:val="00352DF3"/>
    <w:rsid w:val="00353520"/>
    <w:rsid w:val="00360D2B"/>
    <w:rsid w:val="00361F61"/>
    <w:rsid w:val="00363686"/>
    <w:rsid w:val="003638B4"/>
    <w:rsid w:val="003654AA"/>
    <w:rsid w:val="0036766D"/>
    <w:rsid w:val="003714C5"/>
    <w:rsid w:val="003722FD"/>
    <w:rsid w:val="00374075"/>
    <w:rsid w:val="00375B76"/>
    <w:rsid w:val="00377119"/>
    <w:rsid w:val="0038021B"/>
    <w:rsid w:val="00380812"/>
    <w:rsid w:val="00380F8B"/>
    <w:rsid w:val="003855FF"/>
    <w:rsid w:val="00386316"/>
    <w:rsid w:val="00386F32"/>
    <w:rsid w:val="003925B4"/>
    <w:rsid w:val="00392B74"/>
    <w:rsid w:val="00392E77"/>
    <w:rsid w:val="003935F4"/>
    <w:rsid w:val="00393CFF"/>
    <w:rsid w:val="0039446F"/>
    <w:rsid w:val="00397763"/>
    <w:rsid w:val="003A1256"/>
    <w:rsid w:val="003A1663"/>
    <w:rsid w:val="003A365C"/>
    <w:rsid w:val="003A3F7F"/>
    <w:rsid w:val="003A45C7"/>
    <w:rsid w:val="003B1968"/>
    <w:rsid w:val="003B1F58"/>
    <w:rsid w:val="003C04B5"/>
    <w:rsid w:val="003C6E0A"/>
    <w:rsid w:val="003D2E0A"/>
    <w:rsid w:val="003D2E6B"/>
    <w:rsid w:val="003D38D2"/>
    <w:rsid w:val="003D3C00"/>
    <w:rsid w:val="003D50B4"/>
    <w:rsid w:val="003D664D"/>
    <w:rsid w:val="003E1193"/>
    <w:rsid w:val="003E31C1"/>
    <w:rsid w:val="003E3801"/>
    <w:rsid w:val="003F036F"/>
    <w:rsid w:val="003F3473"/>
    <w:rsid w:val="0040070B"/>
    <w:rsid w:val="00400A54"/>
    <w:rsid w:val="00401A15"/>
    <w:rsid w:val="00402A9A"/>
    <w:rsid w:val="00405BC6"/>
    <w:rsid w:val="0040650A"/>
    <w:rsid w:val="00410051"/>
    <w:rsid w:val="00410A22"/>
    <w:rsid w:val="00411BBF"/>
    <w:rsid w:val="00411E32"/>
    <w:rsid w:val="00415F33"/>
    <w:rsid w:val="00421E6F"/>
    <w:rsid w:val="004229F8"/>
    <w:rsid w:val="004246AB"/>
    <w:rsid w:val="00425B38"/>
    <w:rsid w:val="0042708E"/>
    <w:rsid w:val="004278E2"/>
    <w:rsid w:val="004279A1"/>
    <w:rsid w:val="00427F59"/>
    <w:rsid w:val="004308A6"/>
    <w:rsid w:val="0043316C"/>
    <w:rsid w:val="004369B2"/>
    <w:rsid w:val="00441F04"/>
    <w:rsid w:val="0044312F"/>
    <w:rsid w:val="004431BD"/>
    <w:rsid w:val="00443695"/>
    <w:rsid w:val="004442E0"/>
    <w:rsid w:val="00444F92"/>
    <w:rsid w:val="0044749C"/>
    <w:rsid w:val="00452691"/>
    <w:rsid w:val="004544D2"/>
    <w:rsid w:val="00462D13"/>
    <w:rsid w:val="00466B9E"/>
    <w:rsid w:val="004709AC"/>
    <w:rsid w:val="00472613"/>
    <w:rsid w:val="00474EEF"/>
    <w:rsid w:val="0047700D"/>
    <w:rsid w:val="004777E2"/>
    <w:rsid w:val="00477B03"/>
    <w:rsid w:val="00481B1F"/>
    <w:rsid w:val="004822D6"/>
    <w:rsid w:val="0048341E"/>
    <w:rsid w:val="00485407"/>
    <w:rsid w:val="00485D16"/>
    <w:rsid w:val="00485E95"/>
    <w:rsid w:val="00486E31"/>
    <w:rsid w:val="004874E0"/>
    <w:rsid w:val="00487A04"/>
    <w:rsid w:val="004900D0"/>
    <w:rsid w:val="00492774"/>
    <w:rsid w:val="00493108"/>
    <w:rsid w:val="0049352B"/>
    <w:rsid w:val="00495CFB"/>
    <w:rsid w:val="004A0FA2"/>
    <w:rsid w:val="004A30A9"/>
    <w:rsid w:val="004A758F"/>
    <w:rsid w:val="004B056A"/>
    <w:rsid w:val="004B06D2"/>
    <w:rsid w:val="004B247B"/>
    <w:rsid w:val="004B263A"/>
    <w:rsid w:val="004B3942"/>
    <w:rsid w:val="004B6275"/>
    <w:rsid w:val="004C187A"/>
    <w:rsid w:val="004C67B2"/>
    <w:rsid w:val="004C731E"/>
    <w:rsid w:val="004D04BA"/>
    <w:rsid w:val="004D3382"/>
    <w:rsid w:val="004D6D5B"/>
    <w:rsid w:val="004E16A6"/>
    <w:rsid w:val="004E1B12"/>
    <w:rsid w:val="004E2021"/>
    <w:rsid w:val="004E595B"/>
    <w:rsid w:val="004E5B70"/>
    <w:rsid w:val="004F07F8"/>
    <w:rsid w:val="004F111E"/>
    <w:rsid w:val="004F12C2"/>
    <w:rsid w:val="004F1CA3"/>
    <w:rsid w:val="004F1F14"/>
    <w:rsid w:val="004F2C94"/>
    <w:rsid w:val="004F527E"/>
    <w:rsid w:val="004F5916"/>
    <w:rsid w:val="004F6068"/>
    <w:rsid w:val="004F6353"/>
    <w:rsid w:val="004F6F09"/>
    <w:rsid w:val="00500402"/>
    <w:rsid w:val="00502937"/>
    <w:rsid w:val="00503049"/>
    <w:rsid w:val="00504770"/>
    <w:rsid w:val="0050499F"/>
    <w:rsid w:val="00505DF4"/>
    <w:rsid w:val="005076C0"/>
    <w:rsid w:val="00507ECC"/>
    <w:rsid w:val="005104B6"/>
    <w:rsid w:val="0051056F"/>
    <w:rsid w:val="00511203"/>
    <w:rsid w:val="005119D6"/>
    <w:rsid w:val="00514E2C"/>
    <w:rsid w:val="005159BC"/>
    <w:rsid w:val="00515FBF"/>
    <w:rsid w:val="00517601"/>
    <w:rsid w:val="00522B81"/>
    <w:rsid w:val="005234B5"/>
    <w:rsid w:val="00524E56"/>
    <w:rsid w:val="005258CC"/>
    <w:rsid w:val="00525DA0"/>
    <w:rsid w:val="00527D30"/>
    <w:rsid w:val="005307DD"/>
    <w:rsid w:val="0053272A"/>
    <w:rsid w:val="00534462"/>
    <w:rsid w:val="00537425"/>
    <w:rsid w:val="00541141"/>
    <w:rsid w:val="00541276"/>
    <w:rsid w:val="00541CC6"/>
    <w:rsid w:val="00542124"/>
    <w:rsid w:val="0054281C"/>
    <w:rsid w:val="0054344C"/>
    <w:rsid w:val="00545FF6"/>
    <w:rsid w:val="00546129"/>
    <w:rsid w:val="00550879"/>
    <w:rsid w:val="00551058"/>
    <w:rsid w:val="00551741"/>
    <w:rsid w:val="0055314C"/>
    <w:rsid w:val="005561E6"/>
    <w:rsid w:val="00557CDC"/>
    <w:rsid w:val="00560C94"/>
    <w:rsid w:val="005612E9"/>
    <w:rsid w:val="005618A9"/>
    <w:rsid w:val="0056254F"/>
    <w:rsid w:val="00564E80"/>
    <w:rsid w:val="00565D93"/>
    <w:rsid w:val="005675C4"/>
    <w:rsid w:val="00567E5D"/>
    <w:rsid w:val="00572859"/>
    <w:rsid w:val="005729AD"/>
    <w:rsid w:val="00576E0D"/>
    <w:rsid w:val="00580BB3"/>
    <w:rsid w:val="005840B6"/>
    <w:rsid w:val="0058427C"/>
    <w:rsid w:val="00584507"/>
    <w:rsid w:val="00584879"/>
    <w:rsid w:val="00585200"/>
    <w:rsid w:val="00585B64"/>
    <w:rsid w:val="00585D50"/>
    <w:rsid w:val="00585F65"/>
    <w:rsid w:val="005860F4"/>
    <w:rsid w:val="0058698C"/>
    <w:rsid w:val="005906C4"/>
    <w:rsid w:val="00592AE3"/>
    <w:rsid w:val="005949B3"/>
    <w:rsid w:val="00596F47"/>
    <w:rsid w:val="00597631"/>
    <w:rsid w:val="00597D66"/>
    <w:rsid w:val="005A17DE"/>
    <w:rsid w:val="005A1D14"/>
    <w:rsid w:val="005A5076"/>
    <w:rsid w:val="005A5A37"/>
    <w:rsid w:val="005A5CDD"/>
    <w:rsid w:val="005A6697"/>
    <w:rsid w:val="005B22B7"/>
    <w:rsid w:val="005B4E4B"/>
    <w:rsid w:val="005B5063"/>
    <w:rsid w:val="005C2ABD"/>
    <w:rsid w:val="005C2DF1"/>
    <w:rsid w:val="005C3613"/>
    <w:rsid w:val="005D164B"/>
    <w:rsid w:val="005D4EAE"/>
    <w:rsid w:val="005D519B"/>
    <w:rsid w:val="005D5576"/>
    <w:rsid w:val="005E056B"/>
    <w:rsid w:val="005E26F3"/>
    <w:rsid w:val="005E3BAB"/>
    <w:rsid w:val="005E6A88"/>
    <w:rsid w:val="005F3251"/>
    <w:rsid w:val="005F3F1F"/>
    <w:rsid w:val="005F464D"/>
    <w:rsid w:val="005F5CE0"/>
    <w:rsid w:val="005F6B51"/>
    <w:rsid w:val="005F73B9"/>
    <w:rsid w:val="006112F6"/>
    <w:rsid w:val="006119A1"/>
    <w:rsid w:val="00611B0A"/>
    <w:rsid w:val="00614DD5"/>
    <w:rsid w:val="006155B9"/>
    <w:rsid w:val="00615F74"/>
    <w:rsid w:val="00616D48"/>
    <w:rsid w:val="00617970"/>
    <w:rsid w:val="00622C4C"/>
    <w:rsid w:val="00624377"/>
    <w:rsid w:val="006270EB"/>
    <w:rsid w:val="00630A94"/>
    <w:rsid w:val="00633377"/>
    <w:rsid w:val="006358E7"/>
    <w:rsid w:val="00642A6A"/>
    <w:rsid w:val="00643263"/>
    <w:rsid w:val="00643421"/>
    <w:rsid w:val="0064586E"/>
    <w:rsid w:val="00651B2D"/>
    <w:rsid w:val="00652C95"/>
    <w:rsid w:val="006552BE"/>
    <w:rsid w:val="006562E0"/>
    <w:rsid w:val="006578D6"/>
    <w:rsid w:val="0066088D"/>
    <w:rsid w:val="00662CA0"/>
    <w:rsid w:val="0066521F"/>
    <w:rsid w:val="00665314"/>
    <w:rsid w:val="00665490"/>
    <w:rsid w:val="00665874"/>
    <w:rsid w:val="00666C0C"/>
    <w:rsid w:val="006671FC"/>
    <w:rsid w:val="00667E5F"/>
    <w:rsid w:val="0067092B"/>
    <w:rsid w:val="00672B73"/>
    <w:rsid w:val="0067310B"/>
    <w:rsid w:val="00673238"/>
    <w:rsid w:val="00675CB7"/>
    <w:rsid w:val="00681068"/>
    <w:rsid w:val="00681548"/>
    <w:rsid w:val="00682179"/>
    <w:rsid w:val="0068292C"/>
    <w:rsid w:val="00682BFD"/>
    <w:rsid w:val="00684C8D"/>
    <w:rsid w:val="00685718"/>
    <w:rsid w:val="00686DA3"/>
    <w:rsid w:val="006878C6"/>
    <w:rsid w:val="0069095C"/>
    <w:rsid w:val="00690AF5"/>
    <w:rsid w:val="00693210"/>
    <w:rsid w:val="00694617"/>
    <w:rsid w:val="00694926"/>
    <w:rsid w:val="00694976"/>
    <w:rsid w:val="0069556E"/>
    <w:rsid w:val="00696872"/>
    <w:rsid w:val="006977EC"/>
    <w:rsid w:val="006A293E"/>
    <w:rsid w:val="006A326F"/>
    <w:rsid w:val="006A7F89"/>
    <w:rsid w:val="006B02BF"/>
    <w:rsid w:val="006B142D"/>
    <w:rsid w:val="006B1612"/>
    <w:rsid w:val="006B2115"/>
    <w:rsid w:val="006B2BD6"/>
    <w:rsid w:val="006B2DC9"/>
    <w:rsid w:val="006B4287"/>
    <w:rsid w:val="006B6407"/>
    <w:rsid w:val="006C18C0"/>
    <w:rsid w:val="006C309B"/>
    <w:rsid w:val="006C4D67"/>
    <w:rsid w:val="006C4EC8"/>
    <w:rsid w:val="006C62AB"/>
    <w:rsid w:val="006C6FEF"/>
    <w:rsid w:val="006C719C"/>
    <w:rsid w:val="006C7CA2"/>
    <w:rsid w:val="006C7FFB"/>
    <w:rsid w:val="006D4642"/>
    <w:rsid w:val="006D5818"/>
    <w:rsid w:val="006E2085"/>
    <w:rsid w:val="006E412A"/>
    <w:rsid w:val="006E4A36"/>
    <w:rsid w:val="006E646D"/>
    <w:rsid w:val="006E77A0"/>
    <w:rsid w:val="006E7B52"/>
    <w:rsid w:val="006F225F"/>
    <w:rsid w:val="006F6554"/>
    <w:rsid w:val="006F7810"/>
    <w:rsid w:val="00700A10"/>
    <w:rsid w:val="00703183"/>
    <w:rsid w:val="007059C6"/>
    <w:rsid w:val="007079D9"/>
    <w:rsid w:val="0071422E"/>
    <w:rsid w:val="007153BD"/>
    <w:rsid w:val="00721279"/>
    <w:rsid w:val="0072182D"/>
    <w:rsid w:val="007253C1"/>
    <w:rsid w:val="00725CEA"/>
    <w:rsid w:val="007262C7"/>
    <w:rsid w:val="00732388"/>
    <w:rsid w:val="00733273"/>
    <w:rsid w:val="00734F11"/>
    <w:rsid w:val="0073592E"/>
    <w:rsid w:val="00735E9A"/>
    <w:rsid w:val="0073620D"/>
    <w:rsid w:val="007367C4"/>
    <w:rsid w:val="007427FF"/>
    <w:rsid w:val="00742A0A"/>
    <w:rsid w:val="0074439C"/>
    <w:rsid w:val="00744716"/>
    <w:rsid w:val="007505EB"/>
    <w:rsid w:val="00752A06"/>
    <w:rsid w:val="00753A6D"/>
    <w:rsid w:val="0075496E"/>
    <w:rsid w:val="00756A78"/>
    <w:rsid w:val="00757A25"/>
    <w:rsid w:val="00757B9E"/>
    <w:rsid w:val="0076207F"/>
    <w:rsid w:val="00765D24"/>
    <w:rsid w:val="00765E16"/>
    <w:rsid w:val="00767188"/>
    <w:rsid w:val="0077079B"/>
    <w:rsid w:val="007714E7"/>
    <w:rsid w:val="00771A61"/>
    <w:rsid w:val="00772E1E"/>
    <w:rsid w:val="00774CDA"/>
    <w:rsid w:val="00774E67"/>
    <w:rsid w:val="00776E44"/>
    <w:rsid w:val="00776F04"/>
    <w:rsid w:val="007809AA"/>
    <w:rsid w:val="00780F05"/>
    <w:rsid w:val="00783B3F"/>
    <w:rsid w:val="00784413"/>
    <w:rsid w:val="00786848"/>
    <w:rsid w:val="00787650"/>
    <w:rsid w:val="00787732"/>
    <w:rsid w:val="0078790A"/>
    <w:rsid w:val="00792628"/>
    <w:rsid w:val="00795BDA"/>
    <w:rsid w:val="00796885"/>
    <w:rsid w:val="00796E59"/>
    <w:rsid w:val="00797147"/>
    <w:rsid w:val="007978F5"/>
    <w:rsid w:val="007A2DC5"/>
    <w:rsid w:val="007A4496"/>
    <w:rsid w:val="007A4902"/>
    <w:rsid w:val="007A5414"/>
    <w:rsid w:val="007B1281"/>
    <w:rsid w:val="007B2372"/>
    <w:rsid w:val="007B29CD"/>
    <w:rsid w:val="007B7B6C"/>
    <w:rsid w:val="007C2883"/>
    <w:rsid w:val="007C4C15"/>
    <w:rsid w:val="007C7070"/>
    <w:rsid w:val="007C7FF8"/>
    <w:rsid w:val="007D03DA"/>
    <w:rsid w:val="007D4963"/>
    <w:rsid w:val="007D5708"/>
    <w:rsid w:val="007D6F0D"/>
    <w:rsid w:val="007E4E1C"/>
    <w:rsid w:val="007E6C75"/>
    <w:rsid w:val="007F047A"/>
    <w:rsid w:val="007F1EDB"/>
    <w:rsid w:val="007F2821"/>
    <w:rsid w:val="007F2BB0"/>
    <w:rsid w:val="007F303A"/>
    <w:rsid w:val="007F32B9"/>
    <w:rsid w:val="007F45CD"/>
    <w:rsid w:val="007F7153"/>
    <w:rsid w:val="007F7755"/>
    <w:rsid w:val="008012F9"/>
    <w:rsid w:val="008023D7"/>
    <w:rsid w:val="00804DF7"/>
    <w:rsid w:val="008053B2"/>
    <w:rsid w:val="008079EB"/>
    <w:rsid w:val="00812798"/>
    <w:rsid w:val="00816043"/>
    <w:rsid w:val="00824B32"/>
    <w:rsid w:val="00826607"/>
    <w:rsid w:val="00827808"/>
    <w:rsid w:val="008310F4"/>
    <w:rsid w:val="008313C7"/>
    <w:rsid w:val="00831777"/>
    <w:rsid w:val="00831CFE"/>
    <w:rsid w:val="008331FB"/>
    <w:rsid w:val="008342BE"/>
    <w:rsid w:val="00836902"/>
    <w:rsid w:val="00837384"/>
    <w:rsid w:val="00843663"/>
    <w:rsid w:val="00843AFD"/>
    <w:rsid w:val="00844B59"/>
    <w:rsid w:val="0084646A"/>
    <w:rsid w:val="00847000"/>
    <w:rsid w:val="00851D1E"/>
    <w:rsid w:val="008522BD"/>
    <w:rsid w:val="0085451E"/>
    <w:rsid w:val="00857099"/>
    <w:rsid w:val="00860854"/>
    <w:rsid w:val="008608FC"/>
    <w:rsid w:val="00862FD3"/>
    <w:rsid w:val="008633F1"/>
    <w:rsid w:val="00864A79"/>
    <w:rsid w:val="00864F8C"/>
    <w:rsid w:val="00865C2B"/>
    <w:rsid w:val="00867305"/>
    <w:rsid w:val="0087130E"/>
    <w:rsid w:val="0087162F"/>
    <w:rsid w:val="008740B9"/>
    <w:rsid w:val="00874568"/>
    <w:rsid w:val="00874E9D"/>
    <w:rsid w:val="0087502C"/>
    <w:rsid w:val="008769A0"/>
    <w:rsid w:val="00876B5D"/>
    <w:rsid w:val="00876D02"/>
    <w:rsid w:val="008833EC"/>
    <w:rsid w:val="00885312"/>
    <w:rsid w:val="00886C4A"/>
    <w:rsid w:val="00887E4B"/>
    <w:rsid w:val="00891DEE"/>
    <w:rsid w:val="00892C67"/>
    <w:rsid w:val="00893C1F"/>
    <w:rsid w:val="00896DF9"/>
    <w:rsid w:val="008A1B18"/>
    <w:rsid w:val="008A23A9"/>
    <w:rsid w:val="008A39EC"/>
    <w:rsid w:val="008A5837"/>
    <w:rsid w:val="008A68A8"/>
    <w:rsid w:val="008A7536"/>
    <w:rsid w:val="008B2A22"/>
    <w:rsid w:val="008B2F04"/>
    <w:rsid w:val="008B627E"/>
    <w:rsid w:val="008C3018"/>
    <w:rsid w:val="008C434C"/>
    <w:rsid w:val="008C56D9"/>
    <w:rsid w:val="008D063B"/>
    <w:rsid w:val="008D166B"/>
    <w:rsid w:val="008D590E"/>
    <w:rsid w:val="008D6C68"/>
    <w:rsid w:val="008D6D99"/>
    <w:rsid w:val="008D7791"/>
    <w:rsid w:val="008E1FAC"/>
    <w:rsid w:val="008E261C"/>
    <w:rsid w:val="008E441B"/>
    <w:rsid w:val="008E6B46"/>
    <w:rsid w:val="008E731F"/>
    <w:rsid w:val="008F04F9"/>
    <w:rsid w:val="008F29C4"/>
    <w:rsid w:val="008F381B"/>
    <w:rsid w:val="008F3FB9"/>
    <w:rsid w:val="008F625D"/>
    <w:rsid w:val="008F6CFF"/>
    <w:rsid w:val="00901B16"/>
    <w:rsid w:val="00903473"/>
    <w:rsid w:val="00906011"/>
    <w:rsid w:val="0090638D"/>
    <w:rsid w:val="00906D29"/>
    <w:rsid w:val="00907095"/>
    <w:rsid w:val="00907E8C"/>
    <w:rsid w:val="0091049A"/>
    <w:rsid w:val="00911B7D"/>
    <w:rsid w:val="00920261"/>
    <w:rsid w:val="0092098F"/>
    <w:rsid w:val="0092231D"/>
    <w:rsid w:val="009253C9"/>
    <w:rsid w:val="00925F4E"/>
    <w:rsid w:val="00930C42"/>
    <w:rsid w:val="009310B9"/>
    <w:rsid w:val="00933948"/>
    <w:rsid w:val="00933EBA"/>
    <w:rsid w:val="0093452E"/>
    <w:rsid w:val="00934722"/>
    <w:rsid w:val="0093487E"/>
    <w:rsid w:val="00935DFE"/>
    <w:rsid w:val="00935E93"/>
    <w:rsid w:val="0093739F"/>
    <w:rsid w:val="0094035E"/>
    <w:rsid w:val="00942B9F"/>
    <w:rsid w:val="00943368"/>
    <w:rsid w:val="0094686C"/>
    <w:rsid w:val="00955686"/>
    <w:rsid w:val="00955714"/>
    <w:rsid w:val="00955D91"/>
    <w:rsid w:val="00957476"/>
    <w:rsid w:val="009651A9"/>
    <w:rsid w:val="00965471"/>
    <w:rsid w:val="00965B97"/>
    <w:rsid w:val="00966AE4"/>
    <w:rsid w:val="009812C8"/>
    <w:rsid w:val="00982933"/>
    <w:rsid w:val="00983615"/>
    <w:rsid w:val="00984C24"/>
    <w:rsid w:val="009854D0"/>
    <w:rsid w:val="00991558"/>
    <w:rsid w:val="00991586"/>
    <w:rsid w:val="00991CBE"/>
    <w:rsid w:val="009930CE"/>
    <w:rsid w:val="009943F6"/>
    <w:rsid w:val="00994E4B"/>
    <w:rsid w:val="00995E9B"/>
    <w:rsid w:val="009A05FB"/>
    <w:rsid w:val="009A0A1E"/>
    <w:rsid w:val="009A3179"/>
    <w:rsid w:val="009A5868"/>
    <w:rsid w:val="009A692D"/>
    <w:rsid w:val="009B00CA"/>
    <w:rsid w:val="009B3312"/>
    <w:rsid w:val="009B3852"/>
    <w:rsid w:val="009B5F8C"/>
    <w:rsid w:val="009B69DD"/>
    <w:rsid w:val="009C724A"/>
    <w:rsid w:val="009C73B6"/>
    <w:rsid w:val="009C7B2D"/>
    <w:rsid w:val="009D152C"/>
    <w:rsid w:val="009D5F0F"/>
    <w:rsid w:val="009D781E"/>
    <w:rsid w:val="009E0F59"/>
    <w:rsid w:val="009E1574"/>
    <w:rsid w:val="009E2187"/>
    <w:rsid w:val="009E296D"/>
    <w:rsid w:val="009E7B4D"/>
    <w:rsid w:val="009F0AA4"/>
    <w:rsid w:val="009F21E6"/>
    <w:rsid w:val="009F57CF"/>
    <w:rsid w:val="009F7855"/>
    <w:rsid w:val="00A00839"/>
    <w:rsid w:val="00A02881"/>
    <w:rsid w:val="00A03063"/>
    <w:rsid w:val="00A045E2"/>
    <w:rsid w:val="00A078FF"/>
    <w:rsid w:val="00A127ED"/>
    <w:rsid w:val="00A14413"/>
    <w:rsid w:val="00A14481"/>
    <w:rsid w:val="00A14C18"/>
    <w:rsid w:val="00A15EE4"/>
    <w:rsid w:val="00A16489"/>
    <w:rsid w:val="00A166F4"/>
    <w:rsid w:val="00A22760"/>
    <w:rsid w:val="00A23B32"/>
    <w:rsid w:val="00A259C9"/>
    <w:rsid w:val="00A25AF9"/>
    <w:rsid w:val="00A26455"/>
    <w:rsid w:val="00A271C7"/>
    <w:rsid w:val="00A27965"/>
    <w:rsid w:val="00A31174"/>
    <w:rsid w:val="00A3474A"/>
    <w:rsid w:val="00A413B2"/>
    <w:rsid w:val="00A42592"/>
    <w:rsid w:val="00A425E4"/>
    <w:rsid w:val="00A42881"/>
    <w:rsid w:val="00A45722"/>
    <w:rsid w:val="00A45F83"/>
    <w:rsid w:val="00A4717D"/>
    <w:rsid w:val="00A47FDA"/>
    <w:rsid w:val="00A51AE5"/>
    <w:rsid w:val="00A5268E"/>
    <w:rsid w:val="00A54E12"/>
    <w:rsid w:val="00A54E2A"/>
    <w:rsid w:val="00A5504B"/>
    <w:rsid w:val="00A55113"/>
    <w:rsid w:val="00A56C9A"/>
    <w:rsid w:val="00A6009E"/>
    <w:rsid w:val="00A6105B"/>
    <w:rsid w:val="00A62884"/>
    <w:rsid w:val="00A65F57"/>
    <w:rsid w:val="00A73BC3"/>
    <w:rsid w:val="00A744D9"/>
    <w:rsid w:val="00A77B55"/>
    <w:rsid w:val="00A80DF5"/>
    <w:rsid w:val="00A82F51"/>
    <w:rsid w:val="00A84D6A"/>
    <w:rsid w:val="00A87078"/>
    <w:rsid w:val="00A87ABE"/>
    <w:rsid w:val="00A9056B"/>
    <w:rsid w:val="00A915A6"/>
    <w:rsid w:val="00A92541"/>
    <w:rsid w:val="00A93753"/>
    <w:rsid w:val="00A9586B"/>
    <w:rsid w:val="00A96656"/>
    <w:rsid w:val="00A97AC6"/>
    <w:rsid w:val="00AA21AA"/>
    <w:rsid w:val="00AA22DE"/>
    <w:rsid w:val="00AA7697"/>
    <w:rsid w:val="00AB1123"/>
    <w:rsid w:val="00AB4526"/>
    <w:rsid w:val="00AB54A5"/>
    <w:rsid w:val="00AB5683"/>
    <w:rsid w:val="00AB57D0"/>
    <w:rsid w:val="00AB5C28"/>
    <w:rsid w:val="00AB77F4"/>
    <w:rsid w:val="00AB7BFF"/>
    <w:rsid w:val="00AB7CF8"/>
    <w:rsid w:val="00AC7A3B"/>
    <w:rsid w:val="00AD2647"/>
    <w:rsid w:val="00AD3EC9"/>
    <w:rsid w:val="00AD473A"/>
    <w:rsid w:val="00AD5ACB"/>
    <w:rsid w:val="00AE0371"/>
    <w:rsid w:val="00AE0651"/>
    <w:rsid w:val="00AE1B89"/>
    <w:rsid w:val="00AE54F6"/>
    <w:rsid w:val="00AF0385"/>
    <w:rsid w:val="00AF09E5"/>
    <w:rsid w:val="00AF424C"/>
    <w:rsid w:val="00AF44D5"/>
    <w:rsid w:val="00AF57D0"/>
    <w:rsid w:val="00AF5B36"/>
    <w:rsid w:val="00AF5F37"/>
    <w:rsid w:val="00B02E7F"/>
    <w:rsid w:val="00B03955"/>
    <w:rsid w:val="00B0451C"/>
    <w:rsid w:val="00B04BBD"/>
    <w:rsid w:val="00B1000C"/>
    <w:rsid w:val="00B1096C"/>
    <w:rsid w:val="00B1286E"/>
    <w:rsid w:val="00B12EB3"/>
    <w:rsid w:val="00B22D39"/>
    <w:rsid w:val="00B23443"/>
    <w:rsid w:val="00B23AC9"/>
    <w:rsid w:val="00B241FD"/>
    <w:rsid w:val="00B30007"/>
    <w:rsid w:val="00B320D4"/>
    <w:rsid w:val="00B34110"/>
    <w:rsid w:val="00B430D5"/>
    <w:rsid w:val="00B430D9"/>
    <w:rsid w:val="00B4681E"/>
    <w:rsid w:val="00B47B40"/>
    <w:rsid w:val="00B62F93"/>
    <w:rsid w:val="00B64BD4"/>
    <w:rsid w:val="00B666B2"/>
    <w:rsid w:val="00B70264"/>
    <w:rsid w:val="00B70707"/>
    <w:rsid w:val="00B70895"/>
    <w:rsid w:val="00B73471"/>
    <w:rsid w:val="00B73DDD"/>
    <w:rsid w:val="00B75D56"/>
    <w:rsid w:val="00B77B7B"/>
    <w:rsid w:val="00B820B4"/>
    <w:rsid w:val="00B824EA"/>
    <w:rsid w:val="00B865E0"/>
    <w:rsid w:val="00B8758E"/>
    <w:rsid w:val="00B90127"/>
    <w:rsid w:val="00B91B8A"/>
    <w:rsid w:val="00B92F86"/>
    <w:rsid w:val="00B96385"/>
    <w:rsid w:val="00B96DF0"/>
    <w:rsid w:val="00B97A36"/>
    <w:rsid w:val="00BA1320"/>
    <w:rsid w:val="00BA5100"/>
    <w:rsid w:val="00BB2001"/>
    <w:rsid w:val="00BB26FE"/>
    <w:rsid w:val="00BB2B72"/>
    <w:rsid w:val="00BB54B1"/>
    <w:rsid w:val="00BB5B31"/>
    <w:rsid w:val="00BB7545"/>
    <w:rsid w:val="00BC1250"/>
    <w:rsid w:val="00BC36F4"/>
    <w:rsid w:val="00BC6BE9"/>
    <w:rsid w:val="00BC6C97"/>
    <w:rsid w:val="00BD0175"/>
    <w:rsid w:val="00BD19AE"/>
    <w:rsid w:val="00BD1CE1"/>
    <w:rsid w:val="00BD2436"/>
    <w:rsid w:val="00BD31B4"/>
    <w:rsid w:val="00BD67FD"/>
    <w:rsid w:val="00BD7770"/>
    <w:rsid w:val="00BE0B3D"/>
    <w:rsid w:val="00BE1116"/>
    <w:rsid w:val="00BE2D49"/>
    <w:rsid w:val="00BE7398"/>
    <w:rsid w:val="00BE7C4D"/>
    <w:rsid w:val="00BF00C2"/>
    <w:rsid w:val="00BF5966"/>
    <w:rsid w:val="00BF6E02"/>
    <w:rsid w:val="00C0265D"/>
    <w:rsid w:val="00C03E09"/>
    <w:rsid w:val="00C05026"/>
    <w:rsid w:val="00C0563A"/>
    <w:rsid w:val="00C10625"/>
    <w:rsid w:val="00C1149C"/>
    <w:rsid w:val="00C11B25"/>
    <w:rsid w:val="00C12D4E"/>
    <w:rsid w:val="00C1415C"/>
    <w:rsid w:val="00C15E62"/>
    <w:rsid w:val="00C178F2"/>
    <w:rsid w:val="00C20021"/>
    <w:rsid w:val="00C27B1D"/>
    <w:rsid w:val="00C3198A"/>
    <w:rsid w:val="00C31B0F"/>
    <w:rsid w:val="00C32E20"/>
    <w:rsid w:val="00C34026"/>
    <w:rsid w:val="00C34A63"/>
    <w:rsid w:val="00C357B0"/>
    <w:rsid w:val="00C36AD7"/>
    <w:rsid w:val="00C40C4E"/>
    <w:rsid w:val="00C42795"/>
    <w:rsid w:val="00C444BE"/>
    <w:rsid w:val="00C44706"/>
    <w:rsid w:val="00C45271"/>
    <w:rsid w:val="00C47345"/>
    <w:rsid w:val="00C473A0"/>
    <w:rsid w:val="00C52438"/>
    <w:rsid w:val="00C554D5"/>
    <w:rsid w:val="00C56E71"/>
    <w:rsid w:val="00C57DE7"/>
    <w:rsid w:val="00C607A9"/>
    <w:rsid w:val="00C6207C"/>
    <w:rsid w:val="00C624CB"/>
    <w:rsid w:val="00C65499"/>
    <w:rsid w:val="00C66814"/>
    <w:rsid w:val="00C70207"/>
    <w:rsid w:val="00C702CD"/>
    <w:rsid w:val="00C72DA9"/>
    <w:rsid w:val="00C7379D"/>
    <w:rsid w:val="00C76627"/>
    <w:rsid w:val="00C80B51"/>
    <w:rsid w:val="00C850E3"/>
    <w:rsid w:val="00C85531"/>
    <w:rsid w:val="00C8641D"/>
    <w:rsid w:val="00C86B50"/>
    <w:rsid w:val="00C90A26"/>
    <w:rsid w:val="00C92004"/>
    <w:rsid w:val="00C930BD"/>
    <w:rsid w:val="00C947C2"/>
    <w:rsid w:val="00C95025"/>
    <w:rsid w:val="00C95529"/>
    <w:rsid w:val="00C967A7"/>
    <w:rsid w:val="00C97D27"/>
    <w:rsid w:val="00CA13F6"/>
    <w:rsid w:val="00CA598F"/>
    <w:rsid w:val="00CA6915"/>
    <w:rsid w:val="00CB0A00"/>
    <w:rsid w:val="00CB2E5A"/>
    <w:rsid w:val="00CB3CB7"/>
    <w:rsid w:val="00CB41D2"/>
    <w:rsid w:val="00CB67F0"/>
    <w:rsid w:val="00CB779C"/>
    <w:rsid w:val="00CC1E89"/>
    <w:rsid w:val="00CC285D"/>
    <w:rsid w:val="00CC507F"/>
    <w:rsid w:val="00CC525F"/>
    <w:rsid w:val="00CC68FE"/>
    <w:rsid w:val="00CC730E"/>
    <w:rsid w:val="00CC745B"/>
    <w:rsid w:val="00CD1B47"/>
    <w:rsid w:val="00CD1D55"/>
    <w:rsid w:val="00CD234C"/>
    <w:rsid w:val="00CD47E3"/>
    <w:rsid w:val="00CD6F61"/>
    <w:rsid w:val="00CD783F"/>
    <w:rsid w:val="00CD7CF0"/>
    <w:rsid w:val="00CE07DF"/>
    <w:rsid w:val="00CE1498"/>
    <w:rsid w:val="00CE16BB"/>
    <w:rsid w:val="00CE2340"/>
    <w:rsid w:val="00CE3D2C"/>
    <w:rsid w:val="00CE4560"/>
    <w:rsid w:val="00CE48F9"/>
    <w:rsid w:val="00CE6FFF"/>
    <w:rsid w:val="00CF003F"/>
    <w:rsid w:val="00CF0360"/>
    <w:rsid w:val="00CF3ECA"/>
    <w:rsid w:val="00CF413F"/>
    <w:rsid w:val="00CF6620"/>
    <w:rsid w:val="00CF6995"/>
    <w:rsid w:val="00D00066"/>
    <w:rsid w:val="00D01D49"/>
    <w:rsid w:val="00D0266D"/>
    <w:rsid w:val="00D06EA2"/>
    <w:rsid w:val="00D1132B"/>
    <w:rsid w:val="00D13B93"/>
    <w:rsid w:val="00D2066F"/>
    <w:rsid w:val="00D20A69"/>
    <w:rsid w:val="00D20B04"/>
    <w:rsid w:val="00D2104D"/>
    <w:rsid w:val="00D21EF7"/>
    <w:rsid w:val="00D23C4A"/>
    <w:rsid w:val="00D24398"/>
    <w:rsid w:val="00D31FDC"/>
    <w:rsid w:val="00D3560F"/>
    <w:rsid w:val="00D36792"/>
    <w:rsid w:val="00D37DE9"/>
    <w:rsid w:val="00D41DFB"/>
    <w:rsid w:val="00D421CB"/>
    <w:rsid w:val="00D42CFA"/>
    <w:rsid w:val="00D445E3"/>
    <w:rsid w:val="00D4599A"/>
    <w:rsid w:val="00D46F0A"/>
    <w:rsid w:val="00D53448"/>
    <w:rsid w:val="00D54966"/>
    <w:rsid w:val="00D56E11"/>
    <w:rsid w:val="00D61BBA"/>
    <w:rsid w:val="00D62EEC"/>
    <w:rsid w:val="00D62EF8"/>
    <w:rsid w:val="00D658E8"/>
    <w:rsid w:val="00D66CB9"/>
    <w:rsid w:val="00D723D3"/>
    <w:rsid w:val="00D725FE"/>
    <w:rsid w:val="00D76B99"/>
    <w:rsid w:val="00D76ED0"/>
    <w:rsid w:val="00D83E6F"/>
    <w:rsid w:val="00D847A8"/>
    <w:rsid w:val="00D86085"/>
    <w:rsid w:val="00D864E4"/>
    <w:rsid w:val="00D870D7"/>
    <w:rsid w:val="00D90807"/>
    <w:rsid w:val="00D95A41"/>
    <w:rsid w:val="00D96D1B"/>
    <w:rsid w:val="00DA0CB1"/>
    <w:rsid w:val="00DA202C"/>
    <w:rsid w:val="00DA4A19"/>
    <w:rsid w:val="00DA5A1C"/>
    <w:rsid w:val="00DA6C86"/>
    <w:rsid w:val="00DB0122"/>
    <w:rsid w:val="00DB0903"/>
    <w:rsid w:val="00DB0A96"/>
    <w:rsid w:val="00DB1A4E"/>
    <w:rsid w:val="00DB2102"/>
    <w:rsid w:val="00DB26DC"/>
    <w:rsid w:val="00DB37E2"/>
    <w:rsid w:val="00DB40E4"/>
    <w:rsid w:val="00DB4C9E"/>
    <w:rsid w:val="00DC023D"/>
    <w:rsid w:val="00DC0370"/>
    <w:rsid w:val="00DC0BEB"/>
    <w:rsid w:val="00DC1273"/>
    <w:rsid w:val="00DC3E80"/>
    <w:rsid w:val="00DC6DCB"/>
    <w:rsid w:val="00DC7C20"/>
    <w:rsid w:val="00DC7DA1"/>
    <w:rsid w:val="00DD16BE"/>
    <w:rsid w:val="00DD3C67"/>
    <w:rsid w:val="00DD47C8"/>
    <w:rsid w:val="00DD49B6"/>
    <w:rsid w:val="00DD5098"/>
    <w:rsid w:val="00DD635F"/>
    <w:rsid w:val="00DD707E"/>
    <w:rsid w:val="00DD7205"/>
    <w:rsid w:val="00DE002F"/>
    <w:rsid w:val="00DE3EE8"/>
    <w:rsid w:val="00DE4554"/>
    <w:rsid w:val="00DE4713"/>
    <w:rsid w:val="00DE5547"/>
    <w:rsid w:val="00DE5AAD"/>
    <w:rsid w:val="00DE5F35"/>
    <w:rsid w:val="00DE6036"/>
    <w:rsid w:val="00DE6610"/>
    <w:rsid w:val="00DE6AEC"/>
    <w:rsid w:val="00DF219B"/>
    <w:rsid w:val="00DF2501"/>
    <w:rsid w:val="00DF300E"/>
    <w:rsid w:val="00DF41AA"/>
    <w:rsid w:val="00DF444B"/>
    <w:rsid w:val="00DF51A8"/>
    <w:rsid w:val="00DF5521"/>
    <w:rsid w:val="00DF6772"/>
    <w:rsid w:val="00DF7C48"/>
    <w:rsid w:val="00E03EA0"/>
    <w:rsid w:val="00E0686D"/>
    <w:rsid w:val="00E10681"/>
    <w:rsid w:val="00E137C0"/>
    <w:rsid w:val="00E141B2"/>
    <w:rsid w:val="00E14A76"/>
    <w:rsid w:val="00E163C4"/>
    <w:rsid w:val="00E208B9"/>
    <w:rsid w:val="00E25165"/>
    <w:rsid w:val="00E25CAD"/>
    <w:rsid w:val="00E26539"/>
    <w:rsid w:val="00E26BDF"/>
    <w:rsid w:val="00E3106D"/>
    <w:rsid w:val="00E3189E"/>
    <w:rsid w:val="00E31BA3"/>
    <w:rsid w:val="00E376EA"/>
    <w:rsid w:val="00E404DB"/>
    <w:rsid w:val="00E42943"/>
    <w:rsid w:val="00E43215"/>
    <w:rsid w:val="00E4492F"/>
    <w:rsid w:val="00E45E69"/>
    <w:rsid w:val="00E52099"/>
    <w:rsid w:val="00E52FB5"/>
    <w:rsid w:val="00E53271"/>
    <w:rsid w:val="00E544F6"/>
    <w:rsid w:val="00E57CC3"/>
    <w:rsid w:val="00E57FCE"/>
    <w:rsid w:val="00E600EC"/>
    <w:rsid w:val="00E601A7"/>
    <w:rsid w:val="00E60E6E"/>
    <w:rsid w:val="00E66391"/>
    <w:rsid w:val="00E66600"/>
    <w:rsid w:val="00E70959"/>
    <w:rsid w:val="00E71B57"/>
    <w:rsid w:val="00E722D4"/>
    <w:rsid w:val="00E72CE0"/>
    <w:rsid w:val="00E74E50"/>
    <w:rsid w:val="00E80A81"/>
    <w:rsid w:val="00E82DCB"/>
    <w:rsid w:val="00E83ABC"/>
    <w:rsid w:val="00E86166"/>
    <w:rsid w:val="00E862B5"/>
    <w:rsid w:val="00E8633C"/>
    <w:rsid w:val="00E8652F"/>
    <w:rsid w:val="00E877B0"/>
    <w:rsid w:val="00E90633"/>
    <w:rsid w:val="00E92466"/>
    <w:rsid w:val="00E927CB"/>
    <w:rsid w:val="00E93018"/>
    <w:rsid w:val="00E94311"/>
    <w:rsid w:val="00E95A35"/>
    <w:rsid w:val="00E96220"/>
    <w:rsid w:val="00E9643A"/>
    <w:rsid w:val="00EA09C1"/>
    <w:rsid w:val="00EA2C51"/>
    <w:rsid w:val="00EA365B"/>
    <w:rsid w:val="00EA5AF1"/>
    <w:rsid w:val="00EA6DDF"/>
    <w:rsid w:val="00EB049E"/>
    <w:rsid w:val="00EB1C58"/>
    <w:rsid w:val="00EB2669"/>
    <w:rsid w:val="00EB2EC5"/>
    <w:rsid w:val="00EB36D3"/>
    <w:rsid w:val="00EB4033"/>
    <w:rsid w:val="00EB5637"/>
    <w:rsid w:val="00EB6311"/>
    <w:rsid w:val="00EC015F"/>
    <w:rsid w:val="00EC05C0"/>
    <w:rsid w:val="00EC100E"/>
    <w:rsid w:val="00EC4B3D"/>
    <w:rsid w:val="00EC5E31"/>
    <w:rsid w:val="00EC6E85"/>
    <w:rsid w:val="00EC7BBC"/>
    <w:rsid w:val="00EC7D66"/>
    <w:rsid w:val="00ED09E2"/>
    <w:rsid w:val="00ED0CC5"/>
    <w:rsid w:val="00ED4614"/>
    <w:rsid w:val="00ED4FD7"/>
    <w:rsid w:val="00ED5C3F"/>
    <w:rsid w:val="00ED7D50"/>
    <w:rsid w:val="00EE1D30"/>
    <w:rsid w:val="00EE2493"/>
    <w:rsid w:val="00EE24A7"/>
    <w:rsid w:val="00EE2F22"/>
    <w:rsid w:val="00EE3291"/>
    <w:rsid w:val="00EE5156"/>
    <w:rsid w:val="00EE5232"/>
    <w:rsid w:val="00EE5574"/>
    <w:rsid w:val="00EE6942"/>
    <w:rsid w:val="00EE6D99"/>
    <w:rsid w:val="00EF324E"/>
    <w:rsid w:val="00EF4784"/>
    <w:rsid w:val="00EF47D1"/>
    <w:rsid w:val="00EF7BBB"/>
    <w:rsid w:val="00F007B7"/>
    <w:rsid w:val="00F01460"/>
    <w:rsid w:val="00F0244D"/>
    <w:rsid w:val="00F0451B"/>
    <w:rsid w:val="00F0661D"/>
    <w:rsid w:val="00F071C9"/>
    <w:rsid w:val="00F1174D"/>
    <w:rsid w:val="00F1254B"/>
    <w:rsid w:val="00F12A40"/>
    <w:rsid w:val="00F143AE"/>
    <w:rsid w:val="00F16CA9"/>
    <w:rsid w:val="00F16D0A"/>
    <w:rsid w:val="00F17392"/>
    <w:rsid w:val="00F17467"/>
    <w:rsid w:val="00F2490D"/>
    <w:rsid w:val="00F2646E"/>
    <w:rsid w:val="00F30042"/>
    <w:rsid w:val="00F30272"/>
    <w:rsid w:val="00F32311"/>
    <w:rsid w:val="00F33780"/>
    <w:rsid w:val="00F4052D"/>
    <w:rsid w:val="00F437F3"/>
    <w:rsid w:val="00F43CFB"/>
    <w:rsid w:val="00F442CE"/>
    <w:rsid w:val="00F4430B"/>
    <w:rsid w:val="00F44FAE"/>
    <w:rsid w:val="00F46D80"/>
    <w:rsid w:val="00F46E2E"/>
    <w:rsid w:val="00F530C7"/>
    <w:rsid w:val="00F55B0A"/>
    <w:rsid w:val="00F561D7"/>
    <w:rsid w:val="00F56EA8"/>
    <w:rsid w:val="00F571BA"/>
    <w:rsid w:val="00F57E68"/>
    <w:rsid w:val="00F611EC"/>
    <w:rsid w:val="00F61F43"/>
    <w:rsid w:val="00F62A6A"/>
    <w:rsid w:val="00F62F8F"/>
    <w:rsid w:val="00F637F1"/>
    <w:rsid w:val="00F70A14"/>
    <w:rsid w:val="00F72FAE"/>
    <w:rsid w:val="00F73424"/>
    <w:rsid w:val="00F76B7F"/>
    <w:rsid w:val="00F7764D"/>
    <w:rsid w:val="00F779B3"/>
    <w:rsid w:val="00F81190"/>
    <w:rsid w:val="00F81E8D"/>
    <w:rsid w:val="00F8287F"/>
    <w:rsid w:val="00F84618"/>
    <w:rsid w:val="00F9141E"/>
    <w:rsid w:val="00F921B5"/>
    <w:rsid w:val="00F9283B"/>
    <w:rsid w:val="00F92F50"/>
    <w:rsid w:val="00F943FB"/>
    <w:rsid w:val="00F96427"/>
    <w:rsid w:val="00F96571"/>
    <w:rsid w:val="00FA1208"/>
    <w:rsid w:val="00FA2F18"/>
    <w:rsid w:val="00FA44E8"/>
    <w:rsid w:val="00FA4E41"/>
    <w:rsid w:val="00FA679D"/>
    <w:rsid w:val="00FB066B"/>
    <w:rsid w:val="00FB3F85"/>
    <w:rsid w:val="00FB585A"/>
    <w:rsid w:val="00FB610B"/>
    <w:rsid w:val="00FC02B0"/>
    <w:rsid w:val="00FC0FAB"/>
    <w:rsid w:val="00FC183C"/>
    <w:rsid w:val="00FC3B9D"/>
    <w:rsid w:val="00FC44C4"/>
    <w:rsid w:val="00FC5432"/>
    <w:rsid w:val="00FC6921"/>
    <w:rsid w:val="00FC7AFC"/>
    <w:rsid w:val="00FD2B16"/>
    <w:rsid w:val="00FD37A7"/>
    <w:rsid w:val="00FD68DE"/>
    <w:rsid w:val="00FE03EC"/>
    <w:rsid w:val="00FE2432"/>
    <w:rsid w:val="00FE26B3"/>
    <w:rsid w:val="00FE3E56"/>
    <w:rsid w:val="00FE4001"/>
    <w:rsid w:val="00FE478C"/>
    <w:rsid w:val="00FE59CF"/>
    <w:rsid w:val="00FF05E3"/>
    <w:rsid w:val="00FF0C89"/>
    <w:rsid w:val="00FF2742"/>
    <w:rsid w:val="00FF395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E74CF-AD4C-4767-AB4E-3A2B6E41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1">
    <w:name w:val="heading 1"/>
    <w:basedOn w:val="Normal"/>
    <w:next w:val="Normal"/>
    <w:link w:val="Heading1Char"/>
    <w:uiPriority w:val="9"/>
    <w:qFormat/>
    <w:rsid w:val="00A80D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
    <w:basedOn w:val="Normal"/>
    <w:link w:val="ListParagraphChar"/>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character" w:customStyle="1" w:styleId="ListParagraphChar">
    <w:name w:val="List Paragraph Char"/>
    <w:aliases w:val="H&amp;P List Paragraph Char"/>
    <w:link w:val="ListParagraph"/>
    <w:locked/>
    <w:rsid w:val="00580BB3"/>
  </w:style>
  <w:style w:type="paragraph" w:customStyle="1" w:styleId="Default">
    <w:name w:val="Default"/>
    <w:rsid w:val="00345E6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80D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7972">
      <w:bodyDiv w:val="1"/>
      <w:marLeft w:val="0"/>
      <w:marRight w:val="0"/>
      <w:marTop w:val="0"/>
      <w:marBottom w:val="0"/>
      <w:divBdr>
        <w:top w:val="none" w:sz="0" w:space="0" w:color="auto"/>
        <w:left w:val="none" w:sz="0" w:space="0" w:color="auto"/>
        <w:bottom w:val="none" w:sz="0" w:space="0" w:color="auto"/>
        <w:right w:val="none" w:sz="0" w:space="0" w:color="auto"/>
      </w:divBdr>
    </w:div>
    <w:div w:id="265818588">
      <w:bodyDiv w:val="1"/>
      <w:marLeft w:val="0"/>
      <w:marRight w:val="0"/>
      <w:marTop w:val="0"/>
      <w:marBottom w:val="0"/>
      <w:divBdr>
        <w:top w:val="none" w:sz="0" w:space="0" w:color="auto"/>
        <w:left w:val="none" w:sz="0" w:space="0" w:color="auto"/>
        <w:bottom w:val="none" w:sz="0" w:space="0" w:color="auto"/>
        <w:right w:val="none" w:sz="0" w:space="0" w:color="auto"/>
      </w:divBdr>
      <w:divsChild>
        <w:div w:id="1190221577">
          <w:marLeft w:val="0"/>
          <w:marRight w:val="0"/>
          <w:marTop w:val="100"/>
          <w:marBottom w:val="100"/>
          <w:divBdr>
            <w:top w:val="none" w:sz="0" w:space="0" w:color="auto"/>
            <w:left w:val="none" w:sz="0" w:space="0" w:color="auto"/>
            <w:bottom w:val="none" w:sz="0" w:space="0" w:color="auto"/>
            <w:right w:val="none" w:sz="0" w:space="0" w:color="auto"/>
          </w:divBdr>
          <w:divsChild>
            <w:div w:id="1482691110">
              <w:marLeft w:val="0"/>
              <w:marRight w:val="0"/>
              <w:marTop w:val="0"/>
              <w:marBottom w:val="0"/>
              <w:divBdr>
                <w:top w:val="none" w:sz="0" w:space="0" w:color="auto"/>
                <w:left w:val="none" w:sz="0" w:space="0" w:color="auto"/>
                <w:bottom w:val="none" w:sz="0" w:space="0" w:color="auto"/>
                <w:right w:val="none" w:sz="0" w:space="0" w:color="auto"/>
              </w:divBdr>
              <w:divsChild>
                <w:div w:id="566914598">
                  <w:marLeft w:val="0"/>
                  <w:marRight w:val="0"/>
                  <w:marTop w:val="0"/>
                  <w:marBottom w:val="0"/>
                  <w:divBdr>
                    <w:top w:val="none" w:sz="0" w:space="0" w:color="auto"/>
                    <w:left w:val="none" w:sz="0" w:space="0" w:color="auto"/>
                    <w:bottom w:val="none" w:sz="0" w:space="0" w:color="auto"/>
                    <w:right w:val="none" w:sz="0" w:space="0" w:color="auto"/>
                  </w:divBdr>
                  <w:divsChild>
                    <w:div w:id="894197210">
                      <w:marLeft w:val="0"/>
                      <w:marRight w:val="0"/>
                      <w:marTop w:val="0"/>
                      <w:marBottom w:val="0"/>
                      <w:divBdr>
                        <w:top w:val="none" w:sz="0" w:space="0" w:color="auto"/>
                        <w:left w:val="none" w:sz="0" w:space="0" w:color="auto"/>
                        <w:bottom w:val="none" w:sz="0" w:space="0" w:color="auto"/>
                        <w:right w:val="none" w:sz="0" w:space="0" w:color="auto"/>
                      </w:divBdr>
                      <w:divsChild>
                        <w:div w:id="682054950">
                          <w:marLeft w:val="0"/>
                          <w:marRight w:val="0"/>
                          <w:marTop w:val="0"/>
                          <w:marBottom w:val="0"/>
                          <w:divBdr>
                            <w:top w:val="none" w:sz="0" w:space="0" w:color="auto"/>
                            <w:left w:val="none" w:sz="0" w:space="0" w:color="auto"/>
                            <w:bottom w:val="none" w:sz="0" w:space="0" w:color="auto"/>
                            <w:right w:val="none" w:sz="0" w:space="0" w:color="auto"/>
                          </w:divBdr>
                          <w:divsChild>
                            <w:div w:id="2130851027">
                              <w:marLeft w:val="0"/>
                              <w:marRight w:val="0"/>
                              <w:marTop w:val="0"/>
                              <w:marBottom w:val="0"/>
                              <w:divBdr>
                                <w:top w:val="none" w:sz="0" w:space="0" w:color="auto"/>
                                <w:left w:val="none" w:sz="0" w:space="0" w:color="auto"/>
                                <w:bottom w:val="none" w:sz="0" w:space="0" w:color="auto"/>
                                <w:right w:val="none" w:sz="0" w:space="0" w:color="auto"/>
                              </w:divBdr>
                              <w:divsChild>
                                <w:div w:id="300888174">
                                  <w:marLeft w:val="0"/>
                                  <w:marRight w:val="0"/>
                                  <w:marTop w:val="0"/>
                                  <w:marBottom w:val="0"/>
                                  <w:divBdr>
                                    <w:top w:val="none" w:sz="0" w:space="0" w:color="auto"/>
                                    <w:left w:val="none" w:sz="0" w:space="0" w:color="auto"/>
                                    <w:bottom w:val="none" w:sz="0" w:space="0" w:color="auto"/>
                                    <w:right w:val="none" w:sz="0" w:space="0" w:color="auto"/>
                                  </w:divBdr>
                                  <w:divsChild>
                                    <w:div w:id="1375078578">
                                      <w:marLeft w:val="0"/>
                                      <w:marRight w:val="0"/>
                                      <w:marTop w:val="0"/>
                                      <w:marBottom w:val="150"/>
                                      <w:divBdr>
                                        <w:top w:val="none" w:sz="0" w:space="0" w:color="auto"/>
                                        <w:left w:val="none" w:sz="0" w:space="0" w:color="auto"/>
                                        <w:bottom w:val="none" w:sz="0" w:space="0" w:color="auto"/>
                                        <w:right w:val="none" w:sz="0" w:space="0" w:color="auto"/>
                                      </w:divBdr>
                                      <w:divsChild>
                                        <w:div w:id="1866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820002300">
      <w:bodyDiv w:val="1"/>
      <w:marLeft w:val="0"/>
      <w:marRight w:val="0"/>
      <w:marTop w:val="0"/>
      <w:marBottom w:val="0"/>
      <w:divBdr>
        <w:top w:val="none" w:sz="0" w:space="0" w:color="auto"/>
        <w:left w:val="none" w:sz="0" w:space="0" w:color="auto"/>
        <w:bottom w:val="none" w:sz="0" w:space="0" w:color="auto"/>
        <w:right w:val="none" w:sz="0" w:space="0" w:color="auto"/>
      </w:divBdr>
      <w:divsChild>
        <w:div w:id="1210999035">
          <w:marLeft w:val="0"/>
          <w:marRight w:val="0"/>
          <w:marTop w:val="0"/>
          <w:marBottom w:val="0"/>
          <w:divBdr>
            <w:top w:val="none" w:sz="0" w:space="0" w:color="auto"/>
            <w:left w:val="none" w:sz="0" w:space="0" w:color="auto"/>
            <w:bottom w:val="none" w:sz="0" w:space="0" w:color="auto"/>
            <w:right w:val="none" w:sz="0" w:space="0" w:color="auto"/>
          </w:divBdr>
          <w:divsChild>
            <w:div w:id="1760251738">
              <w:marLeft w:val="0"/>
              <w:marRight w:val="0"/>
              <w:marTop w:val="0"/>
              <w:marBottom w:val="0"/>
              <w:divBdr>
                <w:top w:val="none" w:sz="0" w:space="0" w:color="auto"/>
                <w:left w:val="none" w:sz="0" w:space="0" w:color="auto"/>
                <w:bottom w:val="none" w:sz="0" w:space="0" w:color="auto"/>
                <w:right w:val="none" w:sz="0" w:space="0" w:color="auto"/>
              </w:divBdr>
              <w:divsChild>
                <w:div w:id="1665090614">
                  <w:marLeft w:val="0"/>
                  <w:marRight w:val="0"/>
                  <w:marTop w:val="0"/>
                  <w:marBottom w:val="0"/>
                  <w:divBdr>
                    <w:top w:val="none" w:sz="0" w:space="0" w:color="auto"/>
                    <w:left w:val="none" w:sz="0" w:space="0" w:color="auto"/>
                    <w:bottom w:val="none" w:sz="0" w:space="0" w:color="auto"/>
                    <w:right w:val="none" w:sz="0" w:space="0" w:color="auto"/>
                  </w:divBdr>
                  <w:divsChild>
                    <w:div w:id="1018121868">
                      <w:marLeft w:val="0"/>
                      <w:marRight w:val="0"/>
                      <w:marTop w:val="0"/>
                      <w:marBottom w:val="0"/>
                      <w:divBdr>
                        <w:top w:val="none" w:sz="0" w:space="0" w:color="auto"/>
                        <w:left w:val="none" w:sz="0" w:space="0" w:color="auto"/>
                        <w:bottom w:val="none" w:sz="0" w:space="0" w:color="auto"/>
                        <w:right w:val="none" w:sz="0" w:space="0" w:color="auto"/>
                      </w:divBdr>
                      <w:divsChild>
                        <w:div w:id="418258606">
                          <w:marLeft w:val="0"/>
                          <w:marRight w:val="0"/>
                          <w:marTop w:val="0"/>
                          <w:marBottom w:val="0"/>
                          <w:divBdr>
                            <w:top w:val="none" w:sz="0" w:space="0" w:color="auto"/>
                            <w:left w:val="none" w:sz="0" w:space="0" w:color="auto"/>
                            <w:bottom w:val="none" w:sz="0" w:space="0" w:color="auto"/>
                            <w:right w:val="none" w:sz="0" w:space="0" w:color="auto"/>
                          </w:divBdr>
                          <w:divsChild>
                            <w:div w:id="12102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681397555">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0280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ina.Smirnov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DFCF687-10C7-4FAC-9C52-CEE2FEC0FD2C}">
  <ds:schemaRefs>
    <ds:schemaRef ds:uri="http://schemas.openxmlformats.org/officeDocument/2006/bibliography"/>
  </ds:schemaRefs>
</ds:datastoreItem>
</file>

<file path=customXml/itemProps2.xml><?xml version="1.0" encoding="utf-8"?>
<ds:datastoreItem xmlns:ds="http://schemas.openxmlformats.org/officeDocument/2006/customXml" ds:itemID="{7773DA35-AAA5-4621-99A5-1C5DAE3AB13F}">
  <ds:schemaRefs>
    <ds:schemaRef ds:uri="http://schemas.openxmlformats.org/officeDocument/2006/bibliography"/>
  </ds:schemaRefs>
</ds:datastoreItem>
</file>

<file path=customXml/itemProps3.xml><?xml version="1.0" encoding="utf-8"?>
<ds:datastoreItem xmlns:ds="http://schemas.openxmlformats.org/officeDocument/2006/customXml" ds:itemID="{DD7B2C19-C3AB-496A-9FA7-EE4F6B735A06}">
  <ds:schemaRefs>
    <ds:schemaRef ds:uri="http://schemas.openxmlformats.org/officeDocument/2006/bibliography"/>
  </ds:schemaRefs>
</ds:datastoreItem>
</file>

<file path=customXml/itemProps4.xml><?xml version="1.0" encoding="utf-8"?>
<ds:datastoreItem xmlns:ds="http://schemas.openxmlformats.org/officeDocument/2006/customXml" ds:itemID="{B913FE31-E8D0-48A8-B02C-A515A3A9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7576</Words>
  <Characters>4319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Nozares, kurās nepiemēro MUN režīmu</vt:lpstr>
    </vt:vector>
  </TitlesOfParts>
  <Company>FM</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Nozares, kurās nepiemēro MUN režīmu</dc:title>
  <dc:subject>anotācija</dc:subject>
  <dc:creator>Irina Smirnova</dc:creator>
  <dc:description>67083843</dc:description>
  <cp:lastModifiedBy>Gunta Puidīte</cp:lastModifiedBy>
  <cp:revision>17</cp:revision>
  <cp:lastPrinted>2015-09-17T12:16:00Z</cp:lastPrinted>
  <dcterms:created xsi:type="dcterms:W3CDTF">2015-09-17T11:09:00Z</dcterms:created>
  <dcterms:modified xsi:type="dcterms:W3CDTF">2015-09-18T10:57:00Z</dcterms:modified>
</cp:coreProperties>
</file>