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E7" w:rsidRPr="000B4D29" w:rsidRDefault="00356AE7" w:rsidP="005401E9">
      <w:pPr>
        <w:jc w:val="center"/>
        <w:rPr>
          <w:b/>
          <w:szCs w:val="28"/>
        </w:rPr>
      </w:pPr>
      <w:r w:rsidRPr="00734965">
        <w:rPr>
          <w:b/>
          <w:szCs w:val="28"/>
        </w:rPr>
        <w:t>Ministru kabineta noteikumu projekta „</w:t>
      </w:r>
      <w:r w:rsidRPr="000B4D29">
        <w:rPr>
          <w:b/>
          <w:szCs w:val="28"/>
        </w:rPr>
        <w:t>Grozījumi Ministru kabineta 2010. gada 21. jūnija noteikum</w:t>
      </w:r>
      <w:r>
        <w:rPr>
          <w:b/>
          <w:szCs w:val="28"/>
        </w:rPr>
        <w:t>os</w:t>
      </w:r>
      <w:r w:rsidRPr="000B4D29">
        <w:rPr>
          <w:b/>
          <w:szCs w:val="28"/>
        </w:rPr>
        <w:t xml:space="preserve"> Nr.</w:t>
      </w:r>
      <w:r w:rsidR="00963B13">
        <w:rPr>
          <w:b/>
          <w:szCs w:val="28"/>
        </w:rPr>
        <w:t> </w:t>
      </w:r>
      <w:r w:rsidRPr="000B4D29">
        <w:rPr>
          <w:b/>
          <w:szCs w:val="28"/>
        </w:rPr>
        <w:t>554</w:t>
      </w:r>
      <w:proofErr w:type="gramStart"/>
      <w:r w:rsidRPr="000B4D29">
        <w:rPr>
          <w:b/>
          <w:szCs w:val="28"/>
        </w:rPr>
        <w:t xml:space="preserve"> ,,</w:t>
      </w:r>
      <w:proofErr w:type="gramEnd"/>
      <w:r w:rsidRPr="000B4D29">
        <w:rPr>
          <w:b/>
          <w:szCs w:val="28"/>
        </w:rPr>
        <w:t>Noteikumi par valstīm, kuru pilsoņiem, izsniedzot vīzu vai uzturēšanās</w:t>
      </w:r>
      <w:r>
        <w:rPr>
          <w:b/>
          <w:szCs w:val="28"/>
        </w:rPr>
        <w:t xml:space="preserve"> atļauju, veic papildu pārbaudi</w:t>
      </w:r>
      <w:r w:rsidRPr="000B4D29">
        <w:rPr>
          <w:b/>
          <w:szCs w:val="28"/>
        </w:rPr>
        <w:t>””</w:t>
      </w:r>
      <w:r w:rsidRPr="00734965">
        <w:rPr>
          <w:b/>
          <w:szCs w:val="28"/>
        </w:rPr>
        <w:t xml:space="preserve"> sākotnējās ietekmes novērtējuma ziņojums (anotācija)</w:t>
      </w:r>
    </w:p>
    <w:p w:rsidR="00356AE7" w:rsidRDefault="00356AE7"/>
    <w:tbl>
      <w:tblPr>
        <w:tblpPr w:leftFromText="180" w:rightFromText="180" w:vertAnchor="text" w:horzAnchor="margin" w:tblpXSpec="center" w:tblpY="149"/>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6350"/>
      </w:tblGrid>
      <w:tr w:rsidR="00356AE7" w:rsidRPr="004D412E" w:rsidTr="001872F0">
        <w:trPr>
          <w:trHeight w:val="419"/>
        </w:trPr>
        <w:tc>
          <w:tcPr>
            <w:tcW w:w="5000" w:type="pct"/>
            <w:gridSpan w:val="3"/>
            <w:vAlign w:val="center"/>
          </w:tcPr>
          <w:p w:rsidR="00356AE7" w:rsidRPr="004D412E" w:rsidRDefault="00356AE7" w:rsidP="004D412E">
            <w:pPr>
              <w:pStyle w:val="naisnod"/>
              <w:spacing w:before="0" w:beforeAutospacing="0" w:after="0" w:afterAutospacing="0"/>
              <w:ind w:left="57" w:right="57"/>
              <w:jc w:val="center"/>
              <w:rPr>
                <w:b/>
              </w:rPr>
            </w:pPr>
            <w:r w:rsidRPr="004D412E">
              <w:rPr>
                <w:b/>
              </w:rPr>
              <w:t>I. Tiesību akta projekta izstrādes nepieciešamība</w:t>
            </w:r>
          </w:p>
        </w:tc>
      </w:tr>
      <w:tr w:rsidR="00356AE7" w:rsidRPr="004D412E" w:rsidTr="001872F0">
        <w:trPr>
          <w:trHeight w:val="415"/>
        </w:trPr>
        <w:tc>
          <w:tcPr>
            <w:tcW w:w="216" w:type="pct"/>
          </w:tcPr>
          <w:p w:rsidR="00356AE7" w:rsidRPr="004D412E" w:rsidRDefault="00356AE7" w:rsidP="004D412E">
            <w:pPr>
              <w:pStyle w:val="naiskr"/>
              <w:spacing w:before="0" w:beforeAutospacing="0" w:after="0" w:afterAutospacing="0"/>
              <w:ind w:left="57" w:right="57"/>
              <w:jc w:val="center"/>
            </w:pPr>
            <w:r w:rsidRPr="004D412E">
              <w:t>1.</w:t>
            </w:r>
          </w:p>
        </w:tc>
        <w:tc>
          <w:tcPr>
            <w:tcW w:w="1492" w:type="pct"/>
          </w:tcPr>
          <w:p w:rsidR="00356AE7" w:rsidRPr="004D412E" w:rsidRDefault="00356AE7" w:rsidP="004D412E">
            <w:pPr>
              <w:pStyle w:val="naiskr"/>
              <w:spacing w:before="0" w:beforeAutospacing="0" w:after="0" w:afterAutospacing="0"/>
              <w:ind w:left="57" w:right="57"/>
            </w:pPr>
            <w:r w:rsidRPr="004D412E">
              <w:t>Pamatojums</w:t>
            </w:r>
          </w:p>
        </w:tc>
        <w:tc>
          <w:tcPr>
            <w:tcW w:w="3292" w:type="pct"/>
          </w:tcPr>
          <w:p w:rsidR="00356AE7" w:rsidRPr="004D412E" w:rsidRDefault="00356AE7" w:rsidP="00963B13">
            <w:pPr>
              <w:autoSpaceDE w:val="0"/>
              <w:autoSpaceDN w:val="0"/>
              <w:adjustRightInd w:val="0"/>
              <w:ind w:left="57" w:right="57" w:firstLine="612"/>
              <w:rPr>
                <w:sz w:val="24"/>
                <w:szCs w:val="24"/>
              </w:rPr>
            </w:pPr>
            <w:r>
              <w:rPr>
                <w:sz w:val="24"/>
                <w:szCs w:val="24"/>
              </w:rPr>
              <w:t xml:space="preserve">Grozījumi </w:t>
            </w:r>
            <w:r w:rsidRPr="00DA1C48">
              <w:rPr>
                <w:sz w:val="24"/>
                <w:szCs w:val="24"/>
              </w:rPr>
              <w:t>Ministru kabineta 2010. gada 21. jūnija noteikum</w:t>
            </w:r>
            <w:r>
              <w:rPr>
                <w:sz w:val="24"/>
                <w:szCs w:val="24"/>
              </w:rPr>
              <w:t>os</w:t>
            </w:r>
            <w:r w:rsidRPr="00DA1C48">
              <w:rPr>
                <w:sz w:val="24"/>
                <w:szCs w:val="24"/>
              </w:rPr>
              <w:t xml:space="preserve"> Nr.554</w:t>
            </w:r>
            <w:proofErr w:type="gramStart"/>
            <w:r w:rsidRPr="00DA1C48">
              <w:rPr>
                <w:sz w:val="24"/>
                <w:szCs w:val="24"/>
              </w:rPr>
              <w:t xml:space="preserve"> ,,</w:t>
            </w:r>
            <w:proofErr w:type="gramEnd"/>
            <w:r w:rsidRPr="00DA1C48">
              <w:rPr>
                <w:sz w:val="24"/>
                <w:szCs w:val="24"/>
              </w:rPr>
              <w:t>Noteikumi par valstīm, kuru pilsoņiem, izsniedzot vīzu vai uzturēšanās atļauju, veic papildu pārbaudi”</w:t>
            </w:r>
            <w:r>
              <w:rPr>
                <w:sz w:val="24"/>
                <w:szCs w:val="24"/>
              </w:rPr>
              <w:t xml:space="preserve"> </w:t>
            </w:r>
            <w:r w:rsidRPr="00DA1C48">
              <w:rPr>
                <w:sz w:val="24"/>
                <w:szCs w:val="24"/>
              </w:rPr>
              <w:t xml:space="preserve">(turpmāk – </w:t>
            </w:r>
            <w:r>
              <w:rPr>
                <w:sz w:val="24"/>
                <w:szCs w:val="24"/>
              </w:rPr>
              <w:t>Projekts</w:t>
            </w:r>
            <w:r w:rsidRPr="00DA1C48">
              <w:rPr>
                <w:sz w:val="24"/>
                <w:szCs w:val="24"/>
              </w:rPr>
              <w:t xml:space="preserve">) </w:t>
            </w:r>
            <w:r>
              <w:rPr>
                <w:sz w:val="24"/>
                <w:szCs w:val="24"/>
              </w:rPr>
              <w:t>sagatavoti</w:t>
            </w:r>
            <w:r w:rsidR="00963B13">
              <w:rPr>
                <w:sz w:val="24"/>
                <w:szCs w:val="24"/>
              </w:rPr>
              <w:t>,</w:t>
            </w:r>
            <w:r>
              <w:rPr>
                <w:sz w:val="24"/>
                <w:szCs w:val="24"/>
              </w:rPr>
              <w:t xml:space="preserve"> pamatojoties uz </w:t>
            </w:r>
            <w:r w:rsidRPr="00DA1C48">
              <w:rPr>
                <w:sz w:val="24"/>
                <w:szCs w:val="24"/>
              </w:rPr>
              <w:t>Drošības policija</w:t>
            </w:r>
            <w:r>
              <w:rPr>
                <w:sz w:val="24"/>
                <w:szCs w:val="24"/>
              </w:rPr>
              <w:t>s</w:t>
            </w:r>
            <w:r w:rsidRPr="00DA1C48">
              <w:rPr>
                <w:sz w:val="24"/>
                <w:szCs w:val="24"/>
              </w:rPr>
              <w:t xml:space="preserve"> </w:t>
            </w:r>
            <w:r>
              <w:rPr>
                <w:sz w:val="24"/>
                <w:szCs w:val="24"/>
              </w:rPr>
              <w:t xml:space="preserve">un </w:t>
            </w:r>
            <w:r w:rsidRPr="00DA1C48">
              <w:rPr>
                <w:sz w:val="24"/>
                <w:szCs w:val="24"/>
              </w:rPr>
              <w:t xml:space="preserve"> Satversmes aizsardzības biroj</w:t>
            </w:r>
            <w:r>
              <w:rPr>
                <w:sz w:val="24"/>
                <w:szCs w:val="24"/>
              </w:rPr>
              <w:t>a sniegto informāciju iekšlietu ministram, lai izpildītu</w:t>
            </w:r>
            <w:r w:rsidRPr="00DA1C48">
              <w:rPr>
                <w:sz w:val="24"/>
                <w:szCs w:val="24"/>
              </w:rPr>
              <w:t xml:space="preserve"> Ministru kabineta 2010. gada 21. jūnija noteikum</w:t>
            </w:r>
            <w:r>
              <w:rPr>
                <w:sz w:val="24"/>
                <w:szCs w:val="24"/>
              </w:rPr>
              <w:t>u</w:t>
            </w:r>
            <w:r w:rsidRPr="00DA1C48">
              <w:rPr>
                <w:sz w:val="24"/>
                <w:szCs w:val="24"/>
              </w:rPr>
              <w:t xml:space="preserve"> Nr.554 ,,Noteikumi par valstīm, kuru pilsoņiem, izsniedzot vīzu vai uzturēšanās atļauju, veic papildu pārbaudi”</w:t>
            </w:r>
            <w:r>
              <w:rPr>
                <w:sz w:val="24"/>
                <w:szCs w:val="24"/>
              </w:rPr>
              <w:t xml:space="preserve"> </w:t>
            </w:r>
            <w:r w:rsidRPr="00DA1C48">
              <w:rPr>
                <w:sz w:val="24"/>
                <w:szCs w:val="24"/>
              </w:rPr>
              <w:t xml:space="preserve">(turpmāk – </w:t>
            </w:r>
            <w:r>
              <w:rPr>
                <w:sz w:val="24"/>
                <w:szCs w:val="24"/>
              </w:rPr>
              <w:t>Noteikumi</w:t>
            </w:r>
            <w:r w:rsidRPr="00DA1C48">
              <w:rPr>
                <w:sz w:val="24"/>
                <w:szCs w:val="24"/>
              </w:rPr>
              <w:t>) 2.</w:t>
            </w:r>
            <w:r w:rsidRPr="00DA1C48">
              <w:rPr>
                <w:sz w:val="24"/>
                <w:szCs w:val="24"/>
                <w:vertAlign w:val="superscript"/>
              </w:rPr>
              <w:t>1</w:t>
            </w:r>
            <w:r w:rsidRPr="00DA1C48">
              <w:rPr>
                <w:sz w:val="24"/>
                <w:szCs w:val="24"/>
              </w:rPr>
              <w:t xml:space="preserve"> punkt</w:t>
            </w:r>
            <w:r>
              <w:rPr>
                <w:sz w:val="24"/>
                <w:szCs w:val="24"/>
              </w:rPr>
              <w:t>ā noteikto.</w:t>
            </w:r>
          </w:p>
        </w:tc>
      </w:tr>
      <w:tr w:rsidR="00356AE7" w:rsidRPr="004D412E" w:rsidTr="001872F0">
        <w:trPr>
          <w:trHeight w:val="472"/>
        </w:trPr>
        <w:tc>
          <w:tcPr>
            <w:tcW w:w="216" w:type="pct"/>
          </w:tcPr>
          <w:p w:rsidR="00356AE7" w:rsidRPr="004D412E" w:rsidRDefault="00356AE7" w:rsidP="004D412E">
            <w:pPr>
              <w:pStyle w:val="naiskr"/>
              <w:spacing w:before="0" w:beforeAutospacing="0" w:after="0" w:afterAutospacing="0"/>
              <w:ind w:left="57" w:right="57"/>
              <w:jc w:val="center"/>
            </w:pPr>
            <w:r w:rsidRPr="004D412E">
              <w:t>2.</w:t>
            </w:r>
          </w:p>
        </w:tc>
        <w:tc>
          <w:tcPr>
            <w:tcW w:w="1492" w:type="pct"/>
          </w:tcPr>
          <w:p w:rsidR="00356AE7" w:rsidRPr="004D412E" w:rsidRDefault="00356AE7" w:rsidP="004D412E">
            <w:pPr>
              <w:ind w:left="57" w:right="57" w:firstLine="0"/>
              <w:rPr>
                <w:sz w:val="24"/>
                <w:szCs w:val="24"/>
              </w:rPr>
            </w:pPr>
            <w:r w:rsidRPr="004D412E">
              <w:rPr>
                <w:sz w:val="24"/>
                <w:szCs w:val="24"/>
              </w:rPr>
              <w:t>Pašreizējā situācija un problēmas, kuru risināšanai tiesību akta projekts izstrādāts, tiesiskā regulējuma mērķis un būtība</w:t>
            </w:r>
          </w:p>
        </w:tc>
        <w:tc>
          <w:tcPr>
            <w:tcW w:w="3292" w:type="pct"/>
          </w:tcPr>
          <w:p w:rsidR="00356AE7" w:rsidRPr="00F56033" w:rsidRDefault="00356AE7" w:rsidP="00963B13">
            <w:pPr>
              <w:ind w:firstLine="669"/>
              <w:rPr>
                <w:sz w:val="24"/>
                <w:szCs w:val="24"/>
              </w:rPr>
            </w:pPr>
            <w:r>
              <w:rPr>
                <w:sz w:val="24"/>
                <w:szCs w:val="24"/>
              </w:rPr>
              <w:t xml:space="preserve">Noteikumi </w:t>
            </w:r>
            <w:r w:rsidRPr="00F56033">
              <w:rPr>
                <w:sz w:val="24"/>
                <w:szCs w:val="24"/>
              </w:rPr>
              <w:t xml:space="preserve">nosaka to valstu sarakstu, kuru pilsoņiem pie vīzu </w:t>
            </w:r>
            <w:r w:rsidR="00963B13">
              <w:rPr>
                <w:sz w:val="24"/>
                <w:szCs w:val="24"/>
              </w:rPr>
              <w:t xml:space="preserve">vai uzturēšanās atļauju </w:t>
            </w:r>
            <w:r w:rsidRPr="00F56033">
              <w:rPr>
                <w:sz w:val="24"/>
                <w:szCs w:val="24"/>
              </w:rPr>
              <w:t>izs</w:t>
            </w:r>
            <w:r w:rsidR="00963B13">
              <w:rPr>
                <w:sz w:val="24"/>
                <w:szCs w:val="24"/>
              </w:rPr>
              <w:t>niegšanas veic papildu pārbaudi</w:t>
            </w:r>
            <w:r w:rsidRPr="00F56033">
              <w:rPr>
                <w:sz w:val="24"/>
                <w:szCs w:val="24"/>
              </w:rPr>
              <w:t>.</w:t>
            </w:r>
          </w:p>
          <w:p w:rsidR="00356AE7" w:rsidRDefault="00356AE7" w:rsidP="00963B13">
            <w:pPr>
              <w:ind w:firstLine="669"/>
              <w:rPr>
                <w:sz w:val="24"/>
                <w:szCs w:val="24"/>
              </w:rPr>
            </w:pPr>
            <w:r w:rsidRPr="00F56033">
              <w:rPr>
                <w:sz w:val="24"/>
                <w:szCs w:val="24"/>
              </w:rPr>
              <w:t>Noteikum</w:t>
            </w:r>
            <w:r>
              <w:rPr>
                <w:sz w:val="24"/>
                <w:szCs w:val="24"/>
              </w:rPr>
              <w:t xml:space="preserve">u </w:t>
            </w:r>
            <w:r w:rsidRPr="00DA1C48">
              <w:rPr>
                <w:sz w:val="24"/>
                <w:szCs w:val="24"/>
              </w:rPr>
              <w:t>2.</w:t>
            </w:r>
            <w:r w:rsidRPr="00DA1C48">
              <w:rPr>
                <w:sz w:val="24"/>
                <w:szCs w:val="24"/>
                <w:vertAlign w:val="superscript"/>
              </w:rPr>
              <w:t>1</w:t>
            </w:r>
            <w:r w:rsidRPr="00DA1C48">
              <w:rPr>
                <w:sz w:val="24"/>
                <w:szCs w:val="24"/>
              </w:rPr>
              <w:t xml:space="preserve"> punkt</w:t>
            </w:r>
            <w:r>
              <w:rPr>
                <w:sz w:val="24"/>
                <w:szCs w:val="24"/>
              </w:rPr>
              <w:t>s</w:t>
            </w:r>
            <w:r w:rsidRPr="00F56033">
              <w:rPr>
                <w:sz w:val="24"/>
                <w:szCs w:val="24"/>
              </w:rPr>
              <w:t xml:space="preserve"> paredz</w:t>
            </w:r>
            <w:r>
              <w:rPr>
                <w:sz w:val="24"/>
                <w:szCs w:val="24"/>
              </w:rPr>
              <w:t xml:space="preserve">, ka </w:t>
            </w:r>
            <w:r w:rsidRPr="00A110B9">
              <w:rPr>
                <w:sz w:val="24"/>
                <w:szCs w:val="24"/>
              </w:rPr>
              <w:t xml:space="preserve">Drošības policija sadarbībā ar Satversmes aizsardzības biroju ne retāk kā reizi trijos gados pārskata </w:t>
            </w:r>
            <w:r>
              <w:rPr>
                <w:sz w:val="24"/>
                <w:szCs w:val="24"/>
              </w:rPr>
              <w:t>N</w:t>
            </w:r>
            <w:r w:rsidRPr="00A110B9">
              <w:rPr>
                <w:sz w:val="24"/>
                <w:szCs w:val="24"/>
              </w:rPr>
              <w:t>oteikumu pielikumā esošo valstu sarakstu un informē iekšlietu ministru par tajā nepieciešamajām izmaiņām.</w:t>
            </w:r>
          </w:p>
          <w:p w:rsidR="00356AE7" w:rsidRDefault="00356AE7" w:rsidP="00A110B9">
            <w:pPr>
              <w:ind w:firstLine="0"/>
              <w:rPr>
                <w:sz w:val="24"/>
                <w:szCs w:val="24"/>
              </w:rPr>
            </w:pPr>
            <w:r>
              <w:rPr>
                <w:sz w:val="24"/>
                <w:szCs w:val="24"/>
              </w:rPr>
              <w:t>Ņ</w:t>
            </w:r>
            <w:r w:rsidRPr="00F56033">
              <w:rPr>
                <w:sz w:val="24"/>
                <w:szCs w:val="24"/>
              </w:rPr>
              <w:t>emot vērā</w:t>
            </w:r>
            <w:r>
              <w:rPr>
                <w:sz w:val="24"/>
                <w:szCs w:val="24"/>
              </w:rPr>
              <w:t xml:space="preserve"> to</w:t>
            </w:r>
            <w:r w:rsidRPr="00F56033">
              <w:rPr>
                <w:sz w:val="24"/>
                <w:szCs w:val="24"/>
              </w:rPr>
              <w:t xml:space="preserve">, ka apstākļi, </w:t>
            </w:r>
            <w:proofErr w:type="gramStart"/>
            <w:r w:rsidRPr="00F56033">
              <w:rPr>
                <w:sz w:val="24"/>
                <w:szCs w:val="24"/>
              </w:rPr>
              <w:t>kas bija par pamatu, lai veiktu papildu pārbaudes vīzas</w:t>
            </w:r>
            <w:r>
              <w:rPr>
                <w:sz w:val="24"/>
                <w:szCs w:val="24"/>
              </w:rPr>
              <w:t xml:space="preserve"> </w:t>
            </w:r>
            <w:r w:rsidRPr="00A40948">
              <w:rPr>
                <w:sz w:val="24"/>
                <w:szCs w:val="24"/>
              </w:rPr>
              <w:t>vai uzturēšanās atļauju</w:t>
            </w:r>
            <w:r w:rsidRPr="00F56033">
              <w:rPr>
                <w:sz w:val="24"/>
                <w:szCs w:val="24"/>
              </w:rPr>
              <w:t xml:space="preserve"> izsniegšanai laika gaitā </w:t>
            </w:r>
            <w:r>
              <w:rPr>
                <w:sz w:val="24"/>
                <w:szCs w:val="24"/>
              </w:rPr>
              <w:t>ir</w:t>
            </w:r>
            <w:r w:rsidRPr="00F56033">
              <w:rPr>
                <w:sz w:val="24"/>
                <w:szCs w:val="24"/>
              </w:rPr>
              <w:t xml:space="preserve"> mainī</w:t>
            </w:r>
            <w:r>
              <w:rPr>
                <w:sz w:val="24"/>
                <w:szCs w:val="24"/>
              </w:rPr>
              <w:t>jušies</w:t>
            </w:r>
            <w:r w:rsidRPr="00F56033">
              <w:rPr>
                <w:sz w:val="24"/>
                <w:szCs w:val="24"/>
              </w:rPr>
              <w:t>,</w:t>
            </w:r>
            <w:r w:rsidRPr="00DA1C48">
              <w:rPr>
                <w:sz w:val="24"/>
                <w:szCs w:val="24"/>
              </w:rPr>
              <w:t xml:space="preserve"> Drošības policija sadarbībā ar Satversmes aizsardzības biroju</w:t>
            </w:r>
            <w:proofErr w:type="gramEnd"/>
            <w:r w:rsidRPr="00DA1C48">
              <w:rPr>
                <w:sz w:val="24"/>
                <w:szCs w:val="24"/>
              </w:rPr>
              <w:t xml:space="preserve"> ir pārskatījusi </w:t>
            </w:r>
            <w:r>
              <w:rPr>
                <w:sz w:val="24"/>
                <w:szCs w:val="24"/>
              </w:rPr>
              <w:t>N</w:t>
            </w:r>
            <w:r w:rsidRPr="00DA1C48">
              <w:rPr>
                <w:sz w:val="24"/>
                <w:szCs w:val="24"/>
              </w:rPr>
              <w:t>oteikumu pielikumā esošo valstu sarakstu un</w:t>
            </w:r>
            <w:r>
              <w:rPr>
                <w:sz w:val="24"/>
                <w:szCs w:val="24"/>
              </w:rPr>
              <w:t xml:space="preserve"> precizē</w:t>
            </w:r>
            <w:r w:rsidRPr="00F56033">
              <w:rPr>
                <w:sz w:val="24"/>
                <w:szCs w:val="24"/>
              </w:rPr>
              <w:t xml:space="preserve"> </w:t>
            </w:r>
            <w:r>
              <w:rPr>
                <w:sz w:val="24"/>
                <w:szCs w:val="24"/>
              </w:rPr>
              <w:t>to.</w:t>
            </w:r>
          </w:p>
          <w:p w:rsidR="00356AE7" w:rsidRPr="00F56033" w:rsidRDefault="00356AE7" w:rsidP="00963B13">
            <w:pPr>
              <w:ind w:firstLine="669"/>
              <w:rPr>
                <w:sz w:val="24"/>
                <w:szCs w:val="24"/>
              </w:rPr>
            </w:pPr>
            <w:r>
              <w:rPr>
                <w:sz w:val="24"/>
                <w:szCs w:val="24"/>
              </w:rPr>
              <w:t>Projekts paredz:</w:t>
            </w:r>
          </w:p>
          <w:p w:rsidR="00356AE7" w:rsidRPr="009054BA" w:rsidRDefault="00356AE7" w:rsidP="00986AFB">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izslēgt no </w:t>
            </w:r>
            <w:r>
              <w:rPr>
                <w:sz w:val="24"/>
                <w:szCs w:val="24"/>
              </w:rPr>
              <w:t>N</w:t>
            </w:r>
            <w:r w:rsidRPr="009054BA">
              <w:rPr>
                <w:sz w:val="24"/>
                <w:szCs w:val="24"/>
              </w:rPr>
              <w:t>oteikumu pielikumā esošo valstu saraksta Apvienotos Arābu Emirātus saistībā ar to, ka pēdējo gadu laikā valstī nav notikuši islāmistu teroristu uzbrukumi;</w:t>
            </w:r>
          </w:p>
          <w:p w:rsidR="00356AE7" w:rsidRPr="009054BA" w:rsidRDefault="00356AE7" w:rsidP="00986AFB">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iekļaut </w:t>
            </w:r>
            <w:r>
              <w:rPr>
                <w:sz w:val="24"/>
                <w:szCs w:val="24"/>
              </w:rPr>
              <w:t>N</w:t>
            </w:r>
            <w:r w:rsidRPr="009054BA">
              <w:rPr>
                <w:sz w:val="24"/>
                <w:szCs w:val="24"/>
              </w:rPr>
              <w:t>oteikumu pielikumā esošo valstu sarakstā Dienvidsudānas Republiku saistībā ar to, ka tā izveidojās 2011. gadā</w:t>
            </w:r>
            <w:r w:rsidR="00963B13">
              <w:rPr>
                <w:sz w:val="24"/>
                <w:szCs w:val="24"/>
              </w:rPr>
              <w:t>,</w:t>
            </w:r>
            <w:r w:rsidRPr="009054BA">
              <w:rPr>
                <w:sz w:val="24"/>
                <w:szCs w:val="24"/>
              </w:rPr>
              <w:t xml:space="preserve"> atdaloties no Sudānas Republikas, kas ir iekļauta </w:t>
            </w:r>
            <w:r>
              <w:rPr>
                <w:sz w:val="24"/>
                <w:szCs w:val="24"/>
              </w:rPr>
              <w:t>N</w:t>
            </w:r>
            <w:r w:rsidRPr="009054BA">
              <w:rPr>
                <w:sz w:val="24"/>
                <w:szCs w:val="24"/>
              </w:rPr>
              <w:t>oteikumu pielikumā esošajā valstu sarakstā;</w:t>
            </w:r>
          </w:p>
          <w:p w:rsidR="00356AE7" w:rsidRDefault="00356AE7" w:rsidP="00986AFB">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iekļaut </w:t>
            </w:r>
            <w:r>
              <w:rPr>
                <w:sz w:val="24"/>
                <w:szCs w:val="24"/>
              </w:rPr>
              <w:t>N</w:t>
            </w:r>
            <w:r w:rsidRPr="009054BA">
              <w:rPr>
                <w:sz w:val="24"/>
                <w:szCs w:val="24"/>
              </w:rPr>
              <w:t xml:space="preserve">oteikumu pielikumā esošo valstu sarakstā </w:t>
            </w:r>
            <w:r>
              <w:rPr>
                <w:sz w:val="24"/>
                <w:szCs w:val="24"/>
              </w:rPr>
              <w:t>Gruziju</w:t>
            </w:r>
            <w:r w:rsidRPr="009054BA">
              <w:rPr>
                <w:sz w:val="24"/>
                <w:szCs w:val="24"/>
              </w:rPr>
              <w:t xml:space="preserve"> ar</w:t>
            </w:r>
            <w:proofErr w:type="gramStart"/>
            <w:r w:rsidRPr="009054BA">
              <w:rPr>
                <w:sz w:val="24"/>
                <w:szCs w:val="24"/>
              </w:rPr>
              <w:t xml:space="preserve"> </w:t>
            </w:r>
            <w:r w:rsidRPr="008F16D4">
              <w:rPr>
                <w:sz w:val="24"/>
                <w:szCs w:val="24"/>
              </w:rPr>
              <w:t xml:space="preserve"> </w:t>
            </w:r>
            <w:proofErr w:type="gramEnd"/>
            <w:r w:rsidRPr="008F16D4">
              <w:rPr>
                <w:sz w:val="24"/>
                <w:szCs w:val="24"/>
              </w:rPr>
              <w:t>Abhāzija</w:t>
            </w:r>
            <w:r>
              <w:rPr>
                <w:sz w:val="24"/>
                <w:szCs w:val="24"/>
              </w:rPr>
              <w:t>s</w:t>
            </w:r>
            <w:r w:rsidRPr="008F16D4">
              <w:rPr>
                <w:sz w:val="24"/>
                <w:szCs w:val="24"/>
              </w:rPr>
              <w:t xml:space="preserve"> un Dienvidosetija</w:t>
            </w:r>
            <w:r>
              <w:rPr>
                <w:sz w:val="24"/>
                <w:szCs w:val="24"/>
              </w:rPr>
              <w:t>s</w:t>
            </w:r>
            <w:r w:rsidRPr="009054BA">
              <w:rPr>
                <w:sz w:val="24"/>
                <w:szCs w:val="24"/>
              </w:rPr>
              <w:t xml:space="preserve"> teritorij</w:t>
            </w:r>
            <w:r>
              <w:rPr>
                <w:sz w:val="24"/>
                <w:szCs w:val="24"/>
              </w:rPr>
              <w:t>u</w:t>
            </w:r>
            <w:r w:rsidRPr="009054BA">
              <w:rPr>
                <w:sz w:val="24"/>
                <w:szCs w:val="24"/>
              </w:rPr>
              <w:t xml:space="preserve"> saistībā ar to,</w:t>
            </w:r>
            <w:r w:rsidRPr="00986AFB">
              <w:rPr>
                <w:sz w:val="24"/>
                <w:szCs w:val="24"/>
              </w:rPr>
              <w:t xml:space="preserve"> ka </w:t>
            </w:r>
            <w:r>
              <w:rPr>
                <w:sz w:val="24"/>
                <w:szCs w:val="24"/>
              </w:rPr>
              <w:t>Gruzijas</w:t>
            </w:r>
            <w:r w:rsidRPr="00986AFB">
              <w:rPr>
                <w:sz w:val="24"/>
                <w:szCs w:val="24"/>
              </w:rPr>
              <w:t xml:space="preserve"> sastāvā esošajās Abhāzijas un Dienvidosetijas separātistu kontrolētās teritorijās netiek nodrošināt</w:t>
            </w:r>
            <w:r>
              <w:rPr>
                <w:sz w:val="24"/>
                <w:szCs w:val="24"/>
              </w:rPr>
              <w:t xml:space="preserve">a centrālās varas pārvalde un tajās joprojām </w:t>
            </w:r>
            <w:r w:rsidRPr="009054BA">
              <w:rPr>
                <w:sz w:val="24"/>
                <w:szCs w:val="24"/>
              </w:rPr>
              <w:t>darbojas nozīmīgs skaits kaujinieku</w:t>
            </w:r>
            <w:r>
              <w:rPr>
                <w:sz w:val="24"/>
                <w:szCs w:val="24"/>
              </w:rPr>
              <w:t>;</w:t>
            </w:r>
          </w:p>
          <w:p w:rsidR="00356AE7" w:rsidRDefault="00356AE7" w:rsidP="00DF0DAD">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aktualizēt </w:t>
            </w:r>
            <w:r>
              <w:rPr>
                <w:sz w:val="24"/>
                <w:szCs w:val="24"/>
              </w:rPr>
              <w:t>N</w:t>
            </w:r>
            <w:r w:rsidRPr="009054BA">
              <w:rPr>
                <w:sz w:val="24"/>
                <w:szCs w:val="24"/>
              </w:rPr>
              <w:t>oteikumu pielikumā esošo valstu sarakstā norādītās K</w:t>
            </w:r>
            <w:r>
              <w:rPr>
                <w:sz w:val="24"/>
                <w:szCs w:val="24"/>
              </w:rPr>
              <w:t>F</w:t>
            </w:r>
            <w:r w:rsidRPr="009054BA">
              <w:rPr>
                <w:sz w:val="24"/>
                <w:szCs w:val="24"/>
              </w:rPr>
              <w:t xml:space="preserve"> teritorijas ar </w:t>
            </w:r>
            <w:proofErr w:type="spellStart"/>
            <w:r w:rsidRPr="009054BA">
              <w:rPr>
                <w:sz w:val="24"/>
                <w:szCs w:val="24"/>
              </w:rPr>
              <w:t>Kabarda-Balkārijas</w:t>
            </w:r>
            <w:proofErr w:type="spellEnd"/>
            <w:r w:rsidRPr="009054BA">
              <w:rPr>
                <w:sz w:val="24"/>
                <w:szCs w:val="24"/>
              </w:rPr>
              <w:t xml:space="preserve"> Republiku,</w:t>
            </w:r>
            <w:r w:rsidRPr="0052641C">
              <w:rPr>
                <w:sz w:val="24"/>
                <w:szCs w:val="24"/>
              </w:rPr>
              <w:t xml:space="preserve"> </w:t>
            </w:r>
            <w:proofErr w:type="spellStart"/>
            <w:r w:rsidRPr="0052641C">
              <w:rPr>
                <w:sz w:val="24"/>
                <w:szCs w:val="24"/>
              </w:rPr>
              <w:t>Karačaja-Čerkesij</w:t>
            </w:r>
            <w:r>
              <w:rPr>
                <w:sz w:val="24"/>
                <w:szCs w:val="24"/>
              </w:rPr>
              <w:t>as</w:t>
            </w:r>
            <w:proofErr w:type="spellEnd"/>
            <w:r>
              <w:rPr>
                <w:sz w:val="24"/>
                <w:szCs w:val="24"/>
              </w:rPr>
              <w:t xml:space="preserve"> teritoriju</w:t>
            </w:r>
            <w:r w:rsidRPr="0052641C">
              <w:rPr>
                <w:sz w:val="24"/>
                <w:szCs w:val="24"/>
              </w:rPr>
              <w:t xml:space="preserve"> un </w:t>
            </w:r>
            <w:r w:rsidR="00EB578F" w:rsidRPr="0052641C">
              <w:rPr>
                <w:sz w:val="24"/>
                <w:szCs w:val="24"/>
              </w:rPr>
              <w:t>Ziemeļosetij</w:t>
            </w:r>
            <w:r w:rsidR="00EB578F">
              <w:rPr>
                <w:sz w:val="24"/>
                <w:szCs w:val="24"/>
              </w:rPr>
              <w:t xml:space="preserve">u </w:t>
            </w:r>
            <w:r w:rsidRPr="009054BA">
              <w:rPr>
                <w:sz w:val="24"/>
                <w:szCs w:val="24"/>
              </w:rPr>
              <w:t>saistībā ar to,</w:t>
            </w:r>
            <w:r>
              <w:rPr>
                <w:sz w:val="24"/>
                <w:szCs w:val="24"/>
              </w:rPr>
              <w:t xml:space="preserve"> ka</w:t>
            </w:r>
            <w:r w:rsidRPr="009054BA">
              <w:rPr>
                <w:sz w:val="24"/>
                <w:szCs w:val="24"/>
              </w:rPr>
              <w:t xml:space="preserve"> islāmistu teroristu darbība minētaj</w:t>
            </w:r>
            <w:r>
              <w:rPr>
                <w:sz w:val="24"/>
                <w:szCs w:val="24"/>
              </w:rPr>
              <w:t>os</w:t>
            </w:r>
            <w:r w:rsidRPr="009054BA">
              <w:rPr>
                <w:sz w:val="24"/>
                <w:szCs w:val="24"/>
              </w:rPr>
              <w:t xml:space="preserve"> reģion</w:t>
            </w:r>
            <w:r>
              <w:rPr>
                <w:sz w:val="24"/>
                <w:szCs w:val="24"/>
              </w:rPr>
              <w:t>os</w:t>
            </w:r>
            <w:r w:rsidRPr="009054BA">
              <w:rPr>
                <w:sz w:val="24"/>
                <w:szCs w:val="24"/>
              </w:rPr>
              <w:t xml:space="preserve"> joprojām ir salīdzinoši liela un saskaņā ar </w:t>
            </w:r>
            <w:r>
              <w:rPr>
                <w:sz w:val="24"/>
                <w:szCs w:val="24"/>
              </w:rPr>
              <w:t>kompetento institūciju rīcībā esošo</w:t>
            </w:r>
            <w:proofErr w:type="gramStart"/>
            <w:r>
              <w:rPr>
                <w:sz w:val="24"/>
                <w:szCs w:val="24"/>
              </w:rPr>
              <w:t xml:space="preserve"> </w:t>
            </w:r>
            <w:r w:rsidRPr="009054BA">
              <w:rPr>
                <w:sz w:val="24"/>
                <w:szCs w:val="24"/>
              </w:rPr>
              <w:t xml:space="preserve"> </w:t>
            </w:r>
            <w:proofErr w:type="gramEnd"/>
            <w:r w:rsidRPr="009054BA">
              <w:rPr>
                <w:sz w:val="24"/>
                <w:szCs w:val="24"/>
              </w:rPr>
              <w:t>informāciju tajā</w:t>
            </w:r>
            <w:r>
              <w:rPr>
                <w:sz w:val="24"/>
                <w:szCs w:val="24"/>
              </w:rPr>
              <w:t>s</w:t>
            </w:r>
            <w:r w:rsidRPr="009054BA">
              <w:rPr>
                <w:sz w:val="24"/>
                <w:szCs w:val="24"/>
              </w:rPr>
              <w:t xml:space="preserve"> šobrīd darbojas nozīmīgs skaits kaujinieku;</w:t>
            </w:r>
          </w:p>
          <w:p w:rsidR="00356AE7" w:rsidRPr="009054BA" w:rsidRDefault="00356AE7" w:rsidP="00DF0DAD">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iekļaut </w:t>
            </w:r>
            <w:r>
              <w:rPr>
                <w:sz w:val="24"/>
                <w:szCs w:val="24"/>
              </w:rPr>
              <w:t>N</w:t>
            </w:r>
            <w:r w:rsidRPr="009054BA">
              <w:rPr>
                <w:sz w:val="24"/>
                <w:szCs w:val="24"/>
              </w:rPr>
              <w:t>oteikumu pielikumā esošo valstu sarakstā Mali Republiku saistībā ar to, ka drošības situācija valstī ir būtiski pasliktinājusies. Lai gan Francijas Republikas bruņoto spēku militārā operācija Mali Republikā 2014. gada 1. augustā noslēdzās, tomēr šajā reģionā joprojām uzturas ievērojams skaits islāmistu teroristu, kuri ir spējīgi organizēt dažāda veida uzbrukumus;</w:t>
            </w:r>
          </w:p>
          <w:p w:rsidR="00356AE7" w:rsidRDefault="00356AE7" w:rsidP="00DF0DAD">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izslēgt no </w:t>
            </w:r>
            <w:r>
              <w:rPr>
                <w:sz w:val="24"/>
                <w:szCs w:val="24"/>
              </w:rPr>
              <w:t>N</w:t>
            </w:r>
            <w:r w:rsidRPr="009054BA">
              <w:rPr>
                <w:sz w:val="24"/>
                <w:szCs w:val="24"/>
              </w:rPr>
              <w:t>oteikumu pielikumā esošo valstu saraksta Šrilankas Demokrātisko Sociālistisko Republiku saistībā ar to, ka drošības situācija ir uzlabojusies un teroristu grupējumu radīto draudu līmenis ir būtiski samazinājies;</w:t>
            </w:r>
          </w:p>
          <w:p w:rsidR="00356AE7" w:rsidRDefault="00356AE7" w:rsidP="00986AFB">
            <w:pPr>
              <w:overflowPunct w:val="0"/>
              <w:autoSpaceDE w:val="0"/>
              <w:autoSpaceDN w:val="0"/>
              <w:adjustRightInd w:val="0"/>
              <w:ind w:firstLine="0"/>
              <w:textAlignment w:val="baseline"/>
              <w:rPr>
                <w:sz w:val="24"/>
                <w:szCs w:val="24"/>
              </w:rPr>
            </w:pPr>
            <w:r>
              <w:rPr>
                <w:sz w:val="24"/>
                <w:szCs w:val="24"/>
              </w:rPr>
              <w:t>  -  </w:t>
            </w:r>
            <w:r w:rsidRPr="009054BA">
              <w:rPr>
                <w:sz w:val="24"/>
                <w:szCs w:val="24"/>
              </w:rPr>
              <w:t xml:space="preserve">iekļaut </w:t>
            </w:r>
            <w:r>
              <w:rPr>
                <w:sz w:val="24"/>
                <w:szCs w:val="24"/>
              </w:rPr>
              <w:t>N</w:t>
            </w:r>
            <w:r w:rsidRPr="009054BA">
              <w:rPr>
                <w:sz w:val="24"/>
                <w:szCs w:val="24"/>
              </w:rPr>
              <w:t>oteikumu pielikumā esošo valstu sarakstā Ukrainu ar Krimas</w:t>
            </w:r>
            <w:r>
              <w:rPr>
                <w:sz w:val="24"/>
                <w:szCs w:val="24"/>
              </w:rPr>
              <w:t xml:space="preserve"> </w:t>
            </w:r>
            <w:r w:rsidRPr="00986AFB">
              <w:rPr>
                <w:sz w:val="24"/>
                <w:szCs w:val="24"/>
              </w:rPr>
              <w:t>Autonom</w:t>
            </w:r>
            <w:r>
              <w:rPr>
                <w:sz w:val="24"/>
                <w:szCs w:val="24"/>
              </w:rPr>
              <w:t>o</w:t>
            </w:r>
            <w:r w:rsidRPr="00986AFB">
              <w:rPr>
                <w:sz w:val="24"/>
                <w:szCs w:val="24"/>
              </w:rPr>
              <w:t xml:space="preserve"> Republik</w:t>
            </w:r>
            <w:r>
              <w:rPr>
                <w:sz w:val="24"/>
                <w:szCs w:val="24"/>
              </w:rPr>
              <w:t>u</w:t>
            </w:r>
            <w:r w:rsidRPr="009054BA">
              <w:rPr>
                <w:sz w:val="24"/>
                <w:szCs w:val="24"/>
              </w:rPr>
              <w:t xml:space="preserve">, </w:t>
            </w:r>
            <w:proofErr w:type="spellStart"/>
            <w:r w:rsidRPr="009054BA">
              <w:rPr>
                <w:sz w:val="24"/>
                <w:szCs w:val="24"/>
              </w:rPr>
              <w:t>Luhanskas</w:t>
            </w:r>
            <w:proofErr w:type="spellEnd"/>
            <w:r w:rsidRPr="009054BA">
              <w:rPr>
                <w:sz w:val="24"/>
                <w:szCs w:val="24"/>
              </w:rPr>
              <w:t xml:space="preserve"> un Doņeckas teritorij</w:t>
            </w:r>
            <w:r>
              <w:rPr>
                <w:sz w:val="24"/>
                <w:szCs w:val="24"/>
              </w:rPr>
              <w:t xml:space="preserve">ām </w:t>
            </w:r>
            <w:r w:rsidRPr="009054BA">
              <w:rPr>
                <w:sz w:val="24"/>
                <w:szCs w:val="24"/>
              </w:rPr>
              <w:t>saistībā ar to,</w:t>
            </w:r>
            <w:r>
              <w:rPr>
                <w:sz w:val="24"/>
                <w:szCs w:val="24"/>
              </w:rPr>
              <w:t xml:space="preserve"> </w:t>
            </w:r>
            <w:r w:rsidRPr="00986AFB">
              <w:rPr>
                <w:sz w:val="24"/>
                <w:szCs w:val="24"/>
              </w:rPr>
              <w:t xml:space="preserve">ka </w:t>
            </w:r>
            <w:r w:rsidRPr="009054BA">
              <w:rPr>
                <w:sz w:val="24"/>
                <w:szCs w:val="24"/>
              </w:rPr>
              <w:t>Ukrain</w:t>
            </w:r>
            <w:r>
              <w:rPr>
                <w:sz w:val="24"/>
                <w:szCs w:val="24"/>
              </w:rPr>
              <w:t>as</w:t>
            </w:r>
            <w:r w:rsidRPr="00986AFB">
              <w:rPr>
                <w:sz w:val="24"/>
                <w:szCs w:val="24"/>
              </w:rPr>
              <w:t xml:space="preserve"> sastāvā esošajās Krimas Autonomās Republikas, atsevišķas </w:t>
            </w:r>
            <w:proofErr w:type="spellStart"/>
            <w:r w:rsidRPr="00986AFB">
              <w:rPr>
                <w:sz w:val="24"/>
                <w:szCs w:val="24"/>
              </w:rPr>
              <w:t>Luhanskas</w:t>
            </w:r>
            <w:proofErr w:type="spellEnd"/>
            <w:r w:rsidRPr="00986AFB">
              <w:rPr>
                <w:sz w:val="24"/>
                <w:szCs w:val="24"/>
              </w:rPr>
              <w:t xml:space="preserve"> un Doņeckas apgabalu teritorijās netiek nodrošināta centrālās varas pārvalde. Krimas Autonomā Republika atrodas faktiskā KF kontrolē. Savukārt </w:t>
            </w:r>
            <w:proofErr w:type="spellStart"/>
            <w:r w:rsidRPr="00986AFB">
              <w:rPr>
                <w:sz w:val="24"/>
                <w:szCs w:val="24"/>
              </w:rPr>
              <w:t>Luhanskas</w:t>
            </w:r>
            <w:proofErr w:type="spellEnd"/>
            <w:r w:rsidRPr="00986AFB">
              <w:rPr>
                <w:sz w:val="24"/>
                <w:szCs w:val="24"/>
              </w:rPr>
              <w:t xml:space="preserve"> un Doņeckas apgabalu teritorijā ir faktiski izveidota starptautiski neatzīta separātistu pārvalde</w:t>
            </w:r>
            <w:r>
              <w:rPr>
                <w:sz w:val="24"/>
                <w:szCs w:val="24"/>
              </w:rPr>
              <w:t xml:space="preserve"> un </w:t>
            </w:r>
            <w:r w:rsidRPr="009054BA">
              <w:rPr>
                <w:sz w:val="24"/>
                <w:szCs w:val="24"/>
              </w:rPr>
              <w:t>tajā</w:t>
            </w:r>
            <w:r>
              <w:rPr>
                <w:sz w:val="24"/>
                <w:szCs w:val="24"/>
              </w:rPr>
              <w:t>s</w:t>
            </w:r>
            <w:r w:rsidRPr="009054BA">
              <w:rPr>
                <w:sz w:val="24"/>
                <w:szCs w:val="24"/>
              </w:rPr>
              <w:t xml:space="preserve"> šobrīd darbojas nozīmīgs skaits kaujinieku</w:t>
            </w:r>
            <w:r>
              <w:rPr>
                <w:sz w:val="24"/>
                <w:szCs w:val="24"/>
              </w:rPr>
              <w:t>.</w:t>
            </w:r>
          </w:p>
          <w:p w:rsidR="00356AE7" w:rsidRPr="00DA1C48" w:rsidRDefault="00356AE7" w:rsidP="00986AFB">
            <w:pPr>
              <w:overflowPunct w:val="0"/>
              <w:autoSpaceDE w:val="0"/>
              <w:autoSpaceDN w:val="0"/>
              <w:adjustRightInd w:val="0"/>
              <w:ind w:firstLine="0"/>
              <w:textAlignment w:val="baseline"/>
              <w:rPr>
                <w:sz w:val="24"/>
                <w:szCs w:val="24"/>
              </w:rPr>
            </w:pPr>
          </w:p>
        </w:tc>
      </w:tr>
      <w:tr w:rsidR="00356AE7" w:rsidRPr="004D412E" w:rsidTr="001872F0">
        <w:trPr>
          <w:trHeight w:val="476"/>
        </w:trPr>
        <w:tc>
          <w:tcPr>
            <w:tcW w:w="216" w:type="pct"/>
          </w:tcPr>
          <w:p w:rsidR="00356AE7" w:rsidRPr="004D412E" w:rsidRDefault="00356AE7" w:rsidP="004D412E">
            <w:pPr>
              <w:pStyle w:val="naiskr"/>
              <w:spacing w:before="0" w:beforeAutospacing="0" w:after="0" w:afterAutospacing="0"/>
              <w:ind w:left="57" w:right="57"/>
              <w:jc w:val="center"/>
            </w:pPr>
            <w:r w:rsidRPr="004D412E">
              <w:t>3.</w:t>
            </w:r>
          </w:p>
        </w:tc>
        <w:tc>
          <w:tcPr>
            <w:tcW w:w="1492" w:type="pct"/>
          </w:tcPr>
          <w:p w:rsidR="00356AE7" w:rsidRPr="004D412E" w:rsidRDefault="00356AE7" w:rsidP="004D412E">
            <w:pPr>
              <w:pStyle w:val="naiskr"/>
              <w:spacing w:before="0" w:beforeAutospacing="0" w:after="0" w:afterAutospacing="0"/>
              <w:ind w:left="57" w:right="57"/>
            </w:pPr>
            <w:r w:rsidRPr="004D412E">
              <w:t>Projekta izstrādē iesaistītās institūcijas</w:t>
            </w:r>
          </w:p>
        </w:tc>
        <w:tc>
          <w:tcPr>
            <w:tcW w:w="3292" w:type="pct"/>
          </w:tcPr>
          <w:p w:rsidR="00356AE7" w:rsidRPr="00DA1C48" w:rsidRDefault="00356AE7" w:rsidP="004D412E">
            <w:pPr>
              <w:ind w:left="57" w:right="57" w:firstLine="0"/>
              <w:rPr>
                <w:sz w:val="24"/>
                <w:szCs w:val="24"/>
              </w:rPr>
            </w:pPr>
            <w:r w:rsidRPr="004D412E">
              <w:rPr>
                <w:sz w:val="24"/>
                <w:szCs w:val="24"/>
              </w:rPr>
              <w:t>Drošības policija</w:t>
            </w:r>
            <w:r>
              <w:rPr>
                <w:sz w:val="24"/>
                <w:szCs w:val="24"/>
              </w:rPr>
              <w:t xml:space="preserve"> un </w:t>
            </w:r>
            <w:r w:rsidRPr="00DA1C48">
              <w:rPr>
                <w:sz w:val="24"/>
                <w:szCs w:val="24"/>
              </w:rPr>
              <w:t>Satversmes aizsardzības birojs</w:t>
            </w:r>
            <w:r w:rsidRPr="004D412E">
              <w:rPr>
                <w:sz w:val="24"/>
                <w:szCs w:val="24"/>
              </w:rPr>
              <w:t>.</w:t>
            </w:r>
          </w:p>
        </w:tc>
      </w:tr>
      <w:tr w:rsidR="00356AE7" w:rsidRPr="004D412E" w:rsidTr="001872F0">
        <w:tc>
          <w:tcPr>
            <w:tcW w:w="216" w:type="pct"/>
          </w:tcPr>
          <w:p w:rsidR="00356AE7" w:rsidRPr="004D412E" w:rsidRDefault="00356AE7" w:rsidP="004D412E">
            <w:pPr>
              <w:pStyle w:val="naiskr"/>
              <w:spacing w:before="0" w:beforeAutospacing="0" w:after="0" w:afterAutospacing="0"/>
              <w:ind w:left="57" w:right="57"/>
              <w:jc w:val="center"/>
            </w:pPr>
            <w:r w:rsidRPr="004D412E">
              <w:t>4.</w:t>
            </w:r>
          </w:p>
        </w:tc>
        <w:tc>
          <w:tcPr>
            <w:tcW w:w="1492" w:type="pct"/>
          </w:tcPr>
          <w:p w:rsidR="00356AE7" w:rsidRPr="004D412E" w:rsidRDefault="00356AE7" w:rsidP="004D412E">
            <w:pPr>
              <w:pStyle w:val="naiskr"/>
              <w:spacing w:before="0" w:beforeAutospacing="0" w:after="0" w:afterAutospacing="0"/>
              <w:ind w:left="57" w:right="57"/>
            </w:pPr>
            <w:r w:rsidRPr="004D412E">
              <w:t>Cita informācija</w:t>
            </w:r>
          </w:p>
        </w:tc>
        <w:tc>
          <w:tcPr>
            <w:tcW w:w="3292" w:type="pct"/>
          </w:tcPr>
          <w:p w:rsidR="00356AE7" w:rsidRPr="004D412E" w:rsidRDefault="00356AE7" w:rsidP="004D412E">
            <w:pPr>
              <w:ind w:left="57" w:right="57" w:firstLine="0"/>
              <w:rPr>
                <w:sz w:val="24"/>
                <w:szCs w:val="24"/>
              </w:rPr>
            </w:pPr>
            <w:r w:rsidRPr="004D412E">
              <w:rPr>
                <w:sz w:val="24"/>
                <w:szCs w:val="24"/>
              </w:rPr>
              <w:t>Nav.</w:t>
            </w:r>
          </w:p>
        </w:tc>
      </w:tr>
    </w:tbl>
    <w:p w:rsidR="00356AE7" w:rsidRDefault="00356AE7" w:rsidP="00B774B5">
      <w:pPr>
        <w:ind w:firstLine="0"/>
      </w:pPr>
    </w:p>
    <w:tbl>
      <w:tblPr>
        <w:tblpPr w:leftFromText="180" w:rightFromText="180" w:vertAnchor="text" w:horzAnchor="margin" w:tblpXSpec="center" w:tblpY="119"/>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921"/>
        <w:gridCol w:w="6256"/>
      </w:tblGrid>
      <w:tr w:rsidR="00356AE7" w:rsidRPr="005D298E" w:rsidTr="00B774B5">
        <w:trPr>
          <w:trHeight w:val="556"/>
        </w:trPr>
        <w:tc>
          <w:tcPr>
            <w:tcW w:w="9512" w:type="dxa"/>
            <w:gridSpan w:val="3"/>
            <w:vAlign w:val="center"/>
          </w:tcPr>
          <w:p w:rsidR="00356AE7" w:rsidRPr="005D298E" w:rsidRDefault="00356AE7" w:rsidP="00B774B5">
            <w:pPr>
              <w:pStyle w:val="naisnod"/>
              <w:spacing w:before="0" w:beforeAutospacing="0" w:after="0" w:afterAutospacing="0"/>
              <w:ind w:left="57" w:right="57"/>
              <w:jc w:val="center"/>
              <w:rPr>
                <w:b/>
              </w:rPr>
            </w:pPr>
            <w:r w:rsidRPr="005D298E">
              <w:rPr>
                <w:b/>
              </w:rPr>
              <w:t>II. Tiesību akta projekta ietekme uz sabiedrību, tautsaimniecības attīstību</w:t>
            </w:r>
          </w:p>
          <w:p w:rsidR="00356AE7" w:rsidRPr="005D298E" w:rsidRDefault="00356AE7" w:rsidP="00B774B5">
            <w:pPr>
              <w:pStyle w:val="naisnod"/>
              <w:spacing w:before="0" w:beforeAutospacing="0" w:after="0" w:afterAutospacing="0"/>
              <w:ind w:left="57" w:right="57"/>
              <w:jc w:val="center"/>
              <w:rPr>
                <w:b/>
              </w:rPr>
            </w:pPr>
            <w:r w:rsidRPr="005D298E">
              <w:rPr>
                <w:b/>
              </w:rPr>
              <w:t>un administratīvo slogu</w:t>
            </w:r>
          </w:p>
        </w:tc>
      </w:tr>
      <w:tr w:rsidR="00356AE7" w:rsidRPr="005D298E" w:rsidTr="00B774B5">
        <w:trPr>
          <w:trHeight w:val="1573"/>
        </w:trPr>
        <w:tc>
          <w:tcPr>
            <w:tcW w:w="335" w:type="dxa"/>
          </w:tcPr>
          <w:p w:rsidR="00356AE7" w:rsidRPr="005D298E" w:rsidRDefault="00356AE7" w:rsidP="00B774B5">
            <w:pPr>
              <w:pStyle w:val="naiskr"/>
              <w:spacing w:before="0" w:beforeAutospacing="0" w:after="0" w:afterAutospacing="0"/>
              <w:ind w:left="57" w:right="57"/>
              <w:jc w:val="both"/>
            </w:pPr>
            <w:r w:rsidRPr="005D298E">
              <w:t>1.</w:t>
            </w:r>
          </w:p>
        </w:tc>
        <w:tc>
          <w:tcPr>
            <w:tcW w:w="2921" w:type="dxa"/>
          </w:tcPr>
          <w:p w:rsidR="00356AE7" w:rsidRPr="005D298E" w:rsidRDefault="00356AE7" w:rsidP="00B774B5">
            <w:pPr>
              <w:pStyle w:val="naiskr"/>
              <w:spacing w:before="0" w:beforeAutospacing="0" w:after="0" w:afterAutospacing="0"/>
              <w:ind w:left="57" w:right="57"/>
            </w:pPr>
            <w:r w:rsidRPr="005D298E">
              <w:t>Sabiedrības mērķgrupas, kuras tiesiskais regulējums ietekmē vai varētu ietekmēt</w:t>
            </w:r>
          </w:p>
        </w:tc>
        <w:tc>
          <w:tcPr>
            <w:tcW w:w="6256" w:type="dxa"/>
          </w:tcPr>
          <w:p w:rsidR="00356AE7" w:rsidRPr="005D298E" w:rsidRDefault="00EB578F" w:rsidP="00EB578F">
            <w:pPr>
              <w:shd w:val="clear" w:color="auto" w:fill="FFFFFF"/>
              <w:spacing w:after="120"/>
              <w:ind w:left="57" w:right="57" w:firstLine="0"/>
              <w:rPr>
                <w:sz w:val="24"/>
                <w:szCs w:val="24"/>
                <w:lang w:eastAsia="lv-LV"/>
              </w:rPr>
            </w:pPr>
            <w:bookmarkStart w:id="0" w:name="p21"/>
            <w:bookmarkEnd w:id="0"/>
            <w:r w:rsidRPr="005D298E">
              <w:rPr>
                <w:sz w:val="24"/>
                <w:szCs w:val="24"/>
                <w:lang w:eastAsia="lv-LV"/>
              </w:rPr>
              <w:t xml:space="preserve">Informācija par </w:t>
            </w:r>
            <w:r>
              <w:rPr>
                <w:sz w:val="24"/>
                <w:szCs w:val="24"/>
                <w:lang w:eastAsia="lv-LV"/>
              </w:rPr>
              <w:t>P</w:t>
            </w:r>
            <w:r w:rsidRPr="005D298E">
              <w:rPr>
                <w:sz w:val="24"/>
                <w:szCs w:val="24"/>
                <w:lang w:eastAsia="lv-LV"/>
              </w:rPr>
              <w:t>rojekt</w:t>
            </w:r>
            <w:r>
              <w:rPr>
                <w:sz w:val="24"/>
                <w:szCs w:val="24"/>
                <w:lang w:eastAsia="lv-LV"/>
              </w:rPr>
              <w:t>ā</w:t>
            </w:r>
            <w:r w:rsidRPr="005D298E">
              <w:rPr>
                <w:sz w:val="24"/>
                <w:szCs w:val="24"/>
                <w:lang w:eastAsia="lv-LV"/>
              </w:rPr>
              <w:t xml:space="preserve"> skarto personu skaitu atsevišķi netiek apkopota un uzskaitīta. Paredzētais normatīvais regulējums attieksies uz personām, </w:t>
            </w:r>
            <w:r>
              <w:rPr>
                <w:sz w:val="24"/>
                <w:szCs w:val="24"/>
                <w:lang w:eastAsia="lv-LV"/>
              </w:rPr>
              <w:t>kuras</w:t>
            </w:r>
            <w:r w:rsidRPr="005D298E">
              <w:rPr>
                <w:sz w:val="24"/>
                <w:szCs w:val="24"/>
                <w:lang w:eastAsia="lv-LV"/>
              </w:rPr>
              <w:t xml:space="preserve"> vēlēsies </w:t>
            </w:r>
            <w:r>
              <w:rPr>
                <w:sz w:val="24"/>
                <w:szCs w:val="24"/>
                <w:lang w:eastAsia="lv-LV"/>
              </w:rPr>
              <w:t>saņemt vīzu vai</w:t>
            </w:r>
            <w:proofErr w:type="gramStart"/>
            <w:r>
              <w:rPr>
                <w:sz w:val="24"/>
                <w:szCs w:val="24"/>
                <w:lang w:eastAsia="lv-LV"/>
              </w:rPr>
              <w:t xml:space="preserve"> </w:t>
            </w:r>
            <w:r w:rsidRPr="00DA1C48">
              <w:rPr>
                <w:sz w:val="24"/>
                <w:szCs w:val="24"/>
              </w:rPr>
              <w:t xml:space="preserve"> </w:t>
            </w:r>
            <w:proofErr w:type="gramEnd"/>
            <w:r w:rsidRPr="00DA1C48">
              <w:rPr>
                <w:sz w:val="24"/>
                <w:szCs w:val="24"/>
              </w:rPr>
              <w:t>uzturēšanās atļauju</w:t>
            </w:r>
            <w:r>
              <w:rPr>
                <w:sz w:val="24"/>
                <w:szCs w:val="24"/>
              </w:rPr>
              <w:t xml:space="preserve"> un ir no valstīm</w:t>
            </w:r>
            <w:r w:rsidRPr="005D298E">
              <w:rPr>
                <w:sz w:val="24"/>
                <w:szCs w:val="24"/>
                <w:lang w:eastAsia="lv-LV"/>
              </w:rPr>
              <w:t xml:space="preserve">, </w:t>
            </w:r>
            <w:r>
              <w:rPr>
                <w:sz w:val="24"/>
                <w:szCs w:val="24"/>
                <w:lang w:eastAsia="lv-LV"/>
              </w:rPr>
              <w:t>kam</w:t>
            </w:r>
            <w:r w:rsidRPr="005D298E">
              <w:rPr>
                <w:sz w:val="24"/>
                <w:szCs w:val="24"/>
                <w:lang w:eastAsia="lv-LV"/>
              </w:rPr>
              <w:t xml:space="preserve"> saskaņā ar </w:t>
            </w:r>
            <w:r w:rsidRPr="00DA1C48">
              <w:rPr>
                <w:sz w:val="24"/>
                <w:szCs w:val="24"/>
              </w:rPr>
              <w:t xml:space="preserve"> </w:t>
            </w:r>
            <w:r>
              <w:rPr>
                <w:sz w:val="24"/>
                <w:szCs w:val="24"/>
              </w:rPr>
              <w:t>Noteikumos noteikto</w:t>
            </w:r>
            <w:r w:rsidRPr="005D298E">
              <w:rPr>
                <w:sz w:val="24"/>
                <w:szCs w:val="24"/>
                <w:lang w:eastAsia="lv-LV"/>
              </w:rPr>
              <w:t xml:space="preserve"> nepieciešams </w:t>
            </w:r>
            <w:r>
              <w:rPr>
                <w:sz w:val="24"/>
                <w:szCs w:val="24"/>
                <w:lang w:eastAsia="lv-LV"/>
              </w:rPr>
              <w:t xml:space="preserve">veikt </w:t>
            </w:r>
            <w:r w:rsidRPr="00DA1C48">
              <w:rPr>
                <w:sz w:val="24"/>
                <w:szCs w:val="24"/>
              </w:rPr>
              <w:t xml:space="preserve"> papildu pārbaudi</w:t>
            </w:r>
            <w:r w:rsidRPr="005D298E">
              <w:rPr>
                <w:sz w:val="24"/>
                <w:szCs w:val="24"/>
                <w:lang w:eastAsia="lv-LV"/>
              </w:rPr>
              <w:t>.</w:t>
            </w:r>
          </w:p>
        </w:tc>
      </w:tr>
      <w:tr w:rsidR="00356AE7" w:rsidRPr="005D298E" w:rsidTr="00B774B5">
        <w:trPr>
          <w:trHeight w:val="523"/>
        </w:trPr>
        <w:tc>
          <w:tcPr>
            <w:tcW w:w="335" w:type="dxa"/>
          </w:tcPr>
          <w:p w:rsidR="00356AE7" w:rsidRPr="005D298E" w:rsidRDefault="00356AE7" w:rsidP="00B774B5">
            <w:pPr>
              <w:pStyle w:val="naiskr"/>
              <w:spacing w:before="0" w:beforeAutospacing="0" w:after="0" w:afterAutospacing="0"/>
              <w:ind w:left="57" w:right="57"/>
              <w:jc w:val="both"/>
            </w:pPr>
            <w:r w:rsidRPr="005D298E">
              <w:t>2.</w:t>
            </w:r>
          </w:p>
        </w:tc>
        <w:tc>
          <w:tcPr>
            <w:tcW w:w="2921" w:type="dxa"/>
          </w:tcPr>
          <w:p w:rsidR="00356AE7" w:rsidRPr="005D298E" w:rsidRDefault="00356AE7" w:rsidP="00B774B5">
            <w:pPr>
              <w:pStyle w:val="naiskr"/>
              <w:spacing w:before="0" w:beforeAutospacing="0" w:after="0" w:afterAutospacing="0"/>
              <w:ind w:left="57" w:right="57"/>
            </w:pPr>
            <w:r w:rsidRPr="005D298E">
              <w:t>Tiesiskā regulējuma ietekme uz tautsaimniecību un administratīvo slogu</w:t>
            </w:r>
          </w:p>
        </w:tc>
        <w:tc>
          <w:tcPr>
            <w:tcW w:w="6256" w:type="dxa"/>
          </w:tcPr>
          <w:p w:rsidR="00356AE7" w:rsidRPr="005D298E" w:rsidRDefault="00BB7F1E" w:rsidP="005D298E">
            <w:pPr>
              <w:spacing w:after="120"/>
              <w:ind w:left="57" w:right="57" w:firstLine="0"/>
              <w:rPr>
                <w:sz w:val="24"/>
                <w:szCs w:val="24"/>
              </w:rPr>
            </w:pPr>
            <w:r>
              <w:rPr>
                <w:sz w:val="24"/>
                <w:szCs w:val="24"/>
              </w:rPr>
              <w:t>Sabiedrības grupām un institūcijām projekta tiesiskais regulējums nemaina tiesības un pienākumus, kā arī veicamās darbības.</w:t>
            </w:r>
          </w:p>
        </w:tc>
      </w:tr>
      <w:tr w:rsidR="00356AE7" w:rsidRPr="005D298E" w:rsidTr="00B774B5">
        <w:trPr>
          <w:trHeight w:val="523"/>
        </w:trPr>
        <w:tc>
          <w:tcPr>
            <w:tcW w:w="335" w:type="dxa"/>
          </w:tcPr>
          <w:p w:rsidR="00356AE7" w:rsidRPr="005D298E" w:rsidRDefault="00356AE7" w:rsidP="00B774B5">
            <w:pPr>
              <w:pStyle w:val="CharCharCharChar"/>
              <w:spacing w:after="0"/>
              <w:ind w:left="57" w:right="57"/>
              <w:jc w:val="both"/>
              <w:rPr>
                <w:rFonts w:ascii="Times New Roman" w:hAnsi="Times New Roman"/>
                <w:sz w:val="24"/>
                <w:szCs w:val="24"/>
              </w:rPr>
            </w:pPr>
            <w:r w:rsidRPr="005D298E">
              <w:rPr>
                <w:rFonts w:ascii="Times New Roman" w:hAnsi="Times New Roman"/>
                <w:sz w:val="24"/>
                <w:szCs w:val="24"/>
              </w:rPr>
              <w:t>3.</w:t>
            </w:r>
          </w:p>
        </w:tc>
        <w:tc>
          <w:tcPr>
            <w:tcW w:w="2921" w:type="dxa"/>
          </w:tcPr>
          <w:p w:rsidR="00356AE7" w:rsidRPr="005D298E" w:rsidRDefault="00356AE7" w:rsidP="00B774B5">
            <w:pPr>
              <w:pStyle w:val="CharCharCharChar"/>
              <w:spacing w:after="0"/>
              <w:ind w:left="57" w:right="57"/>
              <w:rPr>
                <w:rFonts w:ascii="Times New Roman" w:hAnsi="Times New Roman"/>
                <w:sz w:val="24"/>
                <w:szCs w:val="24"/>
                <w:lang w:eastAsia="lv-LV"/>
              </w:rPr>
            </w:pPr>
            <w:r w:rsidRPr="005D298E">
              <w:rPr>
                <w:rFonts w:ascii="Times New Roman" w:hAnsi="Times New Roman"/>
                <w:sz w:val="24"/>
                <w:szCs w:val="24"/>
                <w:lang w:eastAsia="lv-LV"/>
              </w:rPr>
              <w:t>Administratīvo izmaksu monetārs novērtējums</w:t>
            </w:r>
          </w:p>
        </w:tc>
        <w:tc>
          <w:tcPr>
            <w:tcW w:w="6256" w:type="dxa"/>
          </w:tcPr>
          <w:p w:rsidR="00356AE7" w:rsidRPr="005D298E" w:rsidRDefault="00DE0922" w:rsidP="00B774B5">
            <w:pPr>
              <w:spacing w:before="60" w:after="60"/>
              <w:ind w:left="57" w:right="57" w:firstLine="0"/>
              <w:rPr>
                <w:sz w:val="24"/>
                <w:szCs w:val="24"/>
              </w:rPr>
            </w:pPr>
            <w:r w:rsidRPr="00717A8A">
              <w:rPr>
                <w:sz w:val="24"/>
                <w:szCs w:val="24"/>
              </w:rPr>
              <w:t>Funkciju izpilde tiks nodrošināta piešķirtā budžeta finansējuma ietvaros</w:t>
            </w:r>
            <w:r w:rsidR="00356AE7" w:rsidRPr="005D298E">
              <w:rPr>
                <w:sz w:val="24"/>
                <w:szCs w:val="24"/>
              </w:rPr>
              <w:t>.</w:t>
            </w:r>
          </w:p>
        </w:tc>
      </w:tr>
      <w:tr w:rsidR="00356AE7" w:rsidRPr="005D298E" w:rsidTr="00B774B5">
        <w:trPr>
          <w:trHeight w:val="357"/>
        </w:trPr>
        <w:tc>
          <w:tcPr>
            <w:tcW w:w="335" w:type="dxa"/>
          </w:tcPr>
          <w:p w:rsidR="00356AE7" w:rsidRPr="005D298E" w:rsidRDefault="00356AE7" w:rsidP="00B774B5">
            <w:pPr>
              <w:pStyle w:val="CharCharCharChar"/>
              <w:spacing w:after="0"/>
              <w:ind w:left="57" w:right="57"/>
              <w:jc w:val="both"/>
              <w:rPr>
                <w:rFonts w:ascii="Times New Roman" w:hAnsi="Times New Roman"/>
                <w:sz w:val="24"/>
                <w:szCs w:val="24"/>
              </w:rPr>
            </w:pPr>
            <w:r w:rsidRPr="005D298E">
              <w:rPr>
                <w:rFonts w:ascii="Times New Roman" w:hAnsi="Times New Roman"/>
                <w:sz w:val="24"/>
                <w:szCs w:val="24"/>
              </w:rPr>
              <w:t>4.</w:t>
            </w:r>
          </w:p>
        </w:tc>
        <w:tc>
          <w:tcPr>
            <w:tcW w:w="2921" w:type="dxa"/>
          </w:tcPr>
          <w:p w:rsidR="00356AE7" w:rsidRPr="005D298E" w:rsidRDefault="00356AE7" w:rsidP="00B774B5">
            <w:pPr>
              <w:pStyle w:val="CharCharCharChar"/>
              <w:spacing w:after="0"/>
              <w:ind w:left="57" w:right="57"/>
              <w:rPr>
                <w:rFonts w:ascii="Times New Roman" w:hAnsi="Times New Roman"/>
                <w:sz w:val="24"/>
                <w:szCs w:val="24"/>
                <w:lang w:eastAsia="lv-LV"/>
              </w:rPr>
            </w:pPr>
            <w:r w:rsidRPr="005D298E">
              <w:rPr>
                <w:rFonts w:ascii="Times New Roman" w:hAnsi="Times New Roman"/>
                <w:sz w:val="24"/>
                <w:szCs w:val="24"/>
                <w:lang w:eastAsia="lv-LV"/>
              </w:rPr>
              <w:t>Cita informācija</w:t>
            </w:r>
          </w:p>
        </w:tc>
        <w:tc>
          <w:tcPr>
            <w:tcW w:w="6256" w:type="dxa"/>
          </w:tcPr>
          <w:p w:rsidR="00356AE7" w:rsidRPr="005D298E" w:rsidRDefault="00356AE7" w:rsidP="00B774B5">
            <w:pPr>
              <w:spacing w:before="60" w:after="60"/>
              <w:ind w:left="57" w:right="57" w:firstLine="0"/>
              <w:rPr>
                <w:sz w:val="24"/>
                <w:szCs w:val="24"/>
              </w:rPr>
            </w:pPr>
            <w:r w:rsidRPr="005D298E">
              <w:rPr>
                <w:sz w:val="24"/>
                <w:szCs w:val="24"/>
              </w:rPr>
              <w:t>Nav.</w:t>
            </w:r>
          </w:p>
        </w:tc>
      </w:tr>
    </w:tbl>
    <w:p w:rsidR="00356AE7" w:rsidRDefault="00356AE7" w:rsidP="00F633BC">
      <w:pPr>
        <w:ind w:firstLine="0"/>
        <w:rPr>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76"/>
        <w:gridCol w:w="6127"/>
      </w:tblGrid>
      <w:tr w:rsidR="00356AE7" w:rsidRPr="00F633BC" w:rsidTr="00F633BC">
        <w:trPr>
          <w:trHeight w:val="421"/>
          <w:jc w:val="center"/>
        </w:trPr>
        <w:tc>
          <w:tcPr>
            <w:tcW w:w="9524" w:type="dxa"/>
            <w:gridSpan w:val="3"/>
            <w:vAlign w:val="center"/>
          </w:tcPr>
          <w:p w:rsidR="00356AE7" w:rsidRPr="00F633BC" w:rsidRDefault="00356AE7" w:rsidP="00F633BC">
            <w:pPr>
              <w:pStyle w:val="naisnod"/>
              <w:spacing w:before="0" w:beforeAutospacing="0" w:after="0" w:afterAutospacing="0"/>
              <w:ind w:left="57" w:right="57"/>
              <w:jc w:val="center"/>
            </w:pPr>
            <w:r w:rsidRPr="00F633BC">
              <w:rPr>
                <w:b/>
              </w:rPr>
              <w:t>VI. Sabiedrības līdzdalība un komunikācijas aktivitātes</w:t>
            </w:r>
          </w:p>
        </w:tc>
      </w:tr>
      <w:tr w:rsidR="00356AE7" w:rsidRPr="00F633BC" w:rsidTr="00F633BC">
        <w:trPr>
          <w:trHeight w:val="553"/>
          <w:jc w:val="center"/>
        </w:trPr>
        <w:tc>
          <w:tcPr>
            <w:tcW w:w="421" w:type="dxa"/>
          </w:tcPr>
          <w:p w:rsidR="00356AE7" w:rsidRPr="00F633BC" w:rsidRDefault="00356AE7" w:rsidP="00F633BC">
            <w:pPr>
              <w:ind w:left="57" w:right="57" w:firstLine="0"/>
              <w:rPr>
                <w:bCs/>
                <w:sz w:val="24"/>
                <w:szCs w:val="24"/>
              </w:rPr>
            </w:pPr>
            <w:r w:rsidRPr="00F633BC">
              <w:rPr>
                <w:bCs/>
                <w:sz w:val="24"/>
                <w:szCs w:val="24"/>
              </w:rPr>
              <w:t>1.</w:t>
            </w:r>
          </w:p>
        </w:tc>
        <w:tc>
          <w:tcPr>
            <w:tcW w:w="2976" w:type="dxa"/>
          </w:tcPr>
          <w:p w:rsidR="00356AE7" w:rsidRPr="00F633BC" w:rsidRDefault="00356AE7" w:rsidP="003171F4">
            <w:pPr>
              <w:tabs>
                <w:tab w:val="left" w:pos="170"/>
              </w:tabs>
              <w:ind w:left="57" w:right="57" w:firstLine="0"/>
              <w:jc w:val="left"/>
              <w:rPr>
                <w:sz w:val="24"/>
                <w:szCs w:val="24"/>
                <w:lang w:eastAsia="lv-LV"/>
              </w:rPr>
            </w:pPr>
            <w:r w:rsidRPr="00F633BC">
              <w:rPr>
                <w:sz w:val="24"/>
                <w:szCs w:val="24"/>
                <w:lang w:eastAsia="lv-LV"/>
              </w:rPr>
              <w:t>Plānotās sabiedrības līdzdalības un komunikācijas aktivitātes saistībā ar projektu</w:t>
            </w:r>
          </w:p>
        </w:tc>
        <w:tc>
          <w:tcPr>
            <w:tcW w:w="6127" w:type="dxa"/>
          </w:tcPr>
          <w:p w:rsidR="00356AE7" w:rsidRPr="00F633BC" w:rsidRDefault="00356AE7" w:rsidP="00F633BC">
            <w:pPr>
              <w:shd w:val="clear" w:color="auto" w:fill="FFFFFF"/>
              <w:ind w:left="57" w:right="57" w:firstLine="0"/>
              <w:rPr>
                <w:sz w:val="24"/>
                <w:szCs w:val="24"/>
                <w:lang w:eastAsia="lv-LV"/>
              </w:rPr>
            </w:pPr>
            <w:bookmarkStart w:id="1" w:name="p61"/>
            <w:bookmarkEnd w:id="1"/>
            <w:r>
              <w:rPr>
                <w:sz w:val="24"/>
                <w:szCs w:val="24"/>
              </w:rPr>
              <w:t>Netiek plānotas.</w:t>
            </w:r>
          </w:p>
        </w:tc>
      </w:tr>
      <w:tr w:rsidR="00356AE7" w:rsidRPr="00F633BC" w:rsidTr="00F633BC">
        <w:trPr>
          <w:trHeight w:val="339"/>
          <w:jc w:val="center"/>
        </w:trPr>
        <w:tc>
          <w:tcPr>
            <w:tcW w:w="421" w:type="dxa"/>
          </w:tcPr>
          <w:p w:rsidR="00356AE7" w:rsidRPr="00F633BC" w:rsidRDefault="00356AE7" w:rsidP="00F633BC">
            <w:pPr>
              <w:ind w:left="57" w:right="57" w:firstLine="0"/>
              <w:rPr>
                <w:bCs/>
                <w:sz w:val="24"/>
                <w:szCs w:val="24"/>
              </w:rPr>
            </w:pPr>
            <w:r w:rsidRPr="00F633BC">
              <w:rPr>
                <w:bCs/>
                <w:sz w:val="24"/>
                <w:szCs w:val="24"/>
              </w:rPr>
              <w:t>2.</w:t>
            </w:r>
          </w:p>
        </w:tc>
        <w:tc>
          <w:tcPr>
            <w:tcW w:w="2976" w:type="dxa"/>
          </w:tcPr>
          <w:p w:rsidR="00356AE7" w:rsidRPr="00F633BC" w:rsidRDefault="00356AE7" w:rsidP="003171F4">
            <w:pPr>
              <w:ind w:left="57" w:right="57" w:firstLine="0"/>
              <w:jc w:val="left"/>
              <w:rPr>
                <w:sz w:val="24"/>
                <w:szCs w:val="24"/>
                <w:lang w:eastAsia="lv-LV"/>
              </w:rPr>
            </w:pPr>
            <w:r w:rsidRPr="00F633BC">
              <w:rPr>
                <w:sz w:val="24"/>
                <w:szCs w:val="24"/>
                <w:lang w:eastAsia="lv-LV"/>
              </w:rPr>
              <w:t>Sabiedrības līdzdalība projekta izstrādē</w:t>
            </w:r>
          </w:p>
        </w:tc>
        <w:tc>
          <w:tcPr>
            <w:tcW w:w="6127" w:type="dxa"/>
          </w:tcPr>
          <w:p w:rsidR="00356AE7" w:rsidRPr="00F633BC" w:rsidRDefault="00356AE7" w:rsidP="00F633BC">
            <w:pPr>
              <w:shd w:val="clear" w:color="auto" w:fill="FFFFFF"/>
              <w:ind w:left="57" w:right="57" w:firstLine="0"/>
              <w:rPr>
                <w:sz w:val="24"/>
                <w:szCs w:val="24"/>
                <w:lang w:eastAsia="lv-LV"/>
              </w:rPr>
            </w:pPr>
            <w:bookmarkStart w:id="2" w:name="p62"/>
            <w:bookmarkEnd w:id="2"/>
            <w:r w:rsidRPr="00F633BC">
              <w:rPr>
                <w:color w:val="000000"/>
                <w:sz w:val="24"/>
                <w:szCs w:val="24"/>
              </w:rPr>
              <w:t>Projekts šo jomu neskar.</w:t>
            </w:r>
          </w:p>
        </w:tc>
      </w:tr>
      <w:tr w:rsidR="00356AE7" w:rsidRPr="00F633BC" w:rsidTr="00F633BC">
        <w:trPr>
          <w:trHeight w:val="476"/>
          <w:jc w:val="center"/>
        </w:trPr>
        <w:tc>
          <w:tcPr>
            <w:tcW w:w="421" w:type="dxa"/>
          </w:tcPr>
          <w:p w:rsidR="00356AE7" w:rsidRPr="00F633BC" w:rsidRDefault="00356AE7" w:rsidP="00F633BC">
            <w:pPr>
              <w:ind w:left="57" w:right="57" w:firstLine="0"/>
              <w:rPr>
                <w:bCs/>
                <w:sz w:val="24"/>
                <w:szCs w:val="24"/>
              </w:rPr>
            </w:pPr>
            <w:r w:rsidRPr="00F633BC">
              <w:rPr>
                <w:bCs/>
                <w:sz w:val="24"/>
                <w:szCs w:val="24"/>
              </w:rPr>
              <w:t>3.</w:t>
            </w:r>
          </w:p>
        </w:tc>
        <w:tc>
          <w:tcPr>
            <w:tcW w:w="2976" w:type="dxa"/>
          </w:tcPr>
          <w:p w:rsidR="00356AE7" w:rsidRPr="00F633BC" w:rsidRDefault="00356AE7" w:rsidP="003171F4">
            <w:pPr>
              <w:ind w:left="57" w:right="57" w:firstLine="0"/>
              <w:jc w:val="left"/>
              <w:rPr>
                <w:sz w:val="24"/>
                <w:szCs w:val="24"/>
                <w:lang w:eastAsia="lv-LV"/>
              </w:rPr>
            </w:pPr>
            <w:r w:rsidRPr="00F633BC">
              <w:rPr>
                <w:sz w:val="24"/>
                <w:szCs w:val="24"/>
                <w:lang w:eastAsia="lv-LV"/>
              </w:rPr>
              <w:t>Sabiedrības līdzdalības rezultāti</w:t>
            </w:r>
          </w:p>
        </w:tc>
        <w:tc>
          <w:tcPr>
            <w:tcW w:w="6127" w:type="dxa"/>
          </w:tcPr>
          <w:p w:rsidR="00356AE7" w:rsidRPr="00F633BC" w:rsidRDefault="00356AE7" w:rsidP="00F633BC">
            <w:pPr>
              <w:shd w:val="clear" w:color="auto" w:fill="FFFFFF"/>
              <w:ind w:left="57" w:right="57" w:firstLine="0"/>
              <w:rPr>
                <w:sz w:val="24"/>
                <w:szCs w:val="24"/>
                <w:lang w:eastAsia="lv-LV"/>
              </w:rPr>
            </w:pPr>
            <w:r w:rsidRPr="00F633BC">
              <w:rPr>
                <w:color w:val="000000"/>
                <w:sz w:val="24"/>
                <w:szCs w:val="24"/>
              </w:rPr>
              <w:t>Projekts šo jomu neskar.</w:t>
            </w:r>
          </w:p>
        </w:tc>
      </w:tr>
      <w:tr w:rsidR="00356AE7" w:rsidRPr="00F633BC" w:rsidTr="00F633BC">
        <w:trPr>
          <w:trHeight w:val="476"/>
          <w:jc w:val="center"/>
        </w:trPr>
        <w:tc>
          <w:tcPr>
            <w:tcW w:w="421" w:type="dxa"/>
          </w:tcPr>
          <w:p w:rsidR="00356AE7" w:rsidRPr="00F633BC" w:rsidRDefault="00356AE7" w:rsidP="00F633BC">
            <w:pPr>
              <w:ind w:left="57" w:right="57" w:firstLine="0"/>
              <w:rPr>
                <w:bCs/>
                <w:sz w:val="24"/>
                <w:szCs w:val="24"/>
              </w:rPr>
            </w:pPr>
            <w:r w:rsidRPr="00F633BC">
              <w:rPr>
                <w:bCs/>
                <w:sz w:val="24"/>
                <w:szCs w:val="24"/>
              </w:rPr>
              <w:t>4.</w:t>
            </w:r>
          </w:p>
        </w:tc>
        <w:tc>
          <w:tcPr>
            <w:tcW w:w="2976" w:type="dxa"/>
          </w:tcPr>
          <w:p w:rsidR="00356AE7" w:rsidRPr="00F633BC" w:rsidRDefault="00356AE7" w:rsidP="003171F4">
            <w:pPr>
              <w:ind w:left="57" w:right="57" w:firstLine="0"/>
              <w:jc w:val="left"/>
              <w:rPr>
                <w:sz w:val="24"/>
                <w:szCs w:val="24"/>
                <w:lang w:eastAsia="lv-LV"/>
              </w:rPr>
            </w:pPr>
            <w:r w:rsidRPr="00F633BC">
              <w:rPr>
                <w:sz w:val="24"/>
                <w:szCs w:val="24"/>
                <w:lang w:eastAsia="lv-LV"/>
              </w:rPr>
              <w:t>Cita informācija</w:t>
            </w:r>
          </w:p>
        </w:tc>
        <w:tc>
          <w:tcPr>
            <w:tcW w:w="6127" w:type="dxa"/>
          </w:tcPr>
          <w:p w:rsidR="00356AE7" w:rsidRPr="00F633BC" w:rsidRDefault="00356AE7" w:rsidP="00F633BC">
            <w:pPr>
              <w:ind w:left="57" w:right="57" w:firstLine="0"/>
              <w:rPr>
                <w:sz w:val="24"/>
                <w:szCs w:val="24"/>
                <w:lang w:eastAsia="lv-LV"/>
              </w:rPr>
            </w:pPr>
            <w:r w:rsidRPr="00F633BC">
              <w:rPr>
                <w:sz w:val="24"/>
                <w:szCs w:val="24"/>
              </w:rPr>
              <w:t>Nav.</w:t>
            </w:r>
          </w:p>
        </w:tc>
      </w:tr>
    </w:tbl>
    <w:p w:rsidR="00356AE7" w:rsidRPr="00F633BC" w:rsidRDefault="00356AE7" w:rsidP="00F633BC">
      <w:pPr>
        <w:spacing w:after="120"/>
        <w:ind w:firstLine="0"/>
        <w:jc w:val="left"/>
        <w:rPr>
          <w:szCs w:val="28"/>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23"/>
        <w:gridCol w:w="5458"/>
      </w:tblGrid>
      <w:tr w:rsidR="00356AE7" w:rsidRPr="00F633BC" w:rsidTr="001872F0">
        <w:trPr>
          <w:trHeight w:val="381"/>
          <w:jc w:val="center"/>
        </w:trPr>
        <w:tc>
          <w:tcPr>
            <w:tcW w:w="9518" w:type="dxa"/>
            <w:gridSpan w:val="3"/>
            <w:vAlign w:val="center"/>
          </w:tcPr>
          <w:p w:rsidR="00356AE7" w:rsidRPr="00F633BC" w:rsidRDefault="00356AE7" w:rsidP="00F633BC">
            <w:pPr>
              <w:pStyle w:val="naisnod"/>
              <w:spacing w:before="0" w:beforeAutospacing="0" w:after="0" w:afterAutospacing="0"/>
              <w:ind w:left="57" w:right="57"/>
              <w:jc w:val="center"/>
            </w:pPr>
            <w:r w:rsidRPr="00F633BC">
              <w:rPr>
                <w:b/>
              </w:rPr>
              <w:t>VII. Tiesību akta projekta izpildes nodrošināšana un tās ietekme uz institūcijām</w:t>
            </w:r>
          </w:p>
        </w:tc>
      </w:tr>
      <w:tr w:rsidR="00356AE7" w:rsidRPr="00F633BC" w:rsidTr="001872F0">
        <w:trPr>
          <w:trHeight w:val="427"/>
          <w:jc w:val="center"/>
        </w:trPr>
        <w:tc>
          <w:tcPr>
            <w:tcW w:w="437" w:type="dxa"/>
          </w:tcPr>
          <w:p w:rsidR="00356AE7" w:rsidRPr="00F633BC" w:rsidRDefault="00356AE7" w:rsidP="00F633BC">
            <w:pPr>
              <w:pStyle w:val="naisnod"/>
              <w:spacing w:before="0" w:beforeAutospacing="0" w:after="0" w:afterAutospacing="0"/>
              <w:ind w:left="57" w:right="57"/>
              <w:jc w:val="both"/>
            </w:pPr>
            <w:r w:rsidRPr="00F633BC">
              <w:t>1.</w:t>
            </w:r>
          </w:p>
        </w:tc>
        <w:tc>
          <w:tcPr>
            <w:tcW w:w="3623" w:type="dxa"/>
          </w:tcPr>
          <w:p w:rsidR="00356AE7" w:rsidRPr="00F633BC" w:rsidRDefault="00356AE7" w:rsidP="00F633BC">
            <w:pPr>
              <w:pStyle w:val="naisf"/>
              <w:spacing w:before="0" w:after="0"/>
              <w:ind w:left="57" w:right="57" w:firstLine="0"/>
            </w:pPr>
            <w:r w:rsidRPr="00F633BC">
              <w:t>Projekta izpildē iesaistītās institūcijas</w:t>
            </w:r>
            <w:r w:rsidR="006F06FA">
              <w:t>.</w:t>
            </w:r>
          </w:p>
        </w:tc>
        <w:tc>
          <w:tcPr>
            <w:tcW w:w="5458" w:type="dxa"/>
          </w:tcPr>
          <w:p w:rsidR="00356AE7" w:rsidRPr="00F633BC" w:rsidRDefault="00BB7F1E" w:rsidP="00F633BC">
            <w:pPr>
              <w:shd w:val="clear" w:color="auto" w:fill="FFFFFF"/>
              <w:ind w:left="57" w:right="57" w:firstLine="0"/>
              <w:rPr>
                <w:sz w:val="24"/>
                <w:szCs w:val="24"/>
                <w:lang w:eastAsia="lv-LV"/>
              </w:rPr>
            </w:pPr>
            <w:bookmarkStart w:id="3" w:name="p66"/>
            <w:bookmarkStart w:id="4" w:name="p67"/>
            <w:bookmarkStart w:id="5" w:name="p68"/>
            <w:bookmarkStart w:id="6" w:name="p69"/>
            <w:bookmarkEnd w:id="3"/>
            <w:bookmarkEnd w:id="4"/>
            <w:bookmarkEnd w:id="5"/>
            <w:bookmarkEnd w:id="6"/>
            <w:r>
              <w:rPr>
                <w:sz w:val="24"/>
                <w:szCs w:val="24"/>
              </w:rPr>
              <w:t>Ārlietu ministrija, Iekšlietu ministrija, Pilsonības un migrācijas lietu pārvalde, Drošības policija un Satversmes aizsardzības birojs.</w:t>
            </w:r>
          </w:p>
        </w:tc>
      </w:tr>
      <w:tr w:rsidR="00356AE7" w:rsidRPr="00F633BC" w:rsidTr="001872F0">
        <w:trPr>
          <w:trHeight w:val="463"/>
          <w:jc w:val="center"/>
        </w:trPr>
        <w:tc>
          <w:tcPr>
            <w:tcW w:w="437" w:type="dxa"/>
          </w:tcPr>
          <w:p w:rsidR="00356AE7" w:rsidRPr="00F633BC" w:rsidRDefault="00356AE7" w:rsidP="00F633BC">
            <w:pPr>
              <w:pStyle w:val="naisnod"/>
              <w:spacing w:before="0" w:beforeAutospacing="0" w:after="0" w:afterAutospacing="0"/>
              <w:ind w:left="57" w:right="57"/>
              <w:jc w:val="both"/>
            </w:pPr>
            <w:r w:rsidRPr="00F633BC">
              <w:t>2.</w:t>
            </w:r>
          </w:p>
        </w:tc>
        <w:tc>
          <w:tcPr>
            <w:tcW w:w="3623" w:type="dxa"/>
          </w:tcPr>
          <w:p w:rsidR="00356AE7" w:rsidRPr="00F633BC" w:rsidRDefault="00356AE7" w:rsidP="00F633BC">
            <w:pPr>
              <w:pStyle w:val="naisf"/>
              <w:spacing w:before="0" w:after="0"/>
              <w:ind w:left="57" w:right="57" w:firstLine="0"/>
            </w:pPr>
            <w:r w:rsidRPr="00F633BC">
              <w:t>Projekta izpildes ietekme uz pārvaldes funkcijām un institucionālo struktūru.</w:t>
            </w:r>
          </w:p>
          <w:p w:rsidR="00356AE7" w:rsidRPr="00F633BC" w:rsidRDefault="00356AE7" w:rsidP="00F633BC">
            <w:pPr>
              <w:pStyle w:val="naisf"/>
              <w:spacing w:before="0" w:after="0"/>
              <w:ind w:left="57" w:right="57" w:firstLine="0"/>
            </w:pPr>
            <w:r w:rsidRPr="00F633BC">
              <w:t>Jaunu institūciju izveide, esošu institūciju likvidācija vai reorganizācija, to ietekme uz institūcijas cilvēkresursiem.</w:t>
            </w:r>
          </w:p>
        </w:tc>
        <w:tc>
          <w:tcPr>
            <w:tcW w:w="5458" w:type="dxa"/>
          </w:tcPr>
          <w:p w:rsidR="00356AE7" w:rsidRPr="00F633BC" w:rsidRDefault="00356AE7" w:rsidP="00F633BC">
            <w:pPr>
              <w:spacing w:before="100" w:beforeAutospacing="1" w:after="100" w:afterAutospacing="1"/>
              <w:ind w:left="57" w:right="57" w:firstLine="0"/>
              <w:rPr>
                <w:sz w:val="24"/>
                <w:szCs w:val="24"/>
              </w:rPr>
            </w:pPr>
            <w:r w:rsidRPr="00F633BC">
              <w:rPr>
                <w:sz w:val="24"/>
                <w:szCs w:val="24"/>
              </w:rPr>
              <w:t>Jaunas institūcijas netiks izveidotas un esošās institūcijas netiks likvidētas vai reorganizētas.</w:t>
            </w:r>
          </w:p>
        </w:tc>
      </w:tr>
      <w:tr w:rsidR="00356AE7" w:rsidRPr="00F633BC" w:rsidTr="001872F0">
        <w:trPr>
          <w:trHeight w:val="402"/>
          <w:jc w:val="center"/>
        </w:trPr>
        <w:tc>
          <w:tcPr>
            <w:tcW w:w="437" w:type="dxa"/>
          </w:tcPr>
          <w:p w:rsidR="00356AE7" w:rsidRPr="00F633BC" w:rsidRDefault="00356AE7" w:rsidP="00F633BC">
            <w:pPr>
              <w:pStyle w:val="naisnod"/>
              <w:spacing w:before="0" w:beforeAutospacing="0" w:after="0" w:afterAutospacing="0"/>
              <w:ind w:left="57" w:right="57"/>
              <w:jc w:val="both"/>
            </w:pPr>
            <w:r w:rsidRPr="00F633BC">
              <w:t>3.</w:t>
            </w:r>
          </w:p>
        </w:tc>
        <w:tc>
          <w:tcPr>
            <w:tcW w:w="3623" w:type="dxa"/>
          </w:tcPr>
          <w:p w:rsidR="00356AE7" w:rsidRPr="00F633BC" w:rsidRDefault="00356AE7" w:rsidP="00F633BC">
            <w:pPr>
              <w:pStyle w:val="naisf"/>
              <w:spacing w:before="0" w:after="0"/>
              <w:ind w:left="57" w:right="57" w:firstLine="0"/>
            </w:pPr>
            <w:r w:rsidRPr="00F633BC">
              <w:t>Cita informācija</w:t>
            </w:r>
          </w:p>
        </w:tc>
        <w:tc>
          <w:tcPr>
            <w:tcW w:w="5458" w:type="dxa"/>
          </w:tcPr>
          <w:p w:rsidR="00356AE7" w:rsidRPr="00F633BC" w:rsidRDefault="00356AE7" w:rsidP="00F633BC">
            <w:pPr>
              <w:ind w:left="57" w:right="57" w:firstLine="0"/>
              <w:rPr>
                <w:sz w:val="24"/>
                <w:szCs w:val="24"/>
                <w:lang w:eastAsia="lv-LV"/>
              </w:rPr>
            </w:pPr>
            <w:r w:rsidRPr="00F633BC">
              <w:rPr>
                <w:sz w:val="24"/>
                <w:szCs w:val="24"/>
              </w:rPr>
              <w:t>Nav.</w:t>
            </w:r>
          </w:p>
        </w:tc>
      </w:tr>
    </w:tbl>
    <w:p w:rsidR="00BB7F1E" w:rsidRDefault="00BB7F1E" w:rsidP="00BB7F1E">
      <w:pPr>
        <w:ind w:firstLine="0"/>
        <w:rPr>
          <w:i/>
          <w:sz w:val="24"/>
          <w:szCs w:val="24"/>
        </w:rPr>
      </w:pPr>
    </w:p>
    <w:p w:rsidR="00BB7F1E" w:rsidRPr="00F633BC" w:rsidRDefault="00BB7F1E" w:rsidP="00BB7F1E">
      <w:pPr>
        <w:ind w:firstLine="0"/>
        <w:rPr>
          <w:i/>
          <w:sz w:val="24"/>
          <w:szCs w:val="24"/>
        </w:rPr>
      </w:pPr>
      <w:r w:rsidRPr="00F633BC">
        <w:rPr>
          <w:i/>
          <w:sz w:val="24"/>
          <w:szCs w:val="24"/>
        </w:rPr>
        <w:t xml:space="preserve">Anotācijas III, IV un V sadaļa – projekts šīs jomas neskar. </w:t>
      </w:r>
    </w:p>
    <w:p w:rsidR="00356AE7" w:rsidRPr="00862D0F" w:rsidRDefault="00356AE7" w:rsidP="00862D0F">
      <w:pPr>
        <w:spacing w:before="100" w:beforeAutospacing="1" w:after="100" w:afterAutospacing="1"/>
        <w:ind w:firstLine="0"/>
        <w:jc w:val="left"/>
        <w:rPr>
          <w:sz w:val="24"/>
          <w:szCs w:val="24"/>
          <w:lang w:eastAsia="lv-LV"/>
        </w:rPr>
      </w:pPr>
    </w:p>
    <w:p w:rsidR="00356AE7" w:rsidRPr="00BA5E65" w:rsidRDefault="00356AE7" w:rsidP="00403EDF">
      <w:pPr>
        <w:tabs>
          <w:tab w:val="right" w:pos="9071"/>
        </w:tabs>
        <w:ind w:firstLine="0"/>
        <w:rPr>
          <w:szCs w:val="28"/>
          <w:lang w:val="de-DE"/>
        </w:rPr>
      </w:pPr>
      <w:r>
        <w:rPr>
          <w:szCs w:val="28"/>
          <w:lang w:val="de-DE"/>
        </w:rPr>
        <w:t>Iekšlietu ministrs</w:t>
      </w:r>
      <w:r>
        <w:rPr>
          <w:szCs w:val="28"/>
          <w:lang w:val="de-DE"/>
        </w:rPr>
        <w:tab/>
      </w:r>
      <w:r w:rsidRPr="00BA5E65">
        <w:rPr>
          <w:szCs w:val="28"/>
          <w:lang w:val="de-DE"/>
        </w:rPr>
        <w:t>R. Kozlovskis</w:t>
      </w:r>
    </w:p>
    <w:p w:rsidR="00356AE7" w:rsidRDefault="00356AE7" w:rsidP="001F4AB0">
      <w:pPr>
        <w:pStyle w:val="naisf"/>
        <w:rPr>
          <w:sz w:val="28"/>
          <w:szCs w:val="28"/>
        </w:rPr>
      </w:pPr>
      <w:r w:rsidRPr="00BA5E65">
        <w:rPr>
          <w:sz w:val="28"/>
          <w:szCs w:val="28"/>
        </w:rPr>
        <w:tab/>
      </w:r>
    </w:p>
    <w:p w:rsidR="00356AE7" w:rsidRDefault="00356AE7" w:rsidP="001F4AB0">
      <w:pPr>
        <w:pStyle w:val="naisf"/>
        <w:rPr>
          <w:sz w:val="28"/>
          <w:szCs w:val="28"/>
        </w:rPr>
      </w:pPr>
    </w:p>
    <w:p w:rsidR="00356AE7" w:rsidRDefault="00356AE7" w:rsidP="001F4AB0">
      <w:pPr>
        <w:pStyle w:val="naisf"/>
        <w:rPr>
          <w:sz w:val="28"/>
          <w:szCs w:val="28"/>
        </w:rPr>
      </w:pPr>
    </w:p>
    <w:p w:rsidR="00356AE7" w:rsidRPr="00BA5E65" w:rsidRDefault="00356AE7" w:rsidP="00403EDF">
      <w:pPr>
        <w:pStyle w:val="naisf"/>
        <w:tabs>
          <w:tab w:val="right" w:pos="9071"/>
        </w:tabs>
        <w:ind w:firstLine="0"/>
        <w:rPr>
          <w:sz w:val="28"/>
          <w:szCs w:val="28"/>
        </w:rPr>
      </w:pPr>
      <w:r w:rsidRPr="00BA5E65">
        <w:rPr>
          <w:sz w:val="28"/>
          <w:szCs w:val="28"/>
        </w:rPr>
        <w:t>Vīza: valsts sekretāre</w:t>
      </w:r>
      <w:r>
        <w:rPr>
          <w:sz w:val="28"/>
          <w:szCs w:val="28"/>
        </w:rPr>
        <w:tab/>
      </w:r>
      <w:r w:rsidRPr="00BA5E65">
        <w:rPr>
          <w:sz w:val="28"/>
          <w:szCs w:val="28"/>
        </w:rPr>
        <w:t>I.Pētersone-Godmane</w:t>
      </w:r>
    </w:p>
    <w:p w:rsidR="00356AE7" w:rsidRDefault="00356AE7" w:rsidP="001F4AB0">
      <w:pPr>
        <w:rPr>
          <w:color w:val="000000"/>
          <w:szCs w:val="28"/>
        </w:rPr>
      </w:pPr>
    </w:p>
    <w:p w:rsidR="00356AE7" w:rsidRDefault="00356AE7" w:rsidP="001F4AB0">
      <w:pPr>
        <w:rPr>
          <w:color w:val="000000"/>
          <w:szCs w:val="28"/>
        </w:rPr>
      </w:pPr>
    </w:p>
    <w:p w:rsidR="00356AE7" w:rsidRDefault="00356AE7" w:rsidP="001F4AB0">
      <w:pPr>
        <w:rPr>
          <w:color w:val="000000"/>
          <w:szCs w:val="28"/>
        </w:rPr>
      </w:pPr>
    </w:p>
    <w:p w:rsidR="00356AE7" w:rsidRDefault="00356AE7" w:rsidP="001F4AB0">
      <w:pPr>
        <w:rPr>
          <w:color w:val="000000"/>
          <w:szCs w:val="28"/>
        </w:rPr>
      </w:pPr>
    </w:p>
    <w:p w:rsidR="00356AE7" w:rsidRDefault="00356AE7" w:rsidP="001F4AB0">
      <w:pPr>
        <w:rPr>
          <w:color w:val="000000"/>
          <w:szCs w:val="28"/>
        </w:rPr>
      </w:pPr>
    </w:p>
    <w:p w:rsidR="00356AE7" w:rsidRDefault="00356AE7" w:rsidP="001F4AB0">
      <w:pPr>
        <w:rPr>
          <w:color w:val="000000"/>
          <w:szCs w:val="28"/>
        </w:rPr>
      </w:pPr>
    </w:p>
    <w:p w:rsidR="00356AE7" w:rsidRDefault="00356AE7" w:rsidP="001F4AB0">
      <w:pPr>
        <w:rPr>
          <w:color w:val="000000"/>
          <w:szCs w:val="28"/>
        </w:rPr>
      </w:pPr>
    </w:p>
    <w:p w:rsidR="00356AE7" w:rsidRDefault="00356AE7" w:rsidP="001F4AB0">
      <w:pPr>
        <w:rPr>
          <w:color w:val="000000"/>
          <w:szCs w:val="28"/>
        </w:rPr>
      </w:pPr>
    </w:p>
    <w:p w:rsidR="00356AE7" w:rsidRDefault="00356AE7" w:rsidP="00403EDF">
      <w:pPr>
        <w:ind w:firstLine="0"/>
        <w:rPr>
          <w:sz w:val="20"/>
          <w:szCs w:val="20"/>
        </w:rPr>
      </w:pPr>
    </w:p>
    <w:p w:rsidR="00356AE7" w:rsidRPr="00A65AE7" w:rsidRDefault="005D23DA" w:rsidP="00403EDF">
      <w:pPr>
        <w:ind w:firstLine="0"/>
        <w:rPr>
          <w:sz w:val="20"/>
          <w:szCs w:val="20"/>
        </w:rPr>
      </w:pPr>
      <w:r>
        <w:rPr>
          <w:sz w:val="20"/>
          <w:szCs w:val="20"/>
        </w:rPr>
        <w:t>14</w:t>
      </w:r>
      <w:r w:rsidR="00356AE7" w:rsidRPr="00A65AE7">
        <w:rPr>
          <w:sz w:val="20"/>
          <w:szCs w:val="20"/>
        </w:rPr>
        <w:t>.</w:t>
      </w:r>
      <w:r>
        <w:rPr>
          <w:sz w:val="20"/>
          <w:szCs w:val="20"/>
        </w:rPr>
        <w:t>07</w:t>
      </w:r>
      <w:r w:rsidR="00356AE7" w:rsidRPr="00A65AE7">
        <w:rPr>
          <w:sz w:val="20"/>
          <w:szCs w:val="20"/>
        </w:rPr>
        <w:t>.201</w:t>
      </w:r>
      <w:r w:rsidR="00356AE7">
        <w:rPr>
          <w:sz w:val="20"/>
          <w:szCs w:val="20"/>
        </w:rPr>
        <w:t>5</w:t>
      </w:r>
      <w:r w:rsidR="00356AE7" w:rsidRPr="00A65AE7">
        <w:rPr>
          <w:sz w:val="20"/>
          <w:szCs w:val="20"/>
        </w:rPr>
        <w:t xml:space="preserve">. </w:t>
      </w:r>
      <w:r>
        <w:rPr>
          <w:sz w:val="20"/>
          <w:szCs w:val="20"/>
        </w:rPr>
        <w:t>13</w:t>
      </w:r>
      <w:r w:rsidR="00356AE7" w:rsidRPr="00A65AE7">
        <w:rPr>
          <w:sz w:val="20"/>
          <w:szCs w:val="20"/>
        </w:rPr>
        <w:t>:</w:t>
      </w:r>
      <w:r>
        <w:rPr>
          <w:sz w:val="20"/>
          <w:szCs w:val="20"/>
        </w:rPr>
        <w:t>00</w:t>
      </w:r>
    </w:p>
    <w:p w:rsidR="00356AE7" w:rsidRDefault="00E87A45" w:rsidP="00403EDF">
      <w:pPr>
        <w:tabs>
          <w:tab w:val="left" w:pos="3075"/>
        </w:tabs>
        <w:ind w:firstLine="0"/>
        <w:rPr>
          <w:noProof/>
          <w:sz w:val="20"/>
          <w:szCs w:val="20"/>
        </w:rPr>
      </w:pPr>
      <w:fldSimple w:instr=" NUMWORDS   \* MERGEFORMAT ">
        <w:r w:rsidR="00D960D6" w:rsidRPr="00D960D6">
          <w:rPr>
            <w:noProof/>
            <w:sz w:val="20"/>
            <w:szCs w:val="20"/>
          </w:rPr>
          <w:t>736</w:t>
        </w:r>
      </w:fldSimple>
    </w:p>
    <w:p w:rsidR="001E6D6E" w:rsidRPr="00A65AE7" w:rsidRDefault="001E6D6E" w:rsidP="00403EDF">
      <w:pPr>
        <w:tabs>
          <w:tab w:val="left" w:pos="3075"/>
        </w:tabs>
        <w:ind w:firstLine="0"/>
        <w:rPr>
          <w:sz w:val="20"/>
          <w:szCs w:val="20"/>
        </w:rPr>
      </w:pPr>
      <w:r>
        <w:rPr>
          <w:noProof/>
          <w:sz w:val="20"/>
          <w:szCs w:val="20"/>
        </w:rPr>
        <w:t>J. Laviņa</w:t>
      </w:r>
      <w:bookmarkStart w:id="7" w:name="_GoBack"/>
      <w:bookmarkEnd w:id="7"/>
    </w:p>
    <w:p w:rsidR="00356AE7" w:rsidRPr="00A65AE7" w:rsidRDefault="00356AE7" w:rsidP="00140597">
      <w:pPr>
        <w:ind w:firstLine="0"/>
        <w:rPr>
          <w:sz w:val="20"/>
          <w:szCs w:val="20"/>
        </w:rPr>
      </w:pPr>
      <w:r w:rsidRPr="00A65AE7">
        <w:rPr>
          <w:sz w:val="20"/>
          <w:szCs w:val="20"/>
        </w:rPr>
        <w:t>67208</w:t>
      </w:r>
      <w:r>
        <w:rPr>
          <w:sz w:val="20"/>
          <w:szCs w:val="20"/>
        </w:rPr>
        <w:t>949</w:t>
      </w:r>
      <w:r w:rsidRPr="00A65AE7">
        <w:rPr>
          <w:sz w:val="20"/>
          <w:szCs w:val="20"/>
        </w:rPr>
        <w:t xml:space="preserve">, </w:t>
      </w:r>
      <w:hyperlink r:id="rId7" w:history="1">
        <w:r w:rsidRPr="00A65AE7">
          <w:rPr>
            <w:rStyle w:val="Hyperlink"/>
            <w:sz w:val="20"/>
            <w:szCs w:val="20"/>
          </w:rPr>
          <w:t>juristi@dp.gov.lv</w:t>
        </w:r>
      </w:hyperlink>
    </w:p>
    <w:sectPr w:rsidR="00356AE7" w:rsidRPr="00A65AE7" w:rsidSect="00813142">
      <w:headerReference w:type="default" r:id="rId8"/>
      <w:footerReference w:type="default" r:id="rId9"/>
      <w:footerReference w:type="first" r:id="rId10"/>
      <w:pgSz w:w="11906" w:h="16838"/>
      <w:pgMar w:top="1134" w:right="1134" w:bottom="1134" w:left="1701" w:header="1134" w:footer="113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D8" w:rsidRDefault="00C963D8" w:rsidP="00F3628F">
      <w:r>
        <w:separator/>
      </w:r>
    </w:p>
  </w:endnote>
  <w:endnote w:type="continuationSeparator" w:id="0">
    <w:p w:rsidR="00C963D8" w:rsidRDefault="00C963D8"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E7" w:rsidRPr="00C03EEA" w:rsidRDefault="00E87A45" w:rsidP="00185096">
    <w:pPr>
      <w:pStyle w:val="Footer"/>
      <w:spacing w:before="120"/>
      <w:ind w:firstLine="0"/>
      <w:rPr>
        <w:sz w:val="20"/>
        <w:szCs w:val="20"/>
      </w:rPr>
    </w:pPr>
    <w:fldSimple w:instr=" FILENAME   \* MERGEFORMAT ">
      <w:r w:rsidR="001E6D6E" w:rsidRPr="001E6D6E">
        <w:rPr>
          <w:noProof/>
          <w:sz w:val="20"/>
          <w:szCs w:val="20"/>
          <w:lang w:val="en-US"/>
        </w:rPr>
        <w:t>IEMAnot_14072015_pa</w:t>
      </w:r>
      <w:r w:rsidR="001E6D6E" w:rsidRPr="00557AD1">
        <w:rPr>
          <w:noProof/>
          <w:sz w:val="20"/>
          <w:szCs w:val="20"/>
          <w:lang w:val="en-US"/>
        </w:rPr>
        <w:t>pildp</w:t>
      </w:r>
      <w:r w:rsidR="001E6D6E" w:rsidRPr="00557AD1">
        <w:rPr>
          <w:noProof/>
          <w:sz w:val="20"/>
          <w:szCs w:val="20"/>
        </w:rPr>
        <w:t>.</w:t>
      </w:r>
      <w:r w:rsidR="00557AD1" w:rsidRPr="00557AD1">
        <w:rPr>
          <w:noProof/>
          <w:sz w:val="20"/>
          <w:szCs w:val="20"/>
        </w:rPr>
        <w:t>d</w:t>
      </w:r>
      <w:r w:rsidR="001E6D6E" w:rsidRPr="00557AD1">
        <w:rPr>
          <w:noProof/>
          <w:sz w:val="20"/>
          <w:szCs w:val="20"/>
        </w:rPr>
        <w:t>oc</w:t>
      </w:r>
    </w:fldSimple>
    <w:r w:rsidR="00356AE7" w:rsidRPr="00C03EEA">
      <w:rPr>
        <w:sz w:val="20"/>
        <w:szCs w:val="20"/>
        <w:lang w:val="en-US"/>
      </w:rPr>
      <w:t xml:space="preserve">; </w:t>
    </w:r>
    <w:r w:rsidR="00356AE7" w:rsidRPr="00C03EEA">
      <w:rPr>
        <w:sz w:val="20"/>
        <w:szCs w:val="20"/>
      </w:rPr>
      <w:t>Ministru kabineta noteikumu projekta „</w:t>
    </w:r>
    <w:r w:rsidR="00356AE7" w:rsidRPr="000B4D29">
      <w:rPr>
        <w:sz w:val="20"/>
        <w:szCs w:val="20"/>
      </w:rPr>
      <w:t>Grozījumi Ministru kabineta 2010. gada 21. jūnija noteikumos Nr.554</w:t>
    </w:r>
    <w:proofErr w:type="gramStart"/>
    <w:r w:rsidR="00356AE7" w:rsidRPr="000B4D29">
      <w:rPr>
        <w:sz w:val="20"/>
        <w:szCs w:val="20"/>
      </w:rPr>
      <w:t xml:space="preserve"> ,,</w:t>
    </w:r>
    <w:proofErr w:type="gramEnd"/>
    <w:r w:rsidR="00356AE7" w:rsidRPr="000B4D29">
      <w:rPr>
        <w:sz w:val="20"/>
        <w:szCs w:val="20"/>
      </w:rPr>
      <w:t>Noteikumi par valstīm, kuru pilsoņiem, izsniedzot vīzu vai uzturēšanās atļauju, veic papildu pārbaudi</w:t>
    </w:r>
    <w:r w:rsidR="00356AE7" w:rsidRPr="00C03EE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E7" w:rsidRPr="004D412E" w:rsidRDefault="00E87A45" w:rsidP="00813142">
    <w:pPr>
      <w:pStyle w:val="Footer"/>
      <w:spacing w:before="120"/>
      <w:ind w:firstLine="0"/>
      <w:rPr>
        <w:sz w:val="20"/>
        <w:szCs w:val="20"/>
      </w:rPr>
    </w:pPr>
    <w:r w:rsidRPr="00557AD1">
      <w:rPr>
        <w:sz w:val="20"/>
        <w:szCs w:val="20"/>
      </w:rPr>
      <w:fldChar w:fldCharType="begin"/>
    </w:r>
    <w:r w:rsidRPr="00557AD1">
      <w:rPr>
        <w:sz w:val="20"/>
        <w:szCs w:val="20"/>
      </w:rPr>
      <w:instrText xml:space="preserve"> FILENAME   \* MERGEFORMAT </w:instrText>
    </w:r>
    <w:r w:rsidRPr="00557AD1">
      <w:rPr>
        <w:sz w:val="20"/>
        <w:szCs w:val="20"/>
      </w:rPr>
      <w:fldChar w:fldCharType="separate"/>
    </w:r>
    <w:r w:rsidR="001E6D6E" w:rsidRPr="00557AD1">
      <w:rPr>
        <w:noProof/>
        <w:sz w:val="20"/>
        <w:szCs w:val="20"/>
        <w:lang w:val="en-US"/>
      </w:rPr>
      <w:t>IEMAnot_14072015_papildp</w:t>
    </w:r>
    <w:r w:rsidR="001E6D6E" w:rsidRPr="00557AD1">
      <w:rPr>
        <w:noProof/>
        <w:sz w:val="20"/>
        <w:szCs w:val="20"/>
      </w:rPr>
      <w:t>.doc</w:t>
    </w:r>
    <w:r w:rsidRPr="00557AD1">
      <w:rPr>
        <w:noProof/>
        <w:sz w:val="20"/>
        <w:szCs w:val="20"/>
        <w:lang w:val="en-US"/>
      </w:rPr>
      <w:fldChar w:fldCharType="end"/>
    </w:r>
    <w:r w:rsidR="00356AE7" w:rsidRPr="00557AD1">
      <w:rPr>
        <w:sz w:val="20"/>
        <w:szCs w:val="20"/>
      </w:rPr>
      <w:t>; Ministru kabineta noteikumu projekta „Grozījumi Ministru kabineta 2010. gada 21. jūnija noteikumos Nr</w:t>
    </w:r>
    <w:r w:rsidR="00356AE7" w:rsidRPr="000B4D29">
      <w:rPr>
        <w:sz w:val="20"/>
        <w:szCs w:val="20"/>
      </w:rPr>
      <w:t>.554</w:t>
    </w:r>
    <w:proofErr w:type="gramStart"/>
    <w:r w:rsidR="00356AE7" w:rsidRPr="000B4D29">
      <w:rPr>
        <w:sz w:val="20"/>
        <w:szCs w:val="20"/>
      </w:rPr>
      <w:t xml:space="preserve"> ,,</w:t>
    </w:r>
    <w:proofErr w:type="gramEnd"/>
    <w:r w:rsidR="00356AE7" w:rsidRPr="000B4D29">
      <w:rPr>
        <w:sz w:val="20"/>
        <w:szCs w:val="20"/>
      </w:rPr>
      <w:t>Noteikumi par valstīm, kuru pilsoņiem, izsniedzot vīzu vai uzturēšanās atļauju, veic papildu pārbaudi</w:t>
    </w:r>
    <w:r w:rsidR="00356AE7" w:rsidRPr="004D412E">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D8" w:rsidRDefault="00C963D8" w:rsidP="00F3628F">
      <w:r>
        <w:separator/>
      </w:r>
    </w:p>
  </w:footnote>
  <w:footnote w:type="continuationSeparator" w:id="0">
    <w:p w:rsidR="00C963D8" w:rsidRDefault="00C963D8"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E7" w:rsidRDefault="00356AE7">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D960D6">
      <w:rPr>
        <w:noProof/>
        <w:sz w:val="20"/>
        <w:szCs w:val="20"/>
      </w:rPr>
      <w:t>2</w:t>
    </w:r>
    <w:r w:rsidRPr="00B605EA">
      <w:rPr>
        <w:sz w:val="20"/>
        <w:szCs w:val="20"/>
      </w:rPr>
      <w:fldChar w:fldCharType="end"/>
    </w:r>
  </w:p>
  <w:p w:rsidR="00356AE7" w:rsidRDefault="0035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7B9"/>
    <w:multiLevelType w:val="hybridMultilevel"/>
    <w:tmpl w:val="DB46A3E0"/>
    <w:lvl w:ilvl="0" w:tplc="28F8FD1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228630EE"/>
    <w:multiLevelType w:val="hybridMultilevel"/>
    <w:tmpl w:val="48844008"/>
    <w:lvl w:ilvl="0" w:tplc="EFBCADA6">
      <w:numFmt w:val="bullet"/>
      <w:lvlText w:val="-"/>
      <w:lvlJc w:val="left"/>
      <w:pPr>
        <w:tabs>
          <w:tab w:val="num" w:pos="480"/>
        </w:tabs>
        <w:ind w:left="480" w:hanging="360"/>
      </w:pPr>
      <w:rPr>
        <w:rFonts w:ascii="Times New Roman" w:eastAsia="Times New Roman" w:hAnsi="Times New Roman" w:hint="default"/>
      </w:rPr>
    </w:lvl>
    <w:lvl w:ilvl="1" w:tplc="04260003" w:tentative="1">
      <w:start w:val="1"/>
      <w:numFmt w:val="bullet"/>
      <w:lvlText w:val="o"/>
      <w:lvlJc w:val="left"/>
      <w:pPr>
        <w:tabs>
          <w:tab w:val="num" w:pos="1200"/>
        </w:tabs>
        <w:ind w:left="1200" w:hanging="360"/>
      </w:pPr>
      <w:rPr>
        <w:rFonts w:ascii="Courier New" w:hAnsi="Courier New" w:hint="default"/>
      </w:rPr>
    </w:lvl>
    <w:lvl w:ilvl="2" w:tplc="04260005" w:tentative="1">
      <w:start w:val="1"/>
      <w:numFmt w:val="bullet"/>
      <w:lvlText w:val=""/>
      <w:lvlJc w:val="left"/>
      <w:pPr>
        <w:tabs>
          <w:tab w:val="num" w:pos="1920"/>
        </w:tabs>
        <w:ind w:left="1920" w:hanging="360"/>
      </w:pPr>
      <w:rPr>
        <w:rFonts w:ascii="Wingdings" w:hAnsi="Wingdings" w:hint="default"/>
      </w:rPr>
    </w:lvl>
    <w:lvl w:ilvl="3" w:tplc="04260001" w:tentative="1">
      <w:start w:val="1"/>
      <w:numFmt w:val="bullet"/>
      <w:lvlText w:val=""/>
      <w:lvlJc w:val="left"/>
      <w:pPr>
        <w:tabs>
          <w:tab w:val="num" w:pos="2640"/>
        </w:tabs>
        <w:ind w:left="2640" w:hanging="360"/>
      </w:pPr>
      <w:rPr>
        <w:rFonts w:ascii="Symbol" w:hAnsi="Symbol" w:hint="default"/>
      </w:rPr>
    </w:lvl>
    <w:lvl w:ilvl="4" w:tplc="04260003" w:tentative="1">
      <w:start w:val="1"/>
      <w:numFmt w:val="bullet"/>
      <w:lvlText w:val="o"/>
      <w:lvlJc w:val="left"/>
      <w:pPr>
        <w:tabs>
          <w:tab w:val="num" w:pos="3360"/>
        </w:tabs>
        <w:ind w:left="3360" w:hanging="360"/>
      </w:pPr>
      <w:rPr>
        <w:rFonts w:ascii="Courier New" w:hAnsi="Courier New" w:hint="default"/>
      </w:rPr>
    </w:lvl>
    <w:lvl w:ilvl="5" w:tplc="04260005" w:tentative="1">
      <w:start w:val="1"/>
      <w:numFmt w:val="bullet"/>
      <w:lvlText w:val=""/>
      <w:lvlJc w:val="left"/>
      <w:pPr>
        <w:tabs>
          <w:tab w:val="num" w:pos="4080"/>
        </w:tabs>
        <w:ind w:left="4080" w:hanging="360"/>
      </w:pPr>
      <w:rPr>
        <w:rFonts w:ascii="Wingdings" w:hAnsi="Wingdings" w:hint="default"/>
      </w:rPr>
    </w:lvl>
    <w:lvl w:ilvl="6" w:tplc="04260001" w:tentative="1">
      <w:start w:val="1"/>
      <w:numFmt w:val="bullet"/>
      <w:lvlText w:val=""/>
      <w:lvlJc w:val="left"/>
      <w:pPr>
        <w:tabs>
          <w:tab w:val="num" w:pos="4800"/>
        </w:tabs>
        <w:ind w:left="4800" w:hanging="360"/>
      </w:pPr>
      <w:rPr>
        <w:rFonts w:ascii="Symbol" w:hAnsi="Symbol" w:hint="default"/>
      </w:rPr>
    </w:lvl>
    <w:lvl w:ilvl="7" w:tplc="04260003" w:tentative="1">
      <w:start w:val="1"/>
      <w:numFmt w:val="bullet"/>
      <w:lvlText w:val="o"/>
      <w:lvlJc w:val="left"/>
      <w:pPr>
        <w:tabs>
          <w:tab w:val="num" w:pos="5520"/>
        </w:tabs>
        <w:ind w:left="5520" w:hanging="360"/>
      </w:pPr>
      <w:rPr>
        <w:rFonts w:ascii="Courier New" w:hAnsi="Courier New" w:hint="default"/>
      </w:rPr>
    </w:lvl>
    <w:lvl w:ilvl="8" w:tplc="0426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3B29647C"/>
    <w:multiLevelType w:val="hybridMultilevel"/>
    <w:tmpl w:val="492A428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0E37B91"/>
    <w:multiLevelType w:val="hybridMultilevel"/>
    <w:tmpl w:val="E74E4EEA"/>
    <w:lvl w:ilvl="0" w:tplc="C632E56C">
      <w:start w:val="2009"/>
      <w:numFmt w:val="bullet"/>
      <w:lvlText w:val="-"/>
      <w:lvlJc w:val="left"/>
      <w:pPr>
        <w:ind w:left="1211" w:hanging="360"/>
      </w:pPr>
      <w:rPr>
        <w:rFonts w:ascii="Times New Roman" w:eastAsia="Times New Roman" w:hAnsi="Times New Roman"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2"/>
  </w:num>
  <w:num w:numId="6">
    <w:abstractNumId w:val="1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626B0"/>
    <w:rsid w:val="0007566F"/>
    <w:rsid w:val="00077917"/>
    <w:rsid w:val="00083D16"/>
    <w:rsid w:val="0008799E"/>
    <w:rsid w:val="0009019E"/>
    <w:rsid w:val="000B4D29"/>
    <w:rsid w:val="000D513D"/>
    <w:rsid w:val="000E5184"/>
    <w:rsid w:val="000E7ED0"/>
    <w:rsid w:val="000F0828"/>
    <w:rsid w:val="00115251"/>
    <w:rsid w:val="0011732C"/>
    <w:rsid w:val="00120243"/>
    <w:rsid w:val="001250D7"/>
    <w:rsid w:val="0013550B"/>
    <w:rsid w:val="0013569A"/>
    <w:rsid w:val="00140597"/>
    <w:rsid w:val="00143D74"/>
    <w:rsid w:val="00151C8F"/>
    <w:rsid w:val="0016117A"/>
    <w:rsid w:val="00161FC1"/>
    <w:rsid w:val="00171E4F"/>
    <w:rsid w:val="001753EE"/>
    <w:rsid w:val="0018091E"/>
    <w:rsid w:val="00183AE1"/>
    <w:rsid w:val="00185096"/>
    <w:rsid w:val="00186F90"/>
    <w:rsid w:val="001872F0"/>
    <w:rsid w:val="001A4487"/>
    <w:rsid w:val="001B44DE"/>
    <w:rsid w:val="001C0EEE"/>
    <w:rsid w:val="001C6521"/>
    <w:rsid w:val="001D30F0"/>
    <w:rsid w:val="001D510D"/>
    <w:rsid w:val="001D5646"/>
    <w:rsid w:val="001D681A"/>
    <w:rsid w:val="001E250C"/>
    <w:rsid w:val="001E4331"/>
    <w:rsid w:val="001E6D6E"/>
    <w:rsid w:val="001F098B"/>
    <w:rsid w:val="001F4AB0"/>
    <w:rsid w:val="00205CD5"/>
    <w:rsid w:val="0021213F"/>
    <w:rsid w:val="00224D56"/>
    <w:rsid w:val="00227DDE"/>
    <w:rsid w:val="00227ED8"/>
    <w:rsid w:val="00243873"/>
    <w:rsid w:val="00250DA6"/>
    <w:rsid w:val="0027319E"/>
    <w:rsid w:val="0027455A"/>
    <w:rsid w:val="00291933"/>
    <w:rsid w:val="002A1F02"/>
    <w:rsid w:val="002A3D3A"/>
    <w:rsid w:val="002B797B"/>
    <w:rsid w:val="002C01C2"/>
    <w:rsid w:val="002C59EB"/>
    <w:rsid w:val="002D2B36"/>
    <w:rsid w:val="002F4C71"/>
    <w:rsid w:val="003010E0"/>
    <w:rsid w:val="003102AA"/>
    <w:rsid w:val="003171F4"/>
    <w:rsid w:val="003235AA"/>
    <w:rsid w:val="00333E07"/>
    <w:rsid w:val="0033711C"/>
    <w:rsid w:val="003417A9"/>
    <w:rsid w:val="00354F54"/>
    <w:rsid w:val="00355FC9"/>
    <w:rsid w:val="00356AE7"/>
    <w:rsid w:val="0036204A"/>
    <w:rsid w:val="00364A27"/>
    <w:rsid w:val="0036656D"/>
    <w:rsid w:val="00390280"/>
    <w:rsid w:val="003C3BF7"/>
    <w:rsid w:val="003D393B"/>
    <w:rsid w:val="003D397A"/>
    <w:rsid w:val="003D4D13"/>
    <w:rsid w:val="003D6EA8"/>
    <w:rsid w:val="003E2A61"/>
    <w:rsid w:val="003E55D3"/>
    <w:rsid w:val="00402041"/>
    <w:rsid w:val="00403EDF"/>
    <w:rsid w:val="00424AB3"/>
    <w:rsid w:val="0044584E"/>
    <w:rsid w:val="004466EA"/>
    <w:rsid w:val="004535A6"/>
    <w:rsid w:val="00455938"/>
    <w:rsid w:val="0046668C"/>
    <w:rsid w:val="0046670B"/>
    <w:rsid w:val="004701FD"/>
    <w:rsid w:val="004709DD"/>
    <w:rsid w:val="00476B02"/>
    <w:rsid w:val="00476E9D"/>
    <w:rsid w:val="00490250"/>
    <w:rsid w:val="00490314"/>
    <w:rsid w:val="00491F7F"/>
    <w:rsid w:val="004A4E22"/>
    <w:rsid w:val="004C3A3E"/>
    <w:rsid w:val="004D412E"/>
    <w:rsid w:val="004D5D8C"/>
    <w:rsid w:val="004E3F27"/>
    <w:rsid w:val="004F55B2"/>
    <w:rsid w:val="004F62C2"/>
    <w:rsid w:val="005067BD"/>
    <w:rsid w:val="00507BA0"/>
    <w:rsid w:val="005128C9"/>
    <w:rsid w:val="00512E9B"/>
    <w:rsid w:val="0052641C"/>
    <w:rsid w:val="005401E9"/>
    <w:rsid w:val="00557AD1"/>
    <w:rsid w:val="005603CF"/>
    <w:rsid w:val="00571B50"/>
    <w:rsid w:val="00572504"/>
    <w:rsid w:val="00580DDF"/>
    <w:rsid w:val="00583CFA"/>
    <w:rsid w:val="00585846"/>
    <w:rsid w:val="005937BE"/>
    <w:rsid w:val="005A2741"/>
    <w:rsid w:val="005B6694"/>
    <w:rsid w:val="005C0409"/>
    <w:rsid w:val="005C04DC"/>
    <w:rsid w:val="005D23DA"/>
    <w:rsid w:val="005D298E"/>
    <w:rsid w:val="005E36D1"/>
    <w:rsid w:val="005E4F20"/>
    <w:rsid w:val="006020DB"/>
    <w:rsid w:val="006110ED"/>
    <w:rsid w:val="00612737"/>
    <w:rsid w:val="00616CC7"/>
    <w:rsid w:val="00623A32"/>
    <w:rsid w:val="0064086D"/>
    <w:rsid w:val="006462A7"/>
    <w:rsid w:val="00650692"/>
    <w:rsid w:val="006569DF"/>
    <w:rsid w:val="006810B6"/>
    <w:rsid w:val="00681B8E"/>
    <w:rsid w:val="00683BBE"/>
    <w:rsid w:val="00687DEE"/>
    <w:rsid w:val="00695960"/>
    <w:rsid w:val="006A5BA6"/>
    <w:rsid w:val="006C7180"/>
    <w:rsid w:val="006C76BC"/>
    <w:rsid w:val="006F06FA"/>
    <w:rsid w:val="006F223E"/>
    <w:rsid w:val="006F6363"/>
    <w:rsid w:val="00715FE0"/>
    <w:rsid w:val="007245F3"/>
    <w:rsid w:val="00725014"/>
    <w:rsid w:val="00734965"/>
    <w:rsid w:val="0073700E"/>
    <w:rsid w:val="007536A2"/>
    <w:rsid w:val="007637F8"/>
    <w:rsid w:val="007719B6"/>
    <w:rsid w:val="007747B8"/>
    <w:rsid w:val="007A3BB2"/>
    <w:rsid w:val="007A7200"/>
    <w:rsid w:val="007B587D"/>
    <w:rsid w:val="007C065A"/>
    <w:rsid w:val="007C06B3"/>
    <w:rsid w:val="007C3FFC"/>
    <w:rsid w:val="007E0AEF"/>
    <w:rsid w:val="007F61C4"/>
    <w:rsid w:val="007F6351"/>
    <w:rsid w:val="007F6661"/>
    <w:rsid w:val="00800BE8"/>
    <w:rsid w:val="00813142"/>
    <w:rsid w:val="008230AB"/>
    <w:rsid w:val="00827B09"/>
    <w:rsid w:val="008301CE"/>
    <w:rsid w:val="00845D78"/>
    <w:rsid w:val="00850A1C"/>
    <w:rsid w:val="008609B5"/>
    <w:rsid w:val="00862D0F"/>
    <w:rsid w:val="00873C57"/>
    <w:rsid w:val="008771D4"/>
    <w:rsid w:val="008773AE"/>
    <w:rsid w:val="0088221C"/>
    <w:rsid w:val="00887473"/>
    <w:rsid w:val="00887DF1"/>
    <w:rsid w:val="008933C0"/>
    <w:rsid w:val="0089767B"/>
    <w:rsid w:val="008A1619"/>
    <w:rsid w:val="008A5680"/>
    <w:rsid w:val="008C16EE"/>
    <w:rsid w:val="008D0A41"/>
    <w:rsid w:val="008D34EB"/>
    <w:rsid w:val="008D46D3"/>
    <w:rsid w:val="008D581B"/>
    <w:rsid w:val="008D5E43"/>
    <w:rsid w:val="008E7BC0"/>
    <w:rsid w:val="008F16D4"/>
    <w:rsid w:val="00902A45"/>
    <w:rsid w:val="00902BE1"/>
    <w:rsid w:val="009054BA"/>
    <w:rsid w:val="00907B1F"/>
    <w:rsid w:val="00914EC7"/>
    <w:rsid w:val="00915D58"/>
    <w:rsid w:val="00921B07"/>
    <w:rsid w:val="00922A16"/>
    <w:rsid w:val="00922E26"/>
    <w:rsid w:val="00930C6C"/>
    <w:rsid w:val="00945173"/>
    <w:rsid w:val="00945180"/>
    <w:rsid w:val="009566B4"/>
    <w:rsid w:val="009629B8"/>
    <w:rsid w:val="00963B13"/>
    <w:rsid w:val="00963E11"/>
    <w:rsid w:val="009804F4"/>
    <w:rsid w:val="00986AFB"/>
    <w:rsid w:val="00994A60"/>
    <w:rsid w:val="009A20EA"/>
    <w:rsid w:val="009B2E47"/>
    <w:rsid w:val="009B479F"/>
    <w:rsid w:val="009B7317"/>
    <w:rsid w:val="009C1D16"/>
    <w:rsid w:val="00A001EB"/>
    <w:rsid w:val="00A0239B"/>
    <w:rsid w:val="00A04076"/>
    <w:rsid w:val="00A110B9"/>
    <w:rsid w:val="00A24594"/>
    <w:rsid w:val="00A26085"/>
    <w:rsid w:val="00A32E4A"/>
    <w:rsid w:val="00A37EAF"/>
    <w:rsid w:val="00A40948"/>
    <w:rsid w:val="00A42311"/>
    <w:rsid w:val="00A42E71"/>
    <w:rsid w:val="00A43362"/>
    <w:rsid w:val="00A555DA"/>
    <w:rsid w:val="00A65AE7"/>
    <w:rsid w:val="00A900F4"/>
    <w:rsid w:val="00A95040"/>
    <w:rsid w:val="00A9559E"/>
    <w:rsid w:val="00A974F2"/>
    <w:rsid w:val="00AA0A64"/>
    <w:rsid w:val="00AB3022"/>
    <w:rsid w:val="00AB3D0A"/>
    <w:rsid w:val="00AB6F4E"/>
    <w:rsid w:val="00AB73C8"/>
    <w:rsid w:val="00AC24B1"/>
    <w:rsid w:val="00AD01F8"/>
    <w:rsid w:val="00AD0FED"/>
    <w:rsid w:val="00AF1141"/>
    <w:rsid w:val="00AF2B4C"/>
    <w:rsid w:val="00AF7FCC"/>
    <w:rsid w:val="00B01BC3"/>
    <w:rsid w:val="00B071A6"/>
    <w:rsid w:val="00B16423"/>
    <w:rsid w:val="00B21D01"/>
    <w:rsid w:val="00B30091"/>
    <w:rsid w:val="00B3614A"/>
    <w:rsid w:val="00B56030"/>
    <w:rsid w:val="00B5783B"/>
    <w:rsid w:val="00B605EA"/>
    <w:rsid w:val="00B65FDF"/>
    <w:rsid w:val="00B75620"/>
    <w:rsid w:val="00B774B5"/>
    <w:rsid w:val="00B91EF1"/>
    <w:rsid w:val="00B93692"/>
    <w:rsid w:val="00BA5524"/>
    <w:rsid w:val="00BA572C"/>
    <w:rsid w:val="00BA5E65"/>
    <w:rsid w:val="00BA6840"/>
    <w:rsid w:val="00BB7F1E"/>
    <w:rsid w:val="00BE22DB"/>
    <w:rsid w:val="00BE6D54"/>
    <w:rsid w:val="00BF4C08"/>
    <w:rsid w:val="00C00BF4"/>
    <w:rsid w:val="00C00FF4"/>
    <w:rsid w:val="00C03EEA"/>
    <w:rsid w:val="00C07BEE"/>
    <w:rsid w:val="00C22A7A"/>
    <w:rsid w:val="00C46783"/>
    <w:rsid w:val="00C6177A"/>
    <w:rsid w:val="00C75CD7"/>
    <w:rsid w:val="00C87307"/>
    <w:rsid w:val="00C963D8"/>
    <w:rsid w:val="00C974E1"/>
    <w:rsid w:val="00CB0FEC"/>
    <w:rsid w:val="00CB4926"/>
    <w:rsid w:val="00CB60C3"/>
    <w:rsid w:val="00CE1E58"/>
    <w:rsid w:val="00CE4C91"/>
    <w:rsid w:val="00CE60DB"/>
    <w:rsid w:val="00D0737C"/>
    <w:rsid w:val="00D12AF7"/>
    <w:rsid w:val="00D1766F"/>
    <w:rsid w:val="00D372FB"/>
    <w:rsid w:val="00D4453F"/>
    <w:rsid w:val="00D63A07"/>
    <w:rsid w:val="00D65B61"/>
    <w:rsid w:val="00D847A7"/>
    <w:rsid w:val="00D87E7A"/>
    <w:rsid w:val="00D910B0"/>
    <w:rsid w:val="00D960D6"/>
    <w:rsid w:val="00DA192D"/>
    <w:rsid w:val="00DA1C48"/>
    <w:rsid w:val="00DB0ED8"/>
    <w:rsid w:val="00DD22B3"/>
    <w:rsid w:val="00DE0922"/>
    <w:rsid w:val="00DE0A42"/>
    <w:rsid w:val="00DE0F98"/>
    <w:rsid w:val="00DE4E14"/>
    <w:rsid w:val="00DF0A49"/>
    <w:rsid w:val="00DF0DAD"/>
    <w:rsid w:val="00DF183D"/>
    <w:rsid w:val="00DF3ADF"/>
    <w:rsid w:val="00DF5B9E"/>
    <w:rsid w:val="00E02D2C"/>
    <w:rsid w:val="00E05A1B"/>
    <w:rsid w:val="00E12E10"/>
    <w:rsid w:val="00E21D7E"/>
    <w:rsid w:val="00E750BC"/>
    <w:rsid w:val="00E85324"/>
    <w:rsid w:val="00E87A45"/>
    <w:rsid w:val="00EB0963"/>
    <w:rsid w:val="00EB578F"/>
    <w:rsid w:val="00EC1DC1"/>
    <w:rsid w:val="00EC35ED"/>
    <w:rsid w:val="00ED23A3"/>
    <w:rsid w:val="00ED552A"/>
    <w:rsid w:val="00EF35E7"/>
    <w:rsid w:val="00EF3D7B"/>
    <w:rsid w:val="00EF52DE"/>
    <w:rsid w:val="00F04654"/>
    <w:rsid w:val="00F26636"/>
    <w:rsid w:val="00F27D8C"/>
    <w:rsid w:val="00F317DC"/>
    <w:rsid w:val="00F3628F"/>
    <w:rsid w:val="00F37DCD"/>
    <w:rsid w:val="00F52299"/>
    <w:rsid w:val="00F52EA3"/>
    <w:rsid w:val="00F56033"/>
    <w:rsid w:val="00F62058"/>
    <w:rsid w:val="00F633BC"/>
    <w:rsid w:val="00F70446"/>
    <w:rsid w:val="00F705E3"/>
    <w:rsid w:val="00F81D8F"/>
    <w:rsid w:val="00F8250F"/>
    <w:rsid w:val="00F83BDB"/>
    <w:rsid w:val="00F953D7"/>
    <w:rsid w:val="00FA11EA"/>
    <w:rsid w:val="00FA2202"/>
    <w:rsid w:val="00FB16AA"/>
    <w:rsid w:val="00FB6835"/>
    <w:rsid w:val="00FC6323"/>
    <w:rsid w:val="00FD0027"/>
    <w:rsid w:val="00FD61B9"/>
    <w:rsid w:val="00FD7A2B"/>
    <w:rsid w:val="00FE346D"/>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737406-253E-40E1-A848-424229C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F1"/>
    <w:pPr>
      <w:ind w:firstLine="720"/>
      <w:jc w:val="both"/>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styleId="CommentReference">
    <w:name w:val="annotation reference"/>
    <w:basedOn w:val="DefaultParagraphFont"/>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basedOn w:val="DefaultParagraphFont"/>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basedOn w:val="DefaultParagraphFont"/>
    <w:link w:val="BodyText"/>
    <w:uiPriority w:val="99"/>
    <w:locked/>
    <w:rsid w:val="001F4AB0"/>
    <w:rPr>
      <w:rFonts w:eastAsia="Times New Roman" w:cs="Times New Roman"/>
      <w:b/>
      <w:bCs/>
      <w:sz w:val="24"/>
      <w:szCs w:val="24"/>
      <w:lang w:val="lv-LV" w:eastAsia="en-US" w:bidi="ar-SA"/>
    </w:rPr>
  </w:style>
  <w:style w:type="paragraph" w:customStyle="1" w:styleId="CharCharCharChar">
    <w:name w:val="Char Char Char Char"/>
    <w:basedOn w:val="Normal"/>
    <w:uiPriority w:val="99"/>
    <w:rsid w:val="00B774B5"/>
    <w:pPr>
      <w:spacing w:after="160" w:line="240" w:lineRule="exact"/>
      <w:ind w:firstLine="0"/>
      <w:jc w:val="left"/>
    </w:pPr>
    <w:rPr>
      <w:rFonts w:ascii="Dutch TL" w:eastAsia="Times New Roman" w:hAnsi="Dutch TL"/>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38465">
      <w:marLeft w:val="0"/>
      <w:marRight w:val="0"/>
      <w:marTop w:val="0"/>
      <w:marBottom w:val="0"/>
      <w:divBdr>
        <w:top w:val="none" w:sz="0" w:space="0" w:color="auto"/>
        <w:left w:val="none" w:sz="0" w:space="0" w:color="auto"/>
        <w:bottom w:val="none" w:sz="0" w:space="0" w:color="auto"/>
        <w:right w:val="none" w:sz="0" w:space="0" w:color="auto"/>
      </w:divBdr>
    </w:div>
    <w:div w:id="1394038466">
      <w:marLeft w:val="0"/>
      <w:marRight w:val="0"/>
      <w:marTop w:val="0"/>
      <w:marBottom w:val="0"/>
      <w:divBdr>
        <w:top w:val="none" w:sz="0" w:space="0" w:color="auto"/>
        <w:left w:val="none" w:sz="0" w:space="0" w:color="auto"/>
        <w:bottom w:val="none" w:sz="0" w:space="0" w:color="auto"/>
        <w:right w:val="none" w:sz="0" w:space="0" w:color="auto"/>
      </w:divBdr>
    </w:div>
    <w:div w:id="1394038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sti@d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5287</Characters>
  <Application>Microsoft Office Word</Application>
  <DocSecurity>0</DocSecurity>
  <Lines>176</Lines>
  <Paragraphs>80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37448</dc:creator>
  <cp:keywords/>
  <dc:description/>
  <cp:lastModifiedBy>36553</cp:lastModifiedBy>
  <cp:revision>6</cp:revision>
  <cp:lastPrinted>2015-08-14T10:18:00Z</cp:lastPrinted>
  <dcterms:created xsi:type="dcterms:W3CDTF">2015-08-06T07:38:00Z</dcterms:created>
  <dcterms:modified xsi:type="dcterms:W3CDTF">2015-08-14T10:23:00Z</dcterms:modified>
</cp:coreProperties>
</file>