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w:t>
      </w:r>
      <w:r w:rsidR="00243D73">
        <w:rPr>
          <w:b/>
          <w:sz w:val="28"/>
          <w:szCs w:val="28"/>
        </w:rPr>
        <w:t>drības ar ierobežotu atbildību „</w:t>
      </w:r>
      <w:r w:rsidR="00C3445E">
        <w:rPr>
          <w:b/>
          <w:sz w:val="28"/>
          <w:szCs w:val="28"/>
        </w:rPr>
        <w:t>Jaunais Rīgas</w:t>
      </w:r>
      <w:r w:rsidR="00B46BD4">
        <w:rPr>
          <w:b/>
          <w:sz w:val="28"/>
          <w:szCs w:val="28"/>
        </w:rPr>
        <w:t xml:space="preserve"> teātris</w:t>
      </w:r>
      <w:r w:rsidR="00243D73" w:rsidRPr="00B46BD4">
        <w:rPr>
          <w:b/>
          <w:sz w:val="28"/>
          <w:szCs w:val="28"/>
        </w:rPr>
        <w:t>”</w:t>
      </w:r>
      <w:r w:rsidRPr="004B33E7">
        <w:rPr>
          <w:b/>
          <w:sz w:val="28"/>
          <w:szCs w:val="28"/>
        </w:rPr>
        <w:t xml:space="preserve"> peļņas daļu” sākotnējās ietekmes novērtējuma ziņojums (anotācija)</w:t>
      </w:r>
    </w:p>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F007B8">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B46BD4" w:rsidRPr="00C3445E">
              <w:rPr>
                <w:sz w:val="28"/>
                <w:szCs w:val="28"/>
              </w:rPr>
              <w:t>„</w:t>
            </w:r>
            <w:r w:rsidR="00C3445E" w:rsidRPr="00C3445E">
              <w:rPr>
                <w:sz w:val="28"/>
                <w:szCs w:val="28"/>
              </w:rPr>
              <w:t>Jaunais Rīgas</w:t>
            </w:r>
            <w:r w:rsidR="00B46BD4" w:rsidRPr="00C3445E">
              <w:rPr>
                <w:sz w:val="28"/>
                <w:szCs w:val="28"/>
              </w:rPr>
              <w:t xml:space="preserve"> teātris”</w:t>
            </w:r>
            <w:r w:rsidR="00B46BD4" w:rsidRPr="004B33E7">
              <w:rPr>
                <w:b/>
                <w:sz w:val="28"/>
                <w:szCs w:val="28"/>
              </w:rPr>
              <w:t xml:space="preserve"> </w:t>
            </w:r>
            <w:r w:rsidRPr="002F5B05">
              <w:rPr>
                <w:sz w:val="28"/>
                <w:szCs w:val="28"/>
              </w:rPr>
              <w:t xml:space="preserve">peļņas daļu” (turpmāk – Projekts) sagatavots saskaņā ar </w:t>
            </w:r>
            <w:r w:rsidR="00F92374" w:rsidRPr="00B54A52">
              <w:rPr>
                <w:sz w:val="28"/>
                <w:szCs w:val="28"/>
              </w:rPr>
              <w:t xml:space="preserve">Likuma par budžetu un finanšu vadību 5.panta otro daļu un </w:t>
            </w:r>
            <w:r w:rsidR="00E26FA6" w:rsidRPr="002F5B05">
              <w:rPr>
                <w:sz w:val="28"/>
                <w:szCs w:val="28"/>
              </w:rPr>
              <w:t>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F36283" w:rsidRPr="00C3445E">
              <w:rPr>
                <w:sz w:val="28"/>
                <w:szCs w:val="28"/>
                <w:lang w:val="lv-LV"/>
              </w:rPr>
              <w:t>„</w:t>
            </w:r>
            <w:r w:rsidR="00C3445E" w:rsidRPr="00C3445E">
              <w:rPr>
                <w:sz w:val="28"/>
                <w:szCs w:val="28"/>
                <w:lang w:val="lv-LV"/>
              </w:rPr>
              <w:t>Jaunais Rīgas</w:t>
            </w:r>
            <w:r w:rsidR="00F36283" w:rsidRPr="00C3445E">
              <w:rPr>
                <w:sz w:val="28"/>
                <w:szCs w:val="28"/>
                <w:lang w:val="lv-LV"/>
              </w:rPr>
              <w:t xml:space="preserve"> teātris”</w:t>
            </w:r>
            <w:r w:rsidRPr="005E3ACC">
              <w:rPr>
                <w:sz w:val="28"/>
                <w:szCs w:val="28"/>
                <w:lang w:val="lv-LV"/>
              </w:rPr>
              <w:t xml:space="preserve"> </w:t>
            </w:r>
            <w:r w:rsidRPr="004B33E7">
              <w:rPr>
                <w:sz w:val="28"/>
                <w:szCs w:val="28"/>
                <w:lang w:val="lv-LV"/>
              </w:rPr>
              <w:t>(turpmāk – kapitālsabiedrība) ir valsts kapitālsabiedrība, kurā 100% kapitāla daļu turētāja ir Kultūras ministrija.</w:t>
            </w:r>
          </w:p>
          <w:p w:rsidR="008666D0" w:rsidRDefault="008666D0" w:rsidP="008666D0">
            <w:pPr>
              <w:pStyle w:val="Pamatteksts"/>
              <w:spacing w:after="0"/>
              <w:ind w:firstLine="505"/>
              <w:jc w:val="both"/>
              <w:rPr>
                <w:sz w:val="28"/>
                <w:szCs w:val="28"/>
                <w:lang w:val="lv-LV"/>
              </w:rPr>
            </w:pPr>
            <w:r w:rsidRPr="00FC423D">
              <w:rPr>
                <w:sz w:val="28"/>
                <w:szCs w:val="28"/>
                <w:lang w:val="lv-LV"/>
              </w:rPr>
              <w:t>Saskaņā ar Noteikumu Nr.1471 4.</w:t>
            </w:r>
            <w:r>
              <w:rPr>
                <w:sz w:val="28"/>
                <w:szCs w:val="28"/>
                <w:vertAlign w:val="superscript"/>
                <w:lang w:val="lv-LV"/>
              </w:rPr>
              <w:t>2</w:t>
            </w:r>
            <w:r w:rsidRPr="00FC423D">
              <w:rPr>
                <w:sz w:val="28"/>
                <w:szCs w:val="28"/>
                <w:lang w:val="lv-LV"/>
              </w:rPr>
              <w:t>punktu minimālo dividendēs</w:t>
            </w:r>
            <w:r>
              <w:rPr>
                <w:sz w:val="28"/>
                <w:szCs w:val="28"/>
                <w:lang w:val="lv-LV"/>
              </w:rPr>
              <w:t xml:space="preserve"> izmaksājamo peļņas daļu par 2014</w:t>
            </w:r>
            <w:r w:rsidRPr="00FC423D">
              <w:rPr>
                <w:sz w:val="28"/>
                <w:szCs w:val="28"/>
                <w:lang w:val="lv-LV"/>
              </w:rPr>
              <w:t xml:space="preserve">.gada pārskata gadu kapitālsabiedrībām, kurās visas kapitāla daļas tieši vai pastarpināti pieder valstij, nosaka un aprēķina 90 </w:t>
            </w:r>
            <w:r>
              <w:rPr>
                <w:sz w:val="28"/>
                <w:szCs w:val="28"/>
                <w:lang w:val="lv-LV"/>
              </w:rPr>
              <w:t>%</w:t>
            </w:r>
            <w:r w:rsidRPr="00FC423D">
              <w:rPr>
                <w:sz w:val="28"/>
                <w:szCs w:val="28"/>
                <w:lang w:val="lv-LV"/>
              </w:rPr>
              <w:t xml:space="preserve">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Kapitālsabiedrība 201</w:t>
            </w:r>
            <w:r w:rsidR="00134437">
              <w:rPr>
                <w:sz w:val="28"/>
                <w:szCs w:val="28"/>
              </w:rPr>
              <w:t>4</w:t>
            </w:r>
            <w:r w:rsidRPr="004B33E7">
              <w:rPr>
                <w:sz w:val="28"/>
                <w:szCs w:val="28"/>
              </w:rPr>
              <w:t xml:space="preserve">.gadu ir noslēgusi ar </w:t>
            </w:r>
            <w:r w:rsidR="00134437">
              <w:rPr>
                <w:sz w:val="28"/>
                <w:szCs w:val="28"/>
              </w:rPr>
              <w:t>27 307</w:t>
            </w:r>
            <w:r w:rsidRPr="002F5B05">
              <w:rPr>
                <w:sz w:val="28"/>
                <w:szCs w:val="28"/>
              </w:rPr>
              <w:t xml:space="preserve"> </w:t>
            </w:r>
            <w:proofErr w:type="spellStart"/>
            <w:r w:rsidR="00A25ADD" w:rsidRPr="00A25ADD">
              <w:rPr>
                <w:i/>
                <w:sz w:val="28"/>
                <w:szCs w:val="28"/>
              </w:rPr>
              <w:t>euro</w:t>
            </w:r>
            <w:proofErr w:type="spellEnd"/>
            <w:r w:rsidR="00A25ADD">
              <w:rPr>
                <w:sz w:val="28"/>
                <w:szCs w:val="28"/>
              </w:rPr>
              <w:t xml:space="preserve"> </w:t>
            </w:r>
            <w:r w:rsidRPr="004B33E7">
              <w:rPr>
                <w:sz w:val="28"/>
                <w:szCs w:val="28"/>
              </w:rPr>
              <w:t>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2C0640">
              <w:rPr>
                <w:sz w:val="28"/>
                <w:szCs w:val="28"/>
                <w:vertAlign w:val="superscript"/>
              </w:rPr>
              <w:t>2</w:t>
            </w:r>
            <w:r w:rsidR="00480BBF" w:rsidRPr="004B33E7">
              <w:rPr>
                <w:sz w:val="28"/>
                <w:szCs w:val="28"/>
              </w:rPr>
              <w:t xml:space="preserve">punktam </w:t>
            </w:r>
            <w:r w:rsidRPr="004B33E7">
              <w:rPr>
                <w:sz w:val="28"/>
                <w:szCs w:val="28"/>
              </w:rPr>
              <w:t>valstij dividendēs izmaksājamā peļņa</w:t>
            </w:r>
            <w:r w:rsidR="00940F45" w:rsidRPr="004B33E7">
              <w:rPr>
                <w:sz w:val="28"/>
                <w:szCs w:val="28"/>
              </w:rPr>
              <w:t>s daļa (90</w:t>
            </w:r>
            <w:r w:rsidR="00B647A3">
              <w:rPr>
                <w:sz w:val="28"/>
                <w:szCs w:val="28"/>
              </w:rPr>
              <w:t xml:space="preserve"> </w:t>
            </w:r>
            <w:r w:rsidR="00940F45" w:rsidRPr="004B33E7">
              <w:rPr>
                <w:sz w:val="28"/>
                <w:szCs w:val="28"/>
              </w:rPr>
              <w:t xml:space="preserve">% no peļņas) sastāda </w:t>
            </w:r>
            <w:r w:rsidR="00134437">
              <w:rPr>
                <w:sz w:val="28"/>
                <w:szCs w:val="28"/>
              </w:rPr>
              <w:t>24 576,30</w:t>
            </w:r>
            <w:r w:rsidR="00ED0694">
              <w:rPr>
                <w:sz w:val="28"/>
                <w:szCs w:val="28"/>
              </w:rPr>
              <w:t xml:space="preserve"> </w:t>
            </w:r>
            <w:proofErr w:type="spellStart"/>
            <w:r w:rsidR="00ED0694" w:rsidRPr="00DD0501">
              <w:rPr>
                <w:i/>
                <w:sz w:val="28"/>
                <w:szCs w:val="28"/>
              </w:rPr>
              <w:t>eu</w:t>
            </w:r>
            <w:r w:rsidR="00F36283" w:rsidRPr="00DD0501">
              <w:rPr>
                <w:i/>
                <w:sz w:val="28"/>
                <w:szCs w:val="28"/>
              </w:rPr>
              <w:t>ro</w:t>
            </w:r>
            <w:proofErr w:type="spellEnd"/>
            <w:r w:rsidRPr="002F5B05">
              <w:rPr>
                <w:sz w:val="28"/>
                <w:szCs w:val="28"/>
              </w:rPr>
              <w:t>.</w:t>
            </w:r>
          </w:p>
          <w:p w:rsidR="00480BBF"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3C4A55" w:rsidRPr="006D686E" w:rsidRDefault="003C4A55" w:rsidP="003C4A55">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sidR="00134437">
              <w:rPr>
                <w:sz w:val="28"/>
                <w:szCs w:val="28"/>
              </w:rPr>
              <w:t>5</w:t>
            </w:r>
            <w:r w:rsidRPr="006D686E">
              <w:rPr>
                <w:sz w:val="28"/>
                <w:szCs w:val="28"/>
              </w:rPr>
              <w:t xml:space="preserve">.gadā </w:t>
            </w:r>
            <w:r w:rsidRPr="006D686E">
              <w:rPr>
                <w:bCs/>
                <w:sz w:val="28"/>
                <w:szCs w:val="28"/>
              </w:rPr>
              <w:lastRenderedPageBreak/>
              <w:t>nav jāmaksā dividendes no peļņas par 201</w:t>
            </w:r>
            <w:r w:rsidR="00134437">
              <w:rPr>
                <w:bCs/>
                <w:sz w:val="28"/>
                <w:szCs w:val="28"/>
              </w:rPr>
              <w:t>4</w:t>
            </w:r>
            <w:r w:rsidRPr="006D686E">
              <w:rPr>
                <w:bCs/>
                <w:sz w:val="28"/>
                <w:szCs w:val="28"/>
              </w:rPr>
              <w:t>.gadu.</w:t>
            </w:r>
          </w:p>
          <w:p w:rsidR="003C4A55" w:rsidRPr="006D686E" w:rsidRDefault="003C4A55" w:rsidP="003C4A55">
            <w:pPr>
              <w:spacing w:after="0" w:line="240" w:lineRule="auto"/>
              <w:ind w:firstLine="505"/>
              <w:jc w:val="both"/>
              <w:rPr>
                <w:sz w:val="28"/>
                <w:szCs w:val="28"/>
              </w:rPr>
            </w:pPr>
            <w:r w:rsidRPr="006D686E">
              <w:rPr>
                <w:sz w:val="28"/>
                <w:szCs w:val="28"/>
              </w:rPr>
              <w:t>Atbilstoši Noteikumu Nr.1471 5.1.punktam Kultūras ministrija par Projektu sniedz šādu ekonomisko pamatojumu.</w:t>
            </w:r>
          </w:p>
          <w:p w:rsidR="003C4A55" w:rsidRDefault="003C4A55" w:rsidP="003C4A55">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Pr="006D686E">
              <w:rPr>
                <w:sz w:val="28"/>
                <w:szCs w:val="28"/>
              </w:rPr>
              <w:t xml:space="preserve"> – </w:t>
            </w:r>
            <w:r>
              <w:rPr>
                <w:sz w:val="28"/>
                <w:szCs w:val="28"/>
              </w:rPr>
              <w:t xml:space="preserve">dalībnieku sapulces </w:t>
            </w:r>
            <w:r w:rsidRPr="006D686E">
              <w:rPr>
                <w:sz w:val="28"/>
                <w:szCs w:val="28"/>
              </w:rPr>
              <w:t>201</w:t>
            </w:r>
            <w:r w:rsidR="00134437">
              <w:rPr>
                <w:sz w:val="28"/>
                <w:szCs w:val="28"/>
              </w:rPr>
              <w:t>5</w:t>
            </w:r>
            <w:r w:rsidRPr="006D686E">
              <w:rPr>
                <w:sz w:val="28"/>
                <w:szCs w:val="28"/>
              </w:rPr>
              <w:t xml:space="preserve">.gada </w:t>
            </w:r>
            <w:r w:rsidR="00134437">
              <w:rPr>
                <w:sz w:val="28"/>
                <w:szCs w:val="28"/>
              </w:rPr>
              <w:t>22</w:t>
            </w:r>
            <w:r w:rsidRPr="006D686E">
              <w:rPr>
                <w:sz w:val="28"/>
                <w:szCs w:val="28"/>
              </w:rPr>
              <w:t>.aprīļa</w:t>
            </w:r>
            <w:r>
              <w:rPr>
                <w:sz w:val="28"/>
                <w:szCs w:val="28"/>
              </w:rPr>
              <w:t xml:space="preserve"> protokols un</w:t>
            </w:r>
            <w:proofErr w:type="gramStart"/>
            <w:r>
              <w:rPr>
                <w:sz w:val="28"/>
                <w:szCs w:val="28"/>
              </w:rPr>
              <w:t xml:space="preserve"> </w:t>
            </w:r>
            <w:r w:rsidRPr="006D686E">
              <w:rPr>
                <w:sz w:val="28"/>
                <w:szCs w:val="28"/>
              </w:rPr>
              <w:t xml:space="preserve"> </w:t>
            </w:r>
            <w:proofErr w:type="gramEnd"/>
            <w:r w:rsidRPr="006D686E">
              <w:rPr>
                <w:sz w:val="28"/>
                <w:szCs w:val="28"/>
              </w:rPr>
              <w:t>201</w:t>
            </w:r>
            <w:r w:rsidR="00134437">
              <w:rPr>
                <w:sz w:val="28"/>
                <w:szCs w:val="28"/>
              </w:rPr>
              <w:t>5</w:t>
            </w:r>
            <w:r w:rsidRPr="006D686E">
              <w:rPr>
                <w:sz w:val="28"/>
                <w:szCs w:val="28"/>
              </w:rPr>
              <w:t xml:space="preserve">.gada </w:t>
            </w:r>
            <w:r w:rsidR="00134437">
              <w:rPr>
                <w:sz w:val="28"/>
                <w:szCs w:val="28"/>
              </w:rPr>
              <w:t>22</w:t>
            </w:r>
            <w:r w:rsidRPr="006D686E">
              <w:rPr>
                <w:sz w:val="28"/>
                <w:szCs w:val="28"/>
              </w:rPr>
              <w:t>.aprīļa</w:t>
            </w:r>
            <w:r>
              <w:rPr>
                <w:sz w:val="28"/>
                <w:szCs w:val="28"/>
              </w:rPr>
              <w:t xml:space="preserve"> lēmums </w:t>
            </w:r>
            <w:r w:rsidRPr="006D686E">
              <w:rPr>
                <w:sz w:val="28"/>
                <w:szCs w:val="28"/>
              </w:rPr>
              <w:t>Nr.</w:t>
            </w:r>
            <w:r>
              <w:rPr>
                <w:sz w:val="28"/>
                <w:szCs w:val="28"/>
              </w:rPr>
              <w:t>5.1-3-</w:t>
            </w:r>
            <w:r w:rsidR="00134437">
              <w:rPr>
                <w:sz w:val="28"/>
                <w:szCs w:val="28"/>
              </w:rPr>
              <w:t>16</w:t>
            </w:r>
            <w:r w:rsidRPr="006D686E">
              <w:rPr>
                <w:sz w:val="28"/>
                <w:szCs w:val="28"/>
              </w:rPr>
              <w:t>, ar kuru apstiprināts valsts kapitālsabiedrības 201</w:t>
            </w:r>
            <w:r w:rsidR="00134437">
              <w:rPr>
                <w:sz w:val="28"/>
                <w:szCs w:val="28"/>
              </w:rPr>
              <w:t>4</w:t>
            </w:r>
            <w:r>
              <w:rPr>
                <w:sz w:val="28"/>
                <w:szCs w:val="28"/>
              </w:rPr>
              <w:t>.</w:t>
            </w:r>
            <w:r w:rsidRPr="006D686E">
              <w:rPr>
                <w:sz w:val="28"/>
                <w:szCs w:val="28"/>
              </w:rPr>
              <w:t>gada pārskats un pieņemts lēmums priekšlikumu par atšķirīgas dividendēs izmaksājamās peļņas daļu virzīt izskatīšanai Ministru kabinetā. Līdz ar to šobrīd lēmums par kapitālsabiedrības 201</w:t>
            </w:r>
            <w:r w:rsidR="00134437">
              <w:rPr>
                <w:sz w:val="28"/>
                <w:szCs w:val="28"/>
              </w:rPr>
              <w:t>4</w:t>
            </w:r>
            <w:r w:rsidRPr="006D686E">
              <w:rPr>
                <w:sz w:val="28"/>
                <w:szCs w:val="28"/>
              </w:rPr>
              <w:t>.gada peļņas sadali nav pieņemts un peļņa nav sadalīta. 201</w:t>
            </w:r>
            <w:r w:rsidR="00134437">
              <w:rPr>
                <w:sz w:val="28"/>
                <w:szCs w:val="28"/>
              </w:rPr>
              <w:t>4</w:t>
            </w:r>
            <w:r w:rsidRPr="006D686E">
              <w:rPr>
                <w:sz w:val="28"/>
                <w:szCs w:val="28"/>
              </w:rPr>
              <w:t>.gada nesadalītā peļņa atbilstoši Gada pārskatu likuma 20.pantam ir ietverta attiecīgā pārskata gada bilances postenī „P</w:t>
            </w:r>
            <w:r w:rsidR="00D45B64">
              <w:rPr>
                <w:sz w:val="28"/>
                <w:szCs w:val="28"/>
              </w:rPr>
              <w:t>ārskata gada nesadalītā peļņa”.</w:t>
            </w:r>
          </w:p>
          <w:p w:rsidR="00D45B64" w:rsidRDefault="00D45B64" w:rsidP="00D45B64">
            <w:pPr>
              <w:spacing w:after="0" w:line="240" w:lineRule="auto"/>
              <w:ind w:firstLine="507"/>
              <w:jc w:val="both"/>
              <w:rPr>
                <w:sz w:val="28"/>
                <w:szCs w:val="28"/>
              </w:rPr>
            </w:pPr>
            <w:r>
              <w:rPr>
                <w:sz w:val="28"/>
                <w:szCs w:val="28"/>
              </w:rPr>
              <w:t>Kapitālsabiedrības 2014.gada darbību raksturojošie rādītāji:</w:t>
            </w:r>
          </w:p>
          <w:p w:rsidR="00D45B64" w:rsidRDefault="00D45B64" w:rsidP="003C4A55">
            <w:pPr>
              <w:spacing w:after="0" w:line="240" w:lineRule="auto"/>
              <w:ind w:firstLine="505"/>
              <w:jc w:val="both"/>
              <w:rPr>
                <w:sz w:val="28"/>
                <w:szCs w:val="28"/>
              </w:rPr>
            </w:pPr>
          </w:p>
          <w:tbl>
            <w:tblPr>
              <w:tblW w:w="5777" w:type="dxa"/>
              <w:tblLook w:val="04A0"/>
            </w:tblPr>
            <w:tblGrid>
              <w:gridCol w:w="636"/>
              <w:gridCol w:w="3582"/>
              <w:gridCol w:w="1559"/>
            </w:tblGrid>
            <w:tr w:rsidR="00D45B64" w:rsidRPr="00D45B64" w:rsidTr="00F92374">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1.</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sidRPr="00D45B64">
                    <w:rPr>
                      <w:rFonts w:eastAsia="Times New Roman"/>
                      <w:b/>
                      <w:bCs/>
                      <w:color w:val="000000"/>
                      <w:sz w:val="28"/>
                      <w:szCs w:val="28"/>
                      <w:lang w:eastAsia="lv-LV"/>
                    </w:rPr>
                    <w:t xml:space="preserve">Bilances radītāji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.1.</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Aktīvi kopā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998 945</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.2.</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Pašu kapitāls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512 928</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 </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.3.</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pamatkapitāls (akciju kapitāls)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42 144</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.4.</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valsts kapitāls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42 144</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2</w:t>
                  </w:r>
                  <w:r w:rsidRPr="00D45B64">
                    <w:rPr>
                      <w:rFonts w:eastAsia="Times New Roman"/>
                      <w:b/>
                      <w:bCs/>
                      <w:color w:val="000000"/>
                      <w:sz w:val="28"/>
                      <w:szCs w:val="28"/>
                      <w:lang w:eastAsia="lv-LV"/>
                    </w:rPr>
                    <w:t>.</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F92374" w:rsidP="00F9237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Peļņas, zaudējumu apgrozījuma rādītāji (</w:t>
                  </w:r>
                  <w:r w:rsidR="00D45B64" w:rsidRPr="00D45B64">
                    <w:rPr>
                      <w:rFonts w:eastAsia="Times New Roman"/>
                      <w:b/>
                      <w:bCs/>
                      <w:color w:val="000000"/>
                      <w:sz w:val="28"/>
                      <w:szCs w:val="28"/>
                      <w:lang w:eastAsia="lv-LV"/>
                    </w:rPr>
                    <w:t>PZA</w:t>
                  </w:r>
                  <w:r>
                    <w:rPr>
                      <w:rFonts w:eastAsia="Times New Roman"/>
                      <w:b/>
                      <w:bCs/>
                      <w:color w:val="000000"/>
                      <w:sz w:val="28"/>
                      <w:szCs w:val="28"/>
                      <w:lang w:eastAsia="lv-LV"/>
                    </w:rPr>
                    <w:t>)</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.1.</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Ieņēmumi</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2 419 982</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p>
              </w:tc>
            </w:tr>
            <w:tr w:rsidR="00D45B64" w:rsidRPr="00D45B64" w:rsidTr="00F92374">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.2.</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Apgrozījums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2 278 586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.3.</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Pārējie ieņēmumi</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141 396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.4.</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Izmaksas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2 387 986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2.5.</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D45B64" w:rsidRPr="00D45B64">
                    <w:rPr>
                      <w:rFonts w:eastAsia="Times New Roman"/>
                      <w:color w:val="000000"/>
                      <w:sz w:val="28"/>
                      <w:szCs w:val="28"/>
                      <w:lang w:eastAsia="lv-LV"/>
                    </w:rPr>
                    <w:t>EBITDA</w:t>
                  </w:r>
                  <w:r>
                    <w:rPr>
                      <w:rFonts w:eastAsia="Times New Roman"/>
                      <w:color w:val="000000"/>
                      <w:sz w:val="28"/>
                      <w:szCs w:val="28"/>
                      <w:lang w:eastAsia="lv-LV"/>
                    </w:rPr>
                    <w:t>)</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31 996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2.6.</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Cs/>
                      <w:color w:val="000000"/>
                      <w:sz w:val="28"/>
                      <w:szCs w:val="28"/>
                      <w:lang w:eastAsia="lv-LV"/>
                    </w:rPr>
                  </w:pPr>
                  <w:r w:rsidRPr="00D45B64">
                    <w:rPr>
                      <w:rFonts w:eastAsia="Times New Roman"/>
                      <w:bCs/>
                      <w:color w:val="000000"/>
                      <w:sz w:val="28"/>
                      <w:szCs w:val="28"/>
                      <w:lang w:eastAsia="lv-LV"/>
                    </w:rPr>
                    <w:t>Neto peļņa/zaudējumi</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Cs/>
                      <w:color w:val="000000"/>
                      <w:sz w:val="28"/>
                      <w:szCs w:val="28"/>
                      <w:lang w:eastAsia="lv-LV"/>
                    </w:rPr>
                  </w:pPr>
                  <w:r w:rsidRPr="00D45B64">
                    <w:rPr>
                      <w:rFonts w:eastAsia="Times New Roman"/>
                      <w:bCs/>
                      <w:color w:val="000000"/>
                      <w:sz w:val="28"/>
                      <w:szCs w:val="28"/>
                      <w:lang w:eastAsia="lv-LV"/>
                    </w:rPr>
                    <w:t>27 307</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3</w:t>
                  </w:r>
                  <w:r w:rsidRPr="00D45B64">
                    <w:rPr>
                      <w:rFonts w:eastAsia="Times New Roman"/>
                      <w:b/>
                      <w:bCs/>
                      <w:color w:val="000000"/>
                      <w:sz w:val="28"/>
                      <w:szCs w:val="28"/>
                      <w:lang w:eastAsia="lv-LV"/>
                    </w:rPr>
                    <w:t>.</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sidRPr="00D45B64">
                    <w:rPr>
                      <w:rFonts w:eastAsia="Times New Roman"/>
                      <w:b/>
                      <w:bCs/>
                      <w:color w:val="000000"/>
                      <w:sz w:val="28"/>
                      <w:szCs w:val="28"/>
                      <w:lang w:eastAsia="lv-LV"/>
                    </w:rPr>
                    <w:t>Finanšu rādītāji (%)</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D45B64">
                    <w:rPr>
                      <w:rFonts w:eastAsia="Times New Roman"/>
                      <w:color w:val="000000"/>
                      <w:sz w:val="28"/>
                      <w:szCs w:val="28"/>
                      <w:lang w:eastAsia="lv-LV"/>
                    </w:rPr>
                    <w:t>.1.</w:t>
                  </w:r>
                </w:p>
              </w:tc>
              <w:tc>
                <w:tcPr>
                  <w:tcW w:w="3582" w:type="dxa"/>
                  <w:tcBorders>
                    <w:top w:val="nil"/>
                    <w:left w:val="nil"/>
                    <w:bottom w:val="single" w:sz="4" w:space="0" w:color="auto"/>
                    <w:right w:val="single" w:sz="4" w:space="0" w:color="auto"/>
                  </w:tcBorders>
                  <w:shd w:val="clear" w:color="000000" w:fill="FFFFFF"/>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Pašu kapitāla atdeve (ROE)</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5.3%</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D45B64">
                    <w:rPr>
                      <w:rFonts w:eastAsia="Times New Roman"/>
                      <w:color w:val="000000"/>
                      <w:sz w:val="28"/>
                      <w:szCs w:val="28"/>
                      <w:lang w:eastAsia="lv-LV"/>
                    </w:rPr>
                    <w:t>.2.</w:t>
                  </w:r>
                </w:p>
              </w:tc>
              <w:tc>
                <w:tcPr>
                  <w:tcW w:w="3582" w:type="dxa"/>
                  <w:tcBorders>
                    <w:top w:val="nil"/>
                    <w:left w:val="nil"/>
                    <w:bottom w:val="single" w:sz="4" w:space="0" w:color="auto"/>
                    <w:right w:val="single" w:sz="4" w:space="0" w:color="auto"/>
                  </w:tcBorders>
                  <w:shd w:val="clear" w:color="000000" w:fill="FFFFFF"/>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Aktīvu atdeve (ROA)</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2.7%</w:t>
                  </w:r>
                </w:p>
              </w:tc>
            </w:tr>
            <w:tr w:rsidR="00D45B64" w:rsidRPr="00D45B64" w:rsidTr="00F92374">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lastRenderedPageBreak/>
                    <w:t>3</w:t>
                  </w:r>
                  <w:r w:rsidRPr="00D45B64">
                    <w:rPr>
                      <w:rFonts w:eastAsia="Times New Roman"/>
                      <w:color w:val="000000"/>
                      <w:sz w:val="28"/>
                      <w:szCs w:val="28"/>
                      <w:lang w:eastAsia="lv-LV"/>
                    </w:rPr>
                    <w:t>.3.</w:t>
                  </w:r>
                </w:p>
              </w:tc>
              <w:tc>
                <w:tcPr>
                  <w:tcW w:w="3582" w:type="dxa"/>
                  <w:tcBorders>
                    <w:top w:val="nil"/>
                    <w:left w:val="nil"/>
                    <w:bottom w:val="single" w:sz="4" w:space="0" w:color="auto"/>
                    <w:right w:val="single" w:sz="4" w:space="0" w:color="auto"/>
                  </w:tcBorders>
                  <w:shd w:val="clear" w:color="000000" w:fill="FFFFFF"/>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EBITDA rentabilitāte (EBITDA/apgrozījums)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1.4%</w:t>
                  </w:r>
                </w:p>
              </w:tc>
            </w:tr>
            <w:tr w:rsidR="00F92374" w:rsidRPr="00D45B64" w:rsidTr="00F92374">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F9237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D45B64">
                    <w:rPr>
                      <w:rFonts w:eastAsia="Times New Roman"/>
                      <w:color w:val="000000"/>
                      <w:sz w:val="28"/>
                      <w:szCs w:val="28"/>
                      <w:lang w:eastAsia="lv-LV"/>
                    </w:rPr>
                    <w:t>.4.</w:t>
                  </w:r>
                </w:p>
              </w:tc>
              <w:tc>
                <w:tcPr>
                  <w:tcW w:w="3582" w:type="dxa"/>
                  <w:tcBorders>
                    <w:top w:val="nil"/>
                    <w:left w:val="nil"/>
                    <w:bottom w:val="single" w:sz="4" w:space="0" w:color="auto"/>
                    <w:right w:val="single" w:sz="4" w:space="0" w:color="auto"/>
                  </w:tcBorders>
                  <w:shd w:val="clear" w:color="000000" w:fill="FFFFFF"/>
                  <w:vAlign w:val="bottom"/>
                  <w:hideMark/>
                </w:tcPr>
                <w:p w:rsidR="00F92374" w:rsidRPr="00D45B64" w:rsidRDefault="00F9237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Pašu kapitāls/Aktīvi</w:t>
                  </w:r>
                </w:p>
              </w:tc>
              <w:tc>
                <w:tcPr>
                  <w:tcW w:w="1559" w:type="dxa"/>
                  <w:tcBorders>
                    <w:top w:val="nil"/>
                    <w:left w:val="nil"/>
                    <w:bottom w:val="single" w:sz="4" w:space="0" w:color="auto"/>
                    <w:right w:val="single" w:sz="4" w:space="0" w:color="auto"/>
                  </w:tcBorders>
                  <w:shd w:val="clear" w:color="auto" w:fill="auto"/>
                  <w:vAlign w:val="bottom"/>
                  <w:hideMark/>
                </w:tcPr>
                <w:p w:rsidR="00F92374" w:rsidRPr="00D45B64" w:rsidRDefault="00F9237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51.3%</w:t>
                  </w:r>
                </w:p>
              </w:tc>
            </w:tr>
            <w:tr w:rsidR="00D45B64" w:rsidRPr="00D45B64" w:rsidTr="00F92374">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8666D0"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2.54%</w:t>
                  </w:r>
                </w:p>
              </w:tc>
            </w:tr>
          </w:tbl>
          <w:p w:rsidR="00D45B64" w:rsidRPr="00D45B64" w:rsidRDefault="00D45B64" w:rsidP="003C4A55">
            <w:pPr>
              <w:spacing w:after="0" w:line="240" w:lineRule="auto"/>
              <w:ind w:firstLine="505"/>
              <w:jc w:val="both"/>
              <w:rPr>
                <w:sz w:val="28"/>
                <w:szCs w:val="28"/>
              </w:rPr>
            </w:pPr>
          </w:p>
          <w:p w:rsidR="003C4A55" w:rsidRPr="006D686E" w:rsidRDefault="003C4A55" w:rsidP="003C4A55">
            <w:pPr>
              <w:spacing w:after="0" w:line="240" w:lineRule="auto"/>
              <w:ind w:firstLine="507"/>
              <w:jc w:val="both"/>
              <w:rPr>
                <w:sz w:val="28"/>
                <w:szCs w:val="28"/>
              </w:rPr>
            </w:pPr>
            <w:r w:rsidRPr="006D686E">
              <w:rPr>
                <w:sz w:val="28"/>
                <w:szCs w:val="28"/>
              </w:rPr>
              <w:t>Ņemot vērā kapitālsabiedrības izteikto lūgumu kapitālsabiedrības 201</w:t>
            </w:r>
            <w:r w:rsidR="00134437">
              <w:rPr>
                <w:sz w:val="28"/>
                <w:szCs w:val="28"/>
              </w:rPr>
              <w:t>4</w:t>
            </w:r>
            <w:r w:rsidRPr="006D686E">
              <w:rPr>
                <w:sz w:val="28"/>
                <w:szCs w:val="28"/>
              </w:rPr>
              <w:t>.pārskata gada peļņu atstāt nesadalītu, tika izvērtēta kapitālsabiedrības darbība, attīstības iespējas un konkurētspēja, kā arī izvērtēta ietekme, ja kapitālsabiedrība 201</w:t>
            </w:r>
            <w:r w:rsidR="00134437">
              <w:rPr>
                <w:sz w:val="28"/>
                <w:szCs w:val="28"/>
              </w:rPr>
              <w:t>5</w:t>
            </w:r>
            <w:r w:rsidRPr="006D686E">
              <w:rPr>
                <w:sz w:val="28"/>
                <w:szCs w:val="28"/>
              </w:rPr>
              <w:t>.gadā veic valsts budžetā valstij piekritīgas peļņas daļas pārskaitīšanu par 201</w:t>
            </w:r>
            <w:r w:rsidR="00134437">
              <w:rPr>
                <w:sz w:val="28"/>
                <w:szCs w:val="28"/>
              </w:rPr>
              <w:t>4</w:t>
            </w:r>
            <w:r w:rsidRPr="006D686E">
              <w:rPr>
                <w:sz w:val="28"/>
                <w:szCs w:val="28"/>
              </w:rPr>
              <w:t>.pārskata gadu – kopā </w:t>
            </w:r>
            <w:r w:rsidR="00134437">
              <w:rPr>
                <w:sz w:val="28"/>
                <w:szCs w:val="28"/>
              </w:rPr>
              <w:t xml:space="preserve">24 576,30 </w:t>
            </w:r>
            <w:proofErr w:type="spellStart"/>
            <w:r w:rsidRPr="00DD0501">
              <w:rPr>
                <w:i/>
                <w:sz w:val="28"/>
                <w:szCs w:val="28"/>
              </w:rPr>
              <w:t>euro</w:t>
            </w:r>
            <w:proofErr w:type="spellEnd"/>
            <w:r>
              <w:rPr>
                <w:sz w:val="28"/>
                <w:szCs w:val="28"/>
              </w:rPr>
              <w:t xml:space="preserve"> </w:t>
            </w:r>
            <w:r w:rsidRPr="006D686E">
              <w:rPr>
                <w:sz w:val="28"/>
                <w:szCs w:val="28"/>
              </w:rPr>
              <w:t xml:space="preserve">apmērā. </w:t>
            </w:r>
          </w:p>
          <w:p w:rsidR="00C345AB" w:rsidRPr="00310A31" w:rsidRDefault="00C345AB" w:rsidP="00C345AB">
            <w:pPr>
              <w:spacing w:after="0" w:line="240" w:lineRule="auto"/>
              <w:ind w:firstLine="507"/>
              <w:jc w:val="both"/>
              <w:rPr>
                <w:sz w:val="28"/>
                <w:szCs w:val="24"/>
              </w:rPr>
            </w:pPr>
            <w:r w:rsidRPr="001444B5">
              <w:rPr>
                <w:sz w:val="28"/>
                <w:szCs w:val="24"/>
              </w:rPr>
              <w:t xml:space="preserve">Kapitālsabiedrības 2014.gada budžetā </w:t>
            </w:r>
            <w:r w:rsidR="00B647A3">
              <w:rPr>
                <w:sz w:val="28"/>
                <w:szCs w:val="24"/>
              </w:rPr>
              <w:t>nebija</w:t>
            </w:r>
            <w:r w:rsidRPr="001444B5">
              <w:rPr>
                <w:sz w:val="28"/>
                <w:szCs w:val="24"/>
              </w:rPr>
              <w:t xml:space="preserve"> pietiekami līdzekļi teātra materiāli tehniskās bāzes uzlabošanai, jo valsts budžeta dotācija kapitālsabiedrībai 2014.gadā veidoja tikai </w:t>
            </w:r>
            <w:r w:rsidR="00B647A3">
              <w:rPr>
                <w:sz w:val="28"/>
                <w:szCs w:val="24"/>
              </w:rPr>
              <w:t>41,</w:t>
            </w:r>
            <w:r w:rsidRPr="00310A31">
              <w:rPr>
                <w:sz w:val="28"/>
                <w:szCs w:val="24"/>
              </w:rPr>
              <w:t>03</w:t>
            </w:r>
            <w:r w:rsidR="00B647A3">
              <w:rPr>
                <w:sz w:val="28"/>
                <w:szCs w:val="24"/>
              </w:rPr>
              <w:t xml:space="preserve"> </w:t>
            </w:r>
            <w:r w:rsidRPr="00310A31">
              <w:rPr>
                <w:sz w:val="28"/>
                <w:szCs w:val="24"/>
              </w:rPr>
              <w:t>% no kopējā kapitālsabiedrības budžeta. Turklāt kapitālsabiedrība 2014.gadā nodokļos valsts budžetā ir samaksājusi 757</w:t>
            </w:r>
            <w:r w:rsidR="00DC5974">
              <w:rPr>
                <w:sz w:val="28"/>
                <w:szCs w:val="24"/>
              </w:rPr>
              <w:t xml:space="preserve"> </w:t>
            </w:r>
            <w:r w:rsidRPr="00310A31">
              <w:rPr>
                <w:sz w:val="28"/>
                <w:szCs w:val="24"/>
              </w:rPr>
              <w:t xml:space="preserve">818 </w:t>
            </w:r>
            <w:proofErr w:type="spellStart"/>
            <w:r w:rsidRPr="00310A31">
              <w:rPr>
                <w:i/>
                <w:sz w:val="28"/>
                <w:szCs w:val="24"/>
              </w:rPr>
              <w:t>euro</w:t>
            </w:r>
            <w:proofErr w:type="spellEnd"/>
            <w:r w:rsidR="00B647A3">
              <w:rPr>
                <w:sz w:val="28"/>
                <w:szCs w:val="24"/>
              </w:rPr>
              <w:t>, kas ir 75,</w:t>
            </w:r>
            <w:r w:rsidRPr="00310A31">
              <w:rPr>
                <w:sz w:val="28"/>
                <w:szCs w:val="24"/>
              </w:rPr>
              <w:t>63 % no valsts budžeta dotācijas. Līdz ar to materiāli tehniskās bāzes uzlabošanu kapitālsabiedrībai jāveic no pašu ieņēmumiem. Ņemot vērā iepriekš minēto, dividenžu izmaksa par 2014.pārskata gadu ietekmēs 2015.gadā kapitālsabiedrības pamatdarbības nodrošināšanai nepieciešamo finansējumu.</w:t>
            </w:r>
            <w:bookmarkStart w:id="0" w:name="_GoBack"/>
            <w:bookmarkEnd w:id="0"/>
          </w:p>
          <w:p w:rsidR="00C345AB" w:rsidRPr="00310A31" w:rsidRDefault="00C345AB" w:rsidP="00310A31">
            <w:pPr>
              <w:spacing w:after="0" w:line="240" w:lineRule="auto"/>
              <w:ind w:firstLine="396"/>
              <w:jc w:val="both"/>
              <w:rPr>
                <w:sz w:val="28"/>
                <w:szCs w:val="24"/>
              </w:rPr>
            </w:pPr>
            <w:r w:rsidRPr="00310A31">
              <w:rPr>
                <w:sz w:val="28"/>
                <w:szCs w:val="24"/>
              </w:rPr>
              <w:t>Kapitālsabiedrības pamatdarbība cieši saistīta ar dekorāciju transportēšanu gan no teātra ēkas uz noliktavām, gan starp teātra spēles laukumiem, kuri atrodas dažādās pilsēta</w:t>
            </w:r>
            <w:r w:rsidR="00B647A3">
              <w:rPr>
                <w:sz w:val="28"/>
                <w:szCs w:val="24"/>
              </w:rPr>
              <w:t>s daļās, gan dodoties viesizrādē</w:t>
            </w:r>
            <w:r w:rsidRPr="00310A31">
              <w:rPr>
                <w:sz w:val="28"/>
                <w:szCs w:val="24"/>
              </w:rPr>
              <w:t xml:space="preserve">s </w:t>
            </w:r>
            <w:r w:rsidR="00B647A3">
              <w:rPr>
                <w:sz w:val="28"/>
                <w:szCs w:val="24"/>
              </w:rPr>
              <w:t>uz Latvijas reģioniem</w:t>
            </w:r>
            <w:r w:rsidRPr="00310A31">
              <w:rPr>
                <w:sz w:val="28"/>
                <w:szCs w:val="24"/>
              </w:rPr>
              <w:t>. Transporta līdzeklim jābūt piemērotam gan mazgabarīta dekorāciju un rekvizītu,</w:t>
            </w:r>
            <w:proofErr w:type="gramStart"/>
            <w:r w:rsidRPr="00310A31">
              <w:rPr>
                <w:sz w:val="28"/>
                <w:szCs w:val="24"/>
              </w:rPr>
              <w:t xml:space="preserve">  </w:t>
            </w:r>
            <w:proofErr w:type="gramEnd"/>
            <w:r w:rsidRPr="00310A31">
              <w:rPr>
                <w:sz w:val="28"/>
                <w:szCs w:val="24"/>
              </w:rPr>
              <w:t xml:space="preserve">gan pasažieru pārvadājumiem. Šobrīd kapitālsabiedrības īpašumā esošais </w:t>
            </w:r>
            <w:proofErr w:type="spellStart"/>
            <w:r w:rsidRPr="00310A31">
              <w:rPr>
                <w:sz w:val="28"/>
                <w:szCs w:val="24"/>
              </w:rPr>
              <w:t>minivens</w:t>
            </w:r>
            <w:proofErr w:type="spellEnd"/>
            <w:proofErr w:type="gramStart"/>
            <w:r w:rsidRPr="00310A31">
              <w:rPr>
                <w:sz w:val="28"/>
                <w:szCs w:val="24"/>
              </w:rPr>
              <w:t xml:space="preserve">  </w:t>
            </w:r>
            <w:proofErr w:type="gramEnd"/>
            <w:r w:rsidRPr="00310A31">
              <w:rPr>
                <w:sz w:val="28"/>
                <w:szCs w:val="24"/>
              </w:rPr>
              <w:t>„</w:t>
            </w:r>
            <w:proofErr w:type="spellStart"/>
            <w:r w:rsidRPr="00310A31">
              <w:rPr>
                <w:sz w:val="28"/>
                <w:szCs w:val="24"/>
              </w:rPr>
              <w:t>Dodge</w:t>
            </w:r>
            <w:proofErr w:type="spellEnd"/>
            <w:r w:rsidRPr="00310A31">
              <w:rPr>
                <w:sz w:val="28"/>
                <w:szCs w:val="24"/>
              </w:rPr>
              <w:t xml:space="preserve"> Grand </w:t>
            </w:r>
            <w:proofErr w:type="spellStart"/>
            <w:r w:rsidRPr="00310A31">
              <w:rPr>
                <w:sz w:val="28"/>
                <w:szCs w:val="24"/>
              </w:rPr>
              <w:t>Caravan</w:t>
            </w:r>
            <w:proofErr w:type="spellEnd"/>
            <w:r w:rsidRPr="00310A31">
              <w:rPr>
                <w:sz w:val="28"/>
                <w:szCs w:val="24"/>
              </w:rPr>
              <w:t>”</w:t>
            </w:r>
            <w:r w:rsidR="00B647A3">
              <w:rPr>
                <w:sz w:val="28"/>
                <w:szCs w:val="24"/>
              </w:rPr>
              <w:t xml:space="preserve"> (izlaiduma gads 1996) ir tehniski novecojis, bieži </w:t>
            </w:r>
            <w:r w:rsidRPr="00310A31">
              <w:rPr>
                <w:sz w:val="28"/>
                <w:szCs w:val="24"/>
              </w:rPr>
              <w:t xml:space="preserve">jāremontē, virsbūvi klāj korozija un </w:t>
            </w:r>
            <w:proofErr w:type="spellStart"/>
            <w:r w:rsidRPr="00310A31">
              <w:rPr>
                <w:sz w:val="28"/>
                <w:szCs w:val="24"/>
              </w:rPr>
              <w:t>vairākkārt</w:t>
            </w:r>
            <w:proofErr w:type="spellEnd"/>
            <w:r w:rsidRPr="00310A31">
              <w:rPr>
                <w:sz w:val="28"/>
                <w:szCs w:val="24"/>
              </w:rPr>
              <w:t xml:space="preserve"> tā</w:t>
            </w:r>
            <w:r w:rsidR="00B647A3">
              <w:rPr>
                <w:sz w:val="28"/>
                <w:szCs w:val="24"/>
              </w:rPr>
              <w:t>lākos maršrutos, piemēram, Rīga</w:t>
            </w:r>
            <w:r w:rsidRPr="00310A31">
              <w:rPr>
                <w:sz w:val="28"/>
                <w:szCs w:val="24"/>
              </w:rPr>
              <w:t xml:space="preserve">– Ventspils, automašīna ir ceļā </w:t>
            </w:r>
            <w:r w:rsidR="00B647A3">
              <w:rPr>
                <w:sz w:val="28"/>
                <w:szCs w:val="24"/>
              </w:rPr>
              <w:t>sabojājusies, tādē</w:t>
            </w:r>
            <w:r w:rsidRPr="00310A31">
              <w:rPr>
                <w:sz w:val="28"/>
                <w:szCs w:val="24"/>
              </w:rPr>
              <w:t>jādi apdraudot veiksmīgu izrāžu darbību. Tālāka esošās automašī</w:t>
            </w:r>
            <w:r w:rsidR="00B647A3">
              <w:rPr>
                <w:sz w:val="28"/>
                <w:szCs w:val="24"/>
              </w:rPr>
              <w:t xml:space="preserve">nas ekspluatācija nav droša un </w:t>
            </w:r>
            <w:r w:rsidRPr="00310A31">
              <w:rPr>
                <w:sz w:val="28"/>
                <w:szCs w:val="24"/>
              </w:rPr>
              <w:t xml:space="preserve">ir neekonomiska. </w:t>
            </w:r>
          </w:p>
          <w:p w:rsidR="00C345AB" w:rsidRPr="00310A31" w:rsidRDefault="00562113" w:rsidP="00310A31">
            <w:pPr>
              <w:spacing w:after="0" w:line="240" w:lineRule="auto"/>
              <w:ind w:firstLine="507"/>
              <w:jc w:val="both"/>
              <w:rPr>
                <w:sz w:val="28"/>
                <w:szCs w:val="24"/>
              </w:rPr>
            </w:pPr>
            <w:r>
              <w:rPr>
                <w:sz w:val="28"/>
                <w:szCs w:val="24"/>
              </w:rPr>
              <w:t>Līdz ar to k</w:t>
            </w:r>
            <w:r w:rsidR="00C345AB" w:rsidRPr="00310A31">
              <w:rPr>
                <w:sz w:val="28"/>
                <w:szCs w:val="24"/>
              </w:rPr>
              <w:t>apitālsabiedrība</w:t>
            </w:r>
            <w:r>
              <w:rPr>
                <w:sz w:val="28"/>
                <w:szCs w:val="24"/>
              </w:rPr>
              <w:t>i</w:t>
            </w:r>
            <w:r w:rsidR="00C345AB" w:rsidRPr="00310A31">
              <w:rPr>
                <w:sz w:val="28"/>
                <w:szCs w:val="24"/>
              </w:rPr>
              <w:t xml:space="preserve"> </w:t>
            </w:r>
            <w:r>
              <w:rPr>
                <w:sz w:val="28"/>
                <w:szCs w:val="24"/>
              </w:rPr>
              <w:t xml:space="preserve">ir nepieciešams </w:t>
            </w:r>
            <w:r>
              <w:rPr>
                <w:sz w:val="28"/>
                <w:szCs w:val="24"/>
              </w:rPr>
              <w:lastRenderedPageBreak/>
              <w:t>iegādā</w:t>
            </w:r>
            <w:r w:rsidR="00C345AB" w:rsidRPr="00310A31">
              <w:rPr>
                <w:sz w:val="28"/>
                <w:szCs w:val="24"/>
              </w:rPr>
              <w:t>ties jaunu vai mazlietotu automašīnu</w:t>
            </w:r>
            <w:r w:rsidR="00310A31">
              <w:rPr>
                <w:sz w:val="28"/>
                <w:szCs w:val="24"/>
              </w:rPr>
              <w:t xml:space="preserve"> –</w:t>
            </w:r>
            <w:r w:rsidR="00C345AB" w:rsidRPr="00310A31">
              <w:rPr>
                <w:sz w:val="28"/>
                <w:szCs w:val="24"/>
              </w:rPr>
              <w:t xml:space="preserve"> </w:t>
            </w:r>
            <w:proofErr w:type="spellStart"/>
            <w:r w:rsidR="00C345AB" w:rsidRPr="00310A31">
              <w:rPr>
                <w:i/>
                <w:sz w:val="28"/>
                <w:szCs w:val="24"/>
              </w:rPr>
              <w:t>minivenu</w:t>
            </w:r>
            <w:proofErr w:type="spellEnd"/>
            <w:r w:rsidR="00C345AB" w:rsidRPr="00310A31">
              <w:rPr>
                <w:sz w:val="28"/>
                <w:szCs w:val="24"/>
              </w:rPr>
              <w:t xml:space="preserve">, </w:t>
            </w:r>
            <w:r w:rsidRPr="00310A31">
              <w:rPr>
                <w:sz w:val="28"/>
                <w:szCs w:val="24"/>
              </w:rPr>
              <w:t xml:space="preserve">ar 7-9 sēdvietām </w:t>
            </w:r>
            <w:r>
              <w:rPr>
                <w:sz w:val="28"/>
                <w:szCs w:val="24"/>
              </w:rPr>
              <w:t>un</w:t>
            </w:r>
            <w:r w:rsidR="00C345AB" w:rsidRPr="00310A31">
              <w:rPr>
                <w:sz w:val="28"/>
                <w:szCs w:val="24"/>
              </w:rPr>
              <w:t xml:space="preserve"> </w:t>
            </w:r>
            <w:r>
              <w:rPr>
                <w:sz w:val="28"/>
                <w:szCs w:val="24"/>
              </w:rPr>
              <w:t>transformējamu salonu (izņemamā</w:t>
            </w:r>
            <w:r w:rsidR="00C345AB" w:rsidRPr="00310A31">
              <w:rPr>
                <w:sz w:val="28"/>
                <w:szCs w:val="24"/>
              </w:rPr>
              <w:t>m pasažieru sēdvietām)</w:t>
            </w:r>
            <w:r>
              <w:rPr>
                <w:sz w:val="28"/>
                <w:szCs w:val="24"/>
              </w:rPr>
              <w:t>, ko k</w:t>
            </w:r>
            <w:r w:rsidR="00C345AB" w:rsidRPr="00310A31">
              <w:rPr>
                <w:sz w:val="28"/>
                <w:szCs w:val="24"/>
              </w:rPr>
              <w:t>apitālsabiedrība izmantotu braucieniem uz viesizrādēm un mazgabarīta dekorāciju un rekvizītu pārvadāšanai no izrādes norises vietas uz noliktavām. Turklāt automašīna būtu īpaši noderīga</w:t>
            </w:r>
            <w:r>
              <w:rPr>
                <w:sz w:val="28"/>
                <w:szCs w:val="24"/>
              </w:rPr>
              <w:t>,</w:t>
            </w:r>
            <w:r w:rsidR="00C345AB" w:rsidRPr="00310A31">
              <w:rPr>
                <w:sz w:val="28"/>
                <w:szCs w:val="24"/>
              </w:rPr>
              <w:t xml:space="preserve"> organizējot pārvākšanos uz pagaidu teātra telpām Rīgā, Miera ielā 58, </w:t>
            </w:r>
            <w:r>
              <w:rPr>
                <w:sz w:val="28"/>
                <w:szCs w:val="24"/>
              </w:rPr>
              <w:t>kad tiks uzsākti</w:t>
            </w:r>
            <w:r w:rsidR="00C345AB" w:rsidRPr="00310A31">
              <w:rPr>
                <w:sz w:val="28"/>
                <w:szCs w:val="24"/>
              </w:rPr>
              <w:t xml:space="preserve"> Lāčplēša ielas 25 teātra k</w:t>
            </w:r>
            <w:r>
              <w:rPr>
                <w:sz w:val="28"/>
                <w:szCs w:val="24"/>
              </w:rPr>
              <w:t>ompleksa rekonstrukcijas darbi.</w:t>
            </w:r>
          </w:p>
          <w:p w:rsidR="00310A31" w:rsidRDefault="00C345AB" w:rsidP="00C345AB">
            <w:pPr>
              <w:spacing w:after="0" w:line="240" w:lineRule="auto"/>
              <w:ind w:firstLine="507"/>
              <w:jc w:val="both"/>
              <w:rPr>
                <w:sz w:val="28"/>
                <w:szCs w:val="24"/>
              </w:rPr>
            </w:pPr>
            <w:r w:rsidRPr="00310A31">
              <w:rPr>
                <w:sz w:val="28"/>
                <w:szCs w:val="24"/>
              </w:rPr>
              <w:t xml:space="preserve"> </w:t>
            </w:r>
            <w:r w:rsidR="00562113">
              <w:rPr>
                <w:sz w:val="28"/>
                <w:szCs w:val="24"/>
              </w:rPr>
              <w:t>Viena automašīnas, kas atbilst k</w:t>
            </w:r>
            <w:r w:rsidRPr="00310A31">
              <w:rPr>
                <w:sz w:val="28"/>
                <w:szCs w:val="24"/>
              </w:rPr>
              <w:t>apitālsabiedrības tehniskajai specifikācijai</w:t>
            </w:r>
            <w:r w:rsidR="00562113">
              <w:rPr>
                <w:sz w:val="28"/>
                <w:szCs w:val="24"/>
              </w:rPr>
              <w:t>,</w:t>
            </w:r>
            <w:r w:rsidRPr="00310A31">
              <w:rPr>
                <w:sz w:val="28"/>
                <w:szCs w:val="24"/>
              </w:rPr>
              <w:t xml:space="preserve"> izma</w:t>
            </w:r>
            <w:r w:rsidR="00562113">
              <w:rPr>
                <w:sz w:val="28"/>
                <w:szCs w:val="24"/>
              </w:rPr>
              <w:t>ksas pēc veiktās cenu aptaujas</w:t>
            </w:r>
            <w:r w:rsidRPr="00310A31">
              <w:rPr>
                <w:sz w:val="28"/>
                <w:szCs w:val="24"/>
              </w:rPr>
              <w:t xml:space="preserve"> lēšamas ap 25</w:t>
            </w:r>
            <w:r w:rsidR="007C5D3C">
              <w:rPr>
                <w:sz w:val="28"/>
                <w:szCs w:val="24"/>
              </w:rPr>
              <w:t> </w:t>
            </w:r>
            <w:r w:rsidRPr="00310A31">
              <w:rPr>
                <w:sz w:val="28"/>
                <w:szCs w:val="24"/>
              </w:rPr>
              <w:t>000</w:t>
            </w:r>
            <w:r w:rsidR="007C5D3C">
              <w:rPr>
                <w:sz w:val="28"/>
                <w:szCs w:val="24"/>
              </w:rPr>
              <w:t xml:space="preserve"> </w:t>
            </w:r>
            <w:proofErr w:type="spellStart"/>
            <w:r w:rsidRPr="00310A31">
              <w:rPr>
                <w:i/>
                <w:sz w:val="28"/>
                <w:szCs w:val="24"/>
              </w:rPr>
              <w:t>euro</w:t>
            </w:r>
            <w:proofErr w:type="spellEnd"/>
            <w:r w:rsidR="00562113">
              <w:rPr>
                <w:sz w:val="28"/>
                <w:szCs w:val="24"/>
              </w:rPr>
              <w:t>. Tā kā automašīnas iegādei k</w:t>
            </w:r>
            <w:r w:rsidRPr="00310A31">
              <w:rPr>
                <w:sz w:val="28"/>
                <w:szCs w:val="24"/>
              </w:rPr>
              <w:t>apitālsabiedrībai nepieciešams veikt publiska iepirkuma procedūru, precīza automašīnas iepirkuma cena tiks noskaid</w:t>
            </w:r>
            <w:r w:rsidR="00310A31">
              <w:rPr>
                <w:sz w:val="28"/>
                <w:szCs w:val="24"/>
              </w:rPr>
              <w:t>rota atklāta konkursa ietvaros.</w:t>
            </w:r>
          </w:p>
          <w:p w:rsidR="00562113" w:rsidRPr="00562113" w:rsidRDefault="00562113" w:rsidP="00562113">
            <w:pPr>
              <w:spacing w:after="0" w:line="240" w:lineRule="auto"/>
              <w:ind w:firstLine="507"/>
              <w:jc w:val="both"/>
              <w:rPr>
                <w:sz w:val="28"/>
                <w:szCs w:val="28"/>
              </w:rPr>
            </w:pPr>
            <w:r w:rsidRPr="00C85AE9">
              <w:rPr>
                <w:sz w:val="28"/>
                <w:szCs w:val="28"/>
              </w:rPr>
              <w:t>Līdz ar to iespēja</w:t>
            </w:r>
            <w:r w:rsidRPr="001C36F9" w:rsidDel="00EE13BE">
              <w:rPr>
                <w:sz w:val="28"/>
                <w:szCs w:val="28"/>
              </w:rPr>
              <w:t xml:space="preserve"> </w:t>
            </w:r>
            <w:r w:rsidRPr="001C36F9">
              <w:rPr>
                <w:sz w:val="28"/>
                <w:szCs w:val="28"/>
              </w:rPr>
              <w:t xml:space="preserve">novirzīt kapitālsabiedrības 2014.pārskata gadā gūto peļņu </w:t>
            </w:r>
            <w:r w:rsidRPr="00310A31">
              <w:rPr>
                <w:sz w:val="28"/>
                <w:szCs w:val="24"/>
              </w:rPr>
              <w:t>materiāli tehniskās bāzes uzlabošanai</w:t>
            </w:r>
            <w:r>
              <w:rPr>
                <w:sz w:val="28"/>
                <w:szCs w:val="24"/>
              </w:rPr>
              <w:t xml:space="preserve"> – automašīnas iegādei</w:t>
            </w:r>
            <w:r w:rsidRPr="00310A31">
              <w:rPr>
                <w:sz w:val="28"/>
                <w:szCs w:val="24"/>
              </w:rPr>
              <w:t xml:space="preserve">, </w:t>
            </w:r>
            <w:r w:rsidRPr="00C85AE9">
              <w:rPr>
                <w:sz w:val="28"/>
                <w:szCs w:val="28"/>
              </w:rPr>
              <w:t xml:space="preserve">lai nodrošinātu kvalitatīvu </w:t>
            </w:r>
            <w:r>
              <w:rPr>
                <w:sz w:val="28"/>
                <w:szCs w:val="28"/>
              </w:rPr>
              <w:t>kapitālsabiedrības</w:t>
            </w:r>
            <w:r w:rsidRPr="00C85AE9">
              <w:rPr>
                <w:sz w:val="28"/>
                <w:szCs w:val="28"/>
              </w:rPr>
              <w:t xml:space="preserve"> pamatfunkciju īstenošanu, ir pamatota un nepieciešama.</w:t>
            </w:r>
          </w:p>
          <w:p w:rsidR="003C4A55" w:rsidRPr="00FF6890" w:rsidRDefault="003C4A55" w:rsidP="00C345AB">
            <w:pPr>
              <w:spacing w:after="0" w:line="240" w:lineRule="auto"/>
              <w:ind w:firstLine="507"/>
              <w:jc w:val="both"/>
              <w:rPr>
                <w:sz w:val="28"/>
                <w:szCs w:val="28"/>
              </w:rPr>
            </w:pPr>
            <w:r w:rsidRPr="00310A31">
              <w:rPr>
                <w:sz w:val="28"/>
                <w:szCs w:val="28"/>
              </w:rPr>
              <w:t>Atbilstoši Noteikumu Nr.1471 5.1.punktam Kultūras</w:t>
            </w:r>
            <w:r w:rsidRPr="00FF6890">
              <w:rPr>
                <w:sz w:val="28"/>
                <w:szCs w:val="28"/>
              </w:rPr>
              <w:t xml:space="preserve"> ministrija norāda, ka ar kapitālsabiedrību, pamatojoties uz Kultūras institūciju likuma 23.panta otro daļu, </w:t>
            </w:r>
            <w:r w:rsidR="00134437">
              <w:rPr>
                <w:rFonts w:eastAsia="Arial Unicode MS"/>
                <w:sz w:val="28"/>
                <w:szCs w:val="28"/>
              </w:rPr>
              <w:t>2015</w:t>
            </w:r>
            <w:r w:rsidRPr="00FF6890">
              <w:rPr>
                <w:rFonts w:eastAsia="Arial Unicode MS"/>
                <w:sz w:val="28"/>
                <w:szCs w:val="28"/>
              </w:rPr>
              <w:t xml:space="preserve">.gada </w:t>
            </w:r>
            <w:r w:rsidR="00134437">
              <w:rPr>
                <w:rFonts w:eastAsia="Arial Unicode MS"/>
                <w:sz w:val="28"/>
                <w:szCs w:val="28"/>
              </w:rPr>
              <w:t>6.janvārī</w:t>
            </w:r>
            <w:r w:rsidRPr="00FF6890">
              <w:rPr>
                <w:rFonts w:eastAsia="Arial Unicode MS"/>
                <w:sz w:val="28"/>
                <w:szCs w:val="28"/>
              </w:rPr>
              <w:t xml:space="preserve"> ir noslēgts </w:t>
            </w:r>
            <w:r w:rsidR="00134437">
              <w:rPr>
                <w:rFonts w:eastAsia="Arial Unicode MS"/>
                <w:sz w:val="28"/>
                <w:szCs w:val="28"/>
              </w:rPr>
              <w:t xml:space="preserve">līdzdarbības </w:t>
            </w:r>
            <w:r w:rsidRPr="00FF6890">
              <w:rPr>
                <w:rFonts w:eastAsia="Arial Unicode MS"/>
                <w:sz w:val="28"/>
                <w:szCs w:val="28"/>
              </w:rPr>
              <w:t>līgums Nr.</w:t>
            </w:r>
            <w:r w:rsidR="00134437">
              <w:rPr>
                <w:rFonts w:eastAsia="Arial Unicode MS"/>
                <w:sz w:val="28"/>
                <w:szCs w:val="28"/>
              </w:rPr>
              <w:t>5.1-8-7</w:t>
            </w:r>
            <w:r w:rsidR="00134437">
              <w:rPr>
                <w:sz w:val="28"/>
                <w:szCs w:val="28"/>
              </w:rPr>
              <w:t xml:space="preserve"> </w:t>
            </w:r>
            <w:r w:rsidR="00134437" w:rsidRPr="00FC423D">
              <w:rPr>
                <w:sz w:val="28"/>
                <w:szCs w:val="28"/>
              </w:rPr>
              <w:t xml:space="preserve">„Par </w:t>
            </w:r>
            <w:r w:rsidR="00134437">
              <w:rPr>
                <w:sz w:val="28"/>
                <w:szCs w:val="28"/>
              </w:rPr>
              <w:t xml:space="preserve">atsevišķu </w:t>
            </w:r>
            <w:r w:rsidR="00134437" w:rsidRPr="00FC423D">
              <w:rPr>
                <w:sz w:val="28"/>
                <w:szCs w:val="28"/>
              </w:rPr>
              <w:t xml:space="preserve">valsts </w:t>
            </w:r>
            <w:r w:rsidR="00134437">
              <w:rPr>
                <w:sz w:val="28"/>
                <w:szCs w:val="28"/>
              </w:rPr>
              <w:t>pārvaldes uzdevumu deleģēšanu kultūras jomā</w:t>
            </w:r>
            <w:r w:rsidR="00134437" w:rsidRPr="00FC423D">
              <w:rPr>
                <w:sz w:val="28"/>
                <w:szCs w:val="28"/>
              </w:rPr>
              <w:t>”</w:t>
            </w:r>
            <w:r w:rsidRPr="00FF6890">
              <w:rPr>
                <w:sz w:val="28"/>
                <w:szCs w:val="28"/>
              </w:rPr>
              <w:t xml:space="preserve">, kur paredzēts, ka kapitālsabiedrība veic </w:t>
            </w:r>
            <w:r>
              <w:rPr>
                <w:sz w:val="28"/>
                <w:szCs w:val="28"/>
              </w:rPr>
              <w:t xml:space="preserve">no </w:t>
            </w:r>
            <w:r w:rsidRPr="002653C3">
              <w:rPr>
                <w:sz w:val="28"/>
                <w:szCs w:val="28"/>
              </w:rPr>
              <w:t>valsts pārvaldes funkcij</w:t>
            </w:r>
            <w:r>
              <w:rPr>
                <w:sz w:val="28"/>
                <w:szCs w:val="28"/>
              </w:rPr>
              <w:t>ām</w:t>
            </w:r>
            <w:r w:rsidRPr="002653C3">
              <w:rPr>
                <w:sz w:val="28"/>
                <w:szCs w:val="28"/>
              </w:rPr>
              <w:t xml:space="preserve"> kultūras jomā</w:t>
            </w:r>
            <w:r>
              <w:rPr>
                <w:sz w:val="28"/>
                <w:szCs w:val="28"/>
              </w:rPr>
              <w:t xml:space="preserve"> izrietošus deleģētus valsts pārvaldes uzdevumus, </w:t>
            </w:r>
            <w:r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Pr>
                <w:sz w:val="28"/>
                <w:szCs w:val="28"/>
              </w:rPr>
              <w:t>valsts pārvaldes uzdevumu</w:t>
            </w:r>
            <w:r w:rsidRPr="006D686E">
              <w:rPr>
                <w:sz w:val="28"/>
                <w:szCs w:val="28"/>
              </w:rPr>
              <w:t xml:space="preserve"> veikšana atbilstoši Kultūras institūciju likuma 23.panta otrajai daļai, atšķirīgas dividenžu daļas noteikšana un </w:t>
            </w:r>
            <w:r>
              <w:rPr>
                <w:sz w:val="28"/>
                <w:szCs w:val="28"/>
              </w:rPr>
              <w:t>peļņas</w:t>
            </w:r>
            <w:r w:rsidRPr="006D686E">
              <w:rPr>
                <w:sz w:val="28"/>
                <w:szCs w:val="28"/>
              </w:rPr>
              <w:t xml:space="preserve"> novirzīšana</w:t>
            </w:r>
            <w:r>
              <w:rPr>
                <w:sz w:val="28"/>
                <w:szCs w:val="28"/>
              </w:rPr>
              <w:t xml:space="preserve"> deleģēto valsts pārvaldes uzdevumu veikšanai</w:t>
            </w:r>
            <w:r w:rsidRPr="006D686E">
              <w:rPr>
                <w:sz w:val="28"/>
                <w:szCs w:val="28"/>
              </w:rPr>
              <w:t xml:space="preserve"> nerada kapitālsabiedrībai ekonomiskas priekšrocības.</w:t>
            </w:r>
            <w:r>
              <w:rPr>
                <w:sz w:val="28"/>
                <w:szCs w:val="28"/>
              </w:rPr>
              <w:t xml:space="preserve"> </w:t>
            </w:r>
          </w:p>
          <w:p w:rsidR="003C4A55" w:rsidRPr="006D686E" w:rsidRDefault="003C4A55" w:rsidP="003C4A55">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w:t>
            </w:r>
            <w:r w:rsidRPr="006D686E">
              <w:rPr>
                <w:sz w:val="28"/>
                <w:szCs w:val="28"/>
              </w:rPr>
              <w:lastRenderedPageBreak/>
              <w:t xml:space="preserve">kapitālsabiedrība spētu nodrošināt </w:t>
            </w:r>
            <w:r>
              <w:rPr>
                <w:sz w:val="28"/>
                <w:szCs w:val="28"/>
              </w:rPr>
              <w:t>valsts deleģēto valsts pārvaldes uzdevumu veikšanu</w:t>
            </w:r>
            <w:r w:rsidRPr="006D686E">
              <w:rPr>
                <w:sz w:val="28"/>
                <w:szCs w:val="28"/>
              </w:rPr>
              <w:t xml:space="preserve"> un </w:t>
            </w:r>
            <w:r>
              <w:rPr>
                <w:sz w:val="28"/>
                <w:szCs w:val="28"/>
              </w:rPr>
              <w:t>sasniegt</w:t>
            </w:r>
            <w:r w:rsidRPr="006D686E">
              <w:rPr>
                <w:sz w:val="28"/>
                <w:szCs w:val="28"/>
              </w:rPr>
              <w:t xml:space="preserve"> rezultatīvos rādītājus 201</w:t>
            </w:r>
            <w:r w:rsidR="00134437">
              <w:rPr>
                <w:sz w:val="28"/>
                <w:szCs w:val="28"/>
              </w:rPr>
              <w:t>5</w:t>
            </w:r>
            <w:r w:rsidRPr="006D686E">
              <w:rPr>
                <w:sz w:val="28"/>
                <w:szCs w:val="28"/>
              </w:rPr>
              <w:t xml:space="preserve">.gadā, </w:t>
            </w:r>
            <w:r w:rsidRPr="000724A4">
              <w:rPr>
                <w:sz w:val="28"/>
                <w:szCs w:val="28"/>
              </w:rPr>
              <w:t xml:space="preserve">efektīvi būtu maksimālu kapitālsabiedrības peļņas daļu ieguldīt </w:t>
            </w:r>
            <w:r w:rsidR="004D0774" w:rsidRPr="006D686E">
              <w:rPr>
                <w:sz w:val="28"/>
                <w:szCs w:val="28"/>
              </w:rPr>
              <w:t>kapitālsabiedrība</w:t>
            </w:r>
            <w:r w:rsidR="004D0774">
              <w:rPr>
                <w:sz w:val="28"/>
                <w:szCs w:val="28"/>
              </w:rPr>
              <w:t>s</w:t>
            </w:r>
            <w:r w:rsidRPr="000724A4">
              <w:rPr>
                <w:sz w:val="28"/>
                <w:szCs w:val="28"/>
              </w:rPr>
              <w:t xml:space="preserve"> materiāli tehniskās bāzes uzlabošanai,</w:t>
            </w:r>
            <w:r w:rsidRPr="006D686E">
              <w:rPr>
                <w:sz w:val="28"/>
                <w:szCs w:val="28"/>
              </w:rPr>
              <w:t xml:space="preserve"> tādējādi veicinot kvalitatīvu kapitālsabiedrības pamatfunkciju nodrošināšanu. </w:t>
            </w:r>
            <w:r w:rsidR="00562113">
              <w:rPr>
                <w:sz w:val="28"/>
                <w:szCs w:val="28"/>
              </w:rPr>
              <w:t>Tādējādi</w:t>
            </w:r>
            <w:r w:rsidRPr="006D686E">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3C4A55" w:rsidRPr="002F5B05" w:rsidRDefault="003C4A55" w:rsidP="003C4A55">
            <w:pPr>
              <w:spacing w:after="0" w:line="240" w:lineRule="auto"/>
              <w:ind w:firstLine="505"/>
              <w:jc w:val="both"/>
              <w:rPr>
                <w:sz w:val="28"/>
                <w:szCs w:val="28"/>
              </w:rPr>
            </w:pPr>
            <w:r w:rsidRPr="006D686E">
              <w:rPr>
                <w:sz w:val="28"/>
                <w:szCs w:val="28"/>
              </w:rPr>
              <w:t>Līdz ar to Ministru kabinetam ir nepieciešams pieņemt</w:t>
            </w:r>
            <w:r w:rsidR="00C3445E">
              <w:rPr>
                <w:sz w:val="28"/>
                <w:szCs w:val="28"/>
              </w:rPr>
              <w:t xml:space="preserve"> lēmumu, ka kapitālsabiedrības </w:t>
            </w:r>
            <w:r w:rsidRPr="00022996">
              <w:rPr>
                <w:sz w:val="28"/>
                <w:szCs w:val="28"/>
              </w:rPr>
              <w:t>201</w:t>
            </w:r>
            <w:r w:rsidR="00134437">
              <w:rPr>
                <w:sz w:val="28"/>
                <w:szCs w:val="28"/>
              </w:rPr>
              <w:t>4</w:t>
            </w:r>
            <w:r w:rsidRPr="00022996">
              <w:rPr>
                <w:sz w:val="28"/>
                <w:szCs w:val="28"/>
              </w:rPr>
              <w:t>.pārskata gada peļņa netiek izmaksāta dividendēs,</w:t>
            </w:r>
            <w:r w:rsidRPr="006D686E">
              <w:rPr>
                <w:sz w:val="28"/>
                <w:szCs w:val="28"/>
              </w:rPr>
              <w:t xml:space="preserve"> t.i., tiek noteikta atšķirīga dividendēs izmaksājamā peļņas daļa 0</w:t>
            </w:r>
            <w:r w:rsidR="00562113">
              <w:rPr>
                <w:sz w:val="28"/>
                <w:szCs w:val="28"/>
              </w:rPr>
              <w:t xml:space="preserve"> </w:t>
            </w:r>
            <w:r w:rsidRPr="006D686E">
              <w:rPr>
                <w:sz w:val="28"/>
                <w:szCs w:val="28"/>
              </w:rPr>
              <w:t>% apmērā.</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B24346" w:rsidRDefault="003C4A55" w:rsidP="00B24346">
            <w:pPr>
              <w:spacing w:after="0" w:line="240" w:lineRule="auto"/>
              <w:jc w:val="both"/>
              <w:rPr>
                <w:rFonts w:eastAsia="Times New Roman"/>
                <w:sz w:val="28"/>
                <w:szCs w:val="28"/>
                <w:lang w:eastAsia="lv-LV"/>
              </w:rPr>
            </w:pPr>
            <w:r w:rsidRPr="003C4A55">
              <w:rPr>
                <w:sz w:val="28"/>
                <w:szCs w:val="28"/>
              </w:rPr>
              <w:t>Kultūras ministrija, valsts sabiedrība ar ierobežotu atbildību „</w:t>
            </w:r>
            <w:r w:rsidR="00C3445E">
              <w:rPr>
                <w:sz w:val="28"/>
                <w:szCs w:val="28"/>
              </w:rPr>
              <w:t>Jaunais Rīgas</w:t>
            </w:r>
            <w:r w:rsidRPr="003C4A55">
              <w:rPr>
                <w:sz w:val="28"/>
                <w:szCs w:val="28"/>
              </w:rPr>
              <w:t xml:space="preserve"> teātris”</w:t>
            </w:r>
            <w:r>
              <w:rPr>
                <w:sz w:val="28"/>
                <w:szCs w:val="28"/>
              </w:rPr>
              <w:t>.</w:t>
            </w:r>
          </w:p>
        </w:tc>
      </w:tr>
      <w:tr w:rsidR="003E0334"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3C4A55">
              <w:rPr>
                <w:rFonts w:eastAsia="Times New Roman"/>
                <w:sz w:val="28"/>
                <w:szCs w:val="28"/>
                <w:lang w:eastAsia="lv-LV"/>
              </w:rPr>
              <w:t>4</w:t>
            </w:r>
            <w:r w:rsidRPr="004B33E7">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562113">
      <w:pPr>
        <w:spacing w:after="0" w:line="240" w:lineRule="auto"/>
        <w:ind w:firstLine="374"/>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 xml:space="preserve">Anotācijas II sadaļa – </w:t>
      </w:r>
      <w:r w:rsidR="00195232" w:rsidRPr="005E3ACC">
        <w:rPr>
          <w:i/>
          <w:sz w:val="28"/>
          <w:szCs w:val="28"/>
        </w:rPr>
        <w:t>Projekts šo jomu neskar.</w:t>
      </w:r>
    </w:p>
    <w:p w:rsidR="002F5B05" w:rsidRPr="004B33E7" w:rsidRDefault="002F5B05" w:rsidP="00562113">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89"/>
        <w:gridCol w:w="1638"/>
        <w:gridCol w:w="1473"/>
        <w:gridCol w:w="1181"/>
        <w:gridCol w:w="1257"/>
        <w:gridCol w:w="1257"/>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322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75" w:after="75" w:line="240" w:lineRule="auto"/>
              <w:jc w:val="center"/>
              <w:rPr>
                <w:rFonts w:eastAsia="Times New Roman"/>
                <w:sz w:val="28"/>
                <w:szCs w:val="28"/>
                <w:lang w:eastAsia="lv-LV"/>
              </w:rPr>
            </w:pPr>
            <w:r w:rsidRPr="004B33E7">
              <w:rPr>
                <w:rFonts w:eastAsia="Times New Roman"/>
                <w:b/>
                <w:sz w:val="28"/>
                <w:szCs w:val="28"/>
                <w:lang w:eastAsia="lv-LV"/>
              </w:rPr>
              <w:t>201</w:t>
            </w:r>
            <w:r w:rsidR="00134437">
              <w:rPr>
                <w:rFonts w:eastAsia="Times New Roman"/>
                <w:b/>
                <w:sz w:val="28"/>
                <w:szCs w:val="28"/>
                <w:lang w:eastAsia="lv-LV"/>
              </w:rPr>
              <w:t>5</w:t>
            </w:r>
            <w:r w:rsidRPr="004B33E7">
              <w:rPr>
                <w:rFonts w:eastAsia="Times New Roman"/>
                <w:b/>
                <w:sz w:val="28"/>
                <w:szCs w:val="28"/>
                <w:lang w:eastAsia="lv-LV"/>
              </w:rPr>
              <w:t>.</w:t>
            </w:r>
            <w:r w:rsidRPr="004B33E7">
              <w:rPr>
                <w:rFonts w:eastAsia="Times New Roman"/>
                <w:b/>
                <w:bCs/>
                <w:sz w:val="28"/>
                <w:szCs w:val="28"/>
                <w:lang w:eastAsia="lv-LV"/>
              </w:rPr>
              <w:t>gads</w:t>
            </w:r>
          </w:p>
        </w:tc>
        <w:tc>
          <w:tcPr>
            <w:tcW w:w="3510"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xml:space="preserve"> Turpmākie trīs gadi </w:t>
            </w:r>
            <w:r w:rsidR="003C4A55">
              <w:rPr>
                <w:rFonts w:eastAsia="Times New Roman"/>
                <w:sz w:val="28"/>
                <w:szCs w:val="28"/>
                <w:lang w:eastAsia="lv-LV"/>
              </w:rPr>
              <w:t>(</w:t>
            </w:r>
            <w:r w:rsidR="00C56255" w:rsidRPr="00C56255">
              <w:rPr>
                <w:rFonts w:eastAsia="Times New Roman"/>
                <w:i/>
                <w:sz w:val="28"/>
                <w:szCs w:val="28"/>
                <w:lang w:eastAsia="lv-LV"/>
              </w:rPr>
              <w:t>euro</w:t>
            </w:r>
            <w:r w:rsidR="003C4A55">
              <w:rPr>
                <w:rFonts w:eastAsia="Times New Roman"/>
                <w:sz w:val="28"/>
                <w:szCs w:val="28"/>
                <w:lang w:eastAsia="lv-LV"/>
              </w:rPr>
              <w:t>)</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3224"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134437">
              <w:rPr>
                <w:rFonts w:eastAsia="Times New Roman"/>
                <w:b/>
                <w:bCs/>
                <w:sz w:val="28"/>
                <w:szCs w:val="28"/>
                <w:lang w:eastAsia="lv-LV"/>
              </w:rPr>
              <w:t>6</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134437">
              <w:rPr>
                <w:rFonts w:eastAsia="Times New Roman"/>
                <w:b/>
                <w:bCs/>
                <w:sz w:val="28"/>
                <w:szCs w:val="28"/>
                <w:lang w:eastAsia="lv-LV"/>
              </w:rPr>
              <w:t>7</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134437">
              <w:rPr>
                <w:rFonts w:eastAsia="Times New Roman"/>
                <w:b/>
                <w:bCs/>
                <w:sz w:val="28"/>
                <w:szCs w:val="28"/>
                <w:lang w:eastAsia="lv-LV"/>
              </w:rPr>
              <w:t>8</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2E5D02">
              <w:rPr>
                <w:rFonts w:eastAsia="Times New Roman"/>
                <w:sz w:val="28"/>
                <w:szCs w:val="28"/>
                <w:lang w:eastAsia="lv-LV"/>
              </w:rPr>
              <w:t>2015</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2E5D02">
              <w:rPr>
                <w:rFonts w:eastAsia="Times New Roman"/>
                <w:sz w:val="28"/>
                <w:szCs w:val="28"/>
                <w:lang w:eastAsia="lv-LV"/>
              </w:rPr>
              <w:t>2015</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2E5D02">
              <w:rPr>
                <w:rFonts w:eastAsia="Times New Roman"/>
                <w:sz w:val="28"/>
                <w:szCs w:val="28"/>
                <w:lang w:eastAsia="lv-LV"/>
              </w:rPr>
              <w:t>2015</w:t>
            </w:r>
            <w:r w:rsidRPr="004B33E7">
              <w:rPr>
                <w:rFonts w:eastAsia="Times New Roman"/>
                <w:sz w:val="28"/>
                <w:szCs w:val="28"/>
                <w:lang w:eastAsia="lv-LV"/>
              </w:rPr>
              <w:t>) gadu</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710" w:type="dxa"/>
            <w:tcBorders>
              <w:top w:val="outset" w:sz="6" w:space="0" w:color="auto"/>
              <w:left w:val="outset" w:sz="6" w:space="0" w:color="auto"/>
              <w:bottom w:val="outset" w:sz="6" w:space="0" w:color="auto"/>
              <w:right w:val="outset" w:sz="6" w:space="0" w:color="auto"/>
            </w:tcBorders>
          </w:tcPr>
          <w:p w:rsidR="00E26FA6" w:rsidRPr="003C4A55" w:rsidRDefault="006E240D" w:rsidP="00895E07">
            <w:pPr>
              <w:spacing w:before="75" w:after="75" w:line="240" w:lineRule="auto"/>
              <w:ind w:firstLine="49"/>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E26FA6" w:rsidRPr="004B33E7" w:rsidRDefault="004B0B7E"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1.1. valsts pamatbudžets, tai skaitā ieņēmumi no maksas pakalpojumiem un citi pašu ieņēmumi</w:t>
            </w:r>
          </w:p>
        </w:tc>
        <w:tc>
          <w:tcPr>
            <w:tcW w:w="1710" w:type="dxa"/>
            <w:tcBorders>
              <w:top w:val="outset" w:sz="6" w:space="0" w:color="auto"/>
              <w:left w:val="outset" w:sz="6" w:space="0" w:color="auto"/>
              <w:bottom w:val="outset" w:sz="6" w:space="0" w:color="auto"/>
              <w:right w:val="outset" w:sz="6" w:space="0" w:color="auto"/>
            </w:tcBorders>
          </w:tcPr>
          <w:p w:rsidR="00735A9D" w:rsidRPr="003C4A55" w:rsidRDefault="006E240D"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710" w:type="dxa"/>
            <w:tcBorders>
              <w:top w:val="outset" w:sz="6" w:space="0" w:color="auto"/>
              <w:left w:val="outset" w:sz="6" w:space="0" w:color="auto"/>
              <w:bottom w:val="outset" w:sz="6" w:space="0" w:color="auto"/>
              <w:right w:val="outset" w:sz="6" w:space="0" w:color="auto"/>
            </w:tcBorders>
          </w:tcPr>
          <w:p w:rsidR="00894FB1" w:rsidRDefault="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710" w:type="dxa"/>
            <w:tcBorders>
              <w:top w:val="outset" w:sz="6" w:space="0" w:color="auto"/>
              <w:left w:val="outset" w:sz="6" w:space="0" w:color="auto"/>
              <w:bottom w:val="outset" w:sz="6" w:space="0" w:color="auto"/>
              <w:right w:val="outset" w:sz="6" w:space="0" w:color="auto"/>
            </w:tcBorders>
            <w:vAlign w:val="center"/>
          </w:tcPr>
          <w:p w:rsidR="00735A9D" w:rsidRPr="00FD2C42" w:rsidRDefault="006E240D" w:rsidP="003C4A55">
            <w:pPr>
              <w:spacing w:before="75" w:after="75" w:line="240" w:lineRule="auto"/>
              <w:jc w:val="center"/>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FD2C42" w:rsidRDefault="006E240D" w:rsidP="003C4A55">
            <w:pPr>
              <w:spacing w:before="75" w:after="75" w:line="240" w:lineRule="auto"/>
              <w:ind w:firstLine="61"/>
              <w:jc w:val="center"/>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4D0774">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734" w:type="dxa"/>
            <w:gridSpan w:val="5"/>
            <w:vMerge w:val="restart"/>
            <w:tcBorders>
              <w:top w:val="outset" w:sz="6" w:space="0" w:color="auto"/>
              <w:left w:val="outset" w:sz="6" w:space="0" w:color="auto"/>
              <w:bottom w:val="outset" w:sz="6" w:space="0" w:color="auto"/>
              <w:right w:val="outset" w:sz="6" w:space="0" w:color="auto"/>
            </w:tcBorders>
          </w:tcPr>
          <w:p w:rsidR="00B24346" w:rsidRDefault="00195232" w:rsidP="00B24346">
            <w:pPr>
              <w:spacing w:before="75" w:after="75" w:line="240" w:lineRule="auto"/>
              <w:rPr>
                <w:rFonts w:eastAsia="Times New Roman"/>
                <w:sz w:val="28"/>
                <w:szCs w:val="28"/>
                <w:lang w:eastAsia="lv-LV"/>
              </w:rPr>
            </w:pPr>
            <w:r>
              <w:rPr>
                <w:sz w:val="28"/>
                <w:szCs w:val="28"/>
              </w:rPr>
              <w:t>P</w:t>
            </w:r>
            <w:r w:rsidRPr="004B33E7">
              <w:rPr>
                <w:sz w:val="28"/>
                <w:szCs w:val="28"/>
              </w:rPr>
              <w:t>rojekts šo jomu neskar.</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734"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4D0774">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w:t>
            </w:r>
            <w:r w:rsidR="00134437">
              <w:rPr>
                <w:rFonts w:eastAsia="Times New Roman"/>
                <w:sz w:val="28"/>
                <w:szCs w:val="28"/>
                <w:lang w:eastAsia="lv-LV"/>
              </w:rPr>
              <w:t>5</w:t>
            </w:r>
            <w:r w:rsidRPr="00657A7C">
              <w:rPr>
                <w:rFonts w:eastAsia="Times New Roman"/>
                <w:sz w:val="28"/>
                <w:szCs w:val="28"/>
                <w:lang w:eastAsia="lv-LV"/>
              </w:rPr>
              <w:t xml:space="preserve">.gadā ir plānoti </w:t>
            </w:r>
            <w:r w:rsidR="006E240D" w:rsidRPr="00FD1DF3">
              <w:rPr>
                <w:rFonts w:eastAsia="Times New Roman"/>
                <w:sz w:val="28"/>
                <w:szCs w:val="28"/>
                <w:lang w:eastAsia="lv-LV"/>
              </w:rPr>
              <w:t>125</w:t>
            </w:r>
            <w:r w:rsidR="006E240D">
              <w:rPr>
                <w:rFonts w:eastAsia="Times New Roman"/>
                <w:sz w:val="28"/>
                <w:szCs w:val="28"/>
                <w:lang w:eastAsia="lv-LV"/>
              </w:rPr>
              <w:t> </w:t>
            </w:r>
            <w:r w:rsidR="006E240D" w:rsidRPr="00FD1DF3">
              <w:rPr>
                <w:rFonts w:eastAsia="Times New Roman"/>
                <w:sz w:val="28"/>
                <w:szCs w:val="28"/>
                <w:lang w:eastAsia="lv-LV"/>
              </w:rPr>
              <w:t>098</w:t>
            </w:r>
            <w:r w:rsidR="006E240D">
              <w:rPr>
                <w:rFonts w:eastAsia="Times New Roman"/>
                <w:sz w:val="28"/>
                <w:szCs w:val="28"/>
                <w:lang w:eastAsia="lv-LV"/>
              </w:rPr>
              <w:t> </w:t>
            </w:r>
            <w:r w:rsidR="006E240D" w:rsidRPr="00FD1DF3">
              <w:rPr>
                <w:rFonts w:eastAsia="Times New Roman"/>
                <w:sz w:val="28"/>
                <w:szCs w:val="28"/>
                <w:lang w:eastAsia="lv-LV"/>
              </w:rPr>
              <w:t>489</w:t>
            </w:r>
            <w:r w:rsidR="006E240D">
              <w:rPr>
                <w:rFonts w:eastAsia="Times New Roman"/>
                <w:sz w:val="28"/>
                <w:szCs w:val="28"/>
                <w:lang w:eastAsia="lv-LV"/>
              </w:rPr>
              <w:t xml:space="preserve"> </w:t>
            </w:r>
            <w:proofErr w:type="spellStart"/>
            <w:r w:rsidR="00C56255" w:rsidRPr="00C56255">
              <w:rPr>
                <w:rFonts w:eastAsia="Times New Roman"/>
                <w:i/>
                <w:sz w:val="28"/>
                <w:szCs w:val="28"/>
                <w:lang w:eastAsia="lv-LV"/>
              </w:rPr>
              <w:t>euro</w:t>
            </w:r>
            <w:proofErr w:type="spellEnd"/>
            <w:r w:rsidR="004A03F2">
              <w:rPr>
                <w:rFonts w:eastAsia="Times New Roman"/>
                <w:sz w:val="28"/>
                <w:szCs w:val="28"/>
                <w:lang w:eastAsia="lv-LV"/>
              </w:rPr>
              <w:t xml:space="preserve"> </w:t>
            </w:r>
            <w:r w:rsidR="000E0D4D">
              <w:rPr>
                <w:rFonts w:eastAsia="Times New Roman"/>
                <w:sz w:val="28"/>
                <w:szCs w:val="28"/>
                <w:lang w:eastAsia="lv-LV"/>
              </w:rPr>
              <w:t>apmērā. 201</w:t>
            </w:r>
            <w:r w:rsidR="00134437">
              <w:rPr>
                <w:rFonts w:eastAsia="Times New Roman"/>
                <w:sz w:val="28"/>
                <w:szCs w:val="28"/>
                <w:lang w:eastAsia="lv-LV"/>
              </w:rPr>
              <w:t>5</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w:t>
            </w:r>
            <w:r w:rsidR="00134437">
              <w:rPr>
                <w:rFonts w:eastAsia="Times New Roman"/>
                <w:sz w:val="28"/>
                <w:szCs w:val="28"/>
                <w:lang w:eastAsia="lv-LV"/>
              </w:rPr>
              <w:t xml:space="preserve">i nodalīt un aizpildīt kolonnu </w:t>
            </w:r>
            <w:r w:rsidRPr="00657A7C">
              <w:rPr>
                <w:rFonts w:eastAsia="Times New Roman"/>
                <w:sz w:val="28"/>
                <w:szCs w:val="28"/>
                <w:lang w:eastAsia="lv-LV"/>
              </w:rPr>
              <w:t>„Saskaņā ar valsts budžetu kārtējam gadam”, tādēļ lai nodrošinātu inform</w:t>
            </w:r>
            <w:r w:rsidR="006E240D">
              <w:rPr>
                <w:rFonts w:eastAsia="Times New Roman"/>
                <w:sz w:val="28"/>
                <w:szCs w:val="28"/>
                <w:lang w:eastAsia="lv-LV"/>
              </w:rPr>
              <w:t xml:space="preserve">ācijas pārskatāmību, </w:t>
            </w:r>
            <w:r w:rsidRPr="00657A7C">
              <w:rPr>
                <w:rFonts w:eastAsia="Times New Roman"/>
                <w:sz w:val="28"/>
                <w:szCs w:val="28"/>
                <w:lang w:eastAsia="lv-LV"/>
              </w:rPr>
              <w:t>minētajā kolonnā norādīta summa, kas atbilst konkrētās kapitālsabiedrības atbilstoši normatīvajos aktos not</w:t>
            </w:r>
            <w:r w:rsidR="00562113">
              <w:rPr>
                <w:rFonts w:eastAsia="Times New Roman"/>
                <w:sz w:val="28"/>
                <w:szCs w:val="28"/>
                <w:lang w:eastAsia="lv-LV"/>
              </w:rPr>
              <w:t xml:space="preserve">eiktajai valstij piekritīgajai </w:t>
            </w:r>
            <w:r w:rsidRPr="00657A7C">
              <w:rPr>
                <w:rFonts w:eastAsia="Times New Roman"/>
                <w:sz w:val="28"/>
                <w:szCs w:val="28"/>
                <w:lang w:eastAsia="lv-LV"/>
              </w:rPr>
              <w:t>peļņas daļai (90</w:t>
            </w:r>
            <w:r w:rsidR="00562113">
              <w:rPr>
                <w:rFonts w:eastAsia="Times New Roman"/>
                <w:sz w:val="28"/>
                <w:szCs w:val="28"/>
                <w:lang w:eastAsia="lv-LV"/>
              </w:rPr>
              <w:t xml:space="preserve"> </w:t>
            </w:r>
            <w:r w:rsidRPr="00657A7C">
              <w:rPr>
                <w:rFonts w:eastAsia="Times New Roman"/>
                <w:sz w:val="28"/>
                <w:szCs w:val="28"/>
                <w:lang w:eastAsia="lv-LV"/>
              </w:rPr>
              <w:t>% no apstiprinātās peļņas par 201</w:t>
            </w:r>
            <w:r w:rsidR="00134437">
              <w:rPr>
                <w:rFonts w:eastAsia="Times New Roman"/>
                <w:sz w:val="28"/>
                <w:szCs w:val="28"/>
                <w:lang w:eastAsia="lv-LV"/>
              </w:rPr>
              <w:t>4</w:t>
            </w:r>
            <w:r w:rsidRPr="00657A7C">
              <w:rPr>
                <w:rFonts w:eastAsia="Times New Roman"/>
                <w:sz w:val="28"/>
                <w:szCs w:val="28"/>
                <w:lang w:eastAsia="lv-LV"/>
              </w:rPr>
              <w:t xml:space="preserve">.gadu). </w:t>
            </w:r>
          </w:p>
          <w:p w:rsidR="00562113" w:rsidRDefault="006E240D" w:rsidP="00134437">
            <w:pPr>
              <w:spacing w:after="0" w:line="240" w:lineRule="auto"/>
              <w:ind w:firstLine="475"/>
              <w:jc w:val="both"/>
              <w:rPr>
                <w:rFonts w:eastAsia="Times New Roman"/>
                <w:sz w:val="28"/>
                <w:szCs w:val="28"/>
                <w:lang w:eastAsia="lv-LV"/>
              </w:rPr>
            </w:pPr>
            <w:r w:rsidRPr="006E240D">
              <w:rPr>
                <w:sz w:val="28"/>
                <w:szCs w:val="28"/>
              </w:rPr>
              <w:t xml:space="preserve">Lai gan likuma „Par valsts budžetu 2015.gadam” sagatavošanas gaitā Kultūras ministrijas budžetā jaunajām politikas iniciatīvām tika piešķirts papildu finansējums 5 712 535 </w:t>
            </w:r>
            <w:proofErr w:type="spellStart"/>
            <w:r w:rsidRPr="006E240D">
              <w:rPr>
                <w:i/>
                <w:sz w:val="28"/>
                <w:szCs w:val="28"/>
              </w:rPr>
              <w:t>euro</w:t>
            </w:r>
            <w:proofErr w:type="spellEnd"/>
            <w:r w:rsidRPr="006E240D">
              <w:rPr>
                <w:sz w:val="28"/>
                <w:szCs w:val="28"/>
              </w:rPr>
              <w:t xml:space="preserve"> apmērā, tajā skaitā 1 253 855 </w:t>
            </w:r>
            <w:proofErr w:type="spellStart"/>
            <w:r w:rsidRPr="006E240D">
              <w:rPr>
                <w:i/>
                <w:sz w:val="28"/>
                <w:szCs w:val="28"/>
              </w:rPr>
              <w:t>euro</w:t>
            </w:r>
            <w:proofErr w:type="spellEnd"/>
            <w:r w:rsidRPr="006E240D">
              <w:rPr>
                <w:i/>
                <w:sz w:val="28"/>
                <w:szCs w:val="28"/>
              </w:rPr>
              <w:t xml:space="preserve"> </w:t>
            </w:r>
            <w:r w:rsidRPr="006E240D">
              <w:rPr>
                <w:sz w:val="28"/>
                <w:szCs w:val="28"/>
              </w:rPr>
              <w:t xml:space="preserve">apmērā Kultūras ministrijas kapitālsabiedrību uzturēšanas izdevumiem, lai nodrošinātu valsts deleģēto uzdevumu veikšanu, kas ļautu īstenot radošus un uz izcilību vērstus kultūras pasākumus un projektus, </w:t>
            </w:r>
            <w:r w:rsidR="00134437" w:rsidRPr="006E240D">
              <w:rPr>
                <w:sz w:val="28"/>
                <w:szCs w:val="28"/>
              </w:rPr>
              <w:t>tomēr jau kopš 2009.gad</w:t>
            </w:r>
            <w:r w:rsidR="00134437" w:rsidRPr="00AF43C0">
              <w:rPr>
                <w:sz w:val="28"/>
                <w:szCs w:val="28"/>
              </w:rPr>
              <w:t xml:space="preserve">a </w:t>
            </w:r>
            <w:r w:rsidR="00134437" w:rsidRPr="00AF43C0">
              <w:rPr>
                <w:sz w:val="28"/>
                <w:szCs w:val="28"/>
              </w:rPr>
              <w:lastRenderedPageBreak/>
              <w:t xml:space="preserve">kapitālsabiedrības rīcībā ir bijuši nepietiekami līdzekļi materiāli tehniskās bāzes sakārtošanai, kas vēl joprojām rada apdraudējumu pilnvērtīgai darbībai. </w:t>
            </w:r>
            <w:r w:rsidR="00562113" w:rsidRPr="00FC423D">
              <w:rPr>
                <w:rFonts w:eastAsia="Times New Roman"/>
                <w:sz w:val="28"/>
                <w:szCs w:val="28"/>
                <w:lang w:eastAsia="lv-LV"/>
              </w:rPr>
              <w:t xml:space="preserve">Ņemot vērā to, ka finansējums </w:t>
            </w:r>
            <w:r w:rsidR="00562113">
              <w:rPr>
                <w:sz w:val="28"/>
                <w:szCs w:val="28"/>
              </w:rPr>
              <w:t>deleģēto</w:t>
            </w:r>
            <w:r w:rsidR="00562113" w:rsidRPr="006D686E">
              <w:rPr>
                <w:sz w:val="28"/>
                <w:szCs w:val="28"/>
              </w:rPr>
              <w:t xml:space="preserve"> </w:t>
            </w:r>
            <w:r w:rsidR="00562113">
              <w:rPr>
                <w:sz w:val="28"/>
                <w:szCs w:val="28"/>
              </w:rPr>
              <w:t>valsts pārvaldes uzdevumu</w:t>
            </w:r>
            <w:r w:rsidR="00562113" w:rsidRPr="006D686E">
              <w:rPr>
                <w:sz w:val="28"/>
                <w:szCs w:val="28"/>
              </w:rPr>
              <w:t xml:space="preserve"> </w:t>
            </w:r>
            <w:r w:rsidR="00562113">
              <w:rPr>
                <w:rFonts w:eastAsia="Times New Roman"/>
                <w:sz w:val="28"/>
                <w:szCs w:val="28"/>
                <w:lang w:eastAsia="lv-LV"/>
              </w:rPr>
              <w:t xml:space="preserve">veikšanai kultūras jomā </w:t>
            </w:r>
            <w:r w:rsidR="00562113" w:rsidRPr="00FC423D">
              <w:rPr>
                <w:rFonts w:eastAsia="Times New Roman"/>
                <w:sz w:val="28"/>
                <w:szCs w:val="28"/>
                <w:lang w:eastAsia="lv-LV"/>
              </w:rPr>
              <w:t>kapitālsabiedrībai</w:t>
            </w:r>
            <w:r w:rsidR="00562113">
              <w:rPr>
                <w:rFonts w:eastAsia="Times New Roman"/>
                <w:sz w:val="28"/>
                <w:szCs w:val="28"/>
                <w:lang w:eastAsia="lv-LV"/>
              </w:rPr>
              <w:t xml:space="preserve"> ir nepietiekams, kapitālsabiedrībai 2015</w:t>
            </w:r>
            <w:r w:rsidR="00562113" w:rsidRPr="00FC423D">
              <w:rPr>
                <w:rFonts w:eastAsia="Times New Roman"/>
                <w:sz w:val="28"/>
                <w:szCs w:val="28"/>
                <w:lang w:eastAsia="lv-LV"/>
              </w:rPr>
              <w:t>.gadā ir nepieciešams veikt tos pasākumus, kas bija atlikti ierobežotā finansējuma dēļ</w:t>
            </w:r>
            <w:r w:rsidR="00562113">
              <w:rPr>
                <w:rFonts w:eastAsia="Times New Roman"/>
                <w:sz w:val="28"/>
                <w:szCs w:val="28"/>
                <w:lang w:eastAsia="lv-LV"/>
              </w:rPr>
              <w:t>.</w:t>
            </w:r>
          </w:p>
          <w:p w:rsidR="00B24346" w:rsidRDefault="00CC2ABA" w:rsidP="00134437">
            <w:pPr>
              <w:spacing w:after="0" w:line="240" w:lineRule="auto"/>
              <w:ind w:firstLine="475"/>
              <w:jc w:val="both"/>
              <w:rPr>
                <w:rFonts w:eastAsia="Times New Roman"/>
                <w:sz w:val="28"/>
                <w:szCs w:val="28"/>
                <w:lang w:eastAsia="lv-LV"/>
              </w:rPr>
            </w:pPr>
            <w:r>
              <w:rPr>
                <w:rFonts w:eastAsia="Times New Roman"/>
                <w:sz w:val="28"/>
                <w:szCs w:val="28"/>
                <w:lang w:eastAsia="lv-LV"/>
              </w:rPr>
              <w:t>Pieņemot lēmumu par atšķirīgu dividendēs izmaksājamo summu (nosakot 0</w:t>
            </w:r>
            <w:r w:rsidR="00562113">
              <w:rPr>
                <w:rFonts w:eastAsia="Times New Roman"/>
                <w:sz w:val="28"/>
                <w:szCs w:val="28"/>
                <w:lang w:eastAsia="lv-LV"/>
              </w:rPr>
              <w:t xml:space="preserve"> </w:t>
            </w:r>
            <w:r>
              <w:rPr>
                <w:rFonts w:eastAsia="Times New Roman"/>
                <w:sz w:val="28"/>
                <w:szCs w:val="28"/>
                <w:lang w:eastAsia="lv-LV"/>
              </w:rPr>
              <w:t xml:space="preserve">% likmi), valsts budžetā netiktu pārskaitīta summa </w:t>
            </w:r>
            <w:r w:rsidR="00134437">
              <w:rPr>
                <w:sz w:val="28"/>
                <w:szCs w:val="28"/>
              </w:rPr>
              <w:t xml:space="preserve">24 576,30 </w:t>
            </w:r>
            <w:proofErr w:type="spellStart"/>
            <w:r w:rsidR="000724A4" w:rsidRPr="000724A4">
              <w:rPr>
                <w:i/>
                <w:sz w:val="28"/>
                <w:szCs w:val="28"/>
              </w:rPr>
              <w:t>eu</w:t>
            </w:r>
            <w:r w:rsidR="00FD2C42" w:rsidRPr="000724A4">
              <w:rPr>
                <w:i/>
                <w:sz w:val="28"/>
                <w:szCs w:val="28"/>
              </w:rPr>
              <w:t>ro</w:t>
            </w:r>
            <w:proofErr w:type="spellEnd"/>
            <w:r>
              <w:rPr>
                <w:sz w:val="28"/>
                <w:szCs w:val="28"/>
              </w:rPr>
              <w:t xml:space="preserve">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w:t>
            </w:r>
            <w:r w:rsidR="004D0774">
              <w:rPr>
                <w:sz w:val="28"/>
                <w:szCs w:val="28"/>
              </w:rPr>
              <w:t>valsts pārvaldes uzdevumu kultūras jomā</w:t>
            </w:r>
            <w:r w:rsidR="004D0774" w:rsidDel="004D0774">
              <w:rPr>
                <w:rFonts w:eastAsia="Times New Roman"/>
                <w:sz w:val="28"/>
                <w:szCs w:val="28"/>
                <w:lang w:eastAsia="lv-LV"/>
              </w:rPr>
              <w:t xml:space="preserve"> </w:t>
            </w:r>
            <w:r w:rsidR="00E26FA6" w:rsidRPr="004B33E7">
              <w:rPr>
                <w:rFonts w:eastAsia="Times New Roman"/>
                <w:sz w:val="28"/>
                <w:szCs w:val="28"/>
                <w:lang w:eastAsia="lv-LV"/>
              </w:rPr>
              <w:t>nodro</w:t>
            </w:r>
            <w:r w:rsidR="000E0D4D">
              <w:rPr>
                <w:rFonts w:eastAsia="Times New Roman"/>
                <w:sz w:val="28"/>
                <w:szCs w:val="28"/>
                <w:lang w:eastAsia="lv-LV"/>
              </w:rPr>
              <w:t>šināšanas izdevumu segšanai 201</w:t>
            </w:r>
            <w:r w:rsidR="00134437">
              <w:rPr>
                <w:rFonts w:eastAsia="Times New Roman"/>
                <w:sz w:val="28"/>
                <w:szCs w:val="28"/>
                <w:lang w:eastAsia="lv-LV"/>
              </w:rPr>
              <w:t>5</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w:t>
            </w:r>
            <w:r w:rsidR="00134437">
              <w:rPr>
                <w:rFonts w:eastAsia="Times New Roman"/>
                <w:sz w:val="28"/>
                <w:szCs w:val="28"/>
                <w:lang w:eastAsia="lv-LV"/>
              </w:rPr>
              <w:t>5</w:t>
            </w:r>
            <w:r w:rsidR="00915E01">
              <w:rPr>
                <w:rFonts w:eastAsia="Times New Roman"/>
                <w:sz w:val="28"/>
                <w:szCs w:val="28"/>
                <w:lang w:eastAsia="lv-LV"/>
              </w:rPr>
              <w:t>.gadā</w:t>
            </w:r>
            <w:r w:rsidR="00665A1E">
              <w:rPr>
                <w:rFonts w:eastAsia="Times New Roman"/>
                <w:sz w:val="28"/>
                <w:szCs w:val="28"/>
                <w:lang w:eastAsia="lv-LV"/>
              </w:rPr>
              <w:t xml:space="preserve"> </w:t>
            </w:r>
            <w:r w:rsidR="00915E01">
              <w:rPr>
                <w:rFonts w:eastAsia="Times New Roman"/>
                <w:sz w:val="28"/>
                <w:szCs w:val="28"/>
                <w:lang w:eastAsia="lv-LV"/>
              </w:rPr>
              <w:t xml:space="preserve">deleģēto </w:t>
            </w:r>
            <w:r w:rsidR="002D02E9">
              <w:rPr>
                <w:sz w:val="28"/>
                <w:szCs w:val="28"/>
              </w:rPr>
              <w:t>valsts pārvaldes uzdevumu kultūras jomā</w:t>
            </w:r>
            <w:r w:rsidR="002D02E9" w:rsidDel="004D0774">
              <w:rPr>
                <w:rFonts w:eastAsia="Times New Roman"/>
                <w:sz w:val="28"/>
                <w:szCs w:val="28"/>
                <w:lang w:eastAsia="lv-LV"/>
              </w:rPr>
              <w:t xml:space="preserve"> </w:t>
            </w:r>
            <w:r w:rsidR="00E26FA6" w:rsidRPr="004B33E7">
              <w:rPr>
                <w:rFonts w:eastAsia="Times New Roman"/>
                <w:sz w:val="28"/>
                <w:szCs w:val="28"/>
                <w:lang w:eastAsia="lv-LV"/>
              </w:rPr>
              <w:t xml:space="preserve">īstenošanai.  </w:t>
            </w:r>
          </w:p>
        </w:tc>
      </w:tr>
    </w:tbl>
    <w:p w:rsidR="002F5B05" w:rsidRDefault="002F5B05" w:rsidP="00562113">
      <w:pPr>
        <w:spacing w:after="0"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00195232" w:rsidRPr="005E3ACC">
        <w:rPr>
          <w:i/>
          <w:sz w:val="28"/>
          <w:szCs w:val="28"/>
        </w:rPr>
        <w:t>Projekts šo jomu neskar.</w:t>
      </w:r>
    </w:p>
    <w:p w:rsidR="00064A6C" w:rsidRDefault="00064A6C" w:rsidP="00562113">
      <w:pPr>
        <w:spacing w:after="0"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4D0774">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4D0774">
        <w:tc>
          <w:tcPr>
            <w:tcW w:w="297"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E9">
      <w:pPr>
        <w:spacing w:after="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24"/>
        <w:gridCol w:w="993"/>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607"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A</w:t>
            </w:r>
          </w:p>
        </w:tc>
        <w:tc>
          <w:tcPr>
            <w:tcW w:w="5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Kādēļ?</w:t>
            </w:r>
          </w:p>
        </w:tc>
        <w:tc>
          <w:tcPr>
            <w:tcW w:w="2607"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 xml:space="preserve">Saistības sniegt paziņojumu ES institūcijām un ES dalībvalstīm atbilstoši normatīvajiem aktiem, kas </w:t>
            </w:r>
            <w:r w:rsidRPr="009269A0">
              <w:rPr>
                <w:rFonts w:eastAsia="Times New Roman"/>
                <w:sz w:val="28"/>
                <w:szCs w:val="28"/>
                <w:lang w:eastAsia="lv-LV"/>
              </w:rPr>
              <w:lastRenderedPageBreak/>
              <w:t>regulē informācijas sniegšanu par tehnisko noteikumu, valsts atbalsta piešķiršanas un finanšu noteikumu (attiecībā uz monetāro politiku) projektiem</w:t>
            </w:r>
          </w:p>
        </w:tc>
        <w:tc>
          <w:tcPr>
            <w:tcW w:w="2607" w:type="pct"/>
            <w:gridSpan w:val="3"/>
            <w:tcBorders>
              <w:top w:val="outset" w:sz="6" w:space="0" w:color="auto"/>
              <w:left w:val="outset" w:sz="6" w:space="0" w:color="auto"/>
              <w:bottom w:val="outset" w:sz="6" w:space="0" w:color="auto"/>
              <w:right w:val="outset" w:sz="6" w:space="0" w:color="auto"/>
            </w:tcBorders>
            <w:hideMark/>
          </w:tcPr>
          <w:p w:rsidR="00B24346" w:rsidRDefault="002D027D" w:rsidP="00B24346">
            <w:pPr>
              <w:spacing w:after="0" w:line="240" w:lineRule="auto"/>
              <w:jc w:val="both"/>
              <w:rPr>
                <w:rFonts w:eastAsia="Times New Roman"/>
                <w:sz w:val="28"/>
                <w:szCs w:val="28"/>
                <w:lang w:eastAsia="lv-LV"/>
              </w:rPr>
            </w:pPr>
            <w:r w:rsidRPr="009269A0">
              <w:rPr>
                <w:sz w:val="28"/>
                <w:szCs w:val="28"/>
              </w:rPr>
              <w:lastRenderedPageBreak/>
              <w:t xml:space="preserve">Nav nepieciešams sniegt </w:t>
            </w:r>
            <w:r w:rsidR="00E25B01">
              <w:rPr>
                <w:sz w:val="28"/>
                <w:szCs w:val="28"/>
              </w:rPr>
              <w:t xml:space="preserve">atsevišķu </w:t>
            </w:r>
            <w:r w:rsidRPr="009269A0">
              <w:rPr>
                <w:sz w:val="28"/>
                <w:szCs w:val="28"/>
              </w:rPr>
              <w:t xml:space="preserve">paziņojumu Eiropas Komisijā, jo </w:t>
            </w:r>
            <w:r w:rsidR="00E25B01">
              <w:rPr>
                <w:sz w:val="28"/>
                <w:szCs w:val="28"/>
              </w:rPr>
              <w:t>atbalsts tiek sniegts</w:t>
            </w:r>
            <w:r w:rsidRPr="009269A0">
              <w:rPr>
                <w:sz w:val="28"/>
                <w:szCs w:val="28"/>
              </w:rPr>
              <w:t xml:space="preserve"> </w:t>
            </w:r>
            <w:r w:rsidR="00E25B01">
              <w:rPr>
                <w:sz w:val="28"/>
                <w:szCs w:val="28"/>
              </w:rPr>
              <w:t>valsts</w:t>
            </w:r>
            <w:r w:rsidRPr="009269A0">
              <w:rPr>
                <w:sz w:val="28"/>
                <w:szCs w:val="28"/>
              </w:rPr>
              <w:t xml:space="preserve"> atbalsta pro</w:t>
            </w:r>
            <w:r w:rsidR="00A25ADD">
              <w:rPr>
                <w:sz w:val="28"/>
                <w:szCs w:val="28"/>
              </w:rPr>
              <w:t xml:space="preserve">grammas </w:t>
            </w:r>
            <w:r w:rsidR="00A25ADD">
              <w:rPr>
                <w:sz w:val="28"/>
                <w:szCs w:val="28"/>
              </w:rPr>
              <w:lastRenderedPageBreak/>
              <w:t>„Kultūra” ietvaros (Nr.</w:t>
            </w:r>
            <w:r w:rsidRPr="009269A0">
              <w:rPr>
                <w:sz w:val="28"/>
                <w:szCs w:val="28"/>
              </w:rPr>
              <w:t>SA.34462 (2012/N))</w:t>
            </w:r>
            <w:r w:rsidRPr="009269A0">
              <w:rPr>
                <w:rFonts w:eastAsia="Times New Roman"/>
                <w:sz w:val="28"/>
                <w:szCs w:val="28"/>
                <w:lang w:eastAsia="lv-LV"/>
              </w:rPr>
              <w:t>.</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lastRenderedPageBreak/>
              <w:t>Cita informācija</w:t>
            </w:r>
          </w:p>
        </w:tc>
        <w:tc>
          <w:tcPr>
            <w:tcW w:w="2607"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Nav</w:t>
            </w:r>
          </w:p>
        </w:tc>
      </w:tr>
    </w:tbl>
    <w:p w:rsidR="004D0774" w:rsidRPr="009269A0" w:rsidRDefault="004D0774"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00195232" w:rsidRPr="005E3ACC">
        <w:rPr>
          <w:i/>
          <w:sz w:val="28"/>
          <w:szCs w:val="28"/>
        </w:rPr>
        <w:t>Projekts šo jomu neskar.</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934"/>
        <w:gridCol w:w="4819"/>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F92374">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934"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4819"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F92374">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934" w:type="dxa"/>
            <w:tcBorders>
              <w:top w:val="outset" w:sz="6" w:space="0" w:color="auto"/>
              <w:left w:val="outset" w:sz="6" w:space="0" w:color="auto"/>
              <w:bottom w:val="outset" w:sz="6" w:space="0" w:color="auto"/>
              <w:right w:val="outset" w:sz="6" w:space="0" w:color="auto"/>
            </w:tcBorders>
          </w:tcPr>
          <w:p w:rsidR="00E26FA6" w:rsidRPr="00514416"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C56255"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4819"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F92374">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B32B62">
              <w:rPr>
                <w:rFonts w:eastAsia="Times New Roman"/>
                <w:sz w:val="28"/>
                <w:szCs w:val="28"/>
                <w:lang w:eastAsia="lv-LV"/>
              </w:rPr>
              <w:t>3</w:t>
            </w:r>
            <w:r w:rsidRPr="004B33E7">
              <w:rPr>
                <w:rFonts w:eastAsia="Times New Roman"/>
                <w:sz w:val="28"/>
                <w:szCs w:val="28"/>
                <w:lang w:eastAsia="lv-LV"/>
              </w:rPr>
              <w:t>.</w:t>
            </w:r>
          </w:p>
        </w:tc>
        <w:tc>
          <w:tcPr>
            <w:tcW w:w="3934"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4819"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Default="00E26FA6" w:rsidP="000724A4">
      <w:pPr>
        <w:spacing w:after="0" w:line="240" w:lineRule="auto"/>
        <w:ind w:firstLine="284"/>
        <w:rPr>
          <w:sz w:val="28"/>
          <w:szCs w:val="28"/>
        </w:rPr>
      </w:pPr>
      <w:r w:rsidRPr="004B33E7">
        <w:rPr>
          <w:sz w:val="28"/>
          <w:szCs w:val="28"/>
        </w:rPr>
        <w:t>Kultūras mi</w:t>
      </w:r>
      <w:r w:rsidR="000724A4">
        <w:rPr>
          <w:sz w:val="28"/>
          <w:szCs w:val="28"/>
        </w:rPr>
        <w:t>nistre                                                                       D.Melbārde</w:t>
      </w:r>
      <w:r w:rsidR="00B62E73">
        <w:rPr>
          <w:sz w:val="28"/>
          <w:szCs w:val="28"/>
        </w:rPr>
        <w:t xml:space="preserve"> </w:t>
      </w:r>
    </w:p>
    <w:p w:rsidR="000724A4" w:rsidRPr="004B33E7" w:rsidRDefault="000724A4" w:rsidP="000724A4">
      <w:pPr>
        <w:spacing w:after="0" w:line="240" w:lineRule="auto"/>
        <w:ind w:firstLine="284"/>
        <w:rPr>
          <w:sz w:val="28"/>
          <w:szCs w:val="28"/>
        </w:rPr>
      </w:pPr>
    </w:p>
    <w:p w:rsidR="00134437" w:rsidRPr="004B33E7" w:rsidRDefault="00E26FA6" w:rsidP="00134437">
      <w:pPr>
        <w:spacing w:after="0" w:line="240" w:lineRule="auto"/>
        <w:ind w:firstLine="284"/>
        <w:rPr>
          <w:sz w:val="28"/>
          <w:szCs w:val="28"/>
        </w:rPr>
      </w:pPr>
      <w:r w:rsidRPr="004B33E7">
        <w:rPr>
          <w:sz w:val="28"/>
          <w:szCs w:val="28"/>
        </w:rPr>
        <w:t xml:space="preserve">Vīza: </w:t>
      </w:r>
      <w:r w:rsidR="00134437" w:rsidRPr="004B33E7">
        <w:rPr>
          <w:sz w:val="28"/>
          <w:szCs w:val="28"/>
        </w:rPr>
        <w:t>Valsts sekret</w:t>
      </w:r>
      <w:r w:rsidR="00423588">
        <w:rPr>
          <w:sz w:val="28"/>
          <w:szCs w:val="28"/>
        </w:rPr>
        <w:t>ārs</w:t>
      </w:r>
      <w:r w:rsidR="00423588">
        <w:rPr>
          <w:sz w:val="28"/>
          <w:szCs w:val="28"/>
        </w:rPr>
        <w:tab/>
      </w:r>
      <w:r w:rsidR="00423588">
        <w:rPr>
          <w:sz w:val="28"/>
          <w:szCs w:val="28"/>
        </w:rPr>
        <w:tab/>
      </w:r>
      <w:r w:rsidR="00423588">
        <w:rPr>
          <w:sz w:val="28"/>
          <w:szCs w:val="28"/>
        </w:rPr>
        <w:tab/>
      </w:r>
      <w:r w:rsidR="00423588">
        <w:rPr>
          <w:sz w:val="28"/>
          <w:szCs w:val="28"/>
        </w:rPr>
        <w:tab/>
      </w:r>
      <w:r w:rsidR="00423588">
        <w:rPr>
          <w:sz w:val="28"/>
          <w:szCs w:val="28"/>
        </w:rPr>
        <w:tab/>
      </w:r>
      <w:r w:rsidR="00423588">
        <w:rPr>
          <w:sz w:val="28"/>
          <w:szCs w:val="28"/>
        </w:rPr>
        <w:tab/>
      </w:r>
      <w:r w:rsidR="00423588">
        <w:rPr>
          <w:sz w:val="28"/>
          <w:szCs w:val="28"/>
        </w:rPr>
        <w:tab/>
      </w:r>
      <w:r w:rsidR="00241456">
        <w:rPr>
          <w:sz w:val="28"/>
          <w:szCs w:val="28"/>
        </w:rPr>
        <w:t>S.Voldiņš</w:t>
      </w:r>
    </w:p>
    <w:p w:rsidR="00FA759B" w:rsidRDefault="00FA759B" w:rsidP="00FA759B">
      <w:pPr>
        <w:spacing w:after="0" w:line="240" w:lineRule="auto"/>
        <w:rPr>
          <w:sz w:val="20"/>
          <w:szCs w:val="20"/>
        </w:rPr>
      </w:pPr>
    </w:p>
    <w:p w:rsidR="00E760EB" w:rsidRDefault="00E760EB" w:rsidP="00FA759B">
      <w:pPr>
        <w:spacing w:after="0" w:line="240" w:lineRule="auto"/>
        <w:rPr>
          <w:sz w:val="20"/>
          <w:szCs w:val="20"/>
        </w:rPr>
      </w:pPr>
    </w:p>
    <w:p w:rsidR="00E760EB" w:rsidRDefault="00E760EB" w:rsidP="00FA759B">
      <w:pPr>
        <w:spacing w:after="0" w:line="240" w:lineRule="auto"/>
        <w:rPr>
          <w:sz w:val="20"/>
          <w:szCs w:val="20"/>
        </w:rPr>
      </w:pPr>
    </w:p>
    <w:p w:rsidR="009509EE" w:rsidRPr="005070AF" w:rsidRDefault="009509EE" w:rsidP="009509EE">
      <w:pPr>
        <w:pStyle w:val="Parasts"/>
        <w:ind w:firstLine="0"/>
        <w:jc w:val="left"/>
        <w:rPr>
          <w:color w:val="000000"/>
          <w:szCs w:val="28"/>
          <w:lang w:eastAsia="lv-LV"/>
        </w:rPr>
      </w:pPr>
    </w:p>
    <w:p w:rsidR="009509EE" w:rsidRPr="0027581B" w:rsidRDefault="009509EE" w:rsidP="009509EE">
      <w:pPr>
        <w:pStyle w:val="Parasts"/>
        <w:tabs>
          <w:tab w:val="left" w:pos="6804"/>
        </w:tabs>
        <w:ind w:firstLine="0"/>
        <w:rPr>
          <w:color w:val="000000"/>
          <w:sz w:val="22"/>
          <w:szCs w:val="22"/>
          <w:lang w:eastAsia="lv-LV"/>
        </w:rPr>
      </w:pPr>
      <w:r>
        <w:rPr>
          <w:color w:val="000000"/>
          <w:sz w:val="22"/>
          <w:szCs w:val="22"/>
          <w:lang w:eastAsia="lv-LV"/>
        </w:rPr>
        <w:t>20.08.</w:t>
      </w:r>
      <w:r w:rsidRPr="0027581B">
        <w:rPr>
          <w:color w:val="000000"/>
          <w:sz w:val="22"/>
          <w:szCs w:val="22"/>
          <w:lang w:eastAsia="lv-LV"/>
        </w:rPr>
        <w:t>2015.</w:t>
      </w:r>
    </w:p>
    <w:p w:rsidR="009509EE" w:rsidRPr="0027581B" w:rsidRDefault="009509EE" w:rsidP="009509EE">
      <w:pPr>
        <w:pStyle w:val="Parasts"/>
        <w:tabs>
          <w:tab w:val="left" w:pos="6804"/>
        </w:tabs>
        <w:ind w:firstLine="0"/>
        <w:rPr>
          <w:color w:val="000000"/>
          <w:sz w:val="22"/>
          <w:szCs w:val="22"/>
          <w:lang w:eastAsia="lv-LV"/>
        </w:rPr>
      </w:pPr>
      <w:r>
        <w:rPr>
          <w:color w:val="000000"/>
          <w:sz w:val="22"/>
          <w:szCs w:val="22"/>
          <w:lang w:eastAsia="lv-LV"/>
        </w:rPr>
        <w:t>1706</w:t>
      </w:r>
    </w:p>
    <w:p w:rsidR="009509EE" w:rsidRPr="0027581B" w:rsidRDefault="009509EE" w:rsidP="009509EE">
      <w:pPr>
        <w:tabs>
          <w:tab w:val="left" w:pos="6804"/>
        </w:tabs>
        <w:spacing w:after="0"/>
        <w:rPr>
          <w:color w:val="000000"/>
          <w:sz w:val="22"/>
        </w:rPr>
      </w:pPr>
      <w:r>
        <w:rPr>
          <w:color w:val="000000"/>
          <w:sz w:val="22"/>
        </w:rPr>
        <w:t>J.Šumeiko</w:t>
      </w:r>
    </w:p>
    <w:p w:rsidR="009509EE" w:rsidRPr="0027581B" w:rsidRDefault="009509EE" w:rsidP="009509EE">
      <w:pPr>
        <w:tabs>
          <w:tab w:val="left" w:pos="6804"/>
        </w:tabs>
        <w:spacing w:after="0"/>
        <w:rPr>
          <w:color w:val="000000"/>
          <w:sz w:val="22"/>
        </w:rPr>
      </w:pPr>
      <w:r>
        <w:rPr>
          <w:sz w:val="22"/>
        </w:rPr>
        <w:t>Tālr.67330269</w:t>
      </w:r>
      <w:r w:rsidRPr="0027581B">
        <w:rPr>
          <w:sz w:val="22"/>
        </w:rPr>
        <w:t>; fakss 67330293</w:t>
      </w:r>
    </w:p>
    <w:p w:rsidR="009509EE" w:rsidRPr="0027581B" w:rsidRDefault="009509EE" w:rsidP="009509EE">
      <w:pPr>
        <w:tabs>
          <w:tab w:val="left" w:pos="6804"/>
        </w:tabs>
        <w:spacing w:after="0"/>
        <w:rPr>
          <w:sz w:val="22"/>
        </w:rPr>
      </w:pPr>
      <w:hyperlink r:id="rId8" w:history="1">
        <w:r>
          <w:rPr>
            <w:rStyle w:val="Hipersaite"/>
            <w:sz w:val="22"/>
          </w:rPr>
          <w:t>Juris.Sumeiko</w:t>
        </w:r>
        <w:r w:rsidRPr="0027581B">
          <w:rPr>
            <w:rStyle w:val="Hipersaite"/>
            <w:sz w:val="22"/>
          </w:rPr>
          <w:t>@km.gov.lv</w:t>
        </w:r>
      </w:hyperlink>
    </w:p>
    <w:p w:rsidR="00241456" w:rsidRPr="00CB409B" w:rsidRDefault="00241456" w:rsidP="00241456">
      <w:pPr>
        <w:spacing w:after="0"/>
        <w:rPr>
          <w:sz w:val="20"/>
          <w:szCs w:val="20"/>
        </w:rPr>
      </w:pPr>
    </w:p>
    <w:p w:rsidR="002F5B05" w:rsidRPr="0072731E" w:rsidRDefault="002F5B05" w:rsidP="00241456">
      <w:pPr>
        <w:tabs>
          <w:tab w:val="left" w:pos="6804"/>
        </w:tabs>
        <w:spacing w:after="0" w:line="240" w:lineRule="auto"/>
        <w:rPr>
          <w:sz w:val="22"/>
        </w:rPr>
      </w:pPr>
    </w:p>
    <w:sectPr w:rsidR="002F5B05" w:rsidRPr="0072731E"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C8" w:rsidRDefault="00FB48C8" w:rsidP="00E26FA6">
      <w:pPr>
        <w:spacing w:after="0" w:line="240" w:lineRule="auto"/>
      </w:pPr>
      <w:r>
        <w:separator/>
      </w:r>
    </w:p>
    <w:p w:rsidR="00FB48C8" w:rsidRDefault="00FB48C8"/>
    <w:p w:rsidR="00FB48C8" w:rsidRDefault="00FB48C8"/>
  </w:endnote>
  <w:endnote w:type="continuationSeparator" w:id="0">
    <w:p w:rsidR="00FB48C8" w:rsidRDefault="00FB48C8" w:rsidP="00E26FA6">
      <w:pPr>
        <w:spacing w:after="0" w:line="240" w:lineRule="auto"/>
      </w:pPr>
      <w:r>
        <w:continuationSeparator/>
      </w:r>
    </w:p>
    <w:p w:rsidR="00FB48C8" w:rsidRDefault="00FB48C8"/>
    <w:p w:rsidR="00FB48C8" w:rsidRDefault="00FB48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3" w:rsidRDefault="00761F10" w:rsidP="00940F45">
    <w:pPr>
      <w:pStyle w:val="Kjene"/>
      <w:framePr w:wrap="around" w:vAnchor="text" w:hAnchor="margin" w:xAlign="right" w:y="1"/>
      <w:rPr>
        <w:rStyle w:val="Lappusesnumurs"/>
      </w:rPr>
    </w:pPr>
    <w:r>
      <w:rPr>
        <w:rStyle w:val="Lappusesnumurs"/>
      </w:rPr>
      <w:fldChar w:fldCharType="begin"/>
    </w:r>
    <w:r w:rsidR="00562113">
      <w:rPr>
        <w:rStyle w:val="Lappusesnumurs"/>
      </w:rPr>
      <w:instrText xml:space="preserve">PAGE  </w:instrText>
    </w:r>
    <w:r>
      <w:rPr>
        <w:rStyle w:val="Lappusesnumurs"/>
      </w:rPr>
      <w:fldChar w:fldCharType="end"/>
    </w:r>
  </w:p>
  <w:p w:rsidR="00562113" w:rsidRDefault="00562113" w:rsidP="00940F45">
    <w:pPr>
      <w:pStyle w:val="Kjene"/>
      <w:ind w:right="360"/>
    </w:pPr>
  </w:p>
  <w:p w:rsidR="00562113" w:rsidRDefault="00562113"/>
  <w:p w:rsidR="00562113" w:rsidRDefault="005621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3" w:rsidRPr="004D0774" w:rsidRDefault="00761F10" w:rsidP="004D0774">
    <w:pPr>
      <w:tabs>
        <w:tab w:val="left" w:pos="5529"/>
      </w:tabs>
      <w:spacing w:after="0" w:line="240" w:lineRule="auto"/>
      <w:ind w:right="-1"/>
      <w:jc w:val="both"/>
      <w:rPr>
        <w:sz w:val="22"/>
      </w:rPr>
    </w:pPr>
    <w:r w:rsidRPr="004B33E7">
      <w:rPr>
        <w:sz w:val="22"/>
      </w:rPr>
      <w:fldChar w:fldCharType="begin"/>
    </w:r>
    <w:r w:rsidR="00562113" w:rsidRPr="004B33E7">
      <w:rPr>
        <w:sz w:val="22"/>
      </w:rPr>
      <w:instrText xml:space="preserve"> FILENAME </w:instrText>
    </w:r>
    <w:r w:rsidRPr="004B33E7">
      <w:rPr>
        <w:sz w:val="22"/>
      </w:rPr>
      <w:fldChar w:fldCharType="separate"/>
    </w:r>
    <w:r w:rsidR="009509EE">
      <w:rPr>
        <w:noProof/>
        <w:sz w:val="22"/>
      </w:rPr>
      <w:t>KMAnot_2008</w:t>
    </w:r>
    <w:r w:rsidR="008666D0">
      <w:rPr>
        <w:noProof/>
        <w:sz w:val="22"/>
      </w:rPr>
      <w:t>15_JRT_dividendes</w:t>
    </w:r>
    <w:r w:rsidRPr="004B33E7">
      <w:rPr>
        <w:sz w:val="22"/>
      </w:rPr>
      <w:fldChar w:fldCharType="end"/>
    </w:r>
    <w:r w:rsidR="00562113" w:rsidRPr="004B33E7">
      <w:rPr>
        <w:sz w:val="22"/>
      </w:rPr>
      <w:t>; Ministru kabineta rīkojuma projekta „Par valstij dividendēs izmaksājamo valsts sabiedrības ar ierobežotu atbildību "</w:t>
    </w:r>
    <w:r w:rsidR="00562113">
      <w:rPr>
        <w:sz w:val="22"/>
      </w:rPr>
      <w:t>Jaunais Rīgas</w:t>
    </w:r>
    <w:r w:rsidR="00562113"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3" w:rsidRPr="004B33E7" w:rsidRDefault="00761F10" w:rsidP="00E45773">
    <w:pPr>
      <w:tabs>
        <w:tab w:val="left" w:pos="5529"/>
      </w:tabs>
      <w:spacing w:after="0" w:line="240" w:lineRule="auto"/>
      <w:ind w:right="-1"/>
      <w:jc w:val="both"/>
      <w:rPr>
        <w:sz w:val="22"/>
      </w:rPr>
    </w:pPr>
    <w:r w:rsidRPr="004B33E7">
      <w:rPr>
        <w:sz w:val="22"/>
      </w:rPr>
      <w:fldChar w:fldCharType="begin"/>
    </w:r>
    <w:r w:rsidR="00562113" w:rsidRPr="004B33E7">
      <w:rPr>
        <w:sz w:val="22"/>
      </w:rPr>
      <w:instrText xml:space="preserve"> FILENAME </w:instrText>
    </w:r>
    <w:r w:rsidRPr="004B33E7">
      <w:rPr>
        <w:sz w:val="22"/>
      </w:rPr>
      <w:fldChar w:fldCharType="separate"/>
    </w:r>
    <w:r w:rsidR="009509EE">
      <w:rPr>
        <w:noProof/>
        <w:sz w:val="22"/>
      </w:rPr>
      <w:t>KMAnot_2008</w:t>
    </w:r>
    <w:r w:rsidR="008666D0">
      <w:rPr>
        <w:noProof/>
        <w:sz w:val="22"/>
      </w:rPr>
      <w:t>15_JRT_dividendes</w:t>
    </w:r>
    <w:r w:rsidRPr="004B33E7">
      <w:rPr>
        <w:sz w:val="22"/>
      </w:rPr>
      <w:fldChar w:fldCharType="end"/>
    </w:r>
    <w:r w:rsidR="00562113" w:rsidRPr="004B33E7">
      <w:rPr>
        <w:sz w:val="22"/>
      </w:rPr>
      <w:t>; Ministru kabineta rīkojuma projekta „Par valstij dividendēs izmaksājamo valsts sabiedrības ar ierobežotu atbildību "</w:t>
    </w:r>
    <w:r w:rsidR="00562113">
      <w:rPr>
        <w:sz w:val="22"/>
      </w:rPr>
      <w:t xml:space="preserve">Jaunais Rīgas </w:t>
    </w:r>
    <w:r w:rsidR="00562113" w:rsidRPr="004B33E7">
      <w:rPr>
        <w:sz w:val="22"/>
      </w:rPr>
      <w:t>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C8" w:rsidRDefault="00FB48C8" w:rsidP="00E26FA6">
      <w:pPr>
        <w:spacing w:after="0" w:line="240" w:lineRule="auto"/>
      </w:pPr>
      <w:r>
        <w:separator/>
      </w:r>
    </w:p>
    <w:p w:rsidR="00FB48C8" w:rsidRDefault="00FB48C8"/>
    <w:p w:rsidR="00FB48C8" w:rsidRDefault="00FB48C8"/>
  </w:footnote>
  <w:footnote w:type="continuationSeparator" w:id="0">
    <w:p w:rsidR="00FB48C8" w:rsidRDefault="00FB48C8" w:rsidP="00E26FA6">
      <w:pPr>
        <w:spacing w:after="0" w:line="240" w:lineRule="auto"/>
      </w:pPr>
      <w:r>
        <w:continuationSeparator/>
      </w:r>
    </w:p>
    <w:p w:rsidR="00FB48C8" w:rsidRDefault="00FB48C8"/>
    <w:p w:rsidR="00FB48C8" w:rsidRDefault="00FB48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562113" w:rsidRPr="004B33E7" w:rsidRDefault="00761F10">
        <w:pPr>
          <w:pStyle w:val="Galvene"/>
          <w:jc w:val="center"/>
          <w:rPr>
            <w:sz w:val="22"/>
          </w:rPr>
        </w:pPr>
        <w:r w:rsidRPr="004B33E7">
          <w:rPr>
            <w:sz w:val="22"/>
          </w:rPr>
          <w:fldChar w:fldCharType="begin"/>
        </w:r>
        <w:r w:rsidR="00562113" w:rsidRPr="004B33E7">
          <w:rPr>
            <w:sz w:val="22"/>
          </w:rPr>
          <w:instrText xml:space="preserve"> PAGE   \* MERGEFORMAT </w:instrText>
        </w:r>
        <w:r w:rsidRPr="004B33E7">
          <w:rPr>
            <w:sz w:val="22"/>
          </w:rPr>
          <w:fldChar w:fldCharType="separate"/>
        </w:r>
        <w:r w:rsidR="009509EE">
          <w:rPr>
            <w:noProof/>
            <w:sz w:val="22"/>
          </w:rPr>
          <w:t>9</w:t>
        </w:r>
        <w:r w:rsidRPr="004B33E7">
          <w:rPr>
            <w:sz w:val="22"/>
          </w:rPr>
          <w:fldChar w:fldCharType="end"/>
        </w:r>
      </w:p>
    </w:sdtContent>
  </w:sdt>
  <w:p w:rsidR="00562113" w:rsidRDefault="00562113" w:rsidP="002D02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E26FA6"/>
    <w:rsid w:val="00005774"/>
    <w:rsid w:val="00006DF5"/>
    <w:rsid w:val="00022996"/>
    <w:rsid w:val="00057679"/>
    <w:rsid w:val="00064A6C"/>
    <w:rsid w:val="000724A4"/>
    <w:rsid w:val="00076ECB"/>
    <w:rsid w:val="000771A5"/>
    <w:rsid w:val="000A59A9"/>
    <w:rsid w:val="000A6246"/>
    <w:rsid w:val="000B62CF"/>
    <w:rsid w:val="000C592D"/>
    <w:rsid w:val="000C7BEF"/>
    <w:rsid w:val="000D2D1F"/>
    <w:rsid w:val="000E0765"/>
    <w:rsid w:val="000E0D4D"/>
    <w:rsid w:val="000E3D59"/>
    <w:rsid w:val="000E7C24"/>
    <w:rsid w:val="001014A6"/>
    <w:rsid w:val="00117EFB"/>
    <w:rsid w:val="00120A34"/>
    <w:rsid w:val="00134437"/>
    <w:rsid w:val="0013681A"/>
    <w:rsid w:val="00150619"/>
    <w:rsid w:val="00157CB0"/>
    <w:rsid w:val="00176E0F"/>
    <w:rsid w:val="00182AA0"/>
    <w:rsid w:val="00183738"/>
    <w:rsid w:val="0018726D"/>
    <w:rsid w:val="00190941"/>
    <w:rsid w:val="001941A3"/>
    <w:rsid w:val="00195232"/>
    <w:rsid w:val="001B121B"/>
    <w:rsid w:val="001B487A"/>
    <w:rsid w:val="001B563E"/>
    <w:rsid w:val="001D216B"/>
    <w:rsid w:val="001E10FF"/>
    <w:rsid w:val="001E57C5"/>
    <w:rsid w:val="001F25D1"/>
    <w:rsid w:val="0021642F"/>
    <w:rsid w:val="00241456"/>
    <w:rsid w:val="002425BC"/>
    <w:rsid w:val="00243D73"/>
    <w:rsid w:val="002461AC"/>
    <w:rsid w:val="002648A4"/>
    <w:rsid w:val="002653C3"/>
    <w:rsid w:val="00266064"/>
    <w:rsid w:val="002746E9"/>
    <w:rsid w:val="0028090B"/>
    <w:rsid w:val="002A7B1B"/>
    <w:rsid w:val="002C0640"/>
    <w:rsid w:val="002D027D"/>
    <w:rsid w:val="002D02E9"/>
    <w:rsid w:val="002E5D02"/>
    <w:rsid w:val="002F5B05"/>
    <w:rsid w:val="00310A31"/>
    <w:rsid w:val="00316C93"/>
    <w:rsid w:val="0033077E"/>
    <w:rsid w:val="0034567B"/>
    <w:rsid w:val="00354DF6"/>
    <w:rsid w:val="00376059"/>
    <w:rsid w:val="0039416B"/>
    <w:rsid w:val="003A1C9E"/>
    <w:rsid w:val="003B2CAA"/>
    <w:rsid w:val="003C3A75"/>
    <w:rsid w:val="003C3F82"/>
    <w:rsid w:val="003C4A55"/>
    <w:rsid w:val="003D13F5"/>
    <w:rsid w:val="003D6879"/>
    <w:rsid w:val="003E0334"/>
    <w:rsid w:val="003E2E3B"/>
    <w:rsid w:val="003E32A5"/>
    <w:rsid w:val="003E7709"/>
    <w:rsid w:val="003F26C4"/>
    <w:rsid w:val="003F425E"/>
    <w:rsid w:val="00400D1D"/>
    <w:rsid w:val="00407412"/>
    <w:rsid w:val="004167EB"/>
    <w:rsid w:val="00423588"/>
    <w:rsid w:val="0043249A"/>
    <w:rsid w:val="00454AA0"/>
    <w:rsid w:val="00480BBF"/>
    <w:rsid w:val="004A03F2"/>
    <w:rsid w:val="004A7C1E"/>
    <w:rsid w:val="004B0B7E"/>
    <w:rsid w:val="004B33E7"/>
    <w:rsid w:val="004B5FCE"/>
    <w:rsid w:val="004C4571"/>
    <w:rsid w:val="004D0774"/>
    <w:rsid w:val="004F6D43"/>
    <w:rsid w:val="00514416"/>
    <w:rsid w:val="0051505F"/>
    <w:rsid w:val="005236D7"/>
    <w:rsid w:val="00537AC4"/>
    <w:rsid w:val="00547611"/>
    <w:rsid w:val="00562113"/>
    <w:rsid w:val="0056701E"/>
    <w:rsid w:val="005733D4"/>
    <w:rsid w:val="00586878"/>
    <w:rsid w:val="00594639"/>
    <w:rsid w:val="005B1966"/>
    <w:rsid w:val="005B23A4"/>
    <w:rsid w:val="005C376B"/>
    <w:rsid w:val="005E3ACC"/>
    <w:rsid w:val="005E3B72"/>
    <w:rsid w:val="005E672B"/>
    <w:rsid w:val="005F1E03"/>
    <w:rsid w:val="00607B3C"/>
    <w:rsid w:val="00614DAD"/>
    <w:rsid w:val="0066574F"/>
    <w:rsid w:val="00665A1E"/>
    <w:rsid w:val="00675353"/>
    <w:rsid w:val="00687082"/>
    <w:rsid w:val="006903D3"/>
    <w:rsid w:val="006A0F5D"/>
    <w:rsid w:val="006A68EE"/>
    <w:rsid w:val="006B339E"/>
    <w:rsid w:val="006C227E"/>
    <w:rsid w:val="006C2934"/>
    <w:rsid w:val="006D5398"/>
    <w:rsid w:val="006D686E"/>
    <w:rsid w:val="006E059E"/>
    <w:rsid w:val="006E13A2"/>
    <w:rsid w:val="006E240D"/>
    <w:rsid w:val="007131D8"/>
    <w:rsid w:val="007133E9"/>
    <w:rsid w:val="00727BEE"/>
    <w:rsid w:val="00735A9D"/>
    <w:rsid w:val="00755A61"/>
    <w:rsid w:val="00761F10"/>
    <w:rsid w:val="00762D24"/>
    <w:rsid w:val="00765701"/>
    <w:rsid w:val="00774060"/>
    <w:rsid w:val="00780B5A"/>
    <w:rsid w:val="007A387F"/>
    <w:rsid w:val="007A3C27"/>
    <w:rsid w:val="007C5D3C"/>
    <w:rsid w:val="007C754B"/>
    <w:rsid w:val="007E330B"/>
    <w:rsid w:val="007E487A"/>
    <w:rsid w:val="007E6101"/>
    <w:rsid w:val="008368D7"/>
    <w:rsid w:val="00841D85"/>
    <w:rsid w:val="00842965"/>
    <w:rsid w:val="00852F1B"/>
    <w:rsid w:val="00860B20"/>
    <w:rsid w:val="00860EEF"/>
    <w:rsid w:val="00862A5E"/>
    <w:rsid w:val="008666D0"/>
    <w:rsid w:val="0086726C"/>
    <w:rsid w:val="00867837"/>
    <w:rsid w:val="00880FCA"/>
    <w:rsid w:val="00884D1C"/>
    <w:rsid w:val="008918CF"/>
    <w:rsid w:val="00894FB1"/>
    <w:rsid w:val="00895E07"/>
    <w:rsid w:val="008A4133"/>
    <w:rsid w:val="008B34AB"/>
    <w:rsid w:val="008B6F1C"/>
    <w:rsid w:val="008C2F6F"/>
    <w:rsid w:val="00901502"/>
    <w:rsid w:val="00915E01"/>
    <w:rsid w:val="00917A7B"/>
    <w:rsid w:val="00920FDB"/>
    <w:rsid w:val="00931B56"/>
    <w:rsid w:val="00940F45"/>
    <w:rsid w:val="00942982"/>
    <w:rsid w:val="00944E64"/>
    <w:rsid w:val="009509EE"/>
    <w:rsid w:val="0099123C"/>
    <w:rsid w:val="00993BDA"/>
    <w:rsid w:val="009A3225"/>
    <w:rsid w:val="009A4B47"/>
    <w:rsid w:val="009C13E1"/>
    <w:rsid w:val="009C4DCE"/>
    <w:rsid w:val="009D0145"/>
    <w:rsid w:val="009D7DDE"/>
    <w:rsid w:val="009F2003"/>
    <w:rsid w:val="00A00263"/>
    <w:rsid w:val="00A01A11"/>
    <w:rsid w:val="00A246A6"/>
    <w:rsid w:val="00A25ADD"/>
    <w:rsid w:val="00A472D9"/>
    <w:rsid w:val="00A6270C"/>
    <w:rsid w:val="00A6392B"/>
    <w:rsid w:val="00A647DB"/>
    <w:rsid w:val="00A70564"/>
    <w:rsid w:val="00AA51DA"/>
    <w:rsid w:val="00AD37A6"/>
    <w:rsid w:val="00AE3DC9"/>
    <w:rsid w:val="00AE7DC5"/>
    <w:rsid w:val="00AF232F"/>
    <w:rsid w:val="00AF396E"/>
    <w:rsid w:val="00AF3EEA"/>
    <w:rsid w:val="00B04747"/>
    <w:rsid w:val="00B166F1"/>
    <w:rsid w:val="00B24346"/>
    <w:rsid w:val="00B248C4"/>
    <w:rsid w:val="00B3254E"/>
    <w:rsid w:val="00B32B62"/>
    <w:rsid w:val="00B36394"/>
    <w:rsid w:val="00B46BD4"/>
    <w:rsid w:val="00B54984"/>
    <w:rsid w:val="00B54FC6"/>
    <w:rsid w:val="00B62E73"/>
    <w:rsid w:val="00B647A3"/>
    <w:rsid w:val="00B70534"/>
    <w:rsid w:val="00B73D23"/>
    <w:rsid w:val="00B82072"/>
    <w:rsid w:val="00B83965"/>
    <w:rsid w:val="00B921F7"/>
    <w:rsid w:val="00BB0BA0"/>
    <w:rsid w:val="00BB2D20"/>
    <w:rsid w:val="00BC62BA"/>
    <w:rsid w:val="00BF13B3"/>
    <w:rsid w:val="00C0532D"/>
    <w:rsid w:val="00C224F7"/>
    <w:rsid w:val="00C3226C"/>
    <w:rsid w:val="00C3445E"/>
    <w:rsid w:val="00C345AB"/>
    <w:rsid w:val="00C347C8"/>
    <w:rsid w:val="00C56255"/>
    <w:rsid w:val="00C57F09"/>
    <w:rsid w:val="00C703C8"/>
    <w:rsid w:val="00C765A3"/>
    <w:rsid w:val="00C811DD"/>
    <w:rsid w:val="00C82730"/>
    <w:rsid w:val="00C86913"/>
    <w:rsid w:val="00C876AD"/>
    <w:rsid w:val="00C95A23"/>
    <w:rsid w:val="00CA4F27"/>
    <w:rsid w:val="00CB409B"/>
    <w:rsid w:val="00CC00CE"/>
    <w:rsid w:val="00CC2ABA"/>
    <w:rsid w:val="00CD6A90"/>
    <w:rsid w:val="00CE247C"/>
    <w:rsid w:val="00CF153F"/>
    <w:rsid w:val="00CF16B4"/>
    <w:rsid w:val="00CF33E0"/>
    <w:rsid w:val="00D02E4D"/>
    <w:rsid w:val="00D05CA8"/>
    <w:rsid w:val="00D0723B"/>
    <w:rsid w:val="00D22E0A"/>
    <w:rsid w:val="00D26558"/>
    <w:rsid w:val="00D269BE"/>
    <w:rsid w:val="00D45B64"/>
    <w:rsid w:val="00D50E23"/>
    <w:rsid w:val="00D93D43"/>
    <w:rsid w:val="00DA07DD"/>
    <w:rsid w:val="00DC5974"/>
    <w:rsid w:val="00DD0501"/>
    <w:rsid w:val="00E149FB"/>
    <w:rsid w:val="00E248D0"/>
    <w:rsid w:val="00E25B01"/>
    <w:rsid w:val="00E26FA6"/>
    <w:rsid w:val="00E450AF"/>
    <w:rsid w:val="00E45773"/>
    <w:rsid w:val="00E67241"/>
    <w:rsid w:val="00E760EB"/>
    <w:rsid w:val="00E77954"/>
    <w:rsid w:val="00E94D0C"/>
    <w:rsid w:val="00E960E5"/>
    <w:rsid w:val="00EA3889"/>
    <w:rsid w:val="00EA5E94"/>
    <w:rsid w:val="00ED0694"/>
    <w:rsid w:val="00ED1023"/>
    <w:rsid w:val="00EE6948"/>
    <w:rsid w:val="00EF6C61"/>
    <w:rsid w:val="00EF7457"/>
    <w:rsid w:val="00EF75C5"/>
    <w:rsid w:val="00F007B8"/>
    <w:rsid w:val="00F150AB"/>
    <w:rsid w:val="00F15A89"/>
    <w:rsid w:val="00F30693"/>
    <w:rsid w:val="00F36283"/>
    <w:rsid w:val="00F42501"/>
    <w:rsid w:val="00F42639"/>
    <w:rsid w:val="00F442CA"/>
    <w:rsid w:val="00F45248"/>
    <w:rsid w:val="00F51A52"/>
    <w:rsid w:val="00F6492F"/>
    <w:rsid w:val="00F72D1D"/>
    <w:rsid w:val="00F749CD"/>
    <w:rsid w:val="00F75C2B"/>
    <w:rsid w:val="00F92374"/>
    <w:rsid w:val="00F9674B"/>
    <w:rsid w:val="00FA46A5"/>
    <w:rsid w:val="00FA759B"/>
    <w:rsid w:val="00FB3993"/>
    <w:rsid w:val="00FB48C8"/>
    <w:rsid w:val="00FD2C42"/>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Prskatjums">
    <w:name w:val="Revision"/>
    <w:hidden/>
    <w:uiPriority w:val="99"/>
    <w:semiHidden/>
    <w:rsid w:val="003C4A55"/>
    <w:pPr>
      <w:spacing w:after="0" w:line="240" w:lineRule="auto"/>
    </w:pPr>
    <w:rPr>
      <w:rFonts w:ascii="Times New Roman" w:eastAsia="Calibri" w:hAnsi="Times New Roman" w:cs="Times New Roman"/>
      <w:sz w:val="24"/>
    </w:rPr>
  </w:style>
  <w:style w:type="paragraph" w:customStyle="1" w:styleId="Parasts">
    <w:name w:val="Parasts"/>
    <w:qFormat/>
    <w:rsid w:val="009509EE"/>
    <w:pPr>
      <w:spacing w:after="0" w:line="240" w:lineRule="auto"/>
      <w:ind w:firstLine="720"/>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6197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s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A00F4-E9A6-4C3C-B364-C14C20AB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8678</Words>
  <Characters>4947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valstij dividendēs izmaksājamo valsts sabiedrības ar ierobežotu atbildību "Latvijas Nacionālais teātris" peļņas daļu” sākotnējās ietekmes novērtējuma ziņojums (anotācija)</dc:title>
  <dc:subject>MKAnot_120612_LNTdividendes</dc:subject>
  <dc:creator>I.Treija</dc:creator>
  <dc:description>I.Treija
Tālr.67330268;67330293
iluta.treija@km.gov.lv</dc:description>
  <cp:lastModifiedBy>juriss</cp:lastModifiedBy>
  <cp:revision>5</cp:revision>
  <cp:lastPrinted>2015-07-02T08:39:00Z</cp:lastPrinted>
  <dcterms:created xsi:type="dcterms:W3CDTF">2015-07-16T11:00:00Z</dcterms:created>
  <dcterms:modified xsi:type="dcterms:W3CDTF">2015-08-20T08:56:00Z</dcterms:modified>
</cp:coreProperties>
</file>