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62" w:rsidRPr="0073437F" w:rsidRDefault="000811A3" w:rsidP="00DF5E93">
      <w:pPr>
        <w:pStyle w:val="naisc"/>
        <w:spacing w:before="0" w:after="0"/>
        <w:rPr>
          <w:b/>
          <w:sz w:val="28"/>
          <w:szCs w:val="28"/>
          <w:lang w:val="lv-LV"/>
        </w:rPr>
      </w:pPr>
      <w:r w:rsidRPr="0073437F">
        <w:rPr>
          <w:b/>
          <w:sz w:val="28"/>
          <w:szCs w:val="28"/>
          <w:lang w:val="lv-LV"/>
        </w:rPr>
        <w:t>Ministru kabineta noteikumu projekta</w:t>
      </w:r>
    </w:p>
    <w:p w:rsidR="000811A3" w:rsidRPr="0073437F" w:rsidRDefault="000811A3" w:rsidP="00DF5E93">
      <w:pPr>
        <w:pStyle w:val="naisc"/>
        <w:spacing w:before="0" w:after="0"/>
        <w:rPr>
          <w:b/>
          <w:bCs/>
          <w:sz w:val="28"/>
          <w:szCs w:val="28"/>
          <w:lang w:val="lv-LV"/>
        </w:rPr>
      </w:pPr>
      <w:r w:rsidRPr="0073437F">
        <w:rPr>
          <w:b/>
          <w:sz w:val="28"/>
          <w:szCs w:val="28"/>
          <w:lang w:val="lv-LV"/>
        </w:rPr>
        <w:t>„Rakstniecības un mūzikas muzej</w:t>
      </w:r>
      <w:r w:rsidR="00350834" w:rsidRPr="0073437F">
        <w:rPr>
          <w:b/>
          <w:sz w:val="28"/>
          <w:szCs w:val="28"/>
          <w:lang w:val="lv-LV"/>
        </w:rPr>
        <w:t>a</w:t>
      </w:r>
      <w:r w:rsidRPr="0073437F">
        <w:rPr>
          <w:b/>
          <w:sz w:val="28"/>
          <w:szCs w:val="28"/>
          <w:lang w:val="lv-LV"/>
        </w:rPr>
        <w:t xml:space="preserve"> publisko</w:t>
      </w:r>
      <w:r w:rsidR="00F84303">
        <w:rPr>
          <w:b/>
          <w:sz w:val="28"/>
          <w:szCs w:val="28"/>
          <w:lang w:val="lv-LV"/>
        </w:rPr>
        <w:t xml:space="preserve"> </w:t>
      </w:r>
      <w:r w:rsidRPr="0073437F">
        <w:rPr>
          <w:b/>
          <w:sz w:val="28"/>
          <w:szCs w:val="28"/>
          <w:lang w:val="lv-LV"/>
        </w:rPr>
        <w:t>maksas pakalpojumu cenrādi</w:t>
      </w:r>
      <w:r w:rsidR="00766562" w:rsidRPr="0073437F">
        <w:rPr>
          <w:b/>
          <w:sz w:val="28"/>
          <w:szCs w:val="28"/>
          <w:lang w:val="lv-LV"/>
        </w:rPr>
        <w:t>s”</w:t>
      </w:r>
      <w:r w:rsidR="00F84303">
        <w:rPr>
          <w:b/>
          <w:sz w:val="28"/>
          <w:szCs w:val="28"/>
          <w:lang w:val="lv-LV"/>
        </w:rPr>
        <w:t xml:space="preserve"> </w:t>
      </w:r>
      <w:r w:rsidRPr="0073437F">
        <w:rPr>
          <w:b/>
          <w:bCs/>
          <w:sz w:val="28"/>
          <w:szCs w:val="28"/>
          <w:lang w:val="lv-LV"/>
        </w:rPr>
        <w:t xml:space="preserve">sākotnējās ietekmes novērtējuma </w:t>
      </w:r>
      <w:smartTag w:uri="schemas-tilde-lv/tildestengine" w:element="veidnes">
        <w:smartTagPr>
          <w:attr w:name="id" w:val="-1"/>
          <w:attr w:name="baseform" w:val="zi￲ojums"/>
          <w:attr w:name="text" w:val="ziņojums"/>
        </w:smartTagPr>
        <w:r w:rsidRPr="0073437F">
          <w:rPr>
            <w:b/>
            <w:bCs/>
            <w:sz w:val="28"/>
            <w:szCs w:val="28"/>
            <w:lang w:val="lv-LV"/>
          </w:rPr>
          <w:t>ziņojums</w:t>
        </w:r>
      </w:smartTag>
      <w:r w:rsidRPr="0073437F">
        <w:rPr>
          <w:b/>
          <w:bCs/>
          <w:sz w:val="28"/>
          <w:szCs w:val="28"/>
          <w:lang w:val="lv-LV"/>
        </w:rPr>
        <w:t xml:space="preserve"> (anotācija)</w:t>
      </w:r>
    </w:p>
    <w:p w:rsidR="000811A3" w:rsidRPr="0073437F" w:rsidRDefault="000811A3" w:rsidP="00DF5E93">
      <w:pPr>
        <w:pStyle w:val="naisc"/>
        <w:spacing w:before="0" w:after="0"/>
        <w:rPr>
          <w:b/>
          <w:bCs/>
          <w:sz w:val="28"/>
          <w:szCs w:val="28"/>
          <w:lang w:val="lv-LV"/>
        </w:rPr>
      </w:pPr>
    </w:p>
    <w:tbl>
      <w:tblPr>
        <w:tblW w:w="52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28"/>
        <w:gridCol w:w="2786"/>
        <w:gridCol w:w="6036"/>
      </w:tblGrid>
      <w:tr w:rsidR="000811A3" w:rsidRPr="0073437F" w:rsidTr="00DF5E93">
        <w:tc>
          <w:tcPr>
            <w:tcW w:w="628" w:type="dxa"/>
            <w:tcBorders>
              <w:top w:val="outset" w:sz="6" w:space="0" w:color="000000"/>
              <w:left w:val="outset" w:sz="6" w:space="0" w:color="000000"/>
              <w:bottom w:val="outset" w:sz="6" w:space="0" w:color="000000"/>
              <w:right w:val="single" w:sz="4" w:space="0" w:color="auto"/>
            </w:tcBorders>
            <w:hideMark/>
          </w:tcPr>
          <w:p w:rsidR="000811A3" w:rsidRPr="0073437F" w:rsidRDefault="000811A3" w:rsidP="00DF5E93">
            <w:pPr>
              <w:spacing w:after="0" w:line="240" w:lineRule="auto"/>
              <w:rPr>
                <w:rFonts w:ascii="Times New Roman" w:eastAsia="Times New Roman" w:hAnsi="Times New Roman" w:cs="Times New Roman"/>
                <w:b/>
                <w:bCs/>
                <w:sz w:val="28"/>
                <w:szCs w:val="28"/>
              </w:rPr>
            </w:pPr>
          </w:p>
        </w:tc>
        <w:tc>
          <w:tcPr>
            <w:tcW w:w="8822" w:type="dxa"/>
            <w:gridSpan w:val="2"/>
            <w:tcBorders>
              <w:top w:val="outset" w:sz="6" w:space="0" w:color="000000"/>
              <w:left w:val="single" w:sz="4" w:space="0" w:color="auto"/>
              <w:bottom w:val="outset" w:sz="6" w:space="0" w:color="000000"/>
              <w:right w:val="outset" w:sz="6" w:space="0" w:color="000000"/>
            </w:tcBorders>
            <w:vAlign w:val="center"/>
          </w:tcPr>
          <w:p w:rsidR="000811A3" w:rsidRPr="0073437F" w:rsidRDefault="000811A3" w:rsidP="00DF5E93">
            <w:pPr>
              <w:spacing w:after="0" w:line="240" w:lineRule="auto"/>
              <w:jc w:val="center"/>
              <w:rPr>
                <w:rFonts w:ascii="Times New Roman" w:eastAsia="Times New Roman" w:hAnsi="Times New Roman" w:cs="Times New Roman"/>
                <w:b/>
                <w:bCs/>
                <w:sz w:val="28"/>
                <w:szCs w:val="28"/>
              </w:rPr>
            </w:pPr>
            <w:r w:rsidRPr="0073437F">
              <w:rPr>
                <w:rFonts w:ascii="Times New Roman" w:hAnsi="Times New Roman" w:cs="Times New Roman"/>
                <w:b/>
                <w:bCs/>
                <w:sz w:val="28"/>
                <w:szCs w:val="28"/>
              </w:rPr>
              <w:t> I. Tiesību akta projekta izstrādes nepieciešamība</w:t>
            </w:r>
          </w:p>
        </w:tc>
      </w:tr>
      <w:tr w:rsidR="000811A3" w:rsidRPr="0073437F" w:rsidTr="00DF5E93">
        <w:tc>
          <w:tcPr>
            <w:tcW w:w="628" w:type="dxa"/>
            <w:tcBorders>
              <w:top w:val="outset" w:sz="6" w:space="0" w:color="000000"/>
              <w:left w:val="outset" w:sz="6" w:space="0" w:color="000000"/>
              <w:bottom w:val="outset" w:sz="6" w:space="0" w:color="000000"/>
              <w:right w:val="single" w:sz="4" w:space="0" w:color="auto"/>
            </w:tcBorders>
            <w:hideMark/>
          </w:tcPr>
          <w:p w:rsidR="000811A3" w:rsidRPr="0073437F" w:rsidRDefault="000811A3" w:rsidP="00DF5E93">
            <w:pPr>
              <w:spacing w:after="0" w:line="240" w:lineRule="auto"/>
              <w:rPr>
                <w:rFonts w:ascii="Times New Roman" w:eastAsia="Times New Roman" w:hAnsi="Times New Roman" w:cs="Times New Roman"/>
                <w:sz w:val="28"/>
                <w:szCs w:val="28"/>
              </w:rPr>
            </w:pPr>
            <w:r w:rsidRPr="0073437F">
              <w:rPr>
                <w:rFonts w:ascii="Times New Roman" w:eastAsia="Times New Roman" w:hAnsi="Times New Roman" w:cs="Times New Roman"/>
                <w:sz w:val="28"/>
                <w:szCs w:val="28"/>
              </w:rPr>
              <w:t>1.</w:t>
            </w:r>
          </w:p>
          <w:p w:rsidR="000811A3" w:rsidRPr="0073437F" w:rsidRDefault="000811A3" w:rsidP="00DF5E93">
            <w:pPr>
              <w:spacing w:after="0" w:line="240" w:lineRule="auto"/>
              <w:rPr>
                <w:rFonts w:ascii="Times New Roman" w:eastAsia="Times New Roman" w:hAnsi="Times New Roman" w:cs="Times New Roman"/>
                <w:sz w:val="28"/>
                <w:szCs w:val="28"/>
              </w:rPr>
            </w:pPr>
          </w:p>
        </w:tc>
        <w:tc>
          <w:tcPr>
            <w:tcW w:w="2786" w:type="dxa"/>
            <w:tcBorders>
              <w:top w:val="outset" w:sz="6" w:space="0" w:color="000000"/>
              <w:left w:val="single" w:sz="4" w:space="0" w:color="auto"/>
              <w:bottom w:val="outset" w:sz="6" w:space="0" w:color="000000"/>
              <w:right w:val="outset" w:sz="6" w:space="0" w:color="000000"/>
            </w:tcBorders>
          </w:tcPr>
          <w:p w:rsidR="000811A3" w:rsidRPr="0073437F" w:rsidRDefault="00EC6B18" w:rsidP="00DF5E9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Pamatojums</w:t>
            </w:r>
          </w:p>
        </w:tc>
        <w:tc>
          <w:tcPr>
            <w:tcW w:w="6036" w:type="dxa"/>
            <w:tcBorders>
              <w:top w:val="outset" w:sz="6" w:space="0" w:color="000000"/>
              <w:left w:val="outset" w:sz="6" w:space="0" w:color="000000"/>
              <w:bottom w:val="outset" w:sz="6" w:space="0" w:color="000000"/>
              <w:right w:val="outset" w:sz="6" w:space="0" w:color="000000"/>
            </w:tcBorders>
            <w:hideMark/>
          </w:tcPr>
          <w:p w:rsidR="000811A3" w:rsidRPr="0073437F" w:rsidRDefault="00EC6B18" w:rsidP="0044486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Ministru kabineta noteikumu projekts „Rakstniecības un mūzikas muzeja publisko maksas pakalpojumu cenrādis” (turpmāk – </w:t>
            </w:r>
            <w:r w:rsidR="00444860">
              <w:rPr>
                <w:rFonts w:ascii="Times New Roman" w:hAnsi="Times New Roman" w:cs="Times New Roman"/>
                <w:sz w:val="28"/>
                <w:szCs w:val="28"/>
              </w:rPr>
              <w:t>P</w:t>
            </w:r>
            <w:r>
              <w:rPr>
                <w:rFonts w:ascii="Times New Roman" w:hAnsi="Times New Roman" w:cs="Times New Roman"/>
                <w:sz w:val="28"/>
                <w:szCs w:val="28"/>
              </w:rPr>
              <w:t>rojekts) izstrādāts saskaņā ar Likuma par budžetu un finanšu vadību 5.panta devīto daļu, kas nosaka, ka Ministru kabinets izdod noteikumus par valsts tiešās pārvaldes iestāžu sniegto maksas pakalpojumu cenrāžu apstiprināšanu.</w:t>
            </w:r>
          </w:p>
        </w:tc>
      </w:tr>
      <w:tr w:rsidR="000811A3" w:rsidRPr="0073437F" w:rsidTr="00DF5E93">
        <w:tc>
          <w:tcPr>
            <w:tcW w:w="628" w:type="dxa"/>
            <w:tcBorders>
              <w:top w:val="outset" w:sz="6" w:space="0" w:color="000000"/>
              <w:left w:val="outset" w:sz="6" w:space="0" w:color="000000"/>
              <w:bottom w:val="outset" w:sz="6" w:space="0" w:color="000000"/>
              <w:right w:val="single" w:sz="4" w:space="0" w:color="auto"/>
            </w:tcBorders>
            <w:hideMark/>
          </w:tcPr>
          <w:p w:rsidR="000811A3" w:rsidRPr="0073437F" w:rsidRDefault="000811A3" w:rsidP="00DF5E93">
            <w:pPr>
              <w:spacing w:after="0" w:line="240" w:lineRule="auto"/>
              <w:rPr>
                <w:rFonts w:ascii="Times New Roman" w:eastAsia="Times New Roman" w:hAnsi="Times New Roman" w:cs="Times New Roman"/>
                <w:sz w:val="28"/>
                <w:szCs w:val="28"/>
              </w:rPr>
            </w:pPr>
            <w:r w:rsidRPr="0073437F">
              <w:rPr>
                <w:rFonts w:ascii="Times New Roman" w:hAnsi="Times New Roman" w:cs="Times New Roman"/>
                <w:sz w:val="28"/>
                <w:szCs w:val="28"/>
              </w:rPr>
              <w:t>2.</w:t>
            </w:r>
          </w:p>
        </w:tc>
        <w:tc>
          <w:tcPr>
            <w:tcW w:w="2786" w:type="dxa"/>
            <w:tcBorders>
              <w:top w:val="outset" w:sz="6" w:space="0" w:color="000000"/>
              <w:left w:val="single" w:sz="4" w:space="0" w:color="auto"/>
              <w:bottom w:val="outset" w:sz="6" w:space="0" w:color="000000"/>
              <w:right w:val="outset" w:sz="6" w:space="0" w:color="000000"/>
            </w:tcBorders>
          </w:tcPr>
          <w:p w:rsidR="000811A3" w:rsidRPr="0073437F" w:rsidRDefault="00EC6B18" w:rsidP="00DF5E9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Pašreizējā situācija un problēmas, kuru risināšanai tiesību akta projekts izstrādāts, tiesiskā regulējuma mērķis un būtība</w:t>
            </w:r>
          </w:p>
        </w:tc>
        <w:tc>
          <w:tcPr>
            <w:tcW w:w="6036" w:type="dxa"/>
            <w:tcBorders>
              <w:top w:val="outset" w:sz="6" w:space="0" w:color="000000"/>
              <w:left w:val="outset" w:sz="6" w:space="0" w:color="000000"/>
              <w:bottom w:val="outset" w:sz="6" w:space="0" w:color="000000"/>
              <w:right w:val="outset" w:sz="6" w:space="0" w:color="000000"/>
            </w:tcBorders>
            <w:hideMark/>
          </w:tcPr>
          <w:p w:rsidR="00BC3062" w:rsidRDefault="00EC6B18" w:rsidP="00DF5E93">
            <w:pPr>
              <w:pStyle w:val="naiskr"/>
              <w:spacing w:before="0" w:after="0"/>
              <w:ind w:right="45" w:firstLine="357"/>
              <w:jc w:val="both"/>
              <w:rPr>
                <w:sz w:val="28"/>
                <w:szCs w:val="28"/>
              </w:rPr>
            </w:pPr>
            <w:r>
              <w:rPr>
                <w:sz w:val="28"/>
                <w:szCs w:val="28"/>
              </w:rPr>
              <w:t>Saskaņā ar Ministru kabineta 2012.gada 18.decembra noteikumu Nr.930 „Rakstniecības un mūzikas muzeja nolikums” 5.1.</w:t>
            </w:r>
            <w:r w:rsidR="00072654">
              <w:rPr>
                <w:sz w:val="28"/>
                <w:szCs w:val="28"/>
              </w:rPr>
              <w:t>apakš</w:t>
            </w:r>
            <w:r>
              <w:rPr>
                <w:sz w:val="28"/>
                <w:szCs w:val="28"/>
              </w:rPr>
              <w:t>punktu Rakstniecības un mūzikas muzejam (turpmāk – muzejs) ir tiesības iekasēt maksu par sniegtajiem pakalpojumiem.</w:t>
            </w:r>
            <w:r w:rsidR="002C34FF">
              <w:rPr>
                <w:sz w:val="28"/>
                <w:szCs w:val="28"/>
              </w:rPr>
              <w:t xml:space="preserve"> </w:t>
            </w:r>
            <w:r>
              <w:rPr>
                <w:sz w:val="28"/>
                <w:szCs w:val="28"/>
              </w:rPr>
              <w:t>Pašlaik maksu par muzeja sniegtajiem publiskajiem pakalpojumiem nosaka muz</w:t>
            </w:r>
            <w:r w:rsidR="007E2F70">
              <w:rPr>
                <w:sz w:val="28"/>
                <w:szCs w:val="28"/>
              </w:rPr>
              <w:t>eja direktora 2014.gada 3.martā</w:t>
            </w:r>
            <w:r w:rsidR="002C34FF">
              <w:rPr>
                <w:sz w:val="28"/>
                <w:szCs w:val="28"/>
              </w:rPr>
              <w:t xml:space="preserve"> apstiprinātais publisko maksas pakalpojumu cenrādis</w:t>
            </w:r>
            <w:r>
              <w:rPr>
                <w:sz w:val="28"/>
                <w:szCs w:val="28"/>
              </w:rPr>
              <w:t xml:space="preserve">. Saskaņā </w:t>
            </w:r>
            <w:r w:rsidR="002C34FF" w:rsidRPr="00CE5958">
              <w:rPr>
                <w:sz w:val="28"/>
                <w:szCs w:val="28"/>
              </w:rPr>
              <w:t>ar Likuma par budžetu un finanšu vadību 5.panta devīto daļu muzeja sniegto publisko maksas pakalpojumu cenrādi</w:t>
            </w:r>
            <w:r w:rsidR="002C34FF">
              <w:rPr>
                <w:sz w:val="28"/>
                <w:szCs w:val="28"/>
              </w:rPr>
              <w:t xml:space="preserve"> </w:t>
            </w:r>
            <w:r w:rsidR="002C34FF" w:rsidRPr="00CE5958">
              <w:rPr>
                <w:sz w:val="28"/>
                <w:szCs w:val="28"/>
              </w:rPr>
              <w:t>nepieciešams apstiprināt Ministru kabinetā.</w:t>
            </w:r>
          </w:p>
          <w:p w:rsidR="00BC3062" w:rsidRDefault="00BC3062" w:rsidP="00BC3062">
            <w:pPr>
              <w:pStyle w:val="naiskr"/>
              <w:spacing w:before="0" w:after="0"/>
              <w:ind w:right="45" w:firstLine="357"/>
              <w:jc w:val="both"/>
              <w:rPr>
                <w:sz w:val="28"/>
                <w:szCs w:val="28"/>
              </w:rPr>
            </w:pPr>
            <w:r>
              <w:rPr>
                <w:sz w:val="28"/>
                <w:szCs w:val="28"/>
              </w:rPr>
              <w:t>Projekts</w:t>
            </w:r>
            <w:r w:rsidR="00EC6B18">
              <w:rPr>
                <w:sz w:val="28"/>
                <w:szCs w:val="28"/>
              </w:rPr>
              <w:t xml:space="preserve"> ir izstrādāts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ievērojot principu, ka maksa par publisko pakalpojumu nedrīkst pārsniegt muzeja funkciju veikšanai nepieciešamo finansiālo apjomu.</w:t>
            </w:r>
            <w:r>
              <w:rPr>
                <w:sz w:val="28"/>
                <w:szCs w:val="28"/>
              </w:rPr>
              <w:t xml:space="preserve"> </w:t>
            </w:r>
            <w:r w:rsidR="00EC6B18">
              <w:rPr>
                <w:sz w:val="28"/>
                <w:szCs w:val="28"/>
              </w:rPr>
              <w:t xml:space="preserve">Muzejs cenas par publiskajiem maksas pakalpojumiem ir noteicis tik augstas, cik lielas ir ar </w:t>
            </w:r>
            <w:r w:rsidR="001E3ECD">
              <w:rPr>
                <w:sz w:val="28"/>
                <w:szCs w:val="28"/>
              </w:rPr>
              <w:t xml:space="preserve">muzeja publisko maksas </w:t>
            </w:r>
            <w:r w:rsidR="00EC6B18">
              <w:rPr>
                <w:sz w:val="28"/>
                <w:szCs w:val="28"/>
              </w:rPr>
              <w:t xml:space="preserve">pakalpojumu sniegšanu saistītās </w:t>
            </w:r>
            <w:r w:rsidR="00757D00">
              <w:rPr>
                <w:sz w:val="28"/>
                <w:szCs w:val="28"/>
              </w:rPr>
              <w:t xml:space="preserve">tiešās un netiešās </w:t>
            </w:r>
            <w:r w:rsidR="00EC6B18">
              <w:rPr>
                <w:sz w:val="28"/>
                <w:szCs w:val="28"/>
              </w:rPr>
              <w:t>izmaksas</w:t>
            </w:r>
            <w:r>
              <w:rPr>
                <w:sz w:val="28"/>
                <w:szCs w:val="28"/>
              </w:rPr>
              <w:t>.</w:t>
            </w:r>
          </w:p>
          <w:p w:rsidR="00476959" w:rsidRPr="00B566D4" w:rsidRDefault="00476959" w:rsidP="00476959">
            <w:pPr>
              <w:spacing w:after="0" w:line="240" w:lineRule="auto"/>
              <w:ind w:firstLine="720"/>
              <w:jc w:val="both"/>
              <w:rPr>
                <w:rFonts w:ascii="Times New Roman" w:eastAsia="Calibri" w:hAnsi="Times New Roman" w:cs="Times New Roman"/>
                <w:sz w:val="28"/>
                <w:szCs w:val="28"/>
              </w:rPr>
            </w:pPr>
            <w:r w:rsidRPr="009A723C">
              <w:rPr>
                <w:rFonts w:ascii="Times New Roman" w:hAnsi="Times New Roman" w:cs="Times New Roman"/>
                <w:sz w:val="28"/>
                <w:szCs w:val="28"/>
              </w:rPr>
              <w:t xml:space="preserve">Projekts paredz noteikt </w:t>
            </w:r>
            <w:r w:rsidRPr="009C0A03">
              <w:rPr>
                <w:rFonts w:ascii="Times New Roman" w:hAnsi="Times New Roman" w:cs="Times New Roman"/>
                <w:sz w:val="28"/>
                <w:szCs w:val="28"/>
              </w:rPr>
              <w:t>izcenojumus visām muzeja publisko maksas pakalpojumu grupām:</w:t>
            </w:r>
          </w:p>
          <w:p w:rsidR="00476959" w:rsidRPr="0073437F" w:rsidRDefault="00476959" w:rsidP="00476959">
            <w:pPr>
              <w:numPr>
                <w:ilvl w:val="0"/>
                <w:numId w:val="2"/>
              </w:numPr>
              <w:spacing w:after="0" w:line="240" w:lineRule="auto"/>
              <w:jc w:val="both"/>
              <w:rPr>
                <w:rFonts w:ascii="Times New Roman" w:hAnsi="Times New Roman" w:cs="Times New Roman"/>
                <w:sz w:val="28"/>
                <w:szCs w:val="28"/>
              </w:rPr>
            </w:pPr>
            <w:r w:rsidRPr="009C0A03">
              <w:rPr>
                <w:rFonts w:ascii="Times New Roman" w:hAnsi="Times New Roman" w:cs="Times New Roman"/>
                <w:bCs/>
                <w:sz w:val="28"/>
                <w:szCs w:val="28"/>
              </w:rPr>
              <w:t>muzeja pastāvīgās ekspozīcijas un</w:t>
            </w:r>
            <w:r>
              <w:rPr>
                <w:rFonts w:ascii="Times New Roman" w:hAnsi="Times New Roman" w:cs="Times New Roman"/>
                <w:bCs/>
                <w:sz w:val="28"/>
                <w:szCs w:val="28"/>
              </w:rPr>
              <w:t xml:space="preserve"> izstāžu </w:t>
            </w:r>
            <w:r>
              <w:rPr>
                <w:rFonts w:ascii="Times New Roman" w:hAnsi="Times New Roman" w:cs="Times New Roman"/>
                <w:bCs/>
                <w:sz w:val="28"/>
                <w:szCs w:val="28"/>
              </w:rPr>
              <w:lastRenderedPageBreak/>
              <w:t>apskate – individuālajiem apmeklētājiem un grupām</w:t>
            </w:r>
            <w:r>
              <w:rPr>
                <w:rFonts w:ascii="Times New Roman" w:hAnsi="Times New Roman" w:cs="Times New Roman"/>
                <w:sz w:val="28"/>
                <w:szCs w:val="28"/>
              </w:rPr>
              <w:t>;</w:t>
            </w:r>
          </w:p>
          <w:p w:rsidR="00476959" w:rsidRPr="0073437F" w:rsidRDefault="00476959" w:rsidP="00476959">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gida pakalpojums muzeja ekspozīcijās un izstādēs</w:t>
            </w:r>
            <w:r>
              <w:rPr>
                <w:rFonts w:ascii="Times New Roman" w:hAnsi="Times New Roman" w:cs="Times New Roman"/>
                <w:sz w:val="28"/>
                <w:szCs w:val="28"/>
              </w:rPr>
              <w:t>;</w:t>
            </w:r>
          </w:p>
          <w:p w:rsidR="00476959" w:rsidRPr="0073437F" w:rsidRDefault="00476959" w:rsidP="00476959">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muzeja izglītojošo programmu apmeklējums;</w:t>
            </w:r>
          </w:p>
          <w:p w:rsidR="00476959" w:rsidRPr="0073437F" w:rsidRDefault="00476959" w:rsidP="00476959">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muzeja piedāvāto lekciju apmeklējums;</w:t>
            </w:r>
          </w:p>
          <w:p w:rsidR="00476959" w:rsidRDefault="00476959" w:rsidP="00476959">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muzeja tematisko pasākumu apmeklējums;</w:t>
            </w:r>
          </w:p>
          <w:p w:rsidR="00476959" w:rsidRPr="0073437F" w:rsidRDefault="00476959" w:rsidP="00476959">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konsultācijas, ekspertīzes, priekšmetu atlase</w:t>
            </w:r>
            <w:r>
              <w:rPr>
                <w:rFonts w:ascii="Times New Roman" w:hAnsi="Times New Roman" w:cs="Times New Roman"/>
                <w:sz w:val="28"/>
                <w:szCs w:val="28"/>
              </w:rPr>
              <w:t>;</w:t>
            </w:r>
          </w:p>
          <w:p w:rsidR="00476959" w:rsidRPr="0073437F" w:rsidRDefault="00476959" w:rsidP="00476959">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muzeja krājuma izmantošana;</w:t>
            </w:r>
          </w:p>
          <w:p w:rsidR="00476959" w:rsidRPr="009C0A03" w:rsidRDefault="00476959" w:rsidP="00476959">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citi ar muzeja darbību saistīti pakalpojumi, tajā skaitā, </w:t>
            </w:r>
            <w:r w:rsidRPr="009C0A03">
              <w:rPr>
                <w:rFonts w:ascii="Times New Roman" w:hAnsi="Times New Roman" w:cs="Times New Roman"/>
                <w:sz w:val="28"/>
                <w:szCs w:val="28"/>
              </w:rPr>
              <w:t>muzeja telpu izmantošana.</w:t>
            </w:r>
          </w:p>
          <w:p w:rsidR="00476959" w:rsidRDefault="00476959" w:rsidP="00476959">
            <w:pPr>
              <w:spacing w:after="0" w:line="240" w:lineRule="auto"/>
              <w:ind w:firstLine="418"/>
              <w:jc w:val="both"/>
              <w:rPr>
                <w:rFonts w:ascii="Times New Roman" w:hAnsi="Times New Roman" w:cs="Times New Roman"/>
                <w:sz w:val="28"/>
                <w:szCs w:val="28"/>
              </w:rPr>
            </w:pPr>
            <w:r w:rsidRPr="009C0A03">
              <w:rPr>
                <w:rFonts w:ascii="Times New Roman" w:hAnsi="Times New Roman" w:cs="Times New Roman"/>
                <w:sz w:val="28"/>
                <w:szCs w:val="28"/>
              </w:rPr>
              <w:t>Saistībā ar muzeja rekonstrukcijas projekta īstenošanu, muzejs</w:t>
            </w:r>
            <w:r>
              <w:rPr>
                <w:rFonts w:ascii="Times New Roman" w:hAnsi="Times New Roman" w:cs="Times New Roman"/>
                <w:sz w:val="28"/>
                <w:szCs w:val="28"/>
              </w:rPr>
              <w:t xml:space="preserve"> līdz 2016.gada 1.maijam</w:t>
            </w:r>
            <w:r w:rsidRPr="009C0A03">
              <w:rPr>
                <w:rFonts w:ascii="Times New Roman" w:hAnsi="Times New Roman" w:cs="Times New Roman"/>
                <w:sz w:val="28"/>
                <w:szCs w:val="28"/>
              </w:rPr>
              <w:t xml:space="preserve"> ir pārvietots uz telpām Rīgā, Tērbatas ielā</w:t>
            </w:r>
            <w:r>
              <w:rPr>
                <w:rFonts w:ascii="Times New Roman" w:hAnsi="Times New Roman" w:cs="Times New Roman"/>
                <w:sz w:val="28"/>
                <w:szCs w:val="28"/>
              </w:rPr>
              <w:t xml:space="preserve"> </w:t>
            </w:r>
            <w:r w:rsidRPr="009C0A03">
              <w:rPr>
                <w:rFonts w:ascii="Times New Roman" w:hAnsi="Times New Roman" w:cs="Times New Roman"/>
                <w:sz w:val="28"/>
                <w:szCs w:val="28"/>
              </w:rPr>
              <w:t xml:space="preserve">75, kur </w:t>
            </w:r>
            <w:r w:rsidRPr="00FC711D">
              <w:rPr>
                <w:rFonts w:ascii="Times New Roman" w:hAnsi="Times New Roman" w:cs="Times New Roman"/>
                <w:sz w:val="28"/>
                <w:szCs w:val="28"/>
              </w:rPr>
              <w:t>uz šo brīdi tiek nodrošināti šādi muzeja pakalpojumi:</w:t>
            </w:r>
          </w:p>
          <w:p w:rsidR="00476959" w:rsidRDefault="00476959" w:rsidP="00476959">
            <w:pPr>
              <w:spacing w:after="0" w:line="240" w:lineRule="auto"/>
              <w:ind w:firstLine="418"/>
              <w:jc w:val="both"/>
              <w:rPr>
                <w:rFonts w:ascii="Times New Roman" w:hAnsi="Times New Roman" w:cs="Times New Roman"/>
                <w:sz w:val="28"/>
                <w:szCs w:val="28"/>
              </w:rPr>
            </w:pPr>
            <w:r>
              <w:rPr>
                <w:rFonts w:ascii="Times New Roman" w:hAnsi="Times New Roman" w:cs="Times New Roman"/>
                <w:sz w:val="28"/>
                <w:szCs w:val="28"/>
              </w:rPr>
              <w:t>1) m</w:t>
            </w:r>
            <w:r w:rsidRPr="009C0A03">
              <w:rPr>
                <w:rFonts w:ascii="Times New Roman" w:hAnsi="Times New Roman" w:cs="Times New Roman"/>
                <w:sz w:val="28"/>
                <w:szCs w:val="28"/>
              </w:rPr>
              <w:t>uzeja sagatavotas izglītojošas nodarbības apmeklējums</w:t>
            </w:r>
            <w:r>
              <w:rPr>
                <w:rFonts w:ascii="Times New Roman" w:hAnsi="Times New Roman" w:cs="Times New Roman"/>
                <w:sz w:val="28"/>
                <w:szCs w:val="28"/>
              </w:rPr>
              <w:t xml:space="preserve"> (Projekta pielikuma 2.punkts</w:t>
            </w:r>
            <w:r w:rsidR="0081792D">
              <w:rPr>
                <w:rFonts w:ascii="Times New Roman" w:hAnsi="Times New Roman" w:cs="Times New Roman"/>
                <w:sz w:val="28"/>
                <w:szCs w:val="28"/>
              </w:rPr>
              <w:t xml:space="preserve"> - </w:t>
            </w:r>
            <w:r w:rsidR="00AA5A35">
              <w:rPr>
                <w:rFonts w:ascii="Times New Roman" w:hAnsi="Times New Roman" w:cs="Times New Roman"/>
                <w:sz w:val="28"/>
                <w:szCs w:val="28"/>
              </w:rPr>
              <w:t>2.</w:t>
            </w:r>
            <w:r w:rsidR="007B5BD5">
              <w:rPr>
                <w:rFonts w:ascii="Times New Roman" w:hAnsi="Times New Roman" w:cs="Times New Roman"/>
                <w:sz w:val="28"/>
                <w:szCs w:val="28"/>
              </w:rPr>
              <w:t>4</w:t>
            </w:r>
            <w:r w:rsidR="00AA5A35">
              <w:rPr>
                <w:rFonts w:ascii="Times New Roman" w:hAnsi="Times New Roman" w:cs="Times New Roman"/>
                <w:sz w:val="28"/>
                <w:szCs w:val="28"/>
              </w:rPr>
              <w:t>.</w:t>
            </w:r>
            <w:r w:rsidR="007B5BD5">
              <w:rPr>
                <w:rFonts w:ascii="Times New Roman" w:hAnsi="Times New Roman" w:cs="Times New Roman"/>
                <w:sz w:val="28"/>
                <w:szCs w:val="28"/>
              </w:rPr>
              <w:t xml:space="preserve"> un </w:t>
            </w:r>
            <w:r w:rsidR="00C60B24">
              <w:rPr>
                <w:rFonts w:ascii="Times New Roman" w:hAnsi="Times New Roman" w:cs="Times New Roman"/>
                <w:sz w:val="28"/>
                <w:szCs w:val="28"/>
              </w:rPr>
              <w:t>2.</w:t>
            </w:r>
            <w:r w:rsidR="007B5BD5">
              <w:rPr>
                <w:rFonts w:ascii="Times New Roman" w:hAnsi="Times New Roman" w:cs="Times New Roman"/>
                <w:sz w:val="28"/>
                <w:szCs w:val="28"/>
              </w:rPr>
              <w:t>5</w:t>
            </w:r>
            <w:r w:rsidR="00C60B24">
              <w:rPr>
                <w:rFonts w:ascii="Times New Roman" w:hAnsi="Times New Roman" w:cs="Times New Roman"/>
                <w:sz w:val="28"/>
                <w:szCs w:val="28"/>
              </w:rPr>
              <w:t>.</w:t>
            </w:r>
            <w:r w:rsidR="00AA5A35">
              <w:rPr>
                <w:rFonts w:ascii="Times New Roman" w:hAnsi="Times New Roman" w:cs="Times New Roman"/>
                <w:sz w:val="28"/>
                <w:szCs w:val="28"/>
              </w:rPr>
              <w:t xml:space="preserve">apakšpunktā </w:t>
            </w:r>
            <w:r w:rsidR="00C60B24">
              <w:rPr>
                <w:rFonts w:ascii="Times New Roman" w:hAnsi="Times New Roman" w:cs="Times New Roman"/>
                <w:sz w:val="28"/>
                <w:szCs w:val="28"/>
              </w:rPr>
              <w:t>norād</w:t>
            </w:r>
            <w:r w:rsidR="007B5BD5">
              <w:rPr>
                <w:rFonts w:ascii="Times New Roman" w:hAnsi="Times New Roman" w:cs="Times New Roman"/>
                <w:sz w:val="28"/>
                <w:szCs w:val="28"/>
              </w:rPr>
              <w:t>ītie pakalpojumi</w:t>
            </w:r>
            <w:r>
              <w:rPr>
                <w:rFonts w:ascii="Times New Roman" w:hAnsi="Times New Roman" w:cs="Times New Roman"/>
                <w:sz w:val="28"/>
                <w:szCs w:val="28"/>
              </w:rPr>
              <w:t>);</w:t>
            </w:r>
          </w:p>
          <w:p w:rsidR="00476959" w:rsidRDefault="00476959" w:rsidP="00476959">
            <w:pPr>
              <w:spacing w:after="0" w:line="240" w:lineRule="auto"/>
              <w:ind w:firstLine="418"/>
              <w:jc w:val="both"/>
              <w:rPr>
                <w:rFonts w:ascii="Times New Roman" w:hAnsi="Times New Roman" w:cs="Times New Roman"/>
                <w:sz w:val="28"/>
                <w:szCs w:val="28"/>
              </w:rPr>
            </w:pPr>
            <w:r>
              <w:rPr>
                <w:rFonts w:ascii="Times New Roman" w:hAnsi="Times New Roman" w:cs="Times New Roman"/>
                <w:sz w:val="28"/>
                <w:szCs w:val="28"/>
              </w:rPr>
              <w:t>2)</w:t>
            </w:r>
            <w:r w:rsidRPr="009C0A03">
              <w:rPr>
                <w:rFonts w:ascii="Times New Roman" w:hAnsi="Times New Roman" w:cs="Times New Roman"/>
                <w:sz w:val="28"/>
                <w:szCs w:val="28"/>
              </w:rPr>
              <w:t xml:space="preserve"> </w:t>
            </w:r>
            <w:r>
              <w:rPr>
                <w:rFonts w:ascii="Times New Roman" w:hAnsi="Times New Roman" w:cs="Times New Roman"/>
                <w:sz w:val="28"/>
                <w:szCs w:val="28"/>
              </w:rPr>
              <w:t>l</w:t>
            </w:r>
            <w:r w:rsidRPr="009C0A03">
              <w:rPr>
                <w:rFonts w:ascii="Times New Roman" w:hAnsi="Times New Roman" w:cs="Times New Roman"/>
                <w:sz w:val="28"/>
                <w:szCs w:val="28"/>
              </w:rPr>
              <w:t>ekcija apmeklētāju grupām (ceļojošā muzeja formā)</w:t>
            </w:r>
            <w:r>
              <w:rPr>
                <w:rFonts w:ascii="Times New Roman" w:hAnsi="Times New Roman" w:cs="Times New Roman"/>
                <w:sz w:val="28"/>
                <w:szCs w:val="28"/>
              </w:rPr>
              <w:t xml:space="preserve"> (Projekta pielikuma 3.punkts</w:t>
            </w:r>
            <w:r w:rsidR="007B5BD5">
              <w:rPr>
                <w:rFonts w:ascii="Times New Roman" w:hAnsi="Times New Roman" w:cs="Times New Roman"/>
                <w:sz w:val="28"/>
                <w:szCs w:val="28"/>
              </w:rPr>
              <w:t xml:space="preserve"> </w:t>
            </w:r>
            <w:r w:rsidR="00534392">
              <w:rPr>
                <w:rFonts w:ascii="Times New Roman" w:hAnsi="Times New Roman" w:cs="Times New Roman"/>
                <w:sz w:val="28"/>
                <w:szCs w:val="28"/>
              </w:rPr>
              <w:t xml:space="preserve">- </w:t>
            </w:r>
            <w:r w:rsidR="00C60B24">
              <w:rPr>
                <w:rFonts w:ascii="Times New Roman" w:hAnsi="Times New Roman" w:cs="Times New Roman"/>
                <w:sz w:val="28"/>
                <w:szCs w:val="28"/>
              </w:rPr>
              <w:t>3.</w:t>
            </w:r>
            <w:r w:rsidR="007B5BD5">
              <w:rPr>
                <w:rFonts w:ascii="Times New Roman" w:hAnsi="Times New Roman" w:cs="Times New Roman"/>
                <w:sz w:val="28"/>
                <w:szCs w:val="28"/>
              </w:rPr>
              <w:t>3</w:t>
            </w:r>
            <w:r w:rsidR="00C60B24">
              <w:rPr>
                <w:rFonts w:ascii="Times New Roman" w:hAnsi="Times New Roman" w:cs="Times New Roman"/>
                <w:sz w:val="28"/>
                <w:szCs w:val="28"/>
              </w:rPr>
              <w:t>. un 3.</w:t>
            </w:r>
            <w:r w:rsidR="007B5BD5">
              <w:rPr>
                <w:rFonts w:ascii="Times New Roman" w:hAnsi="Times New Roman" w:cs="Times New Roman"/>
                <w:sz w:val="28"/>
                <w:szCs w:val="28"/>
              </w:rPr>
              <w:t>4</w:t>
            </w:r>
            <w:r w:rsidR="00C60B24">
              <w:rPr>
                <w:rFonts w:ascii="Times New Roman" w:hAnsi="Times New Roman" w:cs="Times New Roman"/>
                <w:sz w:val="28"/>
                <w:szCs w:val="28"/>
              </w:rPr>
              <w:t>.</w:t>
            </w:r>
            <w:r w:rsidR="00825AD9">
              <w:rPr>
                <w:rFonts w:ascii="Times New Roman" w:hAnsi="Times New Roman" w:cs="Times New Roman"/>
                <w:sz w:val="28"/>
                <w:szCs w:val="28"/>
              </w:rPr>
              <w:t>apakš</w:t>
            </w:r>
            <w:r w:rsidR="00C60B24">
              <w:rPr>
                <w:rFonts w:ascii="Times New Roman" w:hAnsi="Times New Roman" w:cs="Times New Roman"/>
                <w:sz w:val="28"/>
                <w:szCs w:val="28"/>
              </w:rPr>
              <w:t>punktā norād</w:t>
            </w:r>
            <w:r w:rsidR="007B5BD5">
              <w:rPr>
                <w:rFonts w:ascii="Times New Roman" w:hAnsi="Times New Roman" w:cs="Times New Roman"/>
                <w:sz w:val="28"/>
                <w:szCs w:val="28"/>
              </w:rPr>
              <w:t>ītie pakalpojumi</w:t>
            </w:r>
            <w:r>
              <w:rPr>
                <w:rFonts w:ascii="Times New Roman" w:hAnsi="Times New Roman" w:cs="Times New Roman"/>
                <w:sz w:val="28"/>
                <w:szCs w:val="28"/>
              </w:rPr>
              <w:t>)</w:t>
            </w:r>
            <w:r w:rsidRPr="009C0A03">
              <w:rPr>
                <w:rFonts w:ascii="Times New Roman" w:hAnsi="Times New Roman" w:cs="Times New Roman"/>
                <w:sz w:val="28"/>
                <w:szCs w:val="28"/>
              </w:rPr>
              <w:t>;</w:t>
            </w:r>
          </w:p>
          <w:p w:rsidR="00476959" w:rsidRPr="0081792D" w:rsidRDefault="00476959" w:rsidP="00476959">
            <w:pPr>
              <w:spacing w:after="0" w:line="240" w:lineRule="auto"/>
              <w:ind w:firstLine="418"/>
              <w:jc w:val="both"/>
              <w:rPr>
                <w:rFonts w:ascii="Times New Roman" w:hAnsi="Times New Roman" w:cs="Times New Roman"/>
                <w:sz w:val="28"/>
                <w:szCs w:val="28"/>
              </w:rPr>
            </w:pPr>
            <w:r>
              <w:rPr>
                <w:rFonts w:ascii="Times New Roman" w:hAnsi="Times New Roman" w:cs="Times New Roman"/>
                <w:sz w:val="28"/>
                <w:szCs w:val="28"/>
              </w:rPr>
              <w:t>3) k</w:t>
            </w:r>
            <w:r w:rsidRPr="009C0A03">
              <w:rPr>
                <w:rFonts w:ascii="Times New Roman" w:hAnsi="Times New Roman" w:cs="Times New Roman"/>
                <w:sz w:val="28"/>
                <w:szCs w:val="28"/>
              </w:rPr>
              <w:t>rājuma izmantošana (uz vietas muzeja telpās)</w:t>
            </w:r>
            <w:r w:rsidRPr="005A65F5">
              <w:rPr>
                <w:rFonts w:ascii="Times New Roman" w:hAnsi="Times New Roman" w:cs="Times New Roman"/>
                <w:sz w:val="28"/>
                <w:szCs w:val="28"/>
              </w:rPr>
              <w:t xml:space="preserve"> (Projekta pielikuma </w:t>
            </w:r>
            <w:r>
              <w:rPr>
                <w:rFonts w:ascii="Times New Roman" w:hAnsi="Times New Roman" w:cs="Times New Roman"/>
                <w:sz w:val="28"/>
                <w:szCs w:val="28"/>
              </w:rPr>
              <w:t>5., 6</w:t>
            </w:r>
            <w:r w:rsidRPr="005A65F5">
              <w:rPr>
                <w:rFonts w:ascii="Times New Roman" w:hAnsi="Times New Roman" w:cs="Times New Roman"/>
                <w:sz w:val="28"/>
                <w:szCs w:val="28"/>
              </w:rPr>
              <w:t>.</w:t>
            </w:r>
            <w:r>
              <w:rPr>
                <w:rFonts w:ascii="Times New Roman" w:hAnsi="Times New Roman" w:cs="Times New Roman"/>
                <w:sz w:val="28"/>
                <w:szCs w:val="28"/>
              </w:rPr>
              <w:t>, 7., 9. un 10.</w:t>
            </w:r>
            <w:r w:rsidRPr="005A65F5">
              <w:rPr>
                <w:rFonts w:ascii="Times New Roman" w:hAnsi="Times New Roman" w:cs="Times New Roman"/>
                <w:sz w:val="28"/>
                <w:szCs w:val="28"/>
              </w:rPr>
              <w:t>punkt</w:t>
            </w:r>
            <w:r w:rsidR="00825AD9">
              <w:rPr>
                <w:rFonts w:ascii="Times New Roman" w:hAnsi="Times New Roman" w:cs="Times New Roman"/>
                <w:sz w:val="28"/>
                <w:szCs w:val="28"/>
              </w:rPr>
              <w:t xml:space="preserve">ā </w:t>
            </w:r>
            <w:r w:rsidR="0081792D">
              <w:rPr>
                <w:rFonts w:ascii="Times New Roman" w:hAnsi="Times New Roman" w:cs="Times New Roman"/>
                <w:sz w:val="28"/>
                <w:szCs w:val="28"/>
              </w:rPr>
              <w:t xml:space="preserve">- </w:t>
            </w:r>
            <w:r w:rsidR="00825AD9">
              <w:rPr>
                <w:rFonts w:ascii="Times New Roman" w:hAnsi="Times New Roman" w:cs="Times New Roman"/>
                <w:sz w:val="28"/>
                <w:szCs w:val="28"/>
              </w:rPr>
              <w:t xml:space="preserve">visi </w:t>
            </w:r>
            <w:r w:rsidR="00314D2D" w:rsidRPr="0081792D">
              <w:rPr>
                <w:rFonts w:ascii="Times New Roman" w:hAnsi="Times New Roman" w:cs="Times New Roman"/>
                <w:sz w:val="28"/>
                <w:szCs w:val="28"/>
              </w:rPr>
              <w:t>attiecināmie</w:t>
            </w:r>
            <w:r w:rsidR="00825AD9" w:rsidRPr="0081792D">
              <w:rPr>
                <w:rFonts w:ascii="Times New Roman" w:hAnsi="Times New Roman" w:cs="Times New Roman"/>
                <w:sz w:val="28"/>
                <w:szCs w:val="28"/>
              </w:rPr>
              <w:t xml:space="preserve"> pakalpojumi</w:t>
            </w:r>
            <w:r w:rsidRPr="0081792D">
              <w:rPr>
                <w:rFonts w:ascii="Times New Roman" w:hAnsi="Times New Roman" w:cs="Times New Roman"/>
                <w:sz w:val="28"/>
                <w:szCs w:val="28"/>
              </w:rPr>
              <w:t>).</w:t>
            </w:r>
          </w:p>
          <w:p w:rsidR="00FE1873" w:rsidRPr="00353BB8" w:rsidRDefault="0081792D" w:rsidP="00353BB8">
            <w:pPr>
              <w:spacing w:after="0" w:line="240" w:lineRule="auto"/>
              <w:ind w:firstLine="418"/>
              <w:jc w:val="both"/>
              <w:rPr>
                <w:rFonts w:ascii="Times New Roman" w:hAnsi="Times New Roman" w:cs="Times New Roman"/>
                <w:sz w:val="28"/>
                <w:szCs w:val="28"/>
              </w:rPr>
            </w:pPr>
            <w:r>
              <w:rPr>
                <w:rFonts w:ascii="Times New Roman" w:hAnsi="Times New Roman" w:cs="Times New Roman"/>
                <w:sz w:val="28"/>
                <w:szCs w:val="28"/>
              </w:rPr>
              <w:t>M</w:t>
            </w:r>
            <w:r w:rsidRPr="0081792D">
              <w:rPr>
                <w:rFonts w:ascii="Times New Roman" w:hAnsi="Times New Roman" w:cs="Times New Roman"/>
                <w:sz w:val="28"/>
                <w:szCs w:val="28"/>
              </w:rPr>
              <w:t xml:space="preserve">aksa par šādiem muzeja pakalpojumiem (Projekta pielikuma </w:t>
            </w:r>
            <w:r>
              <w:rPr>
                <w:rFonts w:ascii="Times New Roman" w:hAnsi="Times New Roman" w:cs="Times New Roman"/>
                <w:sz w:val="28"/>
                <w:szCs w:val="28"/>
              </w:rPr>
              <w:t>2.4., 2.5.,</w:t>
            </w:r>
            <w:r w:rsidRPr="0081792D">
              <w:rPr>
                <w:rFonts w:ascii="Times New Roman" w:hAnsi="Times New Roman" w:cs="Times New Roman"/>
                <w:sz w:val="28"/>
                <w:szCs w:val="28"/>
              </w:rPr>
              <w:t xml:space="preserve"> 3.3., </w:t>
            </w:r>
            <w:r>
              <w:rPr>
                <w:rFonts w:ascii="Times New Roman" w:hAnsi="Times New Roman" w:cs="Times New Roman"/>
                <w:sz w:val="28"/>
                <w:szCs w:val="28"/>
              </w:rPr>
              <w:t>3.4.,</w:t>
            </w:r>
            <w:r w:rsidRPr="0081792D">
              <w:rPr>
                <w:rFonts w:ascii="Times New Roman" w:hAnsi="Times New Roman" w:cs="Times New Roman"/>
                <w:sz w:val="28"/>
                <w:szCs w:val="28"/>
              </w:rPr>
              <w:t xml:space="preserve"> 6.4.1. - 6.4.3., 6.5.1. – 6.5.3., 6.6.1. – 6.6.3., 7.1. – 7.3., 9.2. – 9.4., 10.1. - 10.4.apakšpunkts) ir palielinājusies</w:t>
            </w:r>
            <w:r>
              <w:rPr>
                <w:rFonts w:ascii="Times New Roman" w:hAnsi="Times New Roman" w:cs="Times New Roman"/>
                <w:sz w:val="28"/>
                <w:szCs w:val="28"/>
              </w:rPr>
              <w:t xml:space="preserve"> saistībā ar muzejā ieviestajiem jaunajiem tehniskajiem risinājumiem un iegādāto </w:t>
            </w:r>
            <w:r w:rsidRPr="00353BB8">
              <w:rPr>
                <w:rFonts w:ascii="Times New Roman" w:hAnsi="Times New Roman" w:cs="Times New Roman"/>
                <w:sz w:val="28"/>
                <w:szCs w:val="28"/>
              </w:rPr>
              <w:t>tehnoloģiju šo pakalpojumu sniegšanas nodrošināšanai.</w:t>
            </w:r>
            <w:r w:rsidR="00353BB8" w:rsidRPr="00353BB8">
              <w:rPr>
                <w:rFonts w:ascii="Times New Roman" w:hAnsi="Times New Roman" w:cs="Times New Roman"/>
                <w:sz w:val="28"/>
                <w:szCs w:val="28"/>
              </w:rPr>
              <w:t xml:space="preserve"> </w:t>
            </w:r>
            <w:r w:rsidR="005C2CF9" w:rsidRPr="00353BB8">
              <w:rPr>
                <w:rFonts w:ascii="Times New Roman" w:hAnsi="Times New Roman" w:cs="Times New Roman"/>
                <w:sz w:val="28"/>
                <w:szCs w:val="28"/>
              </w:rPr>
              <w:t>Pēc muzeja rekonstrukcijas pabeigšanas 2016.gada</w:t>
            </w:r>
            <w:bookmarkStart w:id="0" w:name="_GoBack"/>
            <w:bookmarkEnd w:id="0"/>
            <w:r w:rsidR="005C2CF9" w:rsidRPr="00353BB8">
              <w:rPr>
                <w:rFonts w:ascii="Times New Roman" w:hAnsi="Times New Roman" w:cs="Times New Roman"/>
                <w:sz w:val="28"/>
                <w:szCs w:val="28"/>
              </w:rPr>
              <w:t xml:space="preserve"> maijā </w:t>
            </w:r>
            <w:r w:rsidR="005565F6" w:rsidRPr="00353BB8">
              <w:rPr>
                <w:rFonts w:ascii="Times New Roman" w:hAnsi="Times New Roman" w:cs="Times New Roman"/>
                <w:sz w:val="28"/>
                <w:szCs w:val="28"/>
              </w:rPr>
              <w:t xml:space="preserve">muzeja telpās (Rīgā, Pils laukumā 2) </w:t>
            </w:r>
            <w:r w:rsidR="005C2CF9" w:rsidRPr="00353BB8">
              <w:rPr>
                <w:rFonts w:ascii="Times New Roman" w:hAnsi="Times New Roman" w:cs="Times New Roman"/>
                <w:sz w:val="28"/>
                <w:szCs w:val="28"/>
              </w:rPr>
              <w:t>tiks iekārtotas jaunas muzeja ekspozīcijas un izstādes</w:t>
            </w:r>
            <w:r w:rsidR="0099278A" w:rsidRPr="00353BB8">
              <w:rPr>
                <w:rFonts w:ascii="Times New Roman" w:hAnsi="Times New Roman" w:cs="Times New Roman"/>
                <w:sz w:val="28"/>
                <w:szCs w:val="28"/>
              </w:rPr>
              <w:t>, kur</w:t>
            </w:r>
            <w:r w:rsidR="00417392" w:rsidRPr="00353BB8">
              <w:rPr>
                <w:rFonts w:ascii="Times New Roman" w:hAnsi="Times New Roman" w:cs="Times New Roman"/>
                <w:sz w:val="28"/>
                <w:szCs w:val="28"/>
              </w:rPr>
              <w:t>ās</w:t>
            </w:r>
            <w:r w:rsidR="0099278A" w:rsidRPr="00353BB8">
              <w:rPr>
                <w:rFonts w:ascii="Times New Roman" w:hAnsi="Times New Roman" w:cs="Times New Roman"/>
                <w:sz w:val="28"/>
                <w:szCs w:val="28"/>
              </w:rPr>
              <w:t xml:space="preserve"> muzeja ekspozīcijas platība palielināsies no 340 m</w:t>
            </w:r>
            <w:r w:rsidR="0099278A" w:rsidRPr="00353BB8">
              <w:rPr>
                <w:rFonts w:ascii="Times New Roman" w:hAnsi="Times New Roman" w:cs="Times New Roman"/>
                <w:sz w:val="28"/>
                <w:szCs w:val="28"/>
                <w:vertAlign w:val="superscript"/>
              </w:rPr>
              <w:t>2</w:t>
            </w:r>
            <w:r w:rsidR="0099278A" w:rsidRPr="00353BB8">
              <w:rPr>
                <w:rFonts w:ascii="Times New Roman" w:hAnsi="Times New Roman" w:cs="Times New Roman"/>
                <w:sz w:val="28"/>
                <w:szCs w:val="28"/>
              </w:rPr>
              <w:t xml:space="preserve"> uz 730 m</w:t>
            </w:r>
            <w:r w:rsidR="0099278A" w:rsidRPr="00353BB8">
              <w:rPr>
                <w:rFonts w:ascii="Times New Roman" w:hAnsi="Times New Roman" w:cs="Times New Roman"/>
                <w:sz w:val="28"/>
                <w:szCs w:val="28"/>
                <w:vertAlign w:val="superscript"/>
              </w:rPr>
              <w:t>2,</w:t>
            </w:r>
            <w:r w:rsidR="00417392" w:rsidRPr="00353BB8">
              <w:rPr>
                <w:rFonts w:ascii="Times New Roman" w:hAnsi="Times New Roman" w:cs="Times New Roman"/>
                <w:sz w:val="28"/>
                <w:szCs w:val="28"/>
              </w:rPr>
              <w:t>,</w:t>
            </w:r>
            <w:r w:rsidR="0099278A" w:rsidRPr="00353BB8">
              <w:rPr>
                <w:rFonts w:ascii="Times New Roman" w:hAnsi="Times New Roman" w:cs="Times New Roman"/>
                <w:sz w:val="28"/>
                <w:szCs w:val="28"/>
                <w:vertAlign w:val="superscript"/>
              </w:rPr>
              <w:t xml:space="preserve"> </w:t>
            </w:r>
            <w:r w:rsidR="0099278A" w:rsidRPr="00353BB8">
              <w:rPr>
                <w:rFonts w:ascii="Times New Roman" w:hAnsi="Times New Roman" w:cs="Times New Roman"/>
                <w:sz w:val="28"/>
                <w:szCs w:val="28"/>
              </w:rPr>
              <w:t xml:space="preserve">kā arī </w:t>
            </w:r>
            <w:r w:rsidR="007A1739" w:rsidRPr="00353BB8">
              <w:rPr>
                <w:rFonts w:ascii="Times New Roman" w:hAnsi="Times New Roman" w:cs="Times New Roman"/>
                <w:sz w:val="28"/>
                <w:szCs w:val="28"/>
              </w:rPr>
              <w:t xml:space="preserve">tiks </w:t>
            </w:r>
            <w:r w:rsidR="005565F6" w:rsidRPr="00353BB8">
              <w:rPr>
                <w:rFonts w:ascii="Times New Roman" w:hAnsi="Times New Roman" w:cs="Times New Roman"/>
                <w:sz w:val="28"/>
                <w:szCs w:val="28"/>
              </w:rPr>
              <w:t>piedāvātas</w:t>
            </w:r>
            <w:r w:rsidR="007A1739" w:rsidRPr="00353BB8">
              <w:rPr>
                <w:rFonts w:ascii="Times New Roman" w:hAnsi="Times New Roman" w:cs="Times New Roman"/>
                <w:sz w:val="28"/>
                <w:szCs w:val="28"/>
              </w:rPr>
              <w:t xml:space="preserve"> jaunas </w:t>
            </w:r>
            <w:r w:rsidR="0099278A" w:rsidRPr="00353BB8">
              <w:rPr>
                <w:rFonts w:ascii="Times New Roman" w:hAnsi="Times New Roman" w:cs="Times New Roman"/>
                <w:sz w:val="28"/>
                <w:szCs w:val="28"/>
              </w:rPr>
              <w:t>izglītojošās nodarbības, lekcijas</w:t>
            </w:r>
            <w:r w:rsidR="005C2CF9" w:rsidRPr="00353BB8">
              <w:rPr>
                <w:rFonts w:ascii="Times New Roman" w:hAnsi="Times New Roman" w:cs="Times New Roman"/>
                <w:sz w:val="28"/>
                <w:szCs w:val="28"/>
              </w:rPr>
              <w:t xml:space="preserve"> ar </w:t>
            </w:r>
            <w:r w:rsidR="0099278A" w:rsidRPr="00353BB8">
              <w:rPr>
                <w:rFonts w:ascii="Times New Roman" w:hAnsi="Times New Roman" w:cs="Times New Roman"/>
                <w:sz w:val="28"/>
                <w:szCs w:val="28"/>
              </w:rPr>
              <w:t>vēl</w:t>
            </w:r>
            <w:r w:rsidR="005C2CF9" w:rsidRPr="00353BB8">
              <w:rPr>
                <w:rFonts w:ascii="Times New Roman" w:hAnsi="Times New Roman" w:cs="Times New Roman"/>
                <w:sz w:val="28"/>
                <w:szCs w:val="28"/>
              </w:rPr>
              <w:t xml:space="preserve"> kvalitatīvāku saturisko, tehnisko un tehnoloģisko kvalitāti,</w:t>
            </w:r>
            <w:r w:rsidR="0099278A" w:rsidRPr="00353BB8">
              <w:rPr>
                <w:rFonts w:ascii="Times New Roman" w:hAnsi="Times New Roman" w:cs="Times New Roman"/>
                <w:sz w:val="28"/>
                <w:szCs w:val="28"/>
              </w:rPr>
              <w:t xml:space="preserve"> </w:t>
            </w:r>
            <w:r w:rsidR="00FC711D" w:rsidRPr="00353BB8">
              <w:rPr>
                <w:rFonts w:ascii="Times New Roman" w:hAnsi="Times New Roman" w:cs="Times New Roman"/>
                <w:sz w:val="28"/>
                <w:szCs w:val="28"/>
              </w:rPr>
              <w:t>līdz ar to</w:t>
            </w:r>
            <w:r w:rsidR="0099278A" w:rsidRPr="00353BB8">
              <w:rPr>
                <w:rFonts w:ascii="Times New Roman" w:hAnsi="Times New Roman" w:cs="Times New Roman"/>
                <w:sz w:val="28"/>
                <w:szCs w:val="28"/>
              </w:rPr>
              <w:t xml:space="preserve">, </w:t>
            </w:r>
            <w:r w:rsidR="007A1739" w:rsidRPr="00353BB8">
              <w:rPr>
                <w:rFonts w:ascii="Times New Roman" w:hAnsi="Times New Roman" w:cs="Times New Roman"/>
                <w:sz w:val="28"/>
                <w:szCs w:val="28"/>
              </w:rPr>
              <w:t xml:space="preserve">maksa par </w:t>
            </w:r>
            <w:r w:rsidR="0099278A" w:rsidRPr="00353BB8">
              <w:rPr>
                <w:rFonts w:ascii="Times New Roman" w:hAnsi="Times New Roman" w:cs="Times New Roman"/>
                <w:sz w:val="28"/>
                <w:szCs w:val="28"/>
              </w:rPr>
              <w:t>š</w:t>
            </w:r>
            <w:r w:rsidR="00BE0168" w:rsidRPr="00353BB8">
              <w:rPr>
                <w:rFonts w:ascii="Times New Roman" w:hAnsi="Times New Roman" w:cs="Times New Roman"/>
                <w:sz w:val="28"/>
                <w:szCs w:val="28"/>
              </w:rPr>
              <w:t>ādiem muzeja pakalpojumiem</w:t>
            </w:r>
            <w:r w:rsidR="00661F70" w:rsidRPr="00353BB8">
              <w:rPr>
                <w:rFonts w:ascii="Times New Roman" w:hAnsi="Times New Roman" w:cs="Times New Roman"/>
                <w:sz w:val="28"/>
                <w:szCs w:val="28"/>
              </w:rPr>
              <w:t xml:space="preserve"> </w:t>
            </w:r>
            <w:r w:rsidR="00387A75" w:rsidRPr="00353BB8">
              <w:rPr>
                <w:rFonts w:ascii="Times New Roman" w:hAnsi="Times New Roman" w:cs="Times New Roman"/>
                <w:sz w:val="28"/>
                <w:szCs w:val="28"/>
              </w:rPr>
              <w:t>(</w:t>
            </w:r>
            <w:r w:rsidR="00E510B7" w:rsidRPr="00353BB8">
              <w:rPr>
                <w:rFonts w:ascii="Times New Roman" w:hAnsi="Times New Roman" w:cs="Times New Roman"/>
                <w:sz w:val="28"/>
                <w:szCs w:val="28"/>
              </w:rPr>
              <w:t xml:space="preserve">Projekta </w:t>
            </w:r>
            <w:r w:rsidR="00387A75" w:rsidRPr="00353BB8">
              <w:rPr>
                <w:rFonts w:ascii="Times New Roman" w:hAnsi="Times New Roman" w:cs="Times New Roman"/>
                <w:sz w:val="28"/>
                <w:szCs w:val="28"/>
              </w:rPr>
              <w:t>pielikuma</w:t>
            </w:r>
            <w:r w:rsidR="009A34AC" w:rsidRPr="00353BB8">
              <w:rPr>
                <w:rFonts w:ascii="Times New Roman" w:hAnsi="Times New Roman" w:cs="Times New Roman"/>
                <w:sz w:val="28"/>
                <w:szCs w:val="28"/>
              </w:rPr>
              <w:t xml:space="preserve"> 1.1.5., 1.1.7, 1.2.2., 1.2.3, 1.2.5. - 1.2.9, </w:t>
            </w:r>
            <w:r w:rsidR="00B33324" w:rsidRPr="00353BB8">
              <w:rPr>
                <w:rFonts w:ascii="Times New Roman" w:hAnsi="Times New Roman" w:cs="Times New Roman"/>
                <w:sz w:val="28"/>
                <w:szCs w:val="28"/>
              </w:rPr>
              <w:t>2.1.</w:t>
            </w:r>
            <w:r w:rsidR="00FE1873" w:rsidRPr="00353BB8">
              <w:rPr>
                <w:rFonts w:ascii="Times New Roman" w:hAnsi="Times New Roman" w:cs="Times New Roman"/>
                <w:sz w:val="28"/>
                <w:szCs w:val="28"/>
              </w:rPr>
              <w:t xml:space="preserve"> </w:t>
            </w:r>
            <w:r w:rsidR="00B33324" w:rsidRPr="00353BB8">
              <w:rPr>
                <w:rFonts w:ascii="Times New Roman" w:hAnsi="Times New Roman" w:cs="Times New Roman"/>
                <w:sz w:val="28"/>
                <w:szCs w:val="28"/>
              </w:rPr>
              <w:t>-</w:t>
            </w:r>
            <w:r w:rsidR="00FE1873" w:rsidRPr="00353BB8">
              <w:rPr>
                <w:rFonts w:ascii="Times New Roman" w:hAnsi="Times New Roman" w:cs="Times New Roman"/>
                <w:sz w:val="28"/>
                <w:szCs w:val="28"/>
              </w:rPr>
              <w:t xml:space="preserve"> </w:t>
            </w:r>
            <w:r w:rsidR="00B33324" w:rsidRPr="00353BB8">
              <w:rPr>
                <w:rFonts w:ascii="Times New Roman" w:hAnsi="Times New Roman" w:cs="Times New Roman"/>
                <w:sz w:val="28"/>
                <w:szCs w:val="28"/>
              </w:rPr>
              <w:t>2.</w:t>
            </w:r>
            <w:r w:rsidRPr="00353BB8">
              <w:rPr>
                <w:rFonts w:ascii="Times New Roman" w:hAnsi="Times New Roman" w:cs="Times New Roman"/>
                <w:sz w:val="28"/>
                <w:szCs w:val="28"/>
              </w:rPr>
              <w:t>3</w:t>
            </w:r>
            <w:r w:rsidR="00FE1873" w:rsidRPr="00353BB8">
              <w:rPr>
                <w:rFonts w:ascii="Times New Roman" w:hAnsi="Times New Roman" w:cs="Times New Roman"/>
                <w:sz w:val="28"/>
                <w:szCs w:val="28"/>
              </w:rPr>
              <w:t>.,</w:t>
            </w:r>
            <w:r w:rsidR="00B33324" w:rsidRPr="00353BB8">
              <w:rPr>
                <w:rFonts w:ascii="Times New Roman" w:hAnsi="Times New Roman" w:cs="Times New Roman"/>
                <w:sz w:val="28"/>
                <w:szCs w:val="28"/>
              </w:rPr>
              <w:t xml:space="preserve"> 3.1.</w:t>
            </w:r>
            <w:r w:rsidRPr="00353BB8">
              <w:rPr>
                <w:rFonts w:ascii="Times New Roman" w:hAnsi="Times New Roman" w:cs="Times New Roman"/>
                <w:sz w:val="28"/>
                <w:szCs w:val="28"/>
              </w:rPr>
              <w:t>, 3.2.</w:t>
            </w:r>
            <w:r w:rsidR="00B33324" w:rsidRPr="00353BB8">
              <w:rPr>
                <w:rFonts w:ascii="Times New Roman" w:hAnsi="Times New Roman" w:cs="Times New Roman"/>
                <w:sz w:val="28"/>
                <w:szCs w:val="28"/>
              </w:rPr>
              <w:t>, 4.1.</w:t>
            </w:r>
            <w:r w:rsidR="00FE1873" w:rsidRPr="00353BB8">
              <w:rPr>
                <w:rFonts w:ascii="Times New Roman" w:hAnsi="Times New Roman" w:cs="Times New Roman"/>
                <w:sz w:val="28"/>
                <w:szCs w:val="28"/>
              </w:rPr>
              <w:t xml:space="preserve"> </w:t>
            </w:r>
            <w:r w:rsidR="00B33324" w:rsidRPr="00353BB8">
              <w:rPr>
                <w:rFonts w:ascii="Times New Roman" w:hAnsi="Times New Roman" w:cs="Times New Roman"/>
                <w:sz w:val="28"/>
                <w:szCs w:val="28"/>
              </w:rPr>
              <w:t>-</w:t>
            </w:r>
            <w:r w:rsidR="00FE1873" w:rsidRPr="00353BB8">
              <w:rPr>
                <w:rFonts w:ascii="Times New Roman" w:hAnsi="Times New Roman" w:cs="Times New Roman"/>
                <w:sz w:val="28"/>
                <w:szCs w:val="28"/>
              </w:rPr>
              <w:t xml:space="preserve"> </w:t>
            </w:r>
            <w:r w:rsidR="00B33324" w:rsidRPr="00353BB8">
              <w:rPr>
                <w:rFonts w:ascii="Times New Roman" w:hAnsi="Times New Roman" w:cs="Times New Roman"/>
                <w:sz w:val="28"/>
                <w:szCs w:val="28"/>
              </w:rPr>
              <w:t>4.4., 6.3.3</w:t>
            </w:r>
            <w:r w:rsidR="00FE1873" w:rsidRPr="00353BB8">
              <w:rPr>
                <w:rFonts w:ascii="Times New Roman" w:hAnsi="Times New Roman" w:cs="Times New Roman"/>
                <w:sz w:val="28"/>
                <w:szCs w:val="28"/>
              </w:rPr>
              <w:t>.,</w:t>
            </w:r>
            <w:r w:rsidR="00B33324" w:rsidRPr="00353BB8">
              <w:rPr>
                <w:rFonts w:ascii="Times New Roman" w:hAnsi="Times New Roman" w:cs="Times New Roman"/>
                <w:sz w:val="28"/>
                <w:szCs w:val="28"/>
              </w:rPr>
              <w:t xml:space="preserve"> </w:t>
            </w:r>
            <w:r w:rsidR="004D1E0B" w:rsidRPr="00353BB8">
              <w:rPr>
                <w:rFonts w:ascii="Times New Roman" w:hAnsi="Times New Roman" w:cs="Times New Roman"/>
                <w:sz w:val="28"/>
                <w:szCs w:val="28"/>
              </w:rPr>
              <w:t>8.1.</w:t>
            </w:r>
            <w:r w:rsidR="00FE1873" w:rsidRPr="00353BB8">
              <w:rPr>
                <w:rFonts w:ascii="Times New Roman" w:hAnsi="Times New Roman" w:cs="Times New Roman"/>
                <w:sz w:val="28"/>
                <w:szCs w:val="28"/>
              </w:rPr>
              <w:t>, 8.2.</w:t>
            </w:r>
            <w:r w:rsidRPr="00353BB8">
              <w:rPr>
                <w:rFonts w:ascii="Times New Roman" w:hAnsi="Times New Roman" w:cs="Times New Roman"/>
                <w:sz w:val="28"/>
                <w:szCs w:val="28"/>
              </w:rPr>
              <w:t xml:space="preserve"> un</w:t>
            </w:r>
            <w:r w:rsidR="00FE1873" w:rsidRPr="00353BB8">
              <w:rPr>
                <w:rFonts w:ascii="Times New Roman" w:hAnsi="Times New Roman" w:cs="Times New Roman"/>
                <w:sz w:val="28"/>
                <w:szCs w:val="28"/>
              </w:rPr>
              <w:t xml:space="preserve"> </w:t>
            </w:r>
            <w:r w:rsidR="004D1E0B" w:rsidRPr="00353BB8">
              <w:rPr>
                <w:rFonts w:ascii="Times New Roman" w:hAnsi="Times New Roman" w:cs="Times New Roman"/>
                <w:sz w:val="28"/>
                <w:szCs w:val="28"/>
              </w:rPr>
              <w:t>11.1.</w:t>
            </w:r>
            <w:r w:rsidR="00FE1873" w:rsidRPr="00353BB8">
              <w:rPr>
                <w:rFonts w:ascii="Times New Roman" w:hAnsi="Times New Roman" w:cs="Times New Roman"/>
                <w:sz w:val="28"/>
                <w:szCs w:val="28"/>
              </w:rPr>
              <w:t>apakš</w:t>
            </w:r>
            <w:r w:rsidR="00387A75" w:rsidRPr="00353BB8">
              <w:rPr>
                <w:rFonts w:ascii="Times New Roman" w:hAnsi="Times New Roman" w:cs="Times New Roman"/>
                <w:sz w:val="28"/>
                <w:szCs w:val="28"/>
              </w:rPr>
              <w:t>punkts</w:t>
            </w:r>
            <w:r w:rsidR="007E1337" w:rsidRPr="00353BB8">
              <w:rPr>
                <w:rFonts w:ascii="Times New Roman" w:hAnsi="Times New Roman" w:cs="Times New Roman"/>
                <w:sz w:val="28"/>
                <w:szCs w:val="28"/>
              </w:rPr>
              <w:t>)</w:t>
            </w:r>
            <w:r w:rsidR="00661F70" w:rsidRPr="00353BB8">
              <w:rPr>
                <w:rFonts w:ascii="Times New Roman" w:hAnsi="Times New Roman" w:cs="Times New Roman"/>
                <w:sz w:val="28"/>
                <w:szCs w:val="28"/>
              </w:rPr>
              <w:t xml:space="preserve"> </w:t>
            </w:r>
            <w:r w:rsidR="00FC711D" w:rsidRPr="00353BB8">
              <w:rPr>
                <w:rFonts w:ascii="Times New Roman" w:hAnsi="Times New Roman" w:cs="Times New Roman"/>
                <w:sz w:val="28"/>
                <w:szCs w:val="28"/>
              </w:rPr>
              <w:t>ir palielinājusies</w:t>
            </w:r>
            <w:r w:rsidR="0099278A" w:rsidRPr="00353BB8">
              <w:rPr>
                <w:rFonts w:ascii="Times New Roman" w:hAnsi="Times New Roman" w:cs="Times New Roman"/>
                <w:sz w:val="28"/>
                <w:szCs w:val="28"/>
              </w:rPr>
              <w:t>.</w:t>
            </w:r>
          </w:p>
          <w:p w:rsidR="00FC711D" w:rsidRDefault="005565F6" w:rsidP="004D1E0B">
            <w:pPr>
              <w:pStyle w:val="naiskr"/>
              <w:spacing w:before="0" w:after="0"/>
              <w:ind w:right="45" w:firstLine="357"/>
              <w:jc w:val="both"/>
              <w:rPr>
                <w:sz w:val="28"/>
                <w:szCs w:val="28"/>
              </w:rPr>
            </w:pPr>
            <w:r w:rsidRPr="00353BB8">
              <w:rPr>
                <w:sz w:val="28"/>
                <w:szCs w:val="28"/>
              </w:rPr>
              <w:t>Savukārt, š</w:t>
            </w:r>
            <w:r w:rsidR="00BE0168" w:rsidRPr="00353BB8">
              <w:rPr>
                <w:sz w:val="28"/>
                <w:szCs w:val="28"/>
              </w:rPr>
              <w:t>ādiem muzeja pakalpojumiem maksa</w:t>
            </w:r>
            <w:r w:rsidR="00BE0168">
              <w:rPr>
                <w:sz w:val="28"/>
                <w:szCs w:val="28"/>
              </w:rPr>
              <w:t xml:space="preserve"> par pakalpojuma sniegšanu ir</w:t>
            </w:r>
            <w:r w:rsidR="00BE0168" w:rsidRPr="00253F7D">
              <w:rPr>
                <w:sz w:val="28"/>
                <w:szCs w:val="28"/>
              </w:rPr>
              <w:t xml:space="preserve"> samazinā</w:t>
            </w:r>
            <w:r w:rsidR="00BE0168">
              <w:rPr>
                <w:sz w:val="28"/>
                <w:szCs w:val="28"/>
              </w:rPr>
              <w:t xml:space="preserve">jusies </w:t>
            </w:r>
            <w:r w:rsidR="00FC711D">
              <w:rPr>
                <w:sz w:val="28"/>
                <w:szCs w:val="28"/>
              </w:rPr>
              <w:t>–</w:t>
            </w:r>
            <w:r w:rsidR="00BE0168">
              <w:rPr>
                <w:sz w:val="28"/>
                <w:szCs w:val="28"/>
              </w:rPr>
              <w:t xml:space="preserve"> </w:t>
            </w:r>
            <w:r w:rsidR="00FC711D">
              <w:rPr>
                <w:sz w:val="28"/>
                <w:szCs w:val="28"/>
              </w:rPr>
              <w:t xml:space="preserve">tie ir </w:t>
            </w:r>
            <w:r w:rsidR="00BE0168">
              <w:rPr>
                <w:sz w:val="28"/>
                <w:szCs w:val="28"/>
              </w:rPr>
              <w:t xml:space="preserve">muzeja pakalpojumi, kas ir saistīti </w:t>
            </w:r>
            <w:r w:rsidR="00BE0168" w:rsidRPr="00253F7D">
              <w:rPr>
                <w:sz w:val="28"/>
                <w:szCs w:val="28"/>
              </w:rPr>
              <w:t xml:space="preserve">ar </w:t>
            </w:r>
            <w:r w:rsidR="00BE0168">
              <w:rPr>
                <w:sz w:val="28"/>
                <w:szCs w:val="28"/>
              </w:rPr>
              <w:t xml:space="preserve">muzeja </w:t>
            </w:r>
            <w:r w:rsidR="00BE0168" w:rsidRPr="00253F7D">
              <w:rPr>
                <w:sz w:val="28"/>
                <w:szCs w:val="28"/>
              </w:rPr>
              <w:t>krājuma priekšmetu digitālo kopiju i</w:t>
            </w:r>
            <w:r w:rsidR="00BE0168">
              <w:rPr>
                <w:sz w:val="28"/>
                <w:szCs w:val="28"/>
              </w:rPr>
              <w:t>zgatavošanu</w:t>
            </w:r>
            <w:r w:rsidR="004D1E0B">
              <w:rPr>
                <w:sz w:val="28"/>
                <w:szCs w:val="28"/>
              </w:rPr>
              <w:t xml:space="preserve"> </w:t>
            </w:r>
            <w:r w:rsidR="00387A75">
              <w:rPr>
                <w:sz w:val="28"/>
                <w:szCs w:val="28"/>
              </w:rPr>
              <w:t>(</w:t>
            </w:r>
            <w:r w:rsidR="00387A75" w:rsidRPr="00387A75">
              <w:rPr>
                <w:sz w:val="28"/>
                <w:szCs w:val="28"/>
              </w:rPr>
              <w:t xml:space="preserve">cenrāža pielikuma </w:t>
            </w:r>
            <w:r w:rsidR="004D1E0B">
              <w:rPr>
                <w:sz w:val="28"/>
                <w:szCs w:val="28"/>
              </w:rPr>
              <w:t>6.1.2. – 6.1.5</w:t>
            </w:r>
            <w:r w:rsidR="00387A75">
              <w:rPr>
                <w:sz w:val="28"/>
                <w:szCs w:val="28"/>
              </w:rPr>
              <w:t>.</w:t>
            </w:r>
            <w:r w:rsidR="00BE0168">
              <w:rPr>
                <w:sz w:val="28"/>
                <w:szCs w:val="28"/>
              </w:rPr>
              <w:t xml:space="preserve">, </w:t>
            </w:r>
            <w:r w:rsidR="00387A75">
              <w:rPr>
                <w:sz w:val="28"/>
                <w:szCs w:val="28"/>
              </w:rPr>
              <w:t>6.3.2.</w:t>
            </w:r>
            <w:r w:rsidR="00E64321">
              <w:rPr>
                <w:sz w:val="28"/>
                <w:szCs w:val="28"/>
              </w:rPr>
              <w:t xml:space="preserve"> </w:t>
            </w:r>
            <w:r w:rsidR="00FE1873">
              <w:rPr>
                <w:sz w:val="28"/>
                <w:szCs w:val="28"/>
              </w:rPr>
              <w:t>apakš</w:t>
            </w:r>
            <w:r w:rsidR="00387A75" w:rsidRPr="00FE1873">
              <w:rPr>
                <w:sz w:val="28"/>
                <w:szCs w:val="28"/>
              </w:rPr>
              <w:t>punkts)</w:t>
            </w:r>
            <w:r w:rsidR="002247CF" w:rsidRPr="00FE1873">
              <w:rPr>
                <w:sz w:val="28"/>
                <w:szCs w:val="28"/>
              </w:rPr>
              <w:t>.</w:t>
            </w:r>
            <w:r w:rsidR="00BE0168" w:rsidRPr="00253F7D">
              <w:rPr>
                <w:sz w:val="28"/>
                <w:szCs w:val="28"/>
              </w:rPr>
              <w:t xml:space="preserve"> </w:t>
            </w:r>
            <w:r w:rsidR="00BE0168">
              <w:rPr>
                <w:sz w:val="28"/>
                <w:szCs w:val="28"/>
              </w:rPr>
              <w:t>P</w:t>
            </w:r>
            <w:r w:rsidR="00BE0168" w:rsidRPr="00253F7D">
              <w:rPr>
                <w:sz w:val="28"/>
                <w:szCs w:val="28"/>
              </w:rPr>
              <w:t xml:space="preserve">alielinoties </w:t>
            </w:r>
            <w:r w:rsidR="00BE0168">
              <w:rPr>
                <w:sz w:val="28"/>
                <w:szCs w:val="28"/>
              </w:rPr>
              <w:t xml:space="preserve">muzejā </w:t>
            </w:r>
            <w:r w:rsidR="00BE0168" w:rsidRPr="00253F7D">
              <w:rPr>
                <w:sz w:val="28"/>
                <w:szCs w:val="28"/>
              </w:rPr>
              <w:t xml:space="preserve">jau </w:t>
            </w:r>
            <w:proofErr w:type="spellStart"/>
            <w:r w:rsidR="00BE0168" w:rsidRPr="00253F7D">
              <w:rPr>
                <w:sz w:val="28"/>
                <w:szCs w:val="28"/>
              </w:rPr>
              <w:t>digitalizētā</w:t>
            </w:r>
            <w:proofErr w:type="spellEnd"/>
            <w:r w:rsidR="00BE0168" w:rsidRPr="00253F7D">
              <w:rPr>
                <w:sz w:val="28"/>
                <w:szCs w:val="28"/>
              </w:rPr>
              <w:t xml:space="preserve"> </w:t>
            </w:r>
            <w:r w:rsidR="00BE0168">
              <w:rPr>
                <w:sz w:val="28"/>
                <w:szCs w:val="28"/>
              </w:rPr>
              <w:t xml:space="preserve">muzeja </w:t>
            </w:r>
            <w:r w:rsidR="00BE0168" w:rsidRPr="00253F7D">
              <w:rPr>
                <w:sz w:val="28"/>
                <w:szCs w:val="28"/>
              </w:rPr>
              <w:t xml:space="preserve">krājuma </w:t>
            </w:r>
            <w:r w:rsidR="00BE0168">
              <w:rPr>
                <w:sz w:val="28"/>
                <w:szCs w:val="28"/>
              </w:rPr>
              <w:t xml:space="preserve">priekšmetu </w:t>
            </w:r>
            <w:r w:rsidR="00BE0168" w:rsidRPr="00253F7D">
              <w:rPr>
                <w:sz w:val="28"/>
                <w:szCs w:val="28"/>
              </w:rPr>
              <w:t xml:space="preserve">apjoma īpatsvaram, samazinās vairāk pieprasīto </w:t>
            </w:r>
            <w:r w:rsidR="00BE0168">
              <w:rPr>
                <w:sz w:val="28"/>
                <w:szCs w:val="28"/>
              </w:rPr>
              <w:t xml:space="preserve">muzeja </w:t>
            </w:r>
            <w:r w:rsidR="00BE0168" w:rsidRPr="00253F7D">
              <w:rPr>
                <w:sz w:val="28"/>
                <w:szCs w:val="28"/>
              </w:rPr>
              <w:t>priekšmetu digitālo kopiju izveides izmaksas</w:t>
            </w:r>
            <w:r w:rsidR="00BE0168">
              <w:rPr>
                <w:sz w:val="28"/>
                <w:szCs w:val="28"/>
              </w:rPr>
              <w:t>.</w:t>
            </w:r>
          </w:p>
          <w:p w:rsidR="00BE0168" w:rsidRDefault="00BE0168" w:rsidP="004D1E0B">
            <w:pPr>
              <w:pStyle w:val="naiskr"/>
              <w:spacing w:before="0" w:after="0"/>
              <w:ind w:right="45" w:firstLine="357"/>
              <w:jc w:val="both"/>
              <w:rPr>
                <w:sz w:val="28"/>
                <w:szCs w:val="28"/>
              </w:rPr>
            </w:pPr>
            <w:r>
              <w:rPr>
                <w:sz w:val="28"/>
                <w:szCs w:val="28"/>
              </w:rPr>
              <w:t xml:space="preserve">Pārējiem muzeja </w:t>
            </w:r>
            <w:r w:rsidRPr="00253F7D">
              <w:rPr>
                <w:sz w:val="28"/>
                <w:szCs w:val="28"/>
              </w:rPr>
              <w:t>pakalpojum</w:t>
            </w:r>
            <w:r>
              <w:rPr>
                <w:sz w:val="28"/>
                <w:szCs w:val="28"/>
              </w:rPr>
              <w:t>iem</w:t>
            </w:r>
            <w:r w:rsidRPr="00253F7D">
              <w:rPr>
                <w:sz w:val="28"/>
                <w:szCs w:val="28"/>
              </w:rPr>
              <w:t xml:space="preserve"> cenas nemainās.</w:t>
            </w:r>
          </w:p>
          <w:p w:rsidR="00353BB8" w:rsidRDefault="00353BB8" w:rsidP="00476959">
            <w:pPr>
              <w:spacing w:after="0" w:line="240" w:lineRule="auto"/>
              <w:ind w:firstLine="418"/>
              <w:jc w:val="both"/>
              <w:rPr>
                <w:rFonts w:ascii="Times New Roman" w:hAnsi="Times New Roman" w:cs="Times New Roman"/>
                <w:sz w:val="28"/>
                <w:szCs w:val="28"/>
              </w:rPr>
            </w:pPr>
            <w:r>
              <w:rPr>
                <w:rFonts w:ascii="Times New Roman" w:hAnsi="Times New Roman" w:cs="Times New Roman"/>
                <w:sz w:val="28"/>
                <w:szCs w:val="28"/>
              </w:rPr>
              <w:t>No 2016.gada maija</w:t>
            </w:r>
            <w:r w:rsidR="00FE1873" w:rsidRPr="00FE1873">
              <w:rPr>
                <w:rFonts w:ascii="Times New Roman" w:hAnsi="Times New Roman" w:cs="Times New Roman"/>
                <w:sz w:val="28"/>
                <w:szCs w:val="28"/>
              </w:rPr>
              <w:t xml:space="preserve"> muzejā tiks izveidoti vairāki jauni pakalpojumi (cenrāža pielikuma 1.1.6., 1.2.1, 1.2.4., 1.3.1. – 1.3.4. 3.4., 6.1.8., 6.2.6 – 6.2.8., 11.2.</w:t>
            </w:r>
            <w:r>
              <w:rPr>
                <w:rFonts w:ascii="Times New Roman" w:hAnsi="Times New Roman" w:cs="Times New Roman"/>
                <w:sz w:val="28"/>
                <w:szCs w:val="28"/>
              </w:rPr>
              <w:t>apakš</w:t>
            </w:r>
            <w:r w:rsidR="00FE1873" w:rsidRPr="00FE1873">
              <w:rPr>
                <w:rFonts w:ascii="Times New Roman" w:hAnsi="Times New Roman" w:cs="Times New Roman"/>
                <w:sz w:val="28"/>
                <w:szCs w:val="28"/>
              </w:rPr>
              <w:t xml:space="preserve">punkts), kuri </w:t>
            </w:r>
            <w:r w:rsidR="00FE1873">
              <w:rPr>
                <w:rFonts w:ascii="Times New Roman" w:hAnsi="Times New Roman" w:cs="Times New Roman"/>
                <w:sz w:val="28"/>
                <w:szCs w:val="28"/>
              </w:rPr>
              <w:t xml:space="preserve">tiks </w:t>
            </w:r>
            <w:r w:rsidR="00FE1873" w:rsidRPr="00FE1873">
              <w:rPr>
                <w:rFonts w:ascii="Times New Roman" w:hAnsi="Times New Roman" w:cs="Times New Roman"/>
                <w:sz w:val="28"/>
                <w:szCs w:val="28"/>
              </w:rPr>
              <w:t xml:space="preserve">ieviesti, izmantojot </w:t>
            </w:r>
            <w:r>
              <w:rPr>
                <w:rFonts w:ascii="Times New Roman" w:hAnsi="Times New Roman" w:cs="Times New Roman"/>
                <w:sz w:val="28"/>
                <w:szCs w:val="28"/>
              </w:rPr>
              <w:t>muzeja rekonstrukcijas rezultāta</w:t>
            </w:r>
            <w:r w:rsidR="00FE1873" w:rsidRPr="00FE1873">
              <w:rPr>
                <w:rFonts w:ascii="Times New Roman" w:hAnsi="Times New Roman" w:cs="Times New Roman"/>
                <w:sz w:val="28"/>
                <w:szCs w:val="28"/>
              </w:rPr>
              <w:t xml:space="preserve"> sniegtās iespējas</w:t>
            </w:r>
            <w:r>
              <w:rPr>
                <w:rFonts w:ascii="Times New Roman" w:hAnsi="Times New Roman" w:cs="Times New Roman"/>
                <w:sz w:val="28"/>
                <w:szCs w:val="28"/>
              </w:rPr>
              <w:t>.</w:t>
            </w:r>
          </w:p>
          <w:p w:rsidR="00476959" w:rsidRDefault="00476959" w:rsidP="00476959">
            <w:pPr>
              <w:spacing w:after="0" w:line="240" w:lineRule="auto"/>
              <w:ind w:firstLine="418"/>
              <w:jc w:val="both"/>
              <w:rPr>
                <w:rFonts w:ascii="Times New Roman" w:hAnsi="Times New Roman" w:cs="Times New Roman"/>
                <w:sz w:val="28"/>
                <w:szCs w:val="28"/>
              </w:rPr>
            </w:pPr>
            <w:r w:rsidRPr="00FE1873">
              <w:rPr>
                <w:rFonts w:ascii="Times New Roman" w:hAnsi="Times New Roman" w:cs="Times New Roman"/>
                <w:sz w:val="28"/>
                <w:szCs w:val="28"/>
              </w:rPr>
              <w:t>Muzeja telpās Rīgā, Pils laukumā 2, pēc muzeja</w:t>
            </w:r>
            <w:r w:rsidRPr="009C0A03">
              <w:rPr>
                <w:rFonts w:ascii="Times New Roman" w:hAnsi="Times New Roman" w:cs="Times New Roman"/>
                <w:sz w:val="28"/>
                <w:szCs w:val="28"/>
              </w:rPr>
              <w:t xml:space="preserve"> ēkas rekonstrukcijas 2016.gada maijā tiks nodrošināti šādi muzeja publiskie pakalpojumi </w:t>
            </w:r>
            <w:r>
              <w:rPr>
                <w:rFonts w:ascii="Times New Roman" w:hAnsi="Times New Roman" w:cs="Times New Roman"/>
                <w:sz w:val="28"/>
                <w:szCs w:val="28"/>
              </w:rPr>
              <w:t>–</w:t>
            </w:r>
          </w:p>
          <w:p w:rsidR="00476959" w:rsidRDefault="00476959" w:rsidP="00476959">
            <w:pPr>
              <w:spacing w:after="0" w:line="240" w:lineRule="auto"/>
              <w:ind w:firstLine="418"/>
              <w:jc w:val="both"/>
              <w:rPr>
                <w:rFonts w:ascii="Times New Roman" w:hAnsi="Times New Roman" w:cs="Times New Roman"/>
                <w:sz w:val="28"/>
                <w:szCs w:val="28"/>
              </w:rPr>
            </w:pPr>
            <w:r>
              <w:rPr>
                <w:rFonts w:ascii="Times New Roman" w:hAnsi="Times New Roman" w:cs="Times New Roman"/>
                <w:sz w:val="28"/>
                <w:szCs w:val="28"/>
              </w:rPr>
              <w:t>1) m</w:t>
            </w:r>
            <w:r w:rsidRPr="009C0A03">
              <w:rPr>
                <w:rFonts w:ascii="Times New Roman" w:hAnsi="Times New Roman" w:cs="Times New Roman"/>
                <w:sz w:val="28"/>
                <w:szCs w:val="28"/>
              </w:rPr>
              <w:t>uzeja apskate</w:t>
            </w:r>
            <w:r>
              <w:rPr>
                <w:rFonts w:ascii="Times New Roman" w:hAnsi="Times New Roman" w:cs="Times New Roman"/>
                <w:sz w:val="28"/>
                <w:szCs w:val="28"/>
              </w:rPr>
              <w:t xml:space="preserve"> </w:t>
            </w:r>
            <w:r w:rsidRPr="005A65F5">
              <w:rPr>
                <w:rFonts w:ascii="Times New Roman" w:hAnsi="Times New Roman" w:cs="Times New Roman"/>
                <w:sz w:val="28"/>
                <w:szCs w:val="28"/>
              </w:rPr>
              <w:t xml:space="preserve">(Projekta pielikuma </w:t>
            </w:r>
            <w:r>
              <w:rPr>
                <w:rFonts w:ascii="Times New Roman" w:hAnsi="Times New Roman" w:cs="Times New Roman"/>
                <w:sz w:val="28"/>
                <w:szCs w:val="28"/>
              </w:rPr>
              <w:t>1</w:t>
            </w:r>
            <w:r w:rsidRPr="005A65F5">
              <w:rPr>
                <w:rFonts w:ascii="Times New Roman" w:hAnsi="Times New Roman" w:cs="Times New Roman"/>
                <w:sz w:val="28"/>
                <w:szCs w:val="28"/>
              </w:rPr>
              <w:t>.punkts)</w:t>
            </w:r>
            <w:r>
              <w:rPr>
                <w:rFonts w:ascii="Times New Roman" w:hAnsi="Times New Roman" w:cs="Times New Roman"/>
                <w:sz w:val="28"/>
                <w:szCs w:val="28"/>
              </w:rPr>
              <w:t>;</w:t>
            </w:r>
          </w:p>
          <w:p w:rsidR="00476959" w:rsidRDefault="00476959" w:rsidP="00476959">
            <w:pPr>
              <w:spacing w:after="0" w:line="240" w:lineRule="auto"/>
              <w:ind w:firstLine="418"/>
              <w:jc w:val="both"/>
              <w:rPr>
                <w:rFonts w:ascii="Times New Roman" w:hAnsi="Times New Roman" w:cs="Times New Roman"/>
                <w:sz w:val="28"/>
                <w:szCs w:val="28"/>
              </w:rPr>
            </w:pPr>
            <w:r>
              <w:rPr>
                <w:rFonts w:ascii="Times New Roman" w:hAnsi="Times New Roman" w:cs="Times New Roman"/>
                <w:sz w:val="28"/>
                <w:szCs w:val="28"/>
              </w:rPr>
              <w:t>2) m</w:t>
            </w:r>
            <w:r w:rsidRPr="009C0A03">
              <w:rPr>
                <w:rFonts w:ascii="Times New Roman" w:hAnsi="Times New Roman" w:cs="Times New Roman"/>
                <w:sz w:val="28"/>
                <w:szCs w:val="28"/>
              </w:rPr>
              <w:t>uzeja sagatavotas izglītojošas nodarbības apmeklējums</w:t>
            </w:r>
            <w:r>
              <w:rPr>
                <w:rFonts w:ascii="Times New Roman" w:hAnsi="Times New Roman" w:cs="Times New Roman"/>
                <w:sz w:val="28"/>
                <w:szCs w:val="28"/>
              </w:rPr>
              <w:t xml:space="preserve"> </w:t>
            </w:r>
            <w:r w:rsidRPr="005A65F5">
              <w:rPr>
                <w:rFonts w:ascii="Times New Roman" w:hAnsi="Times New Roman" w:cs="Times New Roman"/>
                <w:sz w:val="28"/>
                <w:szCs w:val="28"/>
              </w:rPr>
              <w:t>(Projekta pielikuma 2.punkts)</w:t>
            </w:r>
            <w:r w:rsidRPr="009C0A03">
              <w:rPr>
                <w:rFonts w:ascii="Times New Roman" w:hAnsi="Times New Roman" w:cs="Times New Roman"/>
                <w:sz w:val="28"/>
                <w:szCs w:val="28"/>
              </w:rPr>
              <w:t>;</w:t>
            </w:r>
          </w:p>
          <w:p w:rsidR="00476959" w:rsidRDefault="00476959" w:rsidP="00476959">
            <w:pPr>
              <w:spacing w:after="0" w:line="240" w:lineRule="auto"/>
              <w:ind w:firstLine="418"/>
              <w:jc w:val="both"/>
              <w:rPr>
                <w:rFonts w:ascii="Times New Roman" w:hAnsi="Times New Roman" w:cs="Times New Roman"/>
                <w:sz w:val="28"/>
                <w:szCs w:val="28"/>
              </w:rPr>
            </w:pPr>
            <w:r>
              <w:rPr>
                <w:rFonts w:ascii="Times New Roman" w:hAnsi="Times New Roman" w:cs="Times New Roman"/>
                <w:sz w:val="28"/>
                <w:szCs w:val="28"/>
              </w:rPr>
              <w:t>3)</w:t>
            </w:r>
            <w:r w:rsidRPr="009C0A03">
              <w:rPr>
                <w:rFonts w:ascii="Times New Roman" w:hAnsi="Times New Roman" w:cs="Times New Roman"/>
                <w:sz w:val="28"/>
                <w:szCs w:val="28"/>
              </w:rPr>
              <w:t xml:space="preserve"> </w:t>
            </w:r>
            <w:r>
              <w:rPr>
                <w:rFonts w:ascii="Times New Roman" w:hAnsi="Times New Roman" w:cs="Times New Roman"/>
                <w:sz w:val="28"/>
                <w:szCs w:val="28"/>
              </w:rPr>
              <w:t xml:space="preserve">lekcija apmeklētāju grupām </w:t>
            </w:r>
            <w:r w:rsidRPr="005A65F5">
              <w:rPr>
                <w:rFonts w:ascii="Times New Roman" w:hAnsi="Times New Roman" w:cs="Times New Roman"/>
                <w:sz w:val="28"/>
                <w:szCs w:val="28"/>
              </w:rPr>
              <w:t xml:space="preserve">(Projekta pielikuma </w:t>
            </w:r>
            <w:r>
              <w:rPr>
                <w:rFonts w:ascii="Times New Roman" w:hAnsi="Times New Roman" w:cs="Times New Roman"/>
                <w:sz w:val="28"/>
                <w:szCs w:val="28"/>
              </w:rPr>
              <w:t>3</w:t>
            </w:r>
            <w:r w:rsidRPr="005A65F5">
              <w:rPr>
                <w:rFonts w:ascii="Times New Roman" w:hAnsi="Times New Roman" w:cs="Times New Roman"/>
                <w:sz w:val="28"/>
                <w:szCs w:val="28"/>
              </w:rPr>
              <w:t>.punkts)</w:t>
            </w:r>
            <w:r>
              <w:rPr>
                <w:rFonts w:ascii="Times New Roman" w:hAnsi="Times New Roman" w:cs="Times New Roman"/>
                <w:sz w:val="28"/>
                <w:szCs w:val="28"/>
              </w:rPr>
              <w:t>;</w:t>
            </w:r>
          </w:p>
          <w:p w:rsidR="00476959" w:rsidRDefault="00476959" w:rsidP="00476959">
            <w:pPr>
              <w:spacing w:after="0" w:line="240" w:lineRule="auto"/>
              <w:ind w:firstLine="418"/>
              <w:jc w:val="both"/>
              <w:rPr>
                <w:rFonts w:ascii="Times New Roman" w:hAnsi="Times New Roman" w:cs="Times New Roman"/>
                <w:sz w:val="28"/>
                <w:szCs w:val="28"/>
              </w:rPr>
            </w:pPr>
            <w:r>
              <w:rPr>
                <w:rFonts w:ascii="Times New Roman" w:hAnsi="Times New Roman" w:cs="Times New Roman"/>
                <w:sz w:val="28"/>
                <w:szCs w:val="28"/>
              </w:rPr>
              <w:t>4) kā arī Projekta pielikuma 4., 8. un 11.punktā noteiktie muzeja publiskie maksas pakalpojumi.</w:t>
            </w:r>
          </w:p>
          <w:p w:rsidR="00476959" w:rsidRDefault="00FE1873" w:rsidP="00476959">
            <w:pPr>
              <w:pStyle w:val="naiskr"/>
              <w:spacing w:before="0" w:after="0"/>
              <w:ind w:right="45" w:firstLine="357"/>
              <w:jc w:val="both"/>
              <w:rPr>
                <w:sz w:val="28"/>
                <w:szCs w:val="28"/>
              </w:rPr>
            </w:pPr>
            <w:r>
              <w:rPr>
                <w:sz w:val="28"/>
                <w:szCs w:val="28"/>
              </w:rPr>
              <w:t>Muzeja publiskie</w:t>
            </w:r>
            <w:r w:rsidR="00476959">
              <w:rPr>
                <w:sz w:val="28"/>
                <w:szCs w:val="28"/>
              </w:rPr>
              <w:t xml:space="preserve"> maksas p</w:t>
            </w:r>
            <w:r w:rsidR="00476959" w:rsidRPr="009C0A03">
              <w:rPr>
                <w:sz w:val="28"/>
                <w:szCs w:val="28"/>
              </w:rPr>
              <w:t>akalpojum</w:t>
            </w:r>
            <w:r w:rsidR="00476959">
              <w:rPr>
                <w:sz w:val="28"/>
                <w:szCs w:val="28"/>
              </w:rPr>
              <w:t>i - „</w:t>
            </w:r>
            <w:r w:rsidR="00476959" w:rsidRPr="009C0A03">
              <w:rPr>
                <w:sz w:val="28"/>
                <w:szCs w:val="28"/>
              </w:rPr>
              <w:t xml:space="preserve">Krājuma izmantošana” </w:t>
            </w:r>
            <w:r w:rsidR="00476959" w:rsidRPr="005A65F5">
              <w:rPr>
                <w:sz w:val="28"/>
                <w:szCs w:val="28"/>
              </w:rPr>
              <w:t>(uz vietas muzeja telpās) (Projekta pielikuma 5.,</w:t>
            </w:r>
            <w:r w:rsidR="00476959">
              <w:rPr>
                <w:sz w:val="28"/>
                <w:szCs w:val="28"/>
              </w:rPr>
              <w:t xml:space="preserve"> </w:t>
            </w:r>
            <w:r w:rsidR="00476959" w:rsidRPr="005A65F5">
              <w:rPr>
                <w:sz w:val="28"/>
                <w:szCs w:val="28"/>
              </w:rPr>
              <w:t>6.,</w:t>
            </w:r>
            <w:r w:rsidR="00476959">
              <w:rPr>
                <w:sz w:val="28"/>
                <w:szCs w:val="28"/>
              </w:rPr>
              <w:t xml:space="preserve"> </w:t>
            </w:r>
            <w:r w:rsidR="00476959" w:rsidRPr="005A65F5">
              <w:rPr>
                <w:sz w:val="28"/>
                <w:szCs w:val="28"/>
              </w:rPr>
              <w:t>7.,</w:t>
            </w:r>
            <w:r w:rsidR="00476959">
              <w:rPr>
                <w:sz w:val="28"/>
                <w:szCs w:val="28"/>
              </w:rPr>
              <w:t xml:space="preserve"> </w:t>
            </w:r>
            <w:r w:rsidR="00476959" w:rsidRPr="005A65F5">
              <w:rPr>
                <w:sz w:val="28"/>
                <w:szCs w:val="28"/>
              </w:rPr>
              <w:t>9. un 10.punkts)</w:t>
            </w:r>
            <w:r w:rsidR="00353BB8">
              <w:rPr>
                <w:sz w:val="28"/>
                <w:szCs w:val="28"/>
              </w:rPr>
              <w:t xml:space="preserve"> uz šo brīdi</w:t>
            </w:r>
            <w:r w:rsidR="00476959">
              <w:rPr>
                <w:sz w:val="28"/>
                <w:szCs w:val="28"/>
              </w:rPr>
              <w:t xml:space="preserve"> </w:t>
            </w:r>
            <w:r w:rsidR="00476959" w:rsidRPr="009C0A03">
              <w:rPr>
                <w:sz w:val="28"/>
                <w:szCs w:val="28"/>
              </w:rPr>
              <w:t>ti</w:t>
            </w:r>
            <w:r w:rsidR="00476959">
              <w:rPr>
                <w:sz w:val="28"/>
                <w:szCs w:val="28"/>
              </w:rPr>
              <w:t>e</w:t>
            </w:r>
            <w:r w:rsidR="00476959" w:rsidRPr="009C0A03">
              <w:rPr>
                <w:sz w:val="28"/>
                <w:szCs w:val="28"/>
              </w:rPr>
              <w:t xml:space="preserve">k </w:t>
            </w:r>
            <w:r w:rsidR="00476959">
              <w:rPr>
                <w:sz w:val="28"/>
                <w:szCs w:val="28"/>
              </w:rPr>
              <w:t xml:space="preserve">nodrošināti </w:t>
            </w:r>
            <w:r w:rsidR="00BE0168">
              <w:rPr>
                <w:sz w:val="28"/>
                <w:szCs w:val="28"/>
              </w:rPr>
              <w:t xml:space="preserve">- </w:t>
            </w:r>
            <w:r w:rsidR="00476959">
              <w:rPr>
                <w:sz w:val="28"/>
                <w:szCs w:val="28"/>
              </w:rPr>
              <w:t xml:space="preserve">Rīgā, </w:t>
            </w:r>
            <w:r w:rsidR="00476959" w:rsidRPr="009C0A03">
              <w:rPr>
                <w:sz w:val="28"/>
                <w:szCs w:val="28"/>
              </w:rPr>
              <w:t xml:space="preserve">Tērbatas ielā 75 līdz krātuvju kompleksa </w:t>
            </w:r>
            <w:r w:rsidR="00476959">
              <w:rPr>
                <w:sz w:val="28"/>
                <w:szCs w:val="28"/>
              </w:rPr>
              <w:t xml:space="preserve">Rīgā, </w:t>
            </w:r>
            <w:r w:rsidR="00353BB8">
              <w:rPr>
                <w:sz w:val="28"/>
                <w:szCs w:val="28"/>
              </w:rPr>
              <w:t>Pulka ielā 8</w:t>
            </w:r>
            <w:r w:rsidR="00476959" w:rsidRPr="009C0A03">
              <w:rPr>
                <w:sz w:val="28"/>
                <w:szCs w:val="28"/>
              </w:rPr>
              <w:t xml:space="preserve"> nodošanai ekspluatācijā</w:t>
            </w:r>
            <w:r w:rsidR="00476959">
              <w:rPr>
                <w:sz w:val="28"/>
                <w:szCs w:val="28"/>
              </w:rPr>
              <w:t xml:space="preserve">, kad šo muzeja pakalpojumu sniegšana turpmāk tiks nodrošināta Rīgā, </w:t>
            </w:r>
            <w:r w:rsidR="00476959" w:rsidRPr="009C0A03">
              <w:rPr>
                <w:sz w:val="28"/>
                <w:szCs w:val="28"/>
              </w:rPr>
              <w:t>Pulka ielā 8</w:t>
            </w:r>
            <w:r w:rsidR="00476959">
              <w:rPr>
                <w:sz w:val="28"/>
                <w:szCs w:val="28"/>
              </w:rPr>
              <w:t>.</w:t>
            </w:r>
          </w:p>
          <w:p w:rsidR="00542D1A" w:rsidRDefault="00EC6B18" w:rsidP="00542D1A">
            <w:pPr>
              <w:pStyle w:val="naiskr"/>
              <w:spacing w:before="0" w:after="0"/>
              <w:ind w:right="45" w:firstLine="357"/>
              <w:jc w:val="both"/>
              <w:rPr>
                <w:sz w:val="28"/>
                <w:szCs w:val="28"/>
              </w:rPr>
            </w:pPr>
            <w:r>
              <w:rPr>
                <w:sz w:val="28"/>
                <w:szCs w:val="28"/>
              </w:rPr>
              <w:t>Lai veicinātu muzeja ekspozīciju apskati, izvērtējot muzeja budžeta iespējas un specifiku, tajā skaitā apmeklētību un pakalpojumu apjomu,</w:t>
            </w:r>
            <w:r>
              <w:rPr>
                <w:bCs/>
                <w:sz w:val="28"/>
                <w:szCs w:val="28"/>
              </w:rPr>
              <w:t xml:space="preserve"> </w:t>
            </w:r>
            <w:r w:rsidR="00AF05ED">
              <w:rPr>
                <w:bCs/>
                <w:sz w:val="28"/>
                <w:szCs w:val="28"/>
              </w:rPr>
              <w:t>P</w:t>
            </w:r>
            <w:r>
              <w:rPr>
                <w:bCs/>
                <w:sz w:val="28"/>
                <w:szCs w:val="28"/>
              </w:rPr>
              <w:t xml:space="preserve">rojekta 3.punktā </w:t>
            </w:r>
            <w:r>
              <w:rPr>
                <w:sz w:val="28"/>
                <w:szCs w:val="28"/>
              </w:rPr>
              <w:t>ir notei</w:t>
            </w:r>
            <w:r w:rsidR="00BC3062">
              <w:rPr>
                <w:sz w:val="28"/>
                <w:szCs w:val="28"/>
              </w:rPr>
              <w:t>ktas</w:t>
            </w:r>
            <w:r>
              <w:rPr>
                <w:sz w:val="28"/>
                <w:szCs w:val="28"/>
              </w:rPr>
              <w:t xml:space="preserve"> </w:t>
            </w:r>
            <w:r w:rsidR="00353BB8">
              <w:rPr>
                <w:sz w:val="28"/>
                <w:szCs w:val="28"/>
              </w:rPr>
              <w:t xml:space="preserve">muzeja </w:t>
            </w:r>
            <w:r>
              <w:rPr>
                <w:sz w:val="28"/>
                <w:szCs w:val="28"/>
              </w:rPr>
              <w:t xml:space="preserve">apmeklētāju grupas, </w:t>
            </w:r>
            <w:r w:rsidR="00C8514D" w:rsidRPr="00C8514D">
              <w:rPr>
                <w:sz w:val="28"/>
                <w:szCs w:val="28"/>
              </w:rPr>
              <w:t>kuras ir atbrīvotas no maksas</w:t>
            </w:r>
            <w:r w:rsidR="00AF05ED">
              <w:rPr>
                <w:sz w:val="28"/>
                <w:szCs w:val="28"/>
              </w:rPr>
              <w:t xml:space="preserve"> par </w:t>
            </w:r>
            <w:r w:rsidR="00BC3062">
              <w:rPr>
                <w:sz w:val="28"/>
                <w:szCs w:val="28"/>
              </w:rPr>
              <w:t>muzeja publisko maksas pakalpojumu cenrāža pielikuma</w:t>
            </w:r>
            <w:r w:rsidR="002164E3">
              <w:rPr>
                <w:sz w:val="28"/>
                <w:szCs w:val="28"/>
              </w:rPr>
              <w:t xml:space="preserve"> 1.</w:t>
            </w:r>
            <w:r w:rsidR="001E3ECD">
              <w:rPr>
                <w:sz w:val="28"/>
                <w:szCs w:val="28"/>
              </w:rPr>
              <w:t>1.apakš</w:t>
            </w:r>
            <w:r w:rsidR="002164E3">
              <w:rPr>
                <w:sz w:val="28"/>
                <w:szCs w:val="28"/>
              </w:rPr>
              <w:t xml:space="preserve">punktā </w:t>
            </w:r>
            <w:r w:rsidR="00BC3062">
              <w:rPr>
                <w:sz w:val="28"/>
                <w:szCs w:val="28"/>
              </w:rPr>
              <w:t>noteikto muzeja sniegto</w:t>
            </w:r>
            <w:r w:rsidR="00DC15CA">
              <w:rPr>
                <w:sz w:val="28"/>
                <w:szCs w:val="28"/>
              </w:rPr>
              <w:t xml:space="preserve"> pakalpojum</w:t>
            </w:r>
            <w:r w:rsidR="001E3ECD">
              <w:rPr>
                <w:sz w:val="28"/>
                <w:szCs w:val="28"/>
              </w:rPr>
              <w:t>u</w:t>
            </w:r>
            <w:r w:rsidR="00DC15CA">
              <w:rPr>
                <w:sz w:val="28"/>
                <w:szCs w:val="28"/>
              </w:rPr>
              <w:t xml:space="preserve"> – </w:t>
            </w:r>
            <w:r w:rsidR="001E3ECD">
              <w:rPr>
                <w:sz w:val="28"/>
                <w:szCs w:val="28"/>
              </w:rPr>
              <w:t>„</w:t>
            </w:r>
            <w:r w:rsidR="00DC15CA">
              <w:rPr>
                <w:sz w:val="28"/>
                <w:szCs w:val="28"/>
              </w:rPr>
              <w:t>pastāvīgās ekspozīcijas apskate</w:t>
            </w:r>
            <w:r w:rsidR="00BC3062">
              <w:rPr>
                <w:sz w:val="28"/>
                <w:szCs w:val="28"/>
              </w:rPr>
              <w:t>”</w:t>
            </w:r>
            <w:r w:rsidR="00542D1A">
              <w:rPr>
                <w:sz w:val="28"/>
                <w:szCs w:val="28"/>
              </w:rPr>
              <w:t>.</w:t>
            </w:r>
            <w:r w:rsidR="005047DC">
              <w:rPr>
                <w:sz w:val="28"/>
                <w:szCs w:val="28"/>
              </w:rPr>
              <w:t xml:space="preserve"> </w:t>
            </w:r>
            <w:r w:rsidR="00542D1A">
              <w:rPr>
                <w:sz w:val="28"/>
                <w:szCs w:val="28"/>
              </w:rPr>
              <w:t>Saskaņā ar m</w:t>
            </w:r>
            <w:r w:rsidR="00542D1A" w:rsidRPr="00976A0A">
              <w:rPr>
                <w:sz w:val="28"/>
                <w:szCs w:val="28"/>
              </w:rPr>
              <w:t xml:space="preserve">uzeja </w:t>
            </w:r>
            <w:r w:rsidR="00542D1A">
              <w:rPr>
                <w:sz w:val="28"/>
                <w:szCs w:val="28"/>
              </w:rPr>
              <w:t>izstrādātajiem plānošanas dokumentiem („Komunikācijas politika” un „Pieejamības politika”) muzeja</w:t>
            </w:r>
            <w:r w:rsidR="00542D1A" w:rsidRPr="00976A0A">
              <w:rPr>
                <w:sz w:val="28"/>
                <w:szCs w:val="28"/>
              </w:rPr>
              <w:t xml:space="preserve"> publisko</w:t>
            </w:r>
            <w:r w:rsidR="00542D1A">
              <w:rPr>
                <w:sz w:val="28"/>
                <w:szCs w:val="28"/>
              </w:rPr>
              <w:t xml:space="preserve"> maksas pakalpojumu cenu politika nosaka, ka sabiedrības grupai „Izglītojamie” Projekta pielikuma 1.1.apakšpunktā noteiktais pakalpojums „P</w:t>
            </w:r>
            <w:r w:rsidR="00542D1A" w:rsidRPr="00976A0A">
              <w:rPr>
                <w:sz w:val="28"/>
                <w:szCs w:val="28"/>
              </w:rPr>
              <w:t>as</w:t>
            </w:r>
            <w:r w:rsidR="00542D1A">
              <w:rPr>
                <w:sz w:val="28"/>
                <w:szCs w:val="28"/>
              </w:rPr>
              <w:t>tāvīgās ekspozīcijas apskate”</w:t>
            </w:r>
            <w:r w:rsidR="00542D1A" w:rsidRPr="00976A0A">
              <w:rPr>
                <w:sz w:val="28"/>
                <w:szCs w:val="28"/>
              </w:rPr>
              <w:t xml:space="preserve"> </w:t>
            </w:r>
            <w:r w:rsidR="00542D1A">
              <w:rPr>
                <w:sz w:val="28"/>
                <w:szCs w:val="28"/>
              </w:rPr>
              <w:t>ir pieejams</w:t>
            </w:r>
            <w:r w:rsidR="00542D1A" w:rsidRPr="00976A0A">
              <w:rPr>
                <w:sz w:val="28"/>
                <w:szCs w:val="28"/>
              </w:rPr>
              <w:t xml:space="preserve"> bez maksas.</w:t>
            </w:r>
            <w:r w:rsidR="005047DC">
              <w:rPr>
                <w:sz w:val="28"/>
                <w:szCs w:val="28"/>
              </w:rPr>
              <w:t xml:space="preserve"> Projekta 5.punktā ir noteiktas apmeklētāju grupas, </w:t>
            </w:r>
            <w:r w:rsidR="005047DC" w:rsidRPr="00C8514D">
              <w:rPr>
                <w:sz w:val="28"/>
                <w:szCs w:val="28"/>
              </w:rPr>
              <w:t>kuras ir atbrīvotas no maksas</w:t>
            </w:r>
            <w:r w:rsidR="005047DC">
              <w:rPr>
                <w:sz w:val="28"/>
                <w:szCs w:val="28"/>
              </w:rPr>
              <w:t xml:space="preserve"> par muzeja publisko maksas pakalpojumu cenrāža pielikuma </w:t>
            </w:r>
            <w:r w:rsidR="005047DC" w:rsidRPr="00CD5BB3">
              <w:rPr>
                <w:sz w:val="28"/>
                <w:szCs w:val="28"/>
              </w:rPr>
              <w:t>1.2. – 1.4.apakšpunktā</w:t>
            </w:r>
            <w:r w:rsidR="005047DC">
              <w:rPr>
                <w:sz w:val="28"/>
                <w:szCs w:val="28"/>
              </w:rPr>
              <w:t>, 2.punktā un 3.1.apakšpunktā</w:t>
            </w:r>
            <w:r w:rsidR="005047DC" w:rsidRPr="00CD5BB3">
              <w:rPr>
                <w:sz w:val="28"/>
                <w:szCs w:val="28"/>
              </w:rPr>
              <w:t xml:space="preserve"> </w:t>
            </w:r>
            <w:r w:rsidR="005047DC">
              <w:rPr>
                <w:sz w:val="28"/>
                <w:szCs w:val="28"/>
              </w:rPr>
              <w:t>noteiktajiem muzeja sniegtajiem pakalpojumiem.</w:t>
            </w:r>
          </w:p>
          <w:p w:rsidR="000D6D5C" w:rsidRDefault="000D6D5C" w:rsidP="002C34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Projekta </w:t>
            </w:r>
            <w:r w:rsidR="00887A11">
              <w:rPr>
                <w:rFonts w:ascii="Times New Roman" w:hAnsi="Times New Roman" w:cs="Times New Roman"/>
                <w:sz w:val="28"/>
                <w:szCs w:val="28"/>
              </w:rPr>
              <w:t>7</w:t>
            </w:r>
            <w:r>
              <w:rPr>
                <w:rFonts w:ascii="Times New Roman" w:hAnsi="Times New Roman" w:cs="Times New Roman"/>
                <w:sz w:val="28"/>
                <w:szCs w:val="28"/>
              </w:rPr>
              <w:t>.punkts nosaka, ka m</w:t>
            </w:r>
            <w:r w:rsidR="00EC6B18" w:rsidRPr="009C0A03">
              <w:rPr>
                <w:rFonts w:ascii="Times New Roman" w:hAnsi="Times New Roman" w:cs="Times New Roman"/>
                <w:sz w:val="28"/>
                <w:szCs w:val="28"/>
              </w:rPr>
              <w:t>uzeja iknedēļas darba laikā</w:t>
            </w:r>
            <w:r w:rsidR="00EC6B18" w:rsidRPr="00F66065">
              <w:rPr>
                <w:rFonts w:ascii="Times New Roman" w:hAnsi="Times New Roman" w:cs="Times New Roman"/>
                <w:sz w:val="28"/>
                <w:szCs w:val="28"/>
              </w:rPr>
              <w:t xml:space="preserve"> - no </w:t>
            </w:r>
            <w:r w:rsidR="00210333" w:rsidRPr="005A523D">
              <w:rPr>
                <w:rFonts w:ascii="Times New Roman" w:hAnsi="Times New Roman" w:cs="Times New Roman"/>
                <w:sz w:val="28"/>
                <w:szCs w:val="28"/>
              </w:rPr>
              <w:t>pirmdienas</w:t>
            </w:r>
            <w:r w:rsidR="00EC6B18" w:rsidRPr="005A523D">
              <w:rPr>
                <w:rFonts w:ascii="Times New Roman" w:hAnsi="Times New Roman" w:cs="Times New Roman"/>
                <w:sz w:val="28"/>
                <w:szCs w:val="28"/>
              </w:rPr>
              <w:t xml:space="preserve"> līdz svētdienai</w:t>
            </w:r>
            <w:r w:rsidR="00EC6B18" w:rsidRPr="00F66065">
              <w:rPr>
                <w:rFonts w:ascii="Times New Roman" w:hAnsi="Times New Roman" w:cs="Times New Roman"/>
                <w:sz w:val="28"/>
                <w:szCs w:val="28"/>
              </w:rPr>
              <w:t xml:space="preserve"> muzeja darba </w:t>
            </w:r>
            <w:r w:rsidR="00EC6B18" w:rsidRPr="002C0F1E">
              <w:rPr>
                <w:rFonts w:ascii="Times New Roman" w:hAnsi="Times New Roman" w:cs="Times New Roman"/>
                <w:sz w:val="28"/>
                <w:szCs w:val="28"/>
              </w:rPr>
              <w:t xml:space="preserve">dienas pēdējā stundā </w:t>
            </w:r>
            <w:r w:rsidR="00E7625B" w:rsidRPr="002C0F1E">
              <w:rPr>
                <w:rFonts w:ascii="Times New Roman" w:hAnsi="Times New Roman" w:cs="Times New Roman"/>
                <w:sz w:val="28"/>
                <w:szCs w:val="28"/>
              </w:rPr>
              <w:t xml:space="preserve">(par Projekta pielikuma </w:t>
            </w:r>
            <w:r w:rsidR="00E36B28" w:rsidRPr="00E36B28">
              <w:rPr>
                <w:rFonts w:ascii="Times New Roman" w:hAnsi="Times New Roman" w:cs="Times New Roman"/>
                <w:sz w:val="28"/>
                <w:szCs w:val="28"/>
              </w:rPr>
              <w:t>1.punktā</w:t>
            </w:r>
            <w:r w:rsidR="00E7625B" w:rsidRPr="002C0F1E">
              <w:rPr>
                <w:rFonts w:ascii="Times New Roman" w:hAnsi="Times New Roman" w:cs="Times New Roman"/>
                <w:sz w:val="28"/>
                <w:szCs w:val="28"/>
              </w:rPr>
              <w:t xml:space="preserve"> noteiktiem </w:t>
            </w:r>
            <w:r w:rsidR="00E7625B" w:rsidRPr="000D6D5C">
              <w:rPr>
                <w:rFonts w:ascii="Times New Roman" w:hAnsi="Times New Roman" w:cs="Times New Roman"/>
                <w:sz w:val="28"/>
                <w:szCs w:val="28"/>
              </w:rPr>
              <w:t>pakalpojumiem)</w:t>
            </w:r>
            <w:r w:rsidRPr="000D6D5C">
              <w:rPr>
                <w:rFonts w:ascii="Times New Roman" w:hAnsi="Times New Roman" w:cs="Times New Roman"/>
                <w:sz w:val="28"/>
                <w:szCs w:val="28"/>
              </w:rPr>
              <w:t xml:space="preserve">, bet Projekta </w:t>
            </w:r>
            <w:r w:rsidR="00887A11">
              <w:rPr>
                <w:rFonts w:ascii="Times New Roman" w:hAnsi="Times New Roman" w:cs="Times New Roman"/>
                <w:sz w:val="28"/>
                <w:szCs w:val="28"/>
              </w:rPr>
              <w:t>8</w:t>
            </w:r>
            <w:r w:rsidRPr="000D6D5C">
              <w:rPr>
                <w:rFonts w:ascii="Times New Roman" w:hAnsi="Times New Roman" w:cs="Times New Roman"/>
                <w:sz w:val="28"/>
                <w:szCs w:val="28"/>
              </w:rPr>
              <w:t xml:space="preserve">.punktā </w:t>
            </w:r>
            <w:r>
              <w:rPr>
                <w:rFonts w:ascii="Times New Roman" w:hAnsi="Times New Roman" w:cs="Times New Roman"/>
                <w:sz w:val="28"/>
                <w:szCs w:val="28"/>
              </w:rPr>
              <w:t xml:space="preserve">- </w:t>
            </w:r>
            <w:r w:rsidR="00EC6B18" w:rsidRPr="000D6D5C">
              <w:rPr>
                <w:rFonts w:ascii="Times New Roman" w:hAnsi="Times New Roman" w:cs="Times New Roman"/>
                <w:sz w:val="28"/>
                <w:szCs w:val="28"/>
              </w:rPr>
              <w:t>katra mēneša pēdējā svētdiena</w:t>
            </w:r>
            <w:r w:rsidR="00E7625B" w:rsidRPr="000D6D5C">
              <w:rPr>
                <w:rFonts w:ascii="Times New Roman" w:hAnsi="Times New Roman" w:cs="Times New Roman"/>
                <w:sz w:val="28"/>
                <w:szCs w:val="28"/>
              </w:rPr>
              <w:t xml:space="preserve"> (par </w:t>
            </w:r>
            <w:r w:rsidRPr="000D6D5C">
              <w:rPr>
                <w:rFonts w:ascii="Times New Roman" w:hAnsi="Times New Roman" w:cs="Times New Roman"/>
                <w:sz w:val="28"/>
                <w:szCs w:val="28"/>
              </w:rPr>
              <w:t xml:space="preserve">muzeja publisko maksas pakalpojumu cenrāža pielikuma </w:t>
            </w:r>
            <w:r>
              <w:rPr>
                <w:rFonts w:ascii="Times New Roman" w:hAnsi="Times New Roman" w:cs="Times New Roman"/>
                <w:sz w:val="28"/>
                <w:szCs w:val="28"/>
              </w:rPr>
              <w:t xml:space="preserve">   </w:t>
            </w:r>
            <w:r w:rsidRPr="006352F5">
              <w:rPr>
                <w:rFonts w:ascii="Times New Roman" w:hAnsi="Times New Roman"/>
                <w:sz w:val="28"/>
                <w:szCs w:val="28"/>
              </w:rPr>
              <w:t>1.1.1</w:t>
            </w:r>
            <w:r>
              <w:rPr>
                <w:rFonts w:ascii="Times New Roman" w:hAnsi="Times New Roman"/>
                <w:sz w:val="28"/>
                <w:szCs w:val="28"/>
              </w:rPr>
              <w:t>.</w:t>
            </w:r>
            <w:r w:rsidRPr="006352F5">
              <w:rPr>
                <w:rFonts w:ascii="Times New Roman" w:hAnsi="Times New Roman"/>
                <w:sz w:val="28"/>
                <w:szCs w:val="28"/>
              </w:rPr>
              <w:t xml:space="preserve"> </w:t>
            </w:r>
            <w:r>
              <w:rPr>
                <w:rFonts w:ascii="Times New Roman" w:hAnsi="Times New Roman"/>
                <w:sz w:val="28"/>
                <w:szCs w:val="28"/>
              </w:rPr>
              <w:t>-</w:t>
            </w:r>
            <w:r w:rsidRPr="006352F5">
              <w:rPr>
                <w:rFonts w:ascii="Times New Roman" w:hAnsi="Times New Roman"/>
                <w:sz w:val="28"/>
                <w:szCs w:val="28"/>
              </w:rPr>
              <w:t xml:space="preserve"> 1.1.4</w:t>
            </w:r>
            <w:r>
              <w:rPr>
                <w:rFonts w:ascii="Times New Roman" w:hAnsi="Times New Roman"/>
                <w:sz w:val="28"/>
                <w:szCs w:val="28"/>
              </w:rPr>
              <w:t>.,</w:t>
            </w:r>
            <w:r w:rsidRPr="006352F5">
              <w:rPr>
                <w:rFonts w:ascii="Times New Roman" w:hAnsi="Times New Roman"/>
                <w:sz w:val="28"/>
                <w:szCs w:val="28"/>
              </w:rPr>
              <w:t xml:space="preserve"> 1.2.1. – 1.2.4</w:t>
            </w:r>
            <w:r>
              <w:rPr>
                <w:rFonts w:ascii="Times New Roman" w:hAnsi="Times New Roman"/>
                <w:sz w:val="28"/>
                <w:szCs w:val="28"/>
              </w:rPr>
              <w:t>.,</w:t>
            </w:r>
            <w:r w:rsidRPr="006352F5">
              <w:rPr>
                <w:rFonts w:ascii="Times New Roman" w:hAnsi="Times New Roman"/>
                <w:sz w:val="28"/>
                <w:szCs w:val="28"/>
              </w:rPr>
              <w:t xml:space="preserve"> 1.3.1. – 1.3.4</w:t>
            </w:r>
            <w:r>
              <w:rPr>
                <w:rFonts w:ascii="Times New Roman" w:hAnsi="Times New Roman"/>
                <w:sz w:val="28"/>
                <w:szCs w:val="28"/>
              </w:rPr>
              <w:t>.,</w:t>
            </w:r>
            <w:r w:rsidRPr="006352F5">
              <w:rPr>
                <w:rFonts w:ascii="Times New Roman" w:hAnsi="Times New Roman"/>
                <w:sz w:val="28"/>
                <w:szCs w:val="28"/>
              </w:rPr>
              <w:t xml:space="preserve"> 1.4.1. – 1.4.3</w:t>
            </w:r>
            <w:r>
              <w:rPr>
                <w:rFonts w:ascii="Times New Roman" w:hAnsi="Times New Roman"/>
                <w:sz w:val="28"/>
                <w:szCs w:val="28"/>
              </w:rPr>
              <w:t>.apakš</w:t>
            </w:r>
            <w:r w:rsidRPr="006352F5">
              <w:rPr>
                <w:rFonts w:ascii="Times New Roman" w:hAnsi="Times New Roman"/>
                <w:sz w:val="28"/>
                <w:szCs w:val="28"/>
              </w:rPr>
              <w:t>punktā minētajiem</w:t>
            </w:r>
            <w:r>
              <w:rPr>
                <w:rFonts w:ascii="Times New Roman" w:hAnsi="Times New Roman"/>
                <w:sz w:val="28"/>
                <w:szCs w:val="28"/>
              </w:rPr>
              <w:t xml:space="preserve"> pakalpojumiem</w:t>
            </w:r>
            <w:r w:rsidR="00E7625B" w:rsidRPr="002C0F1E">
              <w:rPr>
                <w:rFonts w:ascii="Times New Roman" w:hAnsi="Times New Roman" w:cs="Times New Roman"/>
                <w:sz w:val="28"/>
                <w:szCs w:val="28"/>
              </w:rPr>
              <w:t>)</w:t>
            </w:r>
            <w:r w:rsidR="00EC6B18" w:rsidRPr="002C0F1E">
              <w:rPr>
                <w:rFonts w:ascii="Times New Roman" w:hAnsi="Times New Roman" w:cs="Times New Roman"/>
                <w:sz w:val="28"/>
                <w:szCs w:val="28"/>
              </w:rPr>
              <w:t xml:space="preserve"> ir</w:t>
            </w:r>
            <w:r w:rsidR="00EC6B18" w:rsidRPr="00F66065">
              <w:rPr>
                <w:rFonts w:ascii="Times New Roman" w:hAnsi="Times New Roman" w:cs="Times New Roman"/>
                <w:sz w:val="28"/>
                <w:szCs w:val="28"/>
              </w:rPr>
              <w:t xml:space="preserve"> noteikts muzeja bezmaksas ap</w:t>
            </w:r>
            <w:r>
              <w:rPr>
                <w:rFonts w:ascii="Times New Roman" w:hAnsi="Times New Roman" w:cs="Times New Roman"/>
                <w:sz w:val="28"/>
                <w:szCs w:val="28"/>
              </w:rPr>
              <w:t>meklējums visiem interesentiem.</w:t>
            </w:r>
          </w:p>
          <w:p w:rsidR="002C34FF" w:rsidRPr="002C34FF" w:rsidRDefault="00887A11" w:rsidP="002C34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Projekta 4</w:t>
            </w:r>
            <w:r w:rsidR="002C34FF" w:rsidRPr="002C34FF">
              <w:rPr>
                <w:rFonts w:ascii="Times New Roman" w:hAnsi="Times New Roman" w:cs="Times New Roman"/>
                <w:sz w:val="28"/>
                <w:szCs w:val="28"/>
              </w:rPr>
              <w:t>.punkts nosaka, ka muzeja rīkoto pasākumu laikā maksu</w:t>
            </w:r>
            <w:r w:rsidR="002C34FF" w:rsidRPr="002C34FF" w:rsidDel="00413AA3">
              <w:rPr>
                <w:rFonts w:ascii="Times New Roman" w:hAnsi="Times New Roman" w:cs="Times New Roman"/>
                <w:sz w:val="28"/>
                <w:szCs w:val="28"/>
              </w:rPr>
              <w:t xml:space="preserve"> </w:t>
            </w:r>
            <w:r w:rsidR="002C34FF" w:rsidRPr="002C34FF">
              <w:rPr>
                <w:rFonts w:ascii="Times New Roman" w:hAnsi="Times New Roman" w:cs="Times New Roman"/>
                <w:sz w:val="28"/>
                <w:szCs w:val="28"/>
              </w:rPr>
              <w:t>par cenrāža 1. un 2.punktā minētajiem pakalpojumiem neiekasē no muzeja pasākumu mākslinieciskā procesa nodrošinātājiem, pasākumu goda viesiem, izglītības un kultūras nozares institūciju pārstāvjiem, valsts reprezentatīvās funkcijas nodrošinātājiem un pasākumu atbalstītājiem (sponsoriem) (uzrādot muzeja ielūgumu vai ieejas karti), nepārsniedzot 0,5 % apmeklējumus no kopējā biļešu skaita gada laikā. Minētais regulējums nepieciešams, lai nodrošinātu valsts augstāko amatpersonu, citu amatpersonu, tai skaitā izglītības un kultūras nozares institūciju pārstāvju, un muzeja sadarbības partneru, kuri ir līdzdarbojušies muzeja funkciju un uzdevumu īstenošanā, attīstības veicināšanā un muzeja kultūrvēsturiskās vides sakārtošanas darbos, dalību muzeja rīkotajos pasākumos.</w:t>
            </w:r>
          </w:p>
          <w:p w:rsidR="00C52B38" w:rsidRDefault="00E7625B" w:rsidP="00C52B38">
            <w:pPr>
              <w:spacing w:after="0" w:line="240" w:lineRule="auto"/>
              <w:ind w:firstLine="720"/>
              <w:jc w:val="both"/>
              <w:rPr>
                <w:rFonts w:ascii="Times New Roman" w:hAnsi="Times New Roman" w:cs="Times New Roman"/>
                <w:sz w:val="28"/>
                <w:szCs w:val="28"/>
              </w:rPr>
            </w:pPr>
            <w:r w:rsidRPr="002C34FF">
              <w:rPr>
                <w:rFonts w:ascii="Times New Roman" w:hAnsi="Times New Roman" w:cs="Times New Roman"/>
                <w:sz w:val="28"/>
                <w:szCs w:val="28"/>
              </w:rPr>
              <w:t>Lai veicinātu muzeja</w:t>
            </w:r>
            <w:r w:rsidR="00A71198" w:rsidRPr="002C34FF">
              <w:rPr>
                <w:rFonts w:ascii="Times New Roman" w:hAnsi="Times New Roman" w:cs="Times New Roman"/>
                <w:sz w:val="28"/>
                <w:szCs w:val="28"/>
              </w:rPr>
              <w:t xml:space="preserve"> ekspozīciju pieejamību, </w:t>
            </w:r>
            <w:r w:rsidR="00AF05ED" w:rsidRPr="002C34FF">
              <w:rPr>
                <w:rFonts w:ascii="Times New Roman" w:hAnsi="Times New Roman" w:cs="Times New Roman"/>
                <w:sz w:val="28"/>
                <w:szCs w:val="28"/>
              </w:rPr>
              <w:t>P</w:t>
            </w:r>
            <w:r w:rsidR="00BF65E6" w:rsidRPr="002C34FF">
              <w:rPr>
                <w:rFonts w:ascii="Times New Roman" w:hAnsi="Times New Roman" w:cs="Times New Roman"/>
                <w:sz w:val="28"/>
                <w:szCs w:val="28"/>
              </w:rPr>
              <w:t xml:space="preserve">rojekta </w:t>
            </w:r>
            <w:r w:rsidR="00887A11">
              <w:rPr>
                <w:rFonts w:ascii="Times New Roman" w:hAnsi="Times New Roman" w:cs="Times New Roman"/>
                <w:sz w:val="28"/>
                <w:szCs w:val="28"/>
              </w:rPr>
              <w:t>11</w:t>
            </w:r>
            <w:r w:rsidR="00BF65E6" w:rsidRPr="002C34FF">
              <w:rPr>
                <w:rFonts w:ascii="Times New Roman" w:hAnsi="Times New Roman" w:cs="Times New Roman"/>
                <w:sz w:val="28"/>
                <w:szCs w:val="28"/>
              </w:rPr>
              <w:t xml:space="preserve">.punktā </w:t>
            </w:r>
            <w:r w:rsidR="00A71198" w:rsidRPr="002C34FF">
              <w:rPr>
                <w:rFonts w:ascii="Times New Roman" w:hAnsi="Times New Roman" w:cs="Times New Roman"/>
                <w:sz w:val="28"/>
                <w:szCs w:val="28"/>
              </w:rPr>
              <w:t xml:space="preserve">ir </w:t>
            </w:r>
            <w:r w:rsidR="00BF65E6" w:rsidRPr="002C34FF">
              <w:rPr>
                <w:rFonts w:ascii="Times New Roman" w:hAnsi="Times New Roman" w:cs="Times New Roman"/>
                <w:sz w:val="28"/>
                <w:szCs w:val="28"/>
              </w:rPr>
              <w:t>noteikt</w:t>
            </w:r>
            <w:r w:rsidR="00A71198" w:rsidRPr="002C34FF">
              <w:rPr>
                <w:rFonts w:ascii="Times New Roman" w:hAnsi="Times New Roman" w:cs="Times New Roman"/>
                <w:sz w:val="28"/>
                <w:szCs w:val="28"/>
              </w:rPr>
              <w:t>s</w:t>
            </w:r>
            <w:r w:rsidR="00BF65E6" w:rsidRPr="002C34FF">
              <w:rPr>
                <w:rFonts w:ascii="Times New Roman" w:hAnsi="Times New Roman" w:cs="Times New Roman"/>
                <w:sz w:val="28"/>
                <w:szCs w:val="28"/>
              </w:rPr>
              <w:t>,</w:t>
            </w:r>
            <w:r w:rsidR="00BF65E6">
              <w:rPr>
                <w:rFonts w:ascii="Times New Roman" w:hAnsi="Times New Roman" w:cs="Times New Roman"/>
                <w:sz w:val="28"/>
                <w:szCs w:val="28"/>
              </w:rPr>
              <w:t xml:space="preserve"> </w:t>
            </w:r>
            <w:r w:rsidR="00A71198">
              <w:rPr>
                <w:rFonts w:ascii="Times New Roman" w:hAnsi="Times New Roman" w:cs="Times New Roman"/>
                <w:sz w:val="28"/>
                <w:szCs w:val="28"/>
              </w:rPr>
              <w:t>ka m</w:t>
            </w:r>
            <w:r w:rsidR="00A71198" w:rsidRPr="00A62EB0">
              <w:rPr>
                <w:rFonts w:ascii="Times New Roman" w:hAnsi="Times New Roman" w:cs="Times New Roman"/>
                <w:sz w:val="28"/>
                <w:szCs w:val="28"/>
              </w:rPr>
              <w:t xml:space="preserve">uzeja noteiktajās akciju dienās </w:t>
            </w:r>
            <w:r w:rsidR="00A71198">
              <w:rPr>
                <w:rFonts w:ascii="Times New Roman" w:hAnsi="Times New Roman"/>
                <w:sz w:val="28"/>
                <w:szCs w:val="28"/>
              </w:rPr>
              <w:t xml:space="preserve">par </w:t>
            </w:r>
            <w:r w:rsidR="00AF05ED">
              <w:rPr>
                <w:rFonts w:ascii="Times New Roman" w:hAnsi="Times New Roman"/>
                <w:sz w:val="28"/>
                <w:szCs w:val="28"/>
              </w:rPr>
              <w:t xml:space="preserve">Projekta </w:t>
            </w:r>
            <w:r w:rsidR="00AF05ED" w:rsidRPr="00476959">
              <w:rPr>
                <w:rFonts w:ascii="Times New Roman" w:hAnsi="Times New Roman" w:cs="Times New Roman"/>
                <w:sz w:val="28"/>
                <w:szCs w:val="28"/>
              </w:rPr>
              <w:t>pielikuma</w:t>
            </w:r>
            <w:r w:rsidR="00A71198" w:rsidRPr="00476959">
              <w:rPr>
                <w:rFonts w:ascii="Times New Roman" w:hAnsi="Times New Roman" w:cs="Times New Roman"/>
                <w:sz w:val="28"/>
                <w:szCs w:val="28"/>
              </w:rPr>
              <w:t xml:space="preserve"> 1., 2., 3. un 4.punktā minētajiem pakalpojumiem tiek noteiktas šādas atlaides</w:t>
            </w:r>
            <w:r w:rsidR="00476959" w:rsidRPr="00476959">
              <w:rPr>
                <w:rFonts w:ascii="Times New Roman" w:hAnsi="Times New Roman" w:cs="Times New Roman"/>
                <w:sz w:val="28"/>
                <w:szCs w:val="28"/>
              </w:rPr>
              <w:t xml:space="preserve"> - </w:t>
            </w:r>
            <w:r w:rsidR="00A71198" w:rsidRPr="00476959">
              <w:rPr>
                <w:rFonts w:ascii="Times New Roman" w:hAnsi="Times New Roman" w:cs="Times New Roman"/>
                <w:sz w:val="28"/>
                <w:szCs w:val="28"/>
              </w:rPr>
              <w:t>muzeja tematiskās akcijas</w:t>
            </w:r>
            <w:r w:rsidR="00476959" w:rsidRPr="00476959">
              <w:rPr>
                <w:rFonts w:ascii="Times New Roman" w:hAnsi="Times New Roman" w:cs="Times New Roman"/>
                <w:sz w:val="28"/>
                <w:szCs w:val="28"/>
              </w:rPr>
              <w:t xml:space="preserve"> – 100% atlaide, </w:t>
            </w:r>
            <w:r w:rsidR="00A71198" w:rsidRPr="00476959">
              <w:rPr>
                <w:rFonts w:ascii="Times New Roman" w:hAnsi="Times New Roman" w:cs="Times New Roman"/>
                <w:sz w:val="28"/>
                <w:szCs w:val="28"/>
              </w:rPr>
              <w:t xml:space="preserve">muzeja akcijas sadarbībā ar citiem kultūras un </w:t>
            </w:r>
            <w:r w:rsidR="00A71198" w:rsidRPr="00C52B38">
              <w:rPr>
                <w:rFonts w:ascii="Times New Roman" w:hAnsi="Times New Roman" w:cs="Times New Roman"/>
                <w:sz w:val="28"/>
                <w:szCs w:val="28"/>
              </w:rPr>
              <w:t>izglītības pakalp</w:t>
            </w:r>
            <w:r w:rsidR="00476959" w:rsidRPr="00C52B38">
              <w:rPr>
                <w:rFonts w:ascii="Times New Roman" w:hAnsi="Times New Roman" w:cs="Times New Roman"/>
                <w:sz w:val="28"/>
                <w:szCs w:val="28"/>
              </w:rPr>
              <w:t>ojumu sniedzējiem - 50% atlaide.</w:t>
            </w:r>
          </w:p>
          <w:p w:rsidR="00C52B38" w:rsidRPr="00C52B38" w:rsidRDefault="00C52B38" w:rsidP="00C52B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Projekta </w:t>
            </w:r>
            <w:r w:rsidRPr="00C52B38">
              <w:rPr>
                <w:rFonts w:ascii="Times New Roman" w:hAnsi="Times New Roman" w:cs="Times New Roman"/>
                <w:sz w:val="28"/>
                <w:szCs w:val="28"/>
              </w:rPr>
              <w:t xml:space="preserve">pielikumā norādītajiem pakalpojumiem, kas saistīti </w:t>
            </w:r>
            <w:r w:rsidRPr="00C52B38">
              <w:rPr>
                <w:rFonts w:ascii="Times New Roman" w:eastAsia="Calibri" w:hAnsi="Times New Roman" w:cs="Times New Roman"/>
                <w:sz w:val="28"/>
                <w:szCs w:val="28"/>
              </w:rPr>
              <w:t>ar kultūras vēstures izpēti, zinātni vai izglītību</w:t>
            </w:r>
            <w:r w:rsidRPr="00C52B38">
              <w:rPr>
                <w:rFonts w:ascii="Times New Roman" w:hAnsi="Times New Roman" w:cs="Times New Roman"/>
                <w:sz w:val="28"/>
                <w:szCs w:val="28"/>
              </w:rPr>
              <w:t xml:space="preserve"> pievienotās vērtības nodoklis netiek piemērots saskaņā ar </w:t>
            </w:r>
            <w:hyperlink r:id="rId8" w:tgtFrame="_blank" w:history="1">
              <w:r w:rsidRPr="00C52B38">
                <w:rPr>
                  <w:rFonts w:ascii="Times New Roman" w:hAnsi="Times New Roman" w:cs="Times New Roman"/>
                  <w:sz w:val="28"/>
                  <w:szCs w:val="28"/>
                </w:rPr>
                <w:t>Pievienotās vērtības nodokļa likuma</w:t>
              </w:r>
            </w:hyperlink>
            <w:r w:rsidRPr="00C52B38">
              <w:rPr>
                <w:rFonts w:ascii="Times New Roman" w:hAnsi="Times New Roman" w:cs="Times New Roman"/>
                <w:sz w:val="28"/>
                <w:szCs w:val="28"/>
              </w:rPr>
              <w:t xml:space="preserve"> </w:t>
            </w:r>
            <w:hyperlink r:id="rId9" w:anchor="p52" w:tgtFrame="_blank" w:history="1">
              <w:r w:rsidRPr="00C52B38">
                <w:rPr>
                  <w:rFonts w:ascii="Times New Roman" w:hAnsi="Times New Roman" w:cs="Times New Roman"/>
                  <w:sz w:val="28"/>
                  <w:szCs w:val="28"/>
                </w:rPr>
                <w:t>52.panta</w:t>
              </w:r>
            </w:hyperlink>
            <w:r w:rsidRPr="00C52B38">
              <w:rPr>
                <w:rFonts w:ascii="Times New Roman" w:hAnsi="Times New Roman" w:cs="Times New Roman"/>
                <w:sz w:val="28"/>
                <w:szCs w:val="28"/>
              </w:rPr>
              <w:t xml:space="preserve"> pirmās daļas 17.punkta "d" apakšpunktu.</w:t>
            </w:r>
            <w:r>
              <w:rPr>
                <w:rFonts w:ascii="Times New Roman" w:hAnsi="Times New Roman" w:cs="Times New Roman"/>
                <w:sz w:val="28"/>
                <w:szCs w:val="28"/>
              </w:rPr>
              <w:t xml:space="preserve"> </w:t>
            </w:r>
            <w:r w:rsidRPr="00C52B38">
              <w:rPr>
                <w:rFonts w:ascii="Times New Roman" w:hAnsi="Times New Roman" w:cs="Times New Roman"/>
                <w:sz w:val="28"/>
                <w:szCs w:val="28"/>
              </w:rPr>
              <w:t xml:space="preserve">Pārējiem </w:t>
            </w:r>
            <w:r>
              <w:rPr>
                <w:rFonts w:ascii="Times New Roman" w:hAnsi="Times New Roman" w:cs="Times New Roman"/>
                <w:sz w:val="28"/>
                <w:szCs w:val="28"/>
              </w:rPr>
              <w:t xml:space="preserve">Projekta </w:t>
            </w:r>
            <w:r w:rsidRPr="00C52B38">
              <w:rPr>
                <w:rFonts w:ascii="Times New Roman" w:hAnsi="Times New Roman" w:cs="Times New Roman"/>
                <w:sz w:val="28"/>
                <w:szCs w:val="28"/>
              </w:rPr>
              <w:t xml:space="preserve">pielikumā norādītajiem pakalpojumiem, kas tieši nav saistīti </w:t>
            </w:r>
            <w:r w:rsidRPr="00C52B38">
              <w:rPr>
                <w:rFonts w:ascii="Times New Roman" w:eastAsia="Calibri" w:hAnsi="Times New Roman" w:cs="Times New Roman"/>
                <w:sz w:val="28"/>
                <w:szCs w:val="28"/>
              </w:rPr>
              <w:t>ar kultūras vēstures izpēti, zinātni vai izglītību, p</w:t>
            </w:r>
            <w:r w:rsidRPr="00C52B38">
              <w:rPr>
                <w:rFonts w:ascii="Times New Roman" w:hAnsi="Times New Roman" w:cs="Times New Roman"/>
                <w:sz w:val="28"/>
                <w:szCs w:val="28"/>
              </w:rPr>
              <w:t xml:space="preserve">ievienotās vērtības nodokli nepiemēro saskaņā ar </w:t>
            </w:r>
            <w:hyperlink r:id="rId10" w:tgtFrame="_blank" w:history="1">
              <w:r w:rsidRPr="00C52B38">
                <w:rPr>
                  <w:rStyle w:val="Hipersaite"/>
                  <w:rFonts w:ascii="Times New Roman" w:hAnsi="Times New Roman" w:cs="Times New Roman"/>
                  <w:color w:val="auto"/>
                  <w:sz w:val="28"/>
                  <w:szCs w:val="28"/>
                  <w:u w:val="none"/>
                </w:rPr>
                <w:t>Pievienotās vērtības nodokļa likuma</w:t>
              </w:r>
            </w:hyperlink>
            <w:r w:rsidRPr="00C52B38">
              <w:rPr>
                <w:rFonts w:ascii="Times New Roman" w:hAnsi="Times New Roman" w:cs="Times New Roman"/>
                <w:sz w:val="28"/>
                <w:szCs w:val="28"/>
              </w:rPr>
              <w:t xml:space="preserve"> </w:t>
            </w:r>
            <w:hyperlink r:id="rId11" w:anchor="p59" w:tgtFrame="_blank" w:history="1">
              <w:r w:rsidRPr="00C52B38">
                <w:rPr>
                  <w:rStyle w:val="Hipersaite"/>
                  <w:rFonts w:ascii="Times New Roman" w:hAnsi="Times New Roman" w:cs="Times New Roman"/>
                  <w:color w:val="auto"/>
                  <w:sz w:val="28"/>
                  <w:szCs w:val="28"/>
                  <w:u w:val="none"/>
                </w:rPr>
                <w:t>59.panta</w:t>
              </w:r>
            </w:hyperlink>
            <w:r w:rsidRPr="00C52B38">
              <w:rPr>
                <w:rFonts w:ascii="Times New Roman" w:hAnsi="Times New Roman" w:cs="Times New Roman"/>
                <w:sz w:val="28"/>
                <w:szCs w:val="28"/>
              </w:rPr>
              <w:t xml:space="preserve"> pirmo daļu.</w:t>
            </w:r>
          </w:p>
          <w:p w:rsidR="00B32807" w:rsidRPr="00F66065" w:rsidRDefault="00476959" w:rsidP="00FA47CA">
            <w:pPr>
              <w:spacing w:after="0" w:line="240" w:lineRule="auto"/>
              <w:ind w:firstLine="720"/>
              <w:jc w:val="both"/>
              <w:rPr>
                <w:rFonts w:ascii="Times New Roman" w:hAnsi="Times New Roman" w:cs="Times New Roman"/>
                <w:sz w:val="28"/>
                <w:szCs w:val="28"/>
              </w:rPr>
            </w:pPr>
            <w:r w:rsidRPr="00476959">
              <w:rPr>
                <w:rFonts w:ascii="Times New Roman" w:hAnsi="Times New Roman" w:cs="Times New Roman"/>
                <w:bCs/>
                <w:sz w:val="28"/>
                <w:szCs w:val="28"/>
              </w:rPr>
              <w:t xml:space="preserve">Ministru kabineta 2010.gada 12.oktobra noteikumu Nr.972 „Noteikumi par kārtību, kā veicami maksājumi valsts budžetā un tie atzīstami par saņemtiem, un prasībām tiešsaistes maksājumu pakalpojumu izmantošanai norēķinos ar valsts budžetu” 4.punkts nosaka, ka tiesību aktos, saskaņā ar kuriem veicams maksājums valsts budžetā, ir jānosaka norēķinos ar valsts budžetu izmantojamie maksas pakalpojumu veidi. Lai nodrošinātu muzeja publisko maksas pakalpojumu pieejamību sabiedrībai, Projekta </w:t>
            </w:r>
            <w:r w:rsidR="00FA47CA">
              <w:rPr>
                <w:rFonts w:ascii="Times New Roman" w:hAnsi="Times New Roman" w:cs="Times New Roman"/>
                <w:bCs/>
                <w:sz w:val="28"/>
                <w:szCs w:val="28"/>
              </w:rPr>
              <w:t>12</w:t>
            </w:r>
            <w:r w:rsidRPr="00476959">
              <w:rPr>
                <w:rFonts w:ascii="Times New Roman" w:hAnsi="Times New Roman" w:cs="Times New Roman"/>
                <w:bCs/>
                <w:sz w:val="28"/>
                <w:szCs w:val="28"/>
              </w:rPr>
              <w:t xml:space="preserve">.punkts paredz noteikt muzejam tiesības iekasēt maksu par publiskajiem maksas pakalpojumiem: (a) </w:t>
            </w:r>
            <w:r w:rsidRPr="00476959">
              <w:rPr>
                <w:rFonts w:ascii="Times New Roman" w:hAnsi="Times New Roman" w:cs="Times New Roman"/>
                <w:sz w:val="28"/>
                <w:szCs w:val="28"/>
              </w:rPr>
              <w:t>ar tāda maksājumu pakalpojuma sniedzēja starpniecību, kuram ir tiesības sniegt maksājumu pakalpojumus Maksājumu pakalpojumu un elektroniskās naudas likuma izpratnē</w:t>
            </w:r>
            <w:r w:rsidRPr="00476959">
              <w:rPr>
                <w:rFonts w:ascii="Times New Roman" w:hAnsi="Times New Roman" w:cs="Times New Roman"/>
                <w:bCs/>
                <w:sz w:val="28"/>
                <w:szCs w:val="28"/>
              </w:rPr>
              <w:t>; (b) skaidrā naudā muzeja kasē; (c) m</w:t>
            </w:r>
            <w:r w:rsidRPr="00476959">
              <w:rPr>
                <w:rFonts w:ascii="Times New Roman" w:hAnsi="Times New Roman" w:cs="Times New Roman"/>
                <w:sz w:val="28"/>
                <w:szCs w:val="28"/>
              </w:rPr>
              <w:t>uzejā ar maksājumu karti maksājumu karšu pieņemšanas terminālī vai citā alternatīvā sistēmā, ja muzejs vai starpniekinstitūcija to tehniski nodrošina.</w:t>
            </w:r>
          </w:p>
        </w:tc>
      </w:tr>
      <w:tr w:rsidR="0019096B" w:rsidRPr="0073437F" w:rsidTr="00DF5E93">
        <w:tc>
          <w:tcPr>
            <w:tcW w:w="628" w:type="dxa"/>
            <w:tcBorders>
              <w:top w:val="outset" w:sz="6" w:space="0" w:color="000000"/>
              <w:left w:val="outset" w:sz="6" w:space="0" w:color="000000"/>
              <w:bottom w:val="outset" w:sz="6" w:space="0" w:color="000000"/>
              <w:right w:val="single" w:sz="4" w:space="0" w:color="auto"/>
            </w:tcBorders>
            <w:hideMark/>
          </w:tcPr>
          <w:p w:rsidR="0019096B" w:rsidRPr="0073437F" w:rsidRDefault="000168BA" w:rsidP="00DF5E93">
            <w:pPr>
              <w:spacing w:after="0" w:line="240" w:lineRule="auto"/>
              <w:rPr>
                <w:rFonts w:ascii="Times New Roman" w:eastAsia="Times New Roman" w:hAnsi="Times New Roman" w:cs="Times New Roman"/>
                <w:sz w:val="28"/>
                <w:szCs w:val="28"/>
              </w:rPr>
            </w:pPr>
            <w:r w:rsidRPr="0073437F">
              <w:rPr>
                <w:rFonts w:ascii="Times New Roman" w:eastAsia="Times New Roman" w:hAnsi="Times New Roman" w:cs="Times New Roman"/>
                <w:sz w:val="28"/>
                <w:szCs w:val="28"/>
              </w:rPr>
              <w:lastRenderedPageBreak/>
              <w:t>3</w:t>
            </w:r>
            <w:r w:rsidR="0019096B" w:rsidRPr="0073437F">
              <w:rPr>
                <w:rFonts w:ascii="Times New Roman" w:eastAsia="Times New Roman" w:hAnsi="Times New Roman" w:cs="Times New Roman"/>
                <w:sz w:val="28"/>
                <w:szCs w:val="28"/>
              </w:rPr>
              <w:t>.</w:t>
            </w:r>
          </w:p>
        </w:tc>
        <w:tc>
          <w:tcPr>
            <w:tcW w:w="2786" w:type="dxa"/>
            <w:tcBorders>
              <w:top w:val="outset" w:sz="6" w:space="0" w:color="000000"/>
              <w:left w:val="single" w:sz="4" w:space="0" w:color="auto"/>
              <w:bottom w:val="outset" w:sz="6" w:space="0" w:color="000000"/>
              <w:right w:val="outset" w:sz="6" w:space="0" w:color="000000"/>
            </w:tcBorders>
          </w:tcPr>
          <w:p w:rsidR="0019096B" w:rsidRPr="0073437F" w:rsidRDefault="00EC6B18" w:rsidP="00DF5E93">
            <w:pPr>
              <w:spacing w:after="0" w:line="240" w:lineRule="auto"/>
              <w:rPr>
                <w:rFonts w:ascii="Times New Roman" w:hAnsi="Times New Roman" w:cs="Times New Roman"/>
                <w:sz w:val="28"/>
                <w:szCs w:val="28"/>
              </w:rPr>
            </w:pPr>
            <w:r>
              <w:rPr>
                <w:rFonts w:ascii="Times New Roman" w:hAnsi="Times New Roman" w:cs="Times New Roman"/>
                <w:sz w:val="28"/>
                <w:szCs w:val="28"/>
              </w:rPr>
              <w:t>Projekta izstrādē iesaistītās institūcijas</w:t>
            </w:r>
          </w:p>
        </w:tc>
        <w:tc>
          <w:tcPr>
            <w:tcW w:w="6036" w:type="dxa"/>
            <w:tcBorders>
              <w:top w:val="outset" w:sz="6" w:space="0" w:color="000000"/>
              <w:left w:val="outset" w:sz="6" w:space="0" w:color="000000"/>
              <w:bottom w:val="outset" w:sz="6" w:space="0" w:color="000000"/>
              <w:right w:val="outset" w:sz="6" w:space="0" w:color="000000"/>
            </w:tcBorders>
            <w:hideMark/>
          </w:tcPr>
          <w:p w:rsidR="0019096B" w:rsidRPr="0073437F" w:rsidRDefault="00EC6B18" w:rsidP="00DF5E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Rakstniecības un mūzikas muzejs</w:t>
            </w:r>
            <w:r w:rsidR="00476FA7">
              <w:rPr>
                <w:rFonts w:ascii="Times New Roman" w:eastAsia="Times New Roman" w:hAnsi="Times New Roman" w:cs="Times New Roman"/>
                <w:sz w:val="28"/>
                <w:szCs w:val="28"/>
              </w:rPr>
              <w:t>, Kultūras ministrija.</w:t>
            </w:r>
          </w:p>
        </w:tc>
      </w:tr>
      <w:tr w:rsidR="0019096B" w:rsidRPr="0073437F" w:rsidTr="00DF5E93">
        <w:tc>
          <w:tcPr>
            <w:tcW w:w="628" w:type="dxa"/>
            <w:tcBorders>
              <w:top w:val="outset" w:sz="6" w:space="0" w:color="000000"/>
              <w:left w:val="outset" w:sz="6" w:space="0" w:color="000000"/>
              <w:bottom w:val="outset" w:sz="6" w:space="0" w:color="000000"/>
              <w:right w:val="single" w:sz="4" w:space="0" w:color="auto"/>
            </w:tcBorders>
            <w:hideMark/>
          </w:tcPr>
          <w:p w:rsidR="0019096B" w:rsidRPr="0073437F" w:rsidRDefault="000168BA" w:rsidP="00DF5E93">
            <w:pPr>
              <w:spacing w:after="0" w:line="240" w:lineRule="auto"/>
              <w:rPr>
                <w:rFonts w:ascii="Times New Roman" w:eastAsia="Times New Roman" w:hAnsi="Times New Roman" w:cs="Times New Roman"/>
                <w:sz w:val="28"/>
                <w:szCs w:val="28"/>
              </w:rPr>
            </w:pPr>
            <w:r w:rsidRPr="0073437F">
              <w:rPr>
                <w:rFonts w:ascii="Times New Roman" w:eastAsia="Times New Roman" w:hAnsi="Times New Roman" w:cs="Times New Roman"/>
                <w:sz w:val="28"/>
                <w:szCs w:val="28"/>
              </w:rPr>
              <w:t>4</w:t>
            </w:r>
            <w:r w:rsidR="0019096B" w:rsidRPr="0073437F">
              <w:rPr>
                <w:rFonts w:ascii="Times New Roman" w:eastAsia="Times New Roman" w:hAnsi="Times New Roman" w:cs="Times New Roman"/>
                <w:sz w:val="28"/>
                <w:szCs w:val="28"/>
              </w:rPr>
              <w:t>.</w:t>
            </w:r>
          </w:p>
        </w:tc>
        <w:tc>
          <w:tcPr>
            <w:tcW w:w="2786" w:type="dxa"/>
            <w:tcBorders>
              <w:top w:val="outset" w:sz="6" w:space="0" w:color="000000"/>
              <w:left w:val="single" w:sz="4" w:space="0" w:color="auto"/>
              <w:bottom w:val="outset" w:sz="6" w:space="0" w:color="000000"/>
              <w:right w:val="outset" w:sz="6" w:space="0" w:color="000000"/>
            </w:tcBorders>
          </w:tcPr>
          <w:p w:rsidR="0019096B" w:rsidRPr="0073437F" w:rsidRDefault="00EC6B18" w:rsidP="00DF5E93">
            <w:pPr>
              <w:spacing w:after="0" w:line="240" w:lineRule="auto"/>
              <w:rPr>
                <w:rFonts w:ascii="Times New Roman" w:hAnsi="Times New Roman" w:cs="Times New Roman"/>
                <w:sz w:val="28"/>
                <w:szCs w:val="28"/>
              </w:rPr>
            </w:pPr>
            <w:r>
              <w:rPr>
                <w:rFonts w:ascii="Times New Roman" w:hAnsi="Times New Roman" w:cs="Times New Roman"/>
                <w:sz w:val="28"/>
                <w:szCs w:val="28"/>
              </w:rPr>
              <w:t>Cita informācija</w:t>
            </w:r>
          </w:p>
        </w:tc>
        <w:tc>
          <w:tcPr>
            <w:tcW w:w="6036" w:type="dxa"/>
            <w:tcBorders>
              <w:top w:val="outset" w:sz="6" w:space="0" w:color="000000"/>
              <w:left w:val="outset" w:sz="6" w:space="0" w:color="000000"/>
              <w:bottom w:val="outset" w:sz="6" w:space="0" w:color="000000"/>
              <w:right w:val="outset" w:sz="6" w:space="0" w:color="000000"/>
            </w:tcBorders>
            <w:hideMark/>
          </w:tcPr>
          <w:p w:rsidR="0019096B" w:rsidRPr="0073437F" w:rsidRDefault="00840CAD" w:rsidP="005559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Nav.</w:t>
            </w:r>
          </w:p>
        </w:tc>
      </w:tr>
    </w:tbl>
    <w:p w:rsidR="0019096B" w:rsidRPr="0073437F" w:rsidRDefault="00E0650F" w:rsidP="00DF5E93">
      <w:pPr>
        <w:spacing w:after="0" w:line="240" w:lineRule="auto"/>
        <w:rPr>
          <w:rFonts w:ascii="Times New Roman" w:eastAsia="Times New Roman" w:hAnsi="Times New Roman" w:cs="Times New Roman"/>
          <w:sz w:val="28"/>
          <w:szCs w:val="28"/>
        </w:rPr>
      </w:pPr>
      <w:r w:rsidRPr="0073437F">
        <w:rPr>
          <w:rFonts w:ascii="Times New Roman" w:eastAsia="Times New Roman" w:hAnsi="Times New Roman" w:cs="Times New Roman"/>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1"/>
        <w:gridCol w:w="3031"/>
        <w:gridCol w:w="5629"/>
      </w:tblGrid>
      <w:tr w:rsidR="00B47ED6" w:rsidRPr="0073437F" w:rsidTr="00B47ED6">
        <w:trPr>
          <w:trHeight w:val="57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B47ED6" w:rsidRPr="0073437F" w:rsidRDefault="00B47ED6" w:rsidP="00B47ED6">
            <w:pPr>
              <w:pStyle w:val="naisnod"/>
              <w:spacing w:before="0" w:after="0"/>
              <w:rPr>
                <w:sz w:val="28"/>
                <w:szCs w:val="28"/>
              </w:rPr>
            </w:pPr>
            <w:r w:rsidRPr="0073437F">
              <w:rPr>
                <w:sz w:val="28"/>
                <w:szCs w:val="28"/>
              </w:rPr>
              <w:t xml:space="preserve"> II. </w:t>
            </w:r>
            <w:r w:rsidRPr="0073437F">
              <w:rPr>
                <w:bCs w:val="0"/>
                <w:sz w:val="28"/>
                <w:szCs w:val="28"/>
              </w:rPr>
              <w:t>Tiesību akta projekta ietekme uz sabiedrību, tautsaimniecības attīstību un administratīvo slogu</w:t>
            </w:r>
          </w:p>
        </w:tc>
      </w:tr>
      <w:tr w:rsidR="00B47ED6" w:rsidRPr="0073437F" w:rsidTr="00B47ED6">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B47ED6" w:rsidRPr="0073437F" w:rsidRDefault="00B47ED6" w:rsidP="00B47ED6">
            <w:pPr>
              <w:pStyle w:val="naiskr"/>
              <w:spacing w:before="0" w:after="0"/>
              <w:jc w:val="center"/>
              <w:rPr>
                <w:sz w:val="28"/>
                <w:szCs w:val="28"/>
              </w:rPr>
            </w:pPr>
            <w:r w:rsidRPr="0073437F">
              <w:rPr>
                <w:sz w:val="28"/>
                <w:szCs w:val="28"/>
              </w:rPr>
              <w:t>1.</w:t>
            </w:r>
          </w:p>
        </w:tc>
        <w:tc>
          <w:tcPr>
            <w:tcW w:w="3031" w:type="dxa"/>
            <w:tcBorders>
              <w:top w:val="outset" w:sz="6" w:space="0" w:color="auto"/>
              <w:left w:val="outset" w:sz="6" w:space="0" w:color="auto"/>
              <w:bottom w:val="outset" w:sz="6" w:space="0" w:color="auto"/>
              <w:right w:val="outset" w:sz="6" w:space="0" w:color="auto"/>
            </w:tcBorders>
          </w:tcPr>
          <w:p w:rsidR="00B47ED6" w:rsidRPr="0073437F" w:rsidRDefault="00B47ED6" w:rsidP="00B47ED6">
            <w:pPr>
              <w:pStyle w:val="naiskr"/>
              <w:spacing w:before="0" w:after="0"/>
              <w:rPr>
                <w:sz w:val="28"/>
                <w:szCs w:val="28"/>
              </w:rPr>
            </w:pPr>
            <w:r w:rsidRPr="0073437F">
              <w:rPr>
                <w:sz w:val="28"/>
                <w:szCs w:val="28"/>
              </w:rPr>
              <w:t>Sabiedrības mērķgrupas, kuras tiesiskais regulējums ietekm</w:t>
            </w:r>
            <w:r w:rsidR="00EC6B18">
              <w:rPr>
                <w:sz w:val="28"/>
                <w:szCs w:val="28"/>
              </w:rPr>
              <w:t>ē vai varētu ietekmēt</w:t>
            </w:r>
          </w:p>
        </w:tc>
        <w:tc>
          <w:tcPr>
            <w:tcW w:w="0" w:type="auto"/>
            <w:tcBorders>
              <w:top w:val="outset" w:sz="6" w:space="0" w:color="auto"/>
              <w:left w:val="outset" w:sz="6" w:space="0" w:color="auto"/>
              <w:bottom w:val="outset" w:sz="6" w:space="0" w:color="auto"/>
              <w:right w:val="outset" w:sz="6" w:space="0" w:color="auto"/>
            </w:tcBorders>
          </w:tcPr>
          <w:p w:rsidR="00B47ED6" w:rsidRPr="0073437F" w:rsidRDefault="00EC6B18" w:rsidP="00F15750">
            <w:pPr>
              <w:pStyle w:val="naiskr"/>
              <w:spacing w:before="0" w:after="0"/>
              <w:ind w:left="72" w:right="-1"/>
              <w:jc w:val="both"/>
              <w:rPr>
                <w:sz w:val="28"/>
                <w:szCs w:val="28"/>
              </w:rPr>
            </w:pPr>
            <w:r>
              <w:rPr>
                <w:sz w:val="28"/>
                <w:szCs w:val="28"/>
              </w:rPr>
              <w:t>201</w:t>
            </w:r>
            <w:r w:rsidR="00555914">
              <w:rPr>
                <w:sz w:val="28"/>
                <w:szCs w:val="28"/>
              </w:rPr>
              <w:t>4</w:t>
            </w:r>
            <w:r>
              <w:rPr>
                <w:sz w:val="28"/>
                <w:szCs w:val="28"/>
              </w:rPr>
              <w:t>.gadā</w:t>
            </w:r>
            <w:r w:rsidR="00555914">
              <w:rPr>
                <w:sz w:val="28"/>
                <w:szCs w:val="28"/>
              </w:rPr>
              <w:t>, kad</w:t>
            </w:r>
            <w:r>
              <w:rPr>
                <w:sz w:val="28"/>
                <w:szCs w:val="28"/>
              </w:rPr>
              <w:t xml:space="preserve"> muzej</w:t>
            </w:r>
            <w:r w:rsidR="00555914">
              <w:rPr>
                <w:sz w:val="28"/>
                <w:szCs w:val="28"/>
              </w:rPr>
              <w:t>s bija slēgts</w:t>
            </w:r>
            <w:r>
              <w:rPr>
                <w:sz w:val="28"/>
                <w:szCs w:val="28"/>
              </w:rPr>
              <w:t xml:space="preserve"> apmeklē</w:t>
            </w:r>
            <w:r w:rsidR="00555914">
              <w:rPr>
                <w:sz w:val="28"/>
                <w:szCs w:val="28"/>
              </w:rPr>
              <w:t>tājiem un darbojās ceļojošā formātā, muzeja pakalpojumu izmantoja</w:t>
            </w:r>
            <w:r>
              <w:rPr>
                <w:sz w:val="28"/>
                <w:szCs w:val="28"/>
              </w:rPr>
              <w:t xml:space="preserve"> </w:t>
            </w:r>
            <w:r w:rsidR="00555914">
              <w:rPr>
                <w:sz w:val="28"/>
                <w:szCs w:val="28"/>
              </w:rPr>
              <w:t>31 404</w:t>
            </w:r>
            <w:r>
              <w:rPr>
                <w:sz w:val="28"/>
                <w:szCs w:val="28"/>
              </w:rPr>
              <w:t xml:space="preserve"> apmeklētāj</w:t>
            </w:r>
            <w:r w:rsidR="00F15750">
              <w:rPr>
                <w:sz w:val="28"/>
                <w:szCs w:val="28"/>
              </w:rPr>
              <w:t>i</w:t>
            </w:r>
            <w:r>
              <w:rPr>
                <w:sz w:val="28"/>
                <w:szCs w:val="28"/>
              </w:rPr>
              <w:t xml:space="preserve">. </w:t>
            </w:r>
            <w:r w:rsidR="00B47ED6" w:rsidRPr="0073437F">
              <w:rPr>
                <w:sz w:val="28"/>
                <w:szCs w:val="28"/>
              </w:rPr>
              <w:t>Muzeja apmeklētāji ir tūristi no Latvijas un ārvalstīm (studenti, skolēni, pensionāri u.c. interesentu mērķgrupas).</w:t>
            </w:r>
          </w:p>
        </w:tc>
      </w:tr>
      <w:tr w:rsidR="00B47ED6" w:rsidRPr="0073437F" w:rsidTr="00B47ED6">
        <w:trPr>
          <w:trHeight w:val="523"/>
          <w:tblCellSpacing w:w="0" w:type="dxa"/>
        </w:trPr>
        <w:tc>
          <w:tcPr>
            <w:tcW w:w="441" w:type="dxa"/>
            <w:tcBorders>
              <w:top w:val="outset" w:sz="6" w:space="0" w:color="auto"/>
              <w:left w:val="outset" w:sz="6" w:space="0" w:color="auto"/>
              <w:bottom w:val="outset" w:sz="6" w:space="0" w:color="auto"/>
              <w:right w:val="outset" w:sz="6" w:space="0" w:color="auto"/>
            </w:tcBorders>
          </w:tcPr>
          <w:p w:rsidR="00B47ED6" w:rsidRPr="0073437F" w:rsidRDefault="00B47ED6" w:rsidP="00B47ED6">
            <w:pPr>
              <w:pStyle w:val="naiskr"/>
              <w:spacing w:before="0" w:after="0"/>
              <w:jc w:val="center"/>
              <w:rPr>
                <w:sz w:val="28"/>
                <w:szCs w:val="28"/>
              </w:rPr>
            </w:pPr>
            <w:r w:rsidRPr="0073437F">
              <w:rPr>
                <w:sz w:val="28"/>
                <w:szCs w:val="28"/>
              </w:rPr>
              <w:t>2.</w:t>
            </w:r>
          </w:p>
        </w:tc>
        <w:tc>
          <w:tcPr>
            <w:tcW w:w="3031" w:type="dxa"/>
            <w:tcBorders>
              <w:top w:val="outset" w:sz="6" w:space="0" w:color="auto"/>
              <w:left w:val="outset" w:sz="6" w:space="0" w:color="auto"/>
              <w:bottom w:val="outset" w:sz="6" w:space="0" w:color="auto"/>
              <w:right w:val="outset" w:sz="6" w:space="0" w:color="auto"/>
            </w:tcBorders>
          </w:tcPr>
          <w:p w:rsidR="00B47ED6" w:rsidRPr="0073437F" w:rsidRDefault="00B47ED6" w:rsidP="00B47ED6">
            <w:pPr>
              <w:pStyle w:val="naiskr"/>
              <w:spacing w:before="0" w:after="0"/>
              <w:rPr>
                <w:sz w:val="28"/>
                <w:szCs w:val="28"/>
              </w:rPr>
            </w:pPr>
            <w:r w:rsidRPr="0073437F">
              <w:rPr>
                <w:sz w:val="28"/>
                <w:szCs w:val="28"/>
              </w:rPr>
              <w:t>Tiesiskā regulējuma ietekme uz tautsaimniecību un administratīvo slogu</w:t>
            </w:r>
          </w:p>
        </w:tc>
        <w:tc>
          <w:tcPr>
            <w:tcW w:w="0" w:type="auto"/>
            <w:tcBorders>
              <w:top w:val="outset" w:sz="6" w:space="0" w:color="auto"/>
              <w:left w:val="outset" w:sz="6" w:space="0" w:color="auto"/>
              <w:bottom w:val="outset" w:sz="6" w:space="0" w:color="auto"/>
              <w:right w:val="outset" w:sz="6" w:space="0" w:color="auto"/>
            </w:tcBorders>
          </w:tcPr>
          <w:p w:rsidR="005F3F16" w:rsidRDefault="005F3F16" w:rsidP="00B47ED6">
            <w:pPr>
              <w:spacing w:after="0" w:line="240" w:lineRule="auto"/>
              <w:ind w:left="59" w:right="140" w:firstLine="425"/>
              <w:jc w:val="both"/>
              <w:rPr>
                <w:rFonts w:ascii="Times New Roman" w:hAnsi="Times New Roman" w:cs="Times New Roman"/>
                <w:bCs/>
                <w:sz w:val="28"/>
                <w:szCs w:val="28"/>
              </w:rPr>
            </w:pPr>
            <w:r w:rsidRPr="0073437F">
              <w:rPr>
                <w:rFonts w:ascii="Times New Roman" w:hAnsi="Times New Roman" w:cs="Times New Roman"/>
                <w:sz w:val="28"/>
                <w:szCs w:val="28"/>
              </w:rPr>
              <w:t xml:space="preserve">Projektā noteiktās publisko maksas pakalpojumu cenas ir vienādas vai pat zemākas par līdzīgu pakalpojumu cenām citās iestādēs, un būtiski neietekmēs muzeja pieejamību sabiedrībai. Muzeja publisko maksas pakalpojumu cenu politika attiecībā uz sociāli vismazāk aizsargātajām </w:t>
            </w:r>
            <w:r w:rsidR="009962B9">
              <w:rPr>
                <w:rFonts w:ascii="Times New Roman" w:hAnsi="Times New Roman" w:cs="Times New Roman"/>
                <w:sz w:val="28"/>
                <w:szCs w:val="28"/>
              </w:rPr>
              <w:t xml:space="preserve">personu </w:t>
            </w:r>
            <w:r w:rsidRPr="0073437F">
              <w:rPr>
                <w:rFonts w:ascii="Times New Roman" w:hAnsi="Times New Roman" w:cs="Times New Roman"/>
                <w:sz w:val="28"/>
                <w:szCs w:val="28"/>
              </w:rPr>
              <w:t xml:space="preserve">grupām tiek nodrošināta, nosakot pazeminātu cenu noteiktām apmeklētāju grupām, kā arī nosakot sabiedrības grupas, kurām muzeja pamatpakalpojumi – </w:t>
            </w:r>
            <w:r w:rsidRPr="005E357F">
              <w:rPr>
                <w:rFonts w:ascii="Times New Roman" w:hAnsi="Times New Roman" w:cs="Times New Roman"/>
                <w:sz w:val="28"/>
                <w:szCs w:val="28"/>
              </w:rPr>
              <w:t>pastāvīgās ekspozīcijas</w:t>
            </w:r>
            <w:r w:rsidR="005E357F">
              <w:rPr>
                <w:rFonts w:ascii="Times New Roman" w:hAnsi="Times New Roman" w:cs="Times New Roman"/>
                <w:sz w:val="28"/>
                <w:szCs w:val="28"/>
              </w:rPr>
              <w:t xml:space="preserve"> un</w:t>
            </w:r>
            <w:r w:rsidRPr="005E357F">
              <w:rPr>
                <w:rFonts w:ascii="Times New Roman" w:hAnsi="Times New Roman" w:cs="Times New Roman"/>
                <w:sz w:val="28"/>
                <w:szCs w:val="28"/>
              </w:rPr>
              <w:t xml:space="preserve"> izstāžu apmeklējums</w:t>
            </w:r>
            <w:r w:rsidR="005E357F" w:rsidRPr="005E357F">
              <w:rPr>
                <w:rFonts w:ascii="Times New Roman" w:hAnsi="Times New Roman" w:cs="Times New Roman"/>
                <w:sz w:val="28"/>
                <w:szCs w:val="28"/>
              </w:rPr>
              <w:t>,</w:t>
            </w:r>
            <w:r w:rsidRPr="005E357F">
              <w:rPr>
                <w:rFonts w:ascii="Times New Roman" w:hAnsi="Times New Roman" w:cs="Times New Roman"/>
                <w:sz w:val="28"/>
                <w:szCs w:val="28"/>
              </w:rPr>
              <w:t xml:space="preserve"> </w:t>
            </w:r>
            <w:r w:rsidR="005E357F">
              <w:rPr>
                <w:rFonts w:ascii="Times New Roman" w:hAnsi="Times New Roman" w:cs="Times New Roman"/>
                <w:sz w:val="28"/>
                <w:szCs w:val="28"/>
              </w:rPr>
              <w:t>m</w:t>
            </w:r>
            <w:r w:rsidR="005E357F" w:rsidRPr="005E357F">
              <w:rPr>
                <w:rFonts w:ascii="Times New Roman" w:eastAsia="Times New Roman" w:hAnsi="Times New Roman" w:cs="Times New Roman"/>
                <w:bCs/>
                <w:sz w:val="28"/>
                <w:szCs w:val="28"/>
              </w:rPr>
              <w:t xml:space="preserve">uzeja sagatavotas izglītojošas nodarbības </w:t>
            </w:r>
            <w:r w:rsidR="005E357F">
              <w:rPr>
                <w:rFonts w:ascii="Times New Roman" w:eastAsia="Times New Roman" w:hAnsi="Times New Roman" w:cs="Times New Roman"/>
                <w:bCs/>
                <w:sz w:val="28"/>
                <w:szCs w:val="28"/>
              </w:rPr>
              <w:t>un</w:t>
            </w:r>
            <w:r w:rsidR="005E357F" w:rsidRPr="005E357F">
              <w:rPr>
                <w:rFonts w:ascii="Times New Roman" w:hAnsi="Times New Roman" w:cs="Times New Roman"/>
                <w:sz w:val="28"/>
                <w:szCs w:val="28"/>
              </w:rPr>
              <w:t xml:space="preserve"> </w:t>
            </w:r>
            <w:r w:rsidR="005E357F">
              <w:rPr>
                <w:rFonts w:ascii="Times New Roman" w:hAnsi="Times New Roman" w:cs="Times New Roman"/>
                <w:sz w:val="28"/>
                <w:szCs w:val="28"/>
              </w:rPr>
              <w:t>l</w:t>
            </w:r>
            <w:r w:rsidR="005E357F" w:rsidRPr="005E357F">
              <w:rPr>
                <w:rFonts w:ascii="Times New Roman" w:eastAsia="Times New Roman" w:hAnsi="Times New Roman" w:cs="Times New Roman"/>
                <w:bCs/>
                <w:sz w:val="28"/>
                <w:szCs w:val="28"/>
              </w:rPr>
              <w:t>ekcija</w:t>
            </w:r>
            <w:r w:rsidR="005E357F">
              <w:rPr>
                <w:rFonts w:ascii="Times New Roman" w:eastAsia="Times New Roman" w:hAnsi="Times New Roman" w:cs="Times New Roman"/>
                <w:bCs/>
                <w:sz w:val="28"/>
                <w:szCs w:val="28"/>
              </w:rPr>
              <w:t>s</w:t>
            </w:r>
            <w:r w:rsidR="005E357F" w:rsidRPr="005E357F">
              <w:rPr>
                <w:rFonts w:ascii="Times New Roman" w:eastAsia="Times New Roman" w:hAnsi="Times New Roman" w:cs="Times New Roman"/>
                <w:bCs/>
                <w:sz w:val="28"/>
                <w:szCs w:val="28"/>
              </w:rPr>
              <w:t xml:space="preserve"> apmeklē</w:t>
            </w:r>
            <w:r w:rsidR="005E357F">
              <w:rPr>
                <w:rFonts w:ascii="Times New Roman" w:eastAsia="Times New Roman" w:hAnsi="Times New Roman" w:cs="Times New Roman"/>
                <w:bCs/>
                <w:sz w:val="28"/>
                <w:szCs w:val="28"/>
              </w:rPr>
              <w:t xml:space="preserve">jums </w:t>
            </w:r>
            <w:r w:rsidRPr="005E357F">
              <w:rPr>
                <w:rFonts w:ascii="Times New Roman" w:hAnsi="Times New Roman" w:cs="Times New Roman"/>
                <w:sz w:val="28"/>
                <w:szCs w:val="28"/>
              </w:rPr>
              <w:t>– ir pieejami bez maksas</w:t>
            </w:r>
            <w:r w:rsidRPr="0073437F">
              <w:rPr>
                <w:rFonts w:ascii="Times New Roman" w:hAnsi="Times New Roman" w:cs="Times New Roman"/>
                <w:sz w:val="28"/>
                <w:szCs w:val="28"/>
              </w:rPr>
              <w:t>.</w:t>
            </w:r>
          </w:p>
          <w:p w:rsidR="00B47ED6" w:rsidRPr="0073437F" w:rsidRDefault="00B47ED6" w:rsidP="005F3F16">
            <w:pPr>
              <w:spacing w:after="0" w:line="240" w:lineRule="auto"/>
              <w:ind w:left="59" w:right="140" w:firstLine="425"/>
              <w:jc w:val="both"/>
              <w:rPr>
                <w:sz w:val="28"/>
                <w:szCs w:val="28"/>
              </w:rPr>
            </w:pPr>
            <w:r w:rsidRPr="0073437F">
              <w:rPr>
                <w:rFonts w:ascii="Times New Roman" w:hAnsi="Times New Roman" w:cs="Times New Roman"/>
                <w:bCs/>
                <w:sz w:val="28"/>
                <w:szCs w:val="28"/>
              </w:rPr>
              <w:t xml:space="preserve">Iegūtie finanšu līdzekļi </w:t>
            </w:r>
            <w:r w:rsidRPr="0073437F">
              <w:rPr>
                <w:rFonts w:ascii="Times New Roman" w:hAnsi="Times New Roman" w:cs="Times New Roman"/>
                <w:sz w:val="28"/>
                <w:szCs w:val="28"/>
              </w:rPr>
              <w:t>par muzeja sniegtajiem publiskajiem maksas pakalpojumiem</w:t>
            </w:r>
            <w:r w:rsidRPr="0073437F">
              <w:rPr>
                <w:rFonts w:ascii="Times New Roman" w:hAnsi="Times New Roman" w:cs="Times New Roman"/>
                <w:bCs/>
                <w:sz w:val="28"/>
                <w:szCs w:val="28"/>
              </w:rPr>
              <w:t xml:space="preserve"> tiks izlietoti muzeja sniegto publisko </w:t>
            </w:r>
            <w:r w:rsidR="009962B9">
              <w:rPr>
                <w:rFonts w:ascii="Times New Roman" w:hAnsi="Times New Roman" w:cs="Times New Roman"/>
                <w:bCs/>
                <w:sz w:val="28"/>
                <w:szCs w:val="28"/>
              </w:rPr>
              <w:t xml:space="preserve">maksas </w:t>
            </w:r>
            <w:r w:rsidRPr="0073437F">
              <w:rPr>
                <w:rFonts w:ascii="Times New Roman" w:hAnsi="Times New Roman" w:cs="Times New Roman"/>
                <w:bCs/>
                <w:sz w:val="28"/>
                <w:szCs w:val="28"/>
              </w:rPr>
              <w:t>pakalpojumu faktisko izmaksu segšanai.</w:t>
            </w:r>
          </w:p>
        </w:tc>
      </w:tr>
      <w:tr w:rsidR="00B47ED6" w:rsidRPr="0073437F" w:rsidTr="00B47ED6">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B47ED6" w:rsidRPr="0073437F" w:rsidRDefault="00B47ED6" w:rsidP="00B47ED6">
            <w:pPr>
              <w:pStyle w:val="naiskr"/>
              <w:spacing w:before="0" w:after="0"/>
              <w:jc w:val="center"/>
              <w:rPr>
                <w:sz w:val="28"/>
                <w:szCs w:val="28"/>
              </w:rPr>
            </w:pPr>
            <w:r w:rsidRPr="0073437F">
              <w:rPr>
                <w:sz w:val="28"/>
                <w:szCs w:val="28"/>
              </w:rPr>
              <w:t>3.</w:t>
            </w:r>
          </w:p>
        </w:tc>
        <w:tc>
          <w:tcPr>
            <w:tcW w:w="3031" w:type="dxa"/>
            <w:tcBorders>
              <w:top w:val="outset" w:sz="6" w:space="0" w:color="auto"/>
              <w:left w:val="outset" w:sz="6" w:space="0" w:color="auto"/>
              <w:bottom w:val="outset" w:sz="6" w:space="0" w:color="auto"/>
              <w:right w:val="outset" w:sz="6" w:space="0" w:color="auto"/>
            </w:tcBorders>
          </w:tcPr>
          <w:p w:rsidR="00B47ED6" w:rsidRPr="0073437F" w:rsidRDefault="00B47ED6" w:rsidP="00B47ED6">
            <w:pPr>
              <w:pStyle w:val="naiskr"/>
              <w:spacing w:before="0" w:after="0"/>
              <w:jc w:val="both"/>
              <w:rPr>
                <w:sz w:val="28"/>
                <w:szCs w:val="28"/>
              </w:rPr>
            </w:pPr>
            <w:r w:rsidRPr="0073437F">
              <w:rPr>
                <w:sz w:val="28"/>
                <w:szCs w:val="28"/>
              </w:rPr>
              <w:t>Administratīvo izmaksu monetārs novērtējums</w:t>
            </w:r>
          </w:p>
        </w:tc>
        <w:tc>
          <w:tcPr>
            <w:tcW w:w="0" w:type="auto"/>
            <w:tcBorders>
              <w:top w:val="outset" w:sz="6" w:space="0" w:color="auto"/>
              <w:left w:val="outset" w:sz="6" w:space="0" w:color="auto"/>
              <w:bottom w:val="outset" w:sz="6" w:space="0" w:color="auto"/>
              <w:right w:val="outset" w:sz="6" w:space="0" w:color="auto"/>
            </w:tcBorders>
          </w:tcPr>
          <w:p w:rsidR="00B47ED6" w:rsidRPr="0073437F" w:rsidRDefault="00B47ED6" w:rsidP="00B47ED6">
            <w:pPr>
              <w:spacing w:after="0" w:line="240" w:lineRule="auto"/>
              <w:ind w:right="140"/>
              <w:jc w:val="both"/>
              <w:rPr>
                <w:rFonts w:ascii="Times New Roman" w:hAnsi="Times New Roman" w:cs="Times New Roman"/>
                <w:sz w:val="28"/>
                <w:szCs w:val="28"/>
              </w:rPr>
            </w:pPr>
            <w:r w:rsidRPr="0073437F">
              <w:rPr>
                <w:rFonts w:ascii="Times New Roman" w:hAnsi="Times New Roman" w:cs="Times New Roman"/>
                <w:sz w:val="28"/>
                <w:szCs w:val="28"/>
              </w:rPr>
              <w:t xml:space="preserve"> Projekts šo jomu neskar.</w:t>
            </w:r>
          </w:p>
        </w:tc>
      </w:tr>
      <w:tr w:rsidR="00B47ED6" w:rsidRPr="0073437F" w:rsidTr="00B47ED6">
        <w:trPr>
          <w:trHeight w:val="540"/>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B47ED6" w:rsidRPr="0073437F" w:rsidRDefault="00B47ED6" w:rsidP="00B47ED6">
            <w:pPr>
              <w:pStyle w:val="naiskr"/>
              <w:spacing w:before="0" w:after="0"/>
              <w:jc w:val="center"/>
              <w:rPr>
                <w:sz w:val="28"/>
                <w:szCs w:val="28"/>
              </w:rPr>
            </w:pPr>
            <w:r w:rsidRPr="0073437F">
              <w:rPr>
                <w:sz w:val="28"/>
                <w:szCs w:val="28"/>
              </w:rPr>
              <w:t>4.</w:t>
            </w:r>
          </w:p>
        </w:tc>
        <w:tc>
          <w:tcPr>
            <w:tcW w:w="3031" w:type="dxa"/>
            <w:tcBorders>
              <w:top w:val="outset" w:sz="6" w:space="0" w:color="auto"/>
              <w:left w:val="outset" w:sz="6" w:space="0" w:color="auto"/>
              <w:bottom w:val="outset" w:sz="6" w:space="0" w:color="auto"/>
              <w:right w:val="outset" w:sz="6" w:space="0" w:color="auto"/>
            </w:tcBorders>
            <w:vAlign w:val="center"/>
          </w:tcPr>
          <w:p w:rsidR="00B47ED6" w:rsidRPr="0073437F" w:rsidRDefault="00B47ED6" w:rsidP="00B47ED6">
            <w:pPr>
              <w:pStyle w:val="naiskr"/>
              <w:spacing w:before="0" w:after="0"/>
              <w:rPr>
                <w:sz w:val="28"/>
                <w:szCs w:val="28"/>
              </w:rPr>
            </w:pPr>
            <w:r w:rsidRPr="0073437F">
              <w:rPr>
                <w:sz w:val="28"/>
                <w:szCs w:val="28"/>
              </w:rPr>
              <w:t>Cita informācija</w:t>
            </w:r>
          </w:p>
        </w:tc>
        <w:tc>
          <w:tcPr>
            <w:tcW w:w="0" w:type="auto"/>
            <w:tcBorders>
              <w:top w:val="outset" w:sz="6" w:space="0" w:color="auto"/>
              <w:left w:val="outset" w:sz="6" w:space="0" w:color="auto"/>
              <w:bottom w:val="outset" w:sz="6" w:space="0" w:color="auto"/>
              <w:right w:val="outset" w:sz="6" w:space="0" w:color="auto"/>
            </w:tcBorders>
          </w:tcPr>
          <w:p w:rsidR="00B47ED6" w:rsidRPr="0073437F" w:rsidRDefault="00B47ED6" w:rsidP="00B47ED6">
            <w:pPr>
              <w:pStyle w:val="naiskr"/>
              <w:spacing w:before="0" w:after="0"/>
              <w:ind w:right="-1"/>
              <w:rPr>
                <w:sz w:val="28"/>
                <w:szCs w:val="28"/>
              </w:rPr>
            </w:pPr>
            <w:r w:rsidRPr="0073437F">
              <w:rPr>
                <w:sz w:val="28"/>
                <w:szCs w:val="28"/>
              </w:rPr>
              <w:t xml:space="preserve"> Nav</w:t>
            </w:r>
          </w:p>
        </w:tc>
      </w:tr>
    </w:tbl>
    <w:p w:rsidR="00B47ED6" w:rsidRPr="0073437F" w:rsidRDefault="00B47ED6" w:rsidP="00DF5E93">
      <w:pPr>
        <w:spacing w:after="0" w:line="240" w:lineRule="auto"/>
        <w:rPr>
          <w:rFonts w:ascii="Times New Roman" w:hAnsi="Times New Roman" w:cs="Times New Roman"/>
          <w:b/>
          <w:bCs/>
          <w:sz w:val="28"/>
          <w:szCs w:val="28"/>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383"/>
        <w:gridCol w:w="1343"/>
        <w:gridCol w:w="1456"/>
        <w:gridCol w:w="1343"/>
        <w:gridCol w:w="1343"/>
        <w:gridCol w:w="1471"/>
      </w:tblGrid>
      <w:tr w:rsidR="00A74211" w:rsidRPr="0073437F" w:rsidTr="000B0C4B">
        <w:trPr>
          <w:tblCellSpacing w:w="7" w:type="dxa"/>
        </w:trPr>
        <w:tc>
          <w:tcPr>
            <w:tcW w:w="4985" w:type="pct"/>
            <w:gridSpan w:val="6"/>
            <w:tcBorders>
              <w:top w:val="outset" w:sz="6" w:space="0" w:color="auto"/>
              <w:left w:val="outset" w:sz="6" w:space="0" w:color="auto"/>
              <w:bottom w:val="outset" w:sz="6" w:space="0" w:color="auto"/>
              <w:right w:val="outset" w:sz="6" w:space="0" w:color="auto"/>
            </w:tcBorders>
          </w:tcPr>
          <w:p w:rsidR="00A74211" w:rsidRPr="0073437F" w:rsidRDefault="00A74211" w:rsidP="00DF5E93">
            <w:pPr>
              <w:pStyle w:val="naisc"/>
              <w:spacing w:before="0" w:after="0"/>
              <w:rPr>
                <w:b/>
                <w:bCs/>
                <w:sz w:val="28"/>
                <w:szCs w:val="28"/>
                <w:lang w:val="lv-LV"/>
              </w:rPr>
            </w:pPr>
            <w:r w:rsidRPr="0073437F">
              <w:rPr>
                <w:b/>
                <w:bCs/>
                <w:sz w:val="28"/>
                <w:szCs w:val="28"/>
                <w:lang w:val="lv-LV"/>
              </w:rPr>
              <w:t>III. Tiesību akta projekta ietekme uz valsts budžetu un pašvaldību budžetiem</w:t>
            </w:r>
          </w:p>
        </w:tc>
      </w:tr>
      <w:tr w:rsidR="00A74211" w:rsidRPr="0073437F" w:rsidTr="005F3F16">
        <w:trPr>
          <w:trHeight w:val="340"/>
          <w:tblCellSpacing w:w="7" w:type="dxa"/>
        </w:trPr>
        <w:tc>
          <w:tcPr>
            <w:tcW w:w="1276" w:type="pct"/>
            <w:vMerge w:val="restart"/>
            <w:tcBorders>
              <w:top w:val="outset" w:sz="6" w:space="0" w:color="auto"/>
              <w:left w:val="outset" w:sz="6" w:space="0" w:color="auto"/>
              <w:right w:val="outset" w:sz="6" w:space="0" w:color="auto"/>
            </w:tcBorders>
            <w:vAlign w:val="center"/>
          </w:tcPr>
          <w:p w:rsidR="00A74211" w:rsidRPr="0073437F" w:rsidRDefault="00A74211" w:rsidP="00DF5E93">
            <w:pPr>
              <w:spacing w:after="0" w:line="240" w:lineRule="auto"/>
              <w:jc w:val="center"/>
              <w:rPr>
                <w:rFonts w:ascii="Times New Roman" w:hAnsi="Times New Roman" w:cs="Times New Roman"/>
                <w:b/>
                <w:sz w:val="28"/>
                <w:szCs w:val="28"/>
              </w:rPr>
            </w:pPr>
            <w:r w:rsidRPr="0073437F">
              <w:rPr>
                <w:rFonts w:ascii="Times New Roman" w:hAnsi="Times New Roman" w:cs="Times New Roman"/>
                <w:b/>
                <w:sz w:val="28"/>
                <w:szCs w:val="28"/>
              </w:rPr>
              <w:t>Rādītāji</w:t>
            </w:r>
          </w:p>
        </w:tc>
        <w:tc>
          <w:tcPr>
            <w:tcW w:w="1499" w:type="pct"/>
            <w:gridSpan w:val="2"/>
            <w:vMerge w:val="restart"/>
            <w:tcBorders>
              <w:top w:val="outset" w:sz="6" w:space="0" w:color="auto"/>
              <w:left w:val="outset" w:sz="6" w:space="0" w:color="auto"/>
              <w:right w:val="outset" w:sz="6" w:space="0" w:color="auto"/>
            </w:tcBorders>
            <w:vAlign w:val="center"/>
          </w:tcPr>
          <w:p w:rsidR="00A74211" w:rsidRPr="0073437F" w:rsidRDefault="00A74211" w:rsidP="00476FA7">
            <w:pPr>
              <w:spacing w:after="0" w:line="240" w:lineRule="auto"/>
              <w:jc w:val="center"/>
              <w:rPr>
                <w:rFonts w:ascii="Times New Roman" w:hAnsi="Times New Roman" w:cs="Times New Roman"/>
                <w:b/>
                <w:sz w:val="28"/>
                <w:szCs w:val="28"/>
              </w:rPr>
            </w:pPr>
            <w:r w:rsidRPr="0073437F">
              <w:rPr>
                <w:rFonts w:ascii="Times New Roman" w:hAnsi="Times New Roman" w:cs="Times New Roman"/>
                <w:b/>
                <w:sz w:val="28"/>
                <w:szCs w:val="28"/>
              </w:rPr>
              <w:t>201</w:t>
            </w:r>
            <w:r w:rsidR="00476FA7">
              <w:rPr>
                <w:rFonts w:ascii="Times New Roman" w:hAnsi="Times New Roman" w:cs="Times New Roman"/>
                <w:b/>
                <w:sz w:val="28"/>
                <w:szCs w:val="28"/>
              </w:rPr>
              <w:t>5</w:t>
            </w:r>
            <w:r w:rsidRPr="0073437F">
              <w:rPr>
                <w:rFonts w:ascii="Times New Roman" w:hAnsi="Times New Roman" w:cs="Times New Roman"/>
                <w:b/>
                <w:sz w:val="28"/>
                <w:szCs w:val="28"/>
              </w:rPr>
              <w:t>.gads</w:t>
            </w:r>
          </w:p>
        </w:tc>
        <w:tc>
          <w:tcPr>
            <w:tcW w:w="2196" w:type="pct"/>
            <w:gridSpan w:val="3"/>
            <w:tcBorders>
              <w:top w:val="outset" w:sz="6" w:space="0" w:color="auto"/>
              <w:left w:val="outset" w:sz="6" w:space="0" w:color="auto"/>
              <w:bottom w:val="outset" w:sz="6" w:space="0" w:color="auto"/>
              <w:right w:val="outset" w:sz="6" w:space="0" w:color="auto"/>
            </w:tcBorders>
            <w:vAlign w:val="center"/>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Turpmākie trīs gadi (tūkst. latu)</w:t>
            </w:r>
          </w:p>
        </w:tc>
      </w:tr>
      <w:tr w:rsidR="00A74211" w:rsidRPr="0073437F" w:rsidTr="005F3F16">
        <w:trPr>
          <w:trHeight w:val="248"/>
          <w:tblCellSpacing w:w="7" w:type="dxa"/>
        </w:trPr>
        <w:tc>
          <w:tcPr>
            <w:tcW w:w="1276" w:type="pct"/>
            <w:vMerge/>
            <w:tcBorders>
              <w:left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p>
        </w:tc>
        <w:tc>
          <w:tcPr>
            <w:tcW w:w="1499" w:type="pct"/>
            <w:gridSpan w:val="2"/>
            <w:vMerge/>
            <w:tcBorders>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EC6B18" w:rsidP="00476F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476FA7">
              <w:rPr>
                <w:rFonts w:ascii="Times New Roman" w:hAnsi="Times New Roman" w:cs="Times New Roman"/>
                <w:b/>
                <w:sz w:val="28"/>
                <w:szCs w:val="28"/>
              </w:rPr>
              <w:t>6</w:t>
            </w:r>
            <w:r>
              <w:rPr>
                <w:rFonts w:ascii="Times New Roman" w:hAnsi="Times New Roman" w:cs="Times New Roman"/>
                <w:b/>
                <w:sz w:val="28"/>
                <w:szCs w:val="28"/>
              </w:rPr>
              <w:t>.</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476F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476FA7">
              <w:rPr>
                <w:rFonts w:ascii="Times New Roman" w:hAnsi="Times New Roman" w:cs="Times New Roman"/>
                <w:b/>
                <w:sz w:val="28"/>
                <w:szCs w:val="28"/>
              </w:rPr>
              <w:t>7</w:t>
            </w:r>
            <w:r>
              <w:rPr>
                <w:rFonts w:ascii="Times New Roman" w:hAnsi="Times New Roman" w:cs="Times New Roman"/>
                <w:b/>
                <w:sz w:val="28"/>
                <w:szCs w:val="28"/>
              </w:rPr>
              <w:t>.</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476F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476FA7">
              <w:rPr>
                <w:rFonts w:ascii="Times New Roman" w:hAnsi="Times New Roman" w:cs="Times New Roman"/>
                <w:b/>
                <w:sz w:val="28"/>
                <w:szCs w:val="28"/>
              </w:rPr>
              <w:t>8</w:t>
            </w:r>
            <w:r>
              <w:rPr>
                <w:rFonts w:ascii="Times New Roman" w:hAnsi="Times New Roman" w:cs="Times New Roman"/>
                <w:b/>
                <w:sz w:val="28"/>
                <w:szCs w:val="28"/>
              </w:rPr>
              <w:t>.</w:t>
            </w:r>
          </w:p>
        </w:tc>
      </w:tr>
      <w:tr w:rsidR="00A74211" w:rsidRPr="0073437F" w:rsidTr="005F3F16">
        <w:trPr>
          <w:tblCellSpacing w:w="7" w:type="dxa"/>
        </w:trPr>
        <w:tc>
          <w:tcPr>
            <w:tcW w:w="1276" w:type="pct"/>
            <w:vMerge/>
            <w:tcBorders>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p>
        </w:tc>
        <w:tc>
          <w:tcPr>
            <w:tcW w:w="719"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Saskaņā ar valsts budžetu kārtējam gadam</w:t>
            </w:r>
          </w:p>
        </w:tc>
        <w:tc>
          <w:tcPr>
            <w:tcW w:w="772"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Izmaiņas kārtējā gadā, salīdzinot ar budžetu kārtējam gadam</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Izmaiņas, sa</w:t>
            </w:r>
            <w:r w:rsidR="00476FA7">
              <w:rPr>
                <w:rFonts w:ascii="Times New Roman" w:hAnsi="Times New Roman" w:cs="Times New Roman"/>
                <w:sz w:val="28"/>
                <w:szCs w:val="28"/>
              </w:rPr>
              <w:t>līdzinot ar kārtējo (2015</w:t>
            </w:r>
            <w:r>
              <w:rPr>
                <w:rFonts w:ascii="Times New Roman" w:hAnsi="Times New Roman" w:cs="Times New Roman"/>
                <w:sz w:val="28"/>
                <w:szCs w:val="28"/>
              </w:rPr>
              <w:t>) gadu</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476F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Izmaiņas, salīdzinot ar kārtējo (</w:t>
            </w:r>
            <w:r w:rsidR="00476FA7">
              <w:rPr>
                <w:rFonts w:ascii="Times New Roman" w:hAnsi="Times New Roman" w:cs="Times New Roman"/>
                <w:sz w:val="28"/>
                <w:szCs w:val="28"/>
              </w:rPr>
              <w:t>2015</w:t>
            </w:r>
            <w:r>
              <w:rPr>
                <w:rFonts w:ascii="Times New Roman" w:hAnsi="Times New Roman" w:cs="Times New Roman"/>
                <w:sz w:val="28"/>
                <w:szCs w:val="28"/>
              </w:rPr>
              <w:t>) gadu</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Iz</w:t>
            </w:r>
            <w:r w:rsidR="00476FA7">
              <w:rPr>
                <w:rFonts w:ascii="Times New Roman" w:hAnsi="Times New Roman" w:cs="Times New Roman"/>
                <w:sz w:val="28"/>
                <w:szCs w:val="28"/>
              </w:rPr>
              <w:t>maiņas, salīdzinot ar kārtējo (2015</w:t>
            </w:r>
            <w:r>
              <w:rPr>
                <w:rFonts w:ascii="Times New Roman" w:hAnsi="Times New Roman" w:cs="Times New Roman"/>
                <w:sz w:val="28"/>
                <w:szCs w:val="28"/>
              </w:rPr>
              <w:t>) gadu</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1</w:t>
            </w:r>
          </w:p>
        </w:tc>
        <w:tc>
          <w:tcPr>
            <w:tcW w:w="719"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2</w:t>
            </w:r>
          </w:p>
        </w:tc>
        <w:tc>
          <w:tcPr>
            <w:tcW w:w="77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3</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4</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1. Budžeta ieņēmumi:</w:t>
            </w:r>
          </w:p>
        </w:tc>
        <w:tc>
          <w:tcPr>
            <w:tcW w:w="719" w:type="pct"/>
            <w:tcBorders>
              <w:top w:val="outset" w:sz="6" w:space="0" w:color="auto"/>
              <w:left w:val="outset" w:sz="6" w:space="0" w:color="auto"/>
              <w:bottom w:val="outset" w:sz="6" w:space="0" w:color="auto"/>
              <w:right w:val="outset" w:sz="6" w:space="0" w:color="auto"/>
            </w:tcBorders>
          </w:tcPr>
          <w:p w:rsidR="00A74211" w:rsidRPr="00463569" w:rsidRDefault="00422931" w:rsidP="00702F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9831</w:t>
            </w:r>
          </w:p>
        </w:tc>
        <w:tc>
          <w:tcPr>
            <w:tcW w:w="772" w:type="pct"/>
            <w:tcBorders>
              <w:top w:val="outset" w:sz="6" w:space="0" w:color="auto"/>
              <w:left w:val="outset" w:sz="6" w:space="0" w:color="auto"/>
              <w:bottom w:val="outset" w:sz="6" w:space="0" w:color="auto"/>
              <w:right w:val="outset" w:sz="6" w:space="0" w:color="auto"/>
            </w:tcBorders>
          </w:tcPr>
          <w:p w:rsidR="00A74211" w:rsidRPr="00463569" w:rsidRDefault="00463569" w:rsidP="00463569">
            <w:pPr>
              <w:spacing w:after="0" w:line="240" w:lineRule="auto"/>
              <w:jc w:val="center"/>
              <w:rPr>
                <w:rFonts w:ascii="Times New Roman" w:hAnsi="Times New Roman" w:cs="Times New Roman"/>
                <w:sz w:val="28"/>
                <w:szCs w:val="28"/>
              </w:rPr>
            </w:pPr>
            <w:r w:rsidRPr="00463569">
              <w:rPr>
                <w:rFonts w:ascii="Times New Roman" w:hAnsi="Times New Roman" w:cs="Times New Roman"/>
                <w:sz w:val="28"/>
                <w:szCs w:val="28"/>
              </w:rPr>
              <w:t>389</w:t>
            </w:r>
            <w:r w:rsidR="00702F16">
              <w:rPr>
                <w:rFonts w:ascii="Times New Roman" w:hAnsi="Times New Roman" w:cs="Times New Roman"/>
                <w:sz w:val="28"/>
                <w:szCs w:val="28"/>
              </w:rPr>
              <w:t>,00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B25E57"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1.1. valsts pamatbudžets, tai skaitā ieņēmumi no maksas pakalpojumiem un citi pašu ieņēmumi</w:t>
            </w:r>
          </w:p>
        </w:tc>
        <w:tc>
          <w:tcPr>
            <w:tcW w:w="719" w:type="pct"/>
            <w:tcBorders>
              <w:top w:val="outset" w:sz="6" w:space="0" w:color="auto"/>
              <w:left w:val="outset" w:sz="6" w:space="0" w:color="auto"/>
              <w:bottom w:val="outset" w:sz="6" w:space="0" w:color="auto"/>
              <w:right w:val="outset" w:sz="6" w:space="0" w:color="auto"/>
            </w:tcBorders>
          </w:tcPr>
          <w:p w:rsidR="00422931" w:rsidRPr="00463569" w:rsidRDefault="00422931"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9831</w:t>
            </w:r>
          </w:p>
        </w:tc>
        <w:tc>
          <w:tcPr>
            <w:tcW w:w="772" w:type="pct"/>
            <w:tcBorders>
              <w:top w:val="outset" w:sz="6" w:space="0" w:color="auto"/>
              <w:left w:val="outset" w:sz="6" w:space="0" w:color="auto"/>
              <w:bottom w:val="outset" w:sz="6" w:space="0" w:color="auto"/>
              <w:right w:val="outset" w:sz="6" w:space="0" w:color="auto"/>
            </w:tcBorders>
          </w:tcPr>
          <w:p w:rsidR="00A74211" w:rsidRPr="00463569" w:rsidRDefault="00463569" w:rsidP="00DF5E93">
            <w:pPr>
              <w:spacing w:after="0" w:line="240" w:lineRule="auto"/>
              <w:jc w:val="center"/>
              <w:rPr>
                <w:rFonts w:ascii="Times New Roman" w:hAnsi="Times New Roman" w:cs="Times New Roman"/>
                <w:sz w:val="28"/>
                <w:szCs w:val="28"/>
              </w:rPr>
            </w:pPr>
            <w:r w:rsidRPr="00463569">
              <w:rPr>
                <w:rFonts w:ascii="Times New Roman" w:hAnsi="Times New Roman" w:cs="Times New Roman"/>
                <w:sz w:val="28"/>
                <w:szCs w:val="28"/>
              </w:rPr>
              <w:t>389</w:t>
            </w:r>
            <w:r w:rsidR="00702F16">
              <w:rPr>
                <w:rFonts w:ascii="Times New Roman" w:hAnsi="Times New Roman" w:cs="Times New Roman"/>
                <w:sz w:val="28"/>
                <w:szCs w:val="28"/>
              </w:rPr>
              <w:t>,00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B25E57"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1.2. valsts speciālais budžets</w:t>
            </w:r>
          </w:p>
        </w:tc>
        <w:tc>
          <w:tcPr>
            <w:tcW w:w="719" w:type="pct"/>
            <w:tcBorders>
              <w:top w:val="outset" w:sz="6" w:space="0" w:color="auto"/>
              <w:left w:val="outset" w:sz="6" w:space="0" w:color="auto"/>
              <w:bottom w:val="outset" w:sz="6" w:space="0" w:color="auto"/>
              <w:right w:val="outset" w:sz="6" w:space="0" w:color="auto"/>
            </w:tcBorders>
          </w:tcPr>
          <w:p w:rsidR="00A74211" w:rsidRPr="00463569" w:rsidRDefault="00A74211" w:rsidP="00DF5E93">
            <w:pPr>
              <w:spacing w:after="0" w:line="240" w:lineRule="auto"/>
              <w:jc w:val="center"/>
              <w:rPr>
                <w:rFonts w:ascii="Times New Roman" w:hAnsi="Times New Roman" w:cs="Times New Roman"/>
                <w:sz w:val="28"/>
                <w:szCs w:val="28"/>
              </w:rPr>
            </w:pPr>
            <w:r w:rsidRPr="00463569">
              <w:rPr>
                <w:rFonts w:ascii="Times New Roman" w:hAnsi="Times New Roman" w:cs="Times New Roman"/>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1.3. pašvaldību budžets</w:t>
            </w:r>
          </w:p>
        </w:tc>
        <w:tc>
          <w:tcPr>
            <w:tcW w:w="719" w:type="pct"/>
            <w:tcBorders>
              <w:top w:val="outset" w:sz="6" w:space="0" w:color="auto"/>
              <w:left w:val="outset" w:sz="6" w:space="0" w:color="auto"/>
              <w:bottom w:val="outset" w:sz="6" w:space="0" w:color="auto"/>
              <w:right w:val="outset" w:sz="6" w:space="0" w:color="auto"/>
            </w:tcBorders>
          </w:tcPr>
          <w:p w:rsidR="00A74211" w:rsidRPr="00463569" w:rsidRDefault="00A74211" w:rsidP="00DF5E93">
            <w:pPr>
              <w:spacing w:after="0" w:line="240" w:lineRule="auto"/>
              <w:jc w:val="center"/>
              <w:rPr>
                <w:rFonts w:ascii="Times New Roman" w:hAnsi="Times New Roman" w:cs="Times New Roman"/>
                <w:sz w:val="28"/>
                <w:szCs w:val="28"/>
              </w:rPr>
            </w:pPr>
            <w:r w:rsidRPr="00463569">
              <w:rPr>
                <w:rFonts w:ascii="Times New Roman" w:hAnsi="Times New Roman" w:cs="Times New Roman"/>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A74211" w:rsidRPr="00463569" w:rsidRDefault="00A74211" w:rsidP="00DF5E93">
            <w:pPr>
              <w:spacing w:after="0" w:line="240" w:lineRule="auto"/>
              <w:jc w:val="center"/>
              <w:rPr>
                <w:rFonts w:ascii="Times New Roman" w:hAnsi="Times New Roman" w:cs="Times New Roman"/>
                <w:sz w:val="28"/>
                <w:szCs w:val="28"/>
              </w:rPr>
            </w:pPr>
            <w:r w:rsidRPr="00463569">
              <w:rPr>
                <w:rFonts w:ascii="Times New Roman" w:hAnsi="Times New Roman" w:cs="Times New Roman"/>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2. Budžeta izdevumi:</w:t>
            </w:r>
          </w:p>
        </w:tc>
        <w:tc>
          <w:tcPr>
            <w:tcW w:w="719" w:type="pct"/>
            <w:tcBorders>
              <w:top w:val="outset" w:sz="6" w:space="0" w:color="auto"/>
              <w:left w:val="outset" w:sz="6" w:space="0" w:color="auto"/>
              <w:bottom w:val="outset" w:sz="6" w:space="0" w:color="auto"/>
              <w:right w:val="outset" w:sz="6" w:space="0" w:color="auto"/>
            </w:tcBorders>
          </w:tcPr>
          <w:p w:rsidR="00422931" w:rsidRPr="00463569" w:rsidRDefault="00422931" w:rsidP="00702F16">
            <w:pPr>
              <w:spacing w:after="0" w:line="240" w:lineRule="auto"/>
              <w:jc w:val="center"/>
              <w:rPr>
                <w:rFonts w:ascii="Times New Roman" w:hAnsi="Times New Roman" w:cs="Times New Roman"/>
                <w:sz w:val="28"/>
                <w:szCs w:val="28"/>
              </w:rPr>
            </w:pPr>
            <w:r w:rsidRPr="00422931">
              <w:rPr>
                <w:rFonts w:ascii="Times New Roman" w:hAnsi="Times New Roman" w:cs="Times New Roman"/>
                <w:sz w:val="28"/>
                <w:szCs w:val="28"/>
              </w:rPr>
              <w:t>9831</w:t>
            </w:r>
          </w:p>
        </w:tc>
        <w:tc>
          <w:tcPr>
            <w:tcW w:w="772" w:type="pct"/>
            <w:tcBorders>
              <w:top w:val="outset" w:sz="6" w:space="0" w:color="auto"/>
              <w:left w:val="outset" w:sz="6" w:space="0" w:color="auto"/>
              <w:bottom w:val="outset" w:sz="6" w:space="0" w:color="auto"/>
              <w:right w:val="outset" w:sz="6" w:space="0" w:color="auto"/>
            </w:tcBorders>
          </w:tcPr>
          <w:p w:rsidR="00A74211" w:rsidRPr="00463569" w:rsidRDefault="00463569" w:rsidP="00DF5E93">
            <w:pPr>
              <w:spacing w:after="0" w:line="240" w:lineRule="auto"/>
              <w:jc w:val="center"/>
              <w:rPr>
                <w:rFonts w:ascii="Times New Roman" w:hAnsi="Times New Roman" w:cs="Times New Roman"/>
                <w:sz w:val="28"/>
                <w:szCs w:val="28"/>
              </w:rPr>
            </w:pPr>
            <w:r w:rsidRPr="00463569">
              <w:rPr>
                <w:rFonts w:ascii="Times New Roman" w:hAnsi="Times New Roman" w:cs="Times New Roman"/>
                <w:sz w:val="28"/>
                <w:szCs w:val="28"/>
              </w:rPr>
              <w:t>389</w:t>
            </w:r>
            <w:r w:rsidR="00702F16">
              <w:rPr>
                <w:rFonts w:ascii="Times New Roman" w:hAnsi="Times New Roman" w:cs="Times New Roman"/>
                <w:sz w:val="28"/>
                <w:szCs w:val="28"/>
              </w:rPr>
              <w:t>,00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B25E57"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2.1. valsts pamatbudžets</w:t>
            </w:r>
          </w:p>
        </w:tc>
        <w:tc>
          <w:tcPr>
            <w:tcW w:w="719" w:type="pct"/>
            <w:tcBorders>
              <w:top w:val="outset" w:sz="6" w:space="0" w:color="auto"/>
              <w:left w:val="outset" w:sz="6" w:space="0" w:color="auto"/>
              <w:bottom w:val="outset" w:sz="6" w:space="0" w:color="auto"/>
              <w:right w:val="outset" w:sz="6" w:space="0" w:color="auto"/>
            </w:tcBorders>
          </w:tcPr>
          <w:p w:rsidR="00422931" w:rsidRPr="00463569" w:rsidRDefault="00422931" w:rsidP="00702F16">
            <w:pPr>
              <w:spacing w:after="0" w:line="240" w:lineRule="auto"/>
              <w:jc w:val="center"/>
              <w:rPr>
                <w:rFonts w:ascii="Times New Roman" w:hAnsi="Times New Roman" w:cs="Times New Roman"/>
                <w:sz w:val="28"/>
                <w:szCs w:val="28"/>
              </w:rPr>
            </w:pPr>
            <w:r w:rsidRPr="00422931">
              <w:rPr>
                <w:rFonts w:ascii="Times New Roman" w:hAnsi="Times New Roman" w:cs="Times New Roman"/>
                <w:sz w:val="28"/>
                <w:szCs w:val="28"/>
              </w:rPr>
              <w:t>9831</w:t>
            </w:r>
          </w:p>
        </w:tc>
        <w:tc>
          <w:tcPr>
            <w:tcW w:w="772" w:type="pct"/>
            <w:tcBorders>
              <w:top w:val="outset" w:sz="6" w:space="0" w:color="auto"/>
              <w:left w:val="outset" w:sz="6" w:space="0" w:color="auto"/>
              <w:bottom w:val="outset" w:sz="6" w:space="0" w:color="auto"/>
              <w:right w:val="outset" w:sz="6" w:space="0" w:color="auto"/>
            </w:tcBorders>
          </w:tcPr>
          <w:p w:rsidR="00A74211" w:rsidRPr="00463569" w:rsidRDefault="00463569" w:rsidP="00DF5E93">
            <w:pPr>
              <w:spacing w:after="0" w:line="240" w:lineRule="auto"/>
              <w:jc w:val="center"/>
              <w:rPr>
                <w:rFonts w:ascii="Times New Roman" w:hAnsi="Times New Roman" w:cs="Times New Roman"/>
                <w:sz w:val="28"/>
                <w:szCs w:val="28"/>
              </w:rPr>
            </w:pPr>
            <w:r w:rsidRPr="00463569">
              <w:rPr>
                <w:rFonts w:ascii="Times New Roman" w:hAnsi="Times New Roman" w:cs="Times New Roman"/>
                <w:sz w:val="28"/>
                <w:szCs w:val="28"/>
              </w:rPr>
              <w:t>389</w:t>
            </w:r>
            <w:r w:rsidR="00702F16">
              <w:rPr>
                <w:rFonts w:ascii="Times New Roman" w:hAnsi="Times New Roman" w:cs="Times New Roman"/>
                <w:sz w:val="28"/>
                <w:szCs w:val="28"/>
              </w:rPr>
              <w:t>,00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B25E57"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2.2. valsts speciālais budžets</w:t>
            </w:r>
          </w:p>
        </w:tc>
        <w:tc>
          <w:tcPr>
            <w:tcW w:w="719"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2.3. pašvaldību budžets</w:t>
            </w:r>
          </w:p>
        </w:tc>
        <w:tc>
          <w:tcPr>
            <w:tcW w:w="719"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3. Finansiālā ietekme:</w:t>
            </w:r>
          </w:p>
        </w:tc>
        <w:tc>
          <w:tcPr>
            <w:tcW w:w="719"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3.1. valsts pamatbudžets</w:t>
            </w:r>
          </w:p>
        </w:tc>
        <w:tc>
          <w:tcPr>
            <w:tcW w:w="719"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3.2. speciālais budžets</w:t>
            </w:r>
          </w:p>
        </w:tc>
        <w:tc>
          <w:tcPr>
            <w:tcW w:w="719"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3.3. pašvaldību budžets</w:t>
            </w:r>
          </w:p>
        </w:tc>
        <w:tc>
          <w:tcPr>
            <w:tcW w:w="719"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4. Finanšu līdzekļi papildu izdevumu finansēšanai (kompensējošu izdevumu samazinājumu norāda ar "+" zīmi)</w:t>
            </w:r>
          </w:p>
        </w:tc>
        <w:tc>
          <w:tcPr>
            <w:tcW w:w="719"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X</w:t>
            </w:r>
          </w:p>
        </w:tc>
        <w:tc>
          <w:tcPr>
            <w:tcW w:w="77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5. Precizēta finansiālā ietekme:</w:t>
            </w:r>
          </w:p>
        </w:tc>
        <w:tc>
          <w:tcPr>
            <w:tcW w:w="719" w:type="pct"/>
            <w:vMerge w:val="restart"/>
            <w:tcBorders>
              <w:top w:val="outset" w:sz="6" w:space="0" w:color="auto"/>
              <w:left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X</w:t>
            </w:r>
          </w:p>
        </w:tc>
        <w:tc>
          <w:tcPr>
            <w:tcW w:w="77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r w:rsidRPr="0073437F">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before="75"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5.1. valsts pamatbudžets</w:t>
            </w:r>
          </w:p>
        </w:tc>
        <w:tc>
          <w:tcPr>
            <w:tcW w:w="719" w:type="pct"/>
            <w:vMerge/>
            <w:tcBorders>
              <w:left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p>
        </w:tc>
        <w:tc>
          <w:tcPr>
            <w:tcW w:w="772"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5.2. speciālais budžets</w:t>
            </w:r>
          </w:p>
        </w:tc>
        <w:tc>
          <w:tcPr>
            <w:tcW w:w="719" w:type="pct"/>
            <w:vMerge/>
            <w:tcBorders>
              <w:left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p>
        </w:tc>
        <w:tc>
          <w:tcPr>
            <w:tcW w:w="772"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5.3. pašvaldību budžets</w:t>
            </w:r>
          </w:p>
        </w:tc>
        <w:tc>
          <w:tcPr>
            <w:tcW w:w="719" w:type="pct"/>
            <w:vMerge/>
            <w:tcBorders>
              <w:left w:val="outset" w:sz="6" w:space="0" w:color="auto"/>
              <w:bottom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p>
        </w:tc>
        <w:tc>
          <w:tcPr>
            <w:tcW w:w="772"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A74211" w:rsidRPr="0073437F" w:rsidRDefault="00EC6B18" w:rsidP="00DF5E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6. Detalizēts ieņēmumu un izdevumu aprēķins (ja nepieciešams, detalizētu ieņēmumu un izdevumu aprēķinu var pievienot anotācijas pielikumā):</w:t>
            </w:r>
          </w:p>
        </w:tc>
        <w:tc>
          <w:tcPr>
            <w:tcW w:w="3702" w:type="pct"/>
            <w:gridSpan w:val="5"/>
            <w:vMerge w:val="restart"/>
            <w:tcBorders>
              <w:top w:val="outset" w:sz="6" w:space="0" w:color="auto"/>
              <w:left w:val="outset" w:sz="6" w:space="0" w:color="auto"/>
              <w:right w:val="outset" w:sz="6" w:space="0" w:color="auto"/>
            </w:tcBorders>
          </w:tcPr>
          <w:p w:rsidR="00A74211" w:rsidRPr="0073437F" w:rsidRDefault="00A74211" w:rsidP="00AF05ED">
            <w:pPr>
              <w:spacing w:after="0" w:line="240" w:lineRule="auto"/>
              <w:jc w:val="both"/>
              <w:rPr>
                <w:rFonts w:ascii="Times New Roman" w:hAnsi="Times New Roman" w:cs="Times New Roman"/>
                <w:sz w:val="28"/>
                <w:szCs w:val="28"/>
              </w:rPr>
            </w:pPr>
            <w:r w:rsidRPr="0073437F">
              <w:rPr>
                <w:rFonts w:ascii="Times New Roman" w:hAnsi="Times New Roman" w:cs="Times New Roman"/>
                <w:sz w:val="28"/>
                <w:szCs w:val="28"/>
              </w:rPr>
              <w:t xml:space="preserve">Detalizēts aprēķins sniegts </w:t>
            </w:r>
            <w:r w:rsidR="00AF05ED">
              <w:rPr>
                <w:rFonts w:ascii="Times New Roman" w:hAnsi="Times New Roman" w:cs="Times New Roman"/>
                <w:sz w:val="28"/>
                <w:szCs w:val="28"/>
              </w:rPr>
              <w:t>P</w:t>
            </w:r>
            <w:r w:rsidRPr="0073437F">
              <w:rPr>
                <w:rFonts w:ascii="Times New Roman" w:hAnsi="Times New Roman" w:cs="Times New Roman"/>
                <w:sz w:val="28"/>
                <w:szCs w:val="28"/>
              </w:rPr>
              <w:t>rojekta sākotnējās ietekmes novērtējuma ziņojuma (anotācijas) 1.pielikumā „</w:t>
            </w:r>
            <w:r w:rsidR="00794B9A" w:rsidRPr="0073437F">
              <w:rPr>
                <w:rFonts w:ascii="Times New Roman" w:hAnsi="Times New Roman" w:cs="Times New Roman"/>
                <w:sz w:val="28"/>
                <w:szCs w:val="28"/>
              </w:rPr>
              <w:t>Rakstniecības un mūzikas muzej</w:t>
            </w:r>
            <w:r w:rsidR="000742BD" w:rsidRPr="0073437F">
              <w:rPr>
                <w:rFonts w:ascii="Times New Roman" w:hAnsi="Times New Roman" w:cs="Times New Roman"/>
                <w:sz w:val="28"/>
                <w:szCs w:val="28"/>
              </w:rPr>
              <w:t>a</w:t>
            </w:r>
            <w:r w:rsidRPr="0073437F">
              <w:rPr>
                <w:rFonts w:ascii="Times New Roman" w:hAnsi="Times New Roman" w:cs="Times New Roman"/>
                <w:sz w:val="28"/>
                <w:szCs w:val="28"/>
              </w:rPr>
              <w:t xml:space="preserve"> publisk</w:t>
            </w:r>
            <w:r w:rsidR="000742BD" w:rsidRPr="0073437F">
              <w:rPr>
                <w:rFonts w:ascii="Times New Roman" w:hAnsi="Times New Roman" w:cs="Times New Roman"/>
                <w:sz w:val="28"/>
                <w:szCs w:val="28"/>
              </w:rPr>
              <w:t>ā</w:t>
            </w:r>
            <w:r w:rsidRPr="0073437F">
              <w:rPr>
                <w:rFonts w:ascii="Times New Roman" w:hAnsi="Times New Roman" w:cs="Times New Roman"/>
                <w:sz w:val="28"/>
                <w:szCs w:val="28"/>
              </w:rPr>
              <w:t xml:space="preserve"> maksas pakalpojumu cenu kalkulācija” un 2.pielikumā „</w:t>
            </w:r>
            <w:r w:rsidR="00794B9A" w:rsidRPr="0073437F">
              <w:rPr>
                <w:rFonts w:ascii="Times New Roman" w:hAnsi="Times New Roman" w:cs="Times New Roman"/>
                <w:bCs/>
                <w:sz w:val="28"/>
                <w:szCs w:val="28"/>
              </w:rPr>
              <w:t>Rakstniecības un mūzikas muzej</w:t>
            </w:r>
            <w:r w:rsidR="000742BD" w:rsidRPr="0073437F">
              <w:rPr>
                <w:rFonts w:ascii="Times New Roman" w:hAnsi="Times New Roman" w:cs="Times New Roman"/>
                <w:bCs/>
                <w:sz w:val="28"/>
                <w:szCs w:val="28"/>
              </w:rPr>
              <w:t xml:space="preserve">a </w:t>
            </w:r>
            <w:r w:rsidRPr="0073437F">
              <w:rPr>
                <w:rFonts w:ascii="Times New Roman" w:hAnsi="Times New Roman" w:cs="Times New Roman"/>
                <w:bCs/>
                <w:sz w:val="28"/>
                <w:szCs w:val="28"/>
              </w:rPr>
              <w:t>publiskā maksas pakalpojuma sniegšanā iesaistīto darbinieku izlietotais darba laiks un atalgojums</w:t>
            </w:r>
            <w:r w:rsidR="00EC6B18">
              <w:rPr>
                <w:rFonts w:ascii="Times New Roman" w:hAnsi="Times New Roman" w:cs="Times New Roman"/>
                <w:sz w:val="28"/>
                <w:szCs w:val="28"/>
              </w:rPr>
              <w:t>”.</w:t>
            </w: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6.1. detalizēts ieņēmumu aprēķins</w:t>
            </w:r>
          </w:p>
        </w:tc>
        <w:tc>
          <w:tcPr>
            <w:tcW w:w="3702" w:type="pct"/>
            <w:gridSpan w:val="5"/>
            <w:vMerge/>
            <w:tcBorders>
              <w:left w:val="outset" w:sz="6" w:space="0" w:color="auto"/>
              <w:right w:val="outset" w:sz="6" w:space="0" w:color="auto"/>
            </w:tcBorders>
          </w:tcPr>
          <w:p w:rsidR="00A74211" w:rsidRPr="0073437F" w:rsidRDefault="00A74211" w:rsidP="00DF5E93">
            <w:pPr>
              <w:spacing w:after="0" w:line="240" w:lineRule="auto"/>
              <w:jc w:val="center"/>
              <w:rPr>
                <w:rFonts w:ascii="Times New Roman" w:hAnsi="Times New Roman" w:cs="Times New Roman"/>
                <w:sz w:val="28"/>
                <w:szCs w:val="28"/>
              </w:rPr>
            </w:pP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A25BC9" w:rsidRDefault="00A74211" w:rsidP="00DF5E93">
            <w:pPr>
              <w:spacing w:after="0" w:line="240" w:lineRule="auto"/>
              <w:rPr>
                <w:rFonts w:ascii="Times New Roman" w:hAnsi="Times New Roman" w:cs="Times New Roman"/>
                <w:sz w:val="28"/>
                <w:szCs w:val="28"/>
              </w:rPr>
            </w:pPr>
            <w:r w:rsidRPr="00A25BC9">
              <w:rPr>
                <w:rFonts w:ascii="Times New Roman" w:hAnsi="Times New Roman" w:cs="Times New Roman"/>
                <w:sz w:val="28"/>
                <w:szCs w:val="28"/>
              </w:rPr>
              <w:t>6.2. detalizēts izdevumu aprēķins</w:t>
            </w:r>
          </w:p>
        </w:tc>
        <w:tc>
          <w:tcPr>
            <w:tcW w:w="3702" w:type="pct"/>
            <w:gridSpan w:val="5"/>
            <w:vMerge/>
            <w:tcBorders>
              <w:left w:val="outset" w:sz="6" w:space="0" w:color="auto"/>
              <w:bottom w:val="outset" w:sz="6" w:space="0" w:color="auto"/>
              <w:right w:val="outset" w:sz="6" w:space="0" w:color="auto"/>
            </w:tcBorders>
          </w:tcPr>
          <w:p w:rsidR="00A74211" w:rsidRPr="00A25BC9" w:rsidRDefault="00A74211" w:rsidP="00DF5E93">
            <w:pPr>
              <w:spacing w:after="0" w:line="240" w:lineRule="auto"/>
              <w:jc w:val="center"/>
              <w:rPr>
                <w:rFonts w:ascii="Times New Roman" w:hAnsi="Times New Roman" w:cs="Times New Roman"/>
                <w:sz w:val="28"/>
                <w:szCs w:val="28"/>
              </w:rPr>
            </w:pPr>
          </w:p>
        </w:tc>
      </w:tr>
      <w:tr w:rsidR="00A74211" w:rsidRPr="0073437F" w:rsidTr="005F3F16">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A74211" w:rsidRPr="00A25BC9" w:rsidRDefault="00A74211" w:rsidP="00DF5E93">
            <w:pPr>
              <w:spacing w:after="0" w:line="240" w:lineRule="auto"/>
              <w:rPr>
                <w:rFonts w:ascii="Times New Roman" w:hAnsi="Times New Roman" w:cs="Times New Roman"/>
                <w:sz w:val="28"/>
                <w:szCs w:val="28"/>
              </w:rPr>
            </w:pPr>
            <w:r w:rsidRPr="00A25BC9">
              <w:rPr>
                <w:rFonts w:ascii="Times New Roman" w:hAnsi="Times New Roman" w:cs="Times New Roman"/>
                <w:sz w:val="28"/>
                <w:szCs w:val="28"/>
              </w:rPr>
              <w:t>7. Cita informācija</w:t>
            </w:r>
          </w:p>
        </w:tc>
        <w:tc>
          <w:tcPr>
            <w:tcW w:w="3702" w:type="pct"/>
            <w:gridSpan w:val="5"/>
            <w:tcBorders>
              <w:top w:val="outset" w:sz="6" w:space="0" w:color="auto"/>
              <w:left w:val="outset" w:sz="6" w:space="0" w:color="auto"/>
              <w:bottom w:val="outset" w:sz="6" w:space="0" w:color="auto"/>
              <w:right w:val="outset" w:sz="6" w:space="0" w:color="auto"/>
            </w:tcBorders>
          </w:tcPr>
          <w:p w:rsidR="00A74211" w:rsidRPr="00A25BC9" w:rsidRDefault="00CA33FF" w:rsidP="00CA33FF">
            <w:pPr>
              <w:spacing w:after="0" w:line="240" w:lineRule="auto"/>
              <w:jc w:val="both"/>
              <w:rPr>
                <w:rFonts w:ascii="Times New Roman" w:hAnsi="Times New Roman" w:cs="Times New Roman"/>
                <w:sz w:val="28"/>
                <w:szCs w:val="28"/>
              </w:rPr>
            </w:pPr>
            <w:r w:rsidRPr="00A25BC9">
              <w:rPr>
                <w:rFonts w:ascii="Times New Roman" w:hAnsi="Times New Roman" w:cs="Times New Roman"/>
                <w:sz w:val="28"/>
                <w:szCs w:val="28"/>
              </w:rPr>
              <w:t xml:space="preserve">2015.gadā finanšu resursi muzeja izdevumu segšanai sastāda </w:t>
            </w:r>
            <w:r w:rsidR="00106391" w:rsidRPr="00A25BC9">
              <w:rPr>
                <w:rFonts w:ascii="Times New Roman" w:hAnsi="Times New Roman" w:cs="Times New Roman"/>
                <w:sz w:val="28"/>
                <w:szCs w:val="28"/>
              </w:rPr>
              <w:t>895</w:t>
            </w:r>
            <w:r w:rsidR="00F15750" w:rsidRPr="00A25BC9">
              <w:rPr>
                <w:rFonts w:ascii="Times New Roman" w:hAnsi="Times New Roman" w:cs="Times New Roman"/>
                <w:sz w:val="28"/>
                <w:szCs w:val="28"/>
              </w:rPr>
              <w:t xml:space="preserve"> </w:t>
            </w:r>
            <w:r w:rsidR="00106391" w:rsidRPr="00A25BC9">
              <w:rPr>
                <w:rFonts w:ascii="Times New Roman" w:hAnsi="Times New Roman" w:cs="Times New Roman"/>
                <w:sz w:val="28"/>
                <w:szCs w:val="28"/>
              </w:rPr>
              <w:t>215</w:t>
            </w:r>
            <w:r w:rsidR="00F15750" w:rsidRPr="00A25BC9">
              <w:rPr>
                <w:rFonts w:ascii="Times New Roman" w:hAnsi="Times New Roman" w:cs="Times New Roman"/>
                <w:sz w:val="28"/>
                <w:szCs w:val="28"/>
              </w:rPr>
              <w:t xml:space="preserve"> </w:t>
            </w:r>
            <w:proofErr w:type="spellStart"/>
            <w:r w:rsidRPr="00A25BC9">
              <w:rPr>
                <w:rFonts w:ascii="Times New Roman" w:hAnsi="Times New Roman" w:cs="Times New Roman"/>
                <w:i/>
                <w:sz w:val="28"/>
                <w:szCs w:val="28"/>
              </w:rPr>
              <w:t>euro</w:t>
            </w:r>
            <w:proofErr w:type="spellEnd"/>
            <w:r w:rsidRPr="00A25BC9">
              <w:rPr>
                <w:rFonts w:ascii="Times New Roman" w:hAnsi="Times New Roman" w:cs="Times New Roman"/>
                <w:i/>
                <w:sz w:val="28"/>
                <w:szCs w:val="28"/>
              </w:rPr>
              <w:t xml:space="preserve"> </w:t>
            </w:r>
            <w:r w:rsidRPr="00A25BC9">
              <w:rPr>
                <w:rFonts w:ascii="Times New Roman" w:hAnsi="Times New Roman" w:cs="Times New Roman"/>
                <w:sz w:val="28"/>
                <w:szCs w:val="28"/>
              </w:rPr>
              <w:t xml:space="preserve">apmērā, tajā skaitā ieņēmumi no muzeja maksas pakalpojumiem un citi pašu ieņēmumi veido </w:t>
            </w:r>
            <w:r w:rsidR="00106391" w:rsidRPr="00A25BC9">
              <w:rPr>
                <w:rFonts w:ascii="Times New Roman" w:hAnsi="Times New Roman" w:cs="Times New Roman"/>
                <w:sz w:val="28"/>
                <w:szCs w:val="28"/>
              </w:rPr>
              <w:t>9831</w:t>
            </w:r>
            <w:r w:rsidR="00F15750" w:rsidRPr="00A25BC9">
              <w:rPr>
                <w:rFonts w:ascii="Times New Roman" w:hAnsi="Times New Roman" w:cs="Times New Roman"/>
                <w:sz w:val="28"/>
                <w:szCs w:val="28"/>
              </w:rPr>
              <w:t xml:space="preserve"> </w:t>
            </w:r>
            <w:proofErr w:type="spellStart"/>
            <w:r w:rsidRPr="00A25BC9">
              <w:rPr>
                <w:rFonts w:ascii="Times New Roman" w:hAnsi="Times New Roman" w:cs="Times New Roman"/>
                <w:i/>
                <w:sz w:val="28"/>
                <w:szCs w:val="28"/>
              </w:rPr>
              <w:t>euro</w:t>
            </w:r>
            <w:proofErr w:type="spellEnd"/>
            <w:r w:rsidRPr="00A25BC9">
              <w:rPr>
                <w:rFonts w:ascii="Times New Roman" w:hAnsi="Times New Roman" w:cs="Times New Roman"/>
                <w:sz w:val="28"/>
                <w:szCs w:val="28"/>
              </w:rPr>
              <w:t xml:space="preserve"> </w:t>
            </w:r>
            <w:r w:rsidR="00F15750" w:rsidRPr="00A25BC9">
              <w:rPr>
                <w:rFonts w:ascii="Times New Roman" w:hAnsi="Times New Roman" w:cs="Times New Roman"/>
                <w:sz w:val="28"/>
                <w:szCs w:val="28"/>
              </w:rPr>
              <w:t>(</w:t>
            </w:r>
            <w:r w:rsidR="00FF5000" w:rsidRPr="00A25BC9">
              <w:rPr>
                <w:rFonts w:ascii="Times New Roman" w:hAnsi="Times New Roman" w:cs="Times New Roman"/>
                <w:sz w:val="28"/>
                <w:szCs w:val="28"/>
              </w:rPr>
              <w:t xml:space="preserve">1 </w:t>
            </w:r>
            <w:r w:rsidRPr="00A25BC9">
              <w:rPr>
                <w:rFonts w:ascii="Times New Roman" w:hAnsi="Times New Roman" w:cs="Times New Roman"/>
                <w:sz w:val="28"/>
                <w:szCs w:val="28"/>
              </w:rPr>
              <w:t xml:space="preserve">% no muzeja resursiem izdevumu segšanai) un valsts budžeta dotācija no vispārējiem ieņēmumiem ir </w:t>
            </w:r>
            <w:r w:rsidR="00FF5000" w:rsidRPr="00A25BC9">
              <w:rPr>
                <w:rFonts w:ascii="Times New Roman" w:hAnsi="Times New Roman" w:cs="Times New Roman"/>
                <w:sz w:val="28"/>
                <w:szCs w:val="28"/>
              </w:rPr>
              <w:t>885</w:t>
            </w:r>
            <w:r w:rsidR="00F15750" w:rsidRPr="00A25BC9">
              <w:rPr>
                <w:rFonts w:ascii="Times New Roman" w:hAnsi="Times New Roman" w:cs="Times New Roman"/>
                <w:sz w:val="28"/>
                <w:szCs w:val="28"/>
              </w:rPr>
              <w:t xml:space="preserve"> </w:t>
            </w:r>
            <w:r w:rsidR="00FF5000" w:rsidRPr="00A25BC9">
              <w:rPr>
                <w:rFonts w:ascii="Times New Roman" w:hAnsi="Times New Roman" w:cs="Times New Roman"/>
                <w:sz w:val="28"/>
                <w:szCs w:val="28"/>
              </w:rPr>
              <w:t>384</w:t>
            </w:r>
            <w:r w:rsidR="00F15750" w:rsidRPr="00A25BC9">
              <w:rPr>
                <w:rFonts w:ascii="Times New Roman" w:hAnsi="Times New Roman" w:cs="Times New Roman"/>
                <w:sz w:val="28"/>
                <w:szCs w:val="28"/>
              </w:rPr>
              <w:t xml:space="preserve"> </w:t>
            </w:r>
            <w:proofErr w:type="spellStart"/>
            <w:r w:rsidRPr="00A25BC9">
              <w:rPr>
                <w:rFonts w:ascii="Times New Roman" w:hAnsi="Times New Roman" w:cs="Times New Roman"/>
                <w:i/>
                <w:sz w:val="28"/>
                <w:szCs w:val="28"/>
              </w:rPr>
              <w:t>euro</w:t>
            </w:r>
            <w:proofErr w:type="spellEnd"/>
            <w:r w:rsidRPr="00A25BC9">
              <w:rPr>
                <w:rFonts w:ascii="Times New Roman" w:hAnsi="Times New Roman" w:cs="Times New Roman"/>
                <w:sz w:val="28"/>
                <w:szCs w:val="28"/>
              </w:rPr>
              <w:t xml:space="preserve"> </w:t>
            </w:r>
            <w:r w:rsidR="00FF5000" w:rsidRPr="00A25BC9">
              <w:rPr>
                <w:rFonts w:ascii="Times New Roman" w:hAnsi="Times New Roman" w:cs="Times New Roman"/>
                <w:sz w:val="28"/>
                <w:szCs w:val="28"/>
              </w:rPr>
              <w:t xml:space="preserve">(99 </w:t>
            </w:r>
            <w:r w:rsidRPr="00A25BC9">
              <w:rPr>
                <w:rFonts w:ascii="Times New Roman" w:hAnsi="Times New Roman" w:cs="Times New Roman"/>
                <w:sz w:val="28"/>
                <w:szCs w:val="28"/>
              </w:rPr>
              <w:t>% no muzeja resursiem izdevumu segšanai).</w:t>
            </w:r>
          </w:p>
        </w:tc>
      </w:tr>
    </w:tbl>
    <w:p w:rsidR="00B8078B" w:rsidRDefault="00B8078B" w:rsidP="00DF5E93">
      <w:pPr>
        <w:pStyle w:val="ParastaisWeb"/>
        <w:spacing w:before="0" w:beforeAutospacing="0" w:after="0" w:afterAutospacing="0"/>
        <w:rPr>
          <w:i/>
          <w:sz w:val="28"/>
          <w:szCs w:val="28"/>
        </w:rPr>
      </w:pPr>
    </w:p>
    <w:p w:rsidR="00702F16" w:rsidRDefault="00702F16" w:rsidP="00702F16">
      <w:pPr>
        <w:pStyle w:val="naisf"/>
        <w:spacing w:before="0" w:after="0"/>
        <w:ind w:firstLine="0"/>
        <w:rPr>
          <w:i/>
          <w:sz w:val="28"/>
          <w:szCs w:val="28"/>
        </w:rPr>
      </w:pPr>
      <w:r>
        <w:rPr>
          <w:i/>
          <w:sz w:val="28"/>
          <w:szCs w:val="28"/>
        </w:rPr>
        <w:t xml:space="preserve">Anotācijas IV, </w:t>
      </w:r>
      <w:r w:rsidRPr="0073437F">
        <w:rPr>
          <w:i/>
          <w:sz w:val="28"/>
          <w:szCs w:val="28"/>
        </w:rPr>
        <w:t xml:space="preserve">V </w:t>
      </w:r>
      <w:r>
        <w:rPr>
          <w:i/>
          <w:sz w:val="28"/>
          <w:szCs w:val="28"/>
        </w:rPr>
        <w:t xml:space="preserve">un VI </w:t>
      </w:r>
      <w:r w:rsidRPr="0073437F">
        <w:rPr>
          <w:i/>
          <w:sz w:val="28"/>
          <w:szCs w:val="28"/>
        </w:rPr>
        <w:t xml:space="preserve">sadaļa – </w:t>
      </w:r>
      <w:r>
        <w:rPr>
          <w:i/>
          <w:sz w:val="28"/>
          <w:szCs w:val="28"/>
        </w:rPr>
        <w:t>Projekts šo jomu neskar</w:t>
      </w:r>
      <w:r w:rsidRPr="0073437F">
        <w:rPr>
          <w:i/>
          <w:sz w:val="28"/>
          <w:szCs w:val="28"/>
        </w:rPr>
        <w:t>.</w:t>
      </w:r>
    </w:p>
    <w:p w:rsidR="00702F16" w:rsidRDefault="00702F16" w:rsidP="00702F16">
      <w:pPr>
        <w:pStyle w:val="naisf"/>
        <w:spacing w:before="0" w:after="0"/>
        <w:ind w:firstLine="0"/>
        <w:rPr>
          <w:i/>
          <w:sz w:val="28"/>
          <w:szCs w:val="28"/>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376"/>
        <w:gridCol w:w="4963"/>
      </w:tblGrid>
      <w:tr w:rsidR="00A74211" w:rsidRPr="0073437F" w:rsidTr="000B0C4B">
        <w:trPr>
          <w:tblCellSpacing w:w="7" w:type="dxa"/>
        </w:trPr>
        <w:tc>
          <w:tcPr>
            <w:tcW w:w="4985" w:type="pct"/>
            <w:gridSpan w:val="2"/>
            <w:tcBorders>
              <w:top w:val="outset" w:sz="6" w:space="0" w:color="auto"/>
              <w:left w:val="outset" w:sz="6" w:space="0" w:color="auto"/>
              <w:bottom w:val="outset" w:sz="6" w:space="0" w:color="auto"/>
              <w:right w:val="outset" w:sz="6" w:space="0" w:color="auto"/>
            </w:tcBorders>
          </w:tcPr>
          <w:p w:rsidR="00A74211" w:rsidRPr="0073437F" w:rsidRDefault="00A74211" w:rsidP="00DF5E93">
            <w:pPr>
              <w:pStyle w:val="naisc"/>
              <w:spacing w:before="0" w:after="0"/>
              <w:rPr>
                <w:sz w:val="28"/>
                <w:szCs w:val="28"/>
                <w:lang w:val="lv-LV"/>
              </w:rPr>
            </w:pPr>
            <w:r w:rsidRPr="0073437F">
              <w:rPr>
                <w:b/>
                <w:bCs/>
                <w:sz w:val="28"/>
                <w:szCs w:val="28"/>
                <w:lang w:val="lv-LV"/>
              </w:rPr>
              <w:t>VII. Tiesību akta projekta izpildes nodrošināšana un tās ietekme uz institūcijām</w:t>
            </w:r>
          </w:p>
        </w:tc>
      </w:tr>
      <w:tr w:rsidR="00A74211" w:rsidRPr="0073437F" w:rsidTr="00702F16">
        <w:trPr>
          <w:tblCellSpacing w:w="7" w:type="dxa"/>
        </w:trPr>
        <w:tc>
          <w:tcPr>
            <w:tcW w:w="2335"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1. Projekta izpildē iesaistītās institūcijas</w:t>
            </w:r>
          </w:p>
        </w:tc>
        <w:tc>
          <w:tcPr>
            <w:tcW w:w="2642" w:type="pct"/>
            <w:tcBorders>
              <w:top w:val="outset" w:sz="6" w:space="0" w:color="auto"/>
              <w:left w:val="outset" w:sz="6" w:space="0" w:color="auto"/>
              <w:bottom w:val="outset" w:sz="6" w:space="0" w:color="auto"/>
              <w:right w:val="outset" w:sz="6" w:space="0" w:color="auto"/>
            </w:tcBorders>
          </w:tcPr>
          <w:p w:rsidR="00A74211" w:rsidRPr="0073437F" w:rsidRDefault="007A0E5B" w:rsidP="00DF5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Projekta izpildi nodrošinās </w:t>
            </w:r>
            <w:r w:rsidR="00A74211" w:rsidRPr="0073437F">
              <w:rPr>
                <w:rFonts w:ascii="Times New Roman" w:hAnsi="Times New Roman" w:cs="Times New Roman"/>
                <w:sz w:val="28"/>
                <w:szCs w:val="28"/>
              </w:rPr>
              <w:t>Rakstniecības un mūzikas muzejs</w:t>
            </w:r>
            <w:r w:rsidR="000742BD" w:rsidRPr="0073437F">
              <w:rPr>
                <w:rFonts w:ascii="Times New Roman" w:hAnsi="Times New Roman" w:cs="Times New Roman"/>
                <w:sz w:val="28"/>
                <w:szCs w:val="28"/>
              </w:rPr>
              <w:t>.</w:t>
            </w:r>
          </w:p>
        </w:tc>
      </w:tr>
      <w:tr w:rsidR="00A74211" w:rsidRPr="0073437F" w:rsidTr="00702F16">
        <w:trPr>
          <w:tblCellSpacing w:w="7" w:type="dxa"/>
        </w:trPr>
        <w:tc>
          <w:tcPr>
            <w:tcW w:w="2335" w:type="pct"/>
            <w:tcBorders>
              <w:top w:val="outset" w:sz="6" w:space="0" w:color="auto"/>
              <w:left w:val="outset" w:sz="6" w:space="0" w:color="auto"/>
              <w:bottom w:val="outset" w:sz="6" w:space="0" w:color="auto"/>
              <w:right w:val="outset" w:sz="6" w:space="0" w:color="auto"/>
            </w:tcBorders>
          </w:tcPr>
          <w:p w:rsidR="005415B8" w:rsidRDefault="00A74211" w:rsidP="005415B8">
            <w:pPr>
              <w:spacing w:after="0" w:line="240" w:lineRule="auto"/>
              <w:rPr>
                <w:rFonts w:ascii="Times New Roman" w:eastAsia="Times New Roman" w:hAnsi="Times New Roman" w:cs="Times New Roman"/>
                <w:sz w:val="28"/>
                <w:szCs w:val="28"/>
              </w:rPr>
            </w:pPr>
            <w:r w:rsidRPr="005415B8">
              <w:rPr>
                <w:rFonts w:ascii="Times New Roman" w:hAnsi="Times New Roman" w:cs="Times New Roman"/>
                <w:sz w:val="28"/>
                <w:szCs w:val="28"/>
              </w:rPr>
              <w:t xml:space="preserve">2. </w:t>
            </w:r>
            <w:r w:rsidR="005415B8" w:rsidRPr="005415B8">
              <w:rPr>
                <w:rFonts w:ascii="Times New Roman" w:eastAsia="Times New Roman" w:hAnsi="Times New Roman" w:cs="Times New Roman"/>
                <w:sz w:val="28"/>
                <w:szCs w:val="28"/>
              </w:rPr>
              <w:t>Projekta izpildes ietekme uz pārvaldes funkcij</w:t>
            </w:r>
            <w:r w:rsidR="005415B8">
              <w:rPr>
                <w:rFonts w:ascii="Times New Roman" w:eastAsia="Times New Roman" w:hAnsi="Times New Roman" w:cs="Times New Roman"/>
                <w:sz w:val="28"/>
                <w:szCs w:val="28"/>
              </w:rPr>
              <w:t>ām un institucionālo struktūru.</w:t>
            </w:r>
          </w:p>
          <w:p w:rsidR="007A0E5B" w:rsidRPr="005415B8" w:rsidRDefault="007A0E5B" w:rsidP="005415B8">
            <w:pPr>
              <w:spacing w:after="0" w:line="240" w:lineRule="auto"/>
              <w:rPr>
                <w:rFonts w:ascii="Times New Roman" w:eastAsia="Times New Roman" w:hAnsi="Times New Roman" w:cs="Times New Roman"/>
                <w:sz w:val="28"/>
                <w:szCs w:val="28"/>
              </w:rPr>
            </w:pPr>
          </w:p>
          <w:p w:rsidR="00A74211" w:rsidRPr="0073437F" w:rsidRDefault="005415B8" w:rsidP="007A0E5B">
            <w:pPr>
              <w:spacing w:after="0" w:line="240" w:lineRule="auto"/>
              <w:rPr>
                <w:rFonts w:ascii="Times New Roman" w:hAnsi="Times New Roman" w:cs="Times New Roman"/>
                <w:sz w:val="28"/>
                <w:szCs w:val="28"/>
              </w:rPr>
            </w:pPr>
            <w:r w:rsidRPr="005415B8">
              <w:rPr>
                <w:rFonts w:ascii="Times New Roman" w:eastAsia="Times New Roman" w:hAnsi="Times New Roman" w:cs="Times New Roman"/>
                <w:sz w:val="28"/>
                <w:szCs w:val="28"/>
              </w:rPr>
              <w:t>Jaunu institūciju izveide, esošu institūciju likvidācija vai reorganizācija, to ietekme uz institūcijas cilvēkresursiem</w:t>
            </w:r>
          </w:p>
        </w:tc>
        <w:tc>
          <w:tcPr>
            <w:tcW w:w="2642" w:type="pct"/>
            <w:tcBorders>
              <w:top w:val="outset" w:sz="6" w:space="0" w:color="auto"/>
              <w:left w:val="outset" w:sz="6" w:space="0" w:color="auto"/>
              <w:bottom w:val="outset" w:sz="6" w:space="0" w:color="auto"/>
              <w:right w:val="outset" w:sz="6" w:space="0" w:color="auto"/>
            </w:tcBorders>
          </w:tcPr>
          <w:p w:rsidR="007A0E5B" w:rsidRDefault="005415B8" w:rsidP="00DF5E93">
            <w:pPr>
              <w:spacing w:after="0" w:line="240" w:lineRule="auto"/>
              <w:jc w:val="both"/>
              <w:rPr>
                <w:rFonts w:ascii="Times New Roman" w:hAnsi="Times New Roman" w:cs="Times New Roman"/>
                <w:sz w:val="28"/>
                <w:szCs w:val="28"/>
              </w:rPr>
            </w:pPr>
            <w:r w:rsidRPr="0073437F">
              <w:rPr>
                <w:rFonts w:ascii="Times New Roman" w:hAnsi="Times New Roman" w:cs="Times New Roman"/>
                <w:sz w:val="28"/>
                <w:szCs w:val="28"/>
              </w:rPr>
              <w:t xml:space="preserve">Projekta izpildi </w:t>
            </w:r>
            <w:r>
              <w:rPr>
                <w:rFonts w:ascii="Times New Roman" w:hAnsi="Times New Roman" w:cs="Times New Roman"/>
                <w:sz w:val="28"/>
                <w:szCs w:val="28"/>
              </w:rPr>
              <w:t xml:space="preserve">muzejs </w:t>
            </w:r>
            <w:r w:rsidRPr="0073437F">
              <w:rPr>
                <w:rFonts w:ascii="Times New Roman" w:hAnsi="Times New Roman" w:cs="Times New Roman"/>
                <w:sz w:val="28"/>
                <w:szCs w:val="28"/>
              </w:rPr>
              <w:t>nodrošinās esoš</w:t>
            </w:r>
            <w:r>
              <w:rPr>
                <w:rFonts w:ascii="Times New Roman" w:hAnsi="Times New Roman" w:cs="Times New Roman"/>
                <w:sz w:val="28"/>
                <w:szCs w:val="28"/>
              </w:rPr>
              <w:t>o</w:t>
            </w:r>
            <w:r w:rsidRPr="0073437F">
              <w:rPr>
                <w:rFonts w:ascii="Times New Roman" w:hAnsi="Times New Roman" w:cs="Times New Roman"/>
                <w:sz w:val="28"/>
                <w:szCs w:val="28"/>
              </w:rPr>
              <w:t xml:space="preserve"> institūcij</w:t>
            </w:r>
            <w:r>
              <w:rPr>
                <w:rFonts w:ascii="Times New Roman" w:hAnsi="Times New Roman" w:cs="Times New Roman"/>
                <w:sz w:val="28"/>
                <w:szCs w:val="28"/>
              </w:rPr>
              <w:t>u ietvaros</w:t>
            </w:r>
            <w:r w:rsidR="007A0E5B">
              <w:rPr>
                <w:rFonts w:ascii="Times New Roman" w:hAnsi="Times New Roman" w:cs="Times New Roman"/>
                <w:sz w:val="28"/>
                <w:szCs w:val="28"/>
              </w:rPr>
              <w:t>.</w:t>
            </w:r>
          </w:p>
          <w:p w:rsidR="007A0E5B" w:rsidRDefault="007A0E5B" w:rsidP="00DF5E93">
            <w:pPr>
              <w:spacing w:after="0" w:line="240" w:lineRule="auto"/>
              <w:jc w:val="both"/>
              <w:rPr>
                <w:rFonts w:ascii="Times New Roman" w:hAnsi="Times New Roman" w:cs="Times New Roman"/>
                <w:sz w:val="28"/>
                <w:szCs w:val="28"/>
              </w:rPr>
            </w:pPr>
          </w:p>
          <w:p w:rsidR="005415B8" w:rsidRDefault="007A0E5B" w:rsidP="004D14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w:t>
            </w:r>
            <w:r w:rsidR="005415B8" w:rsidRPr="0073437F">
              <w:rPr>
                <w:rFonts w:ascii="Times New Roman" w:hAnsi="Times New Roman" w:cs="Times New Roman"/>
                <w:sz w:val="28"/>
                <w:szCs w:val="28"/>
              </w:rPr>
              <w:t xml:space="preserve">aunu </w:t>
            </w:r>
            <w:r w:rsidR="005415B8">
              <w:rPr>
                <w:rFonts w:ascii="Times New Roman" w:hAnsi="Times New Roman" w:cs="Times New Roman"/>
                <w:sz w:val="28"/>
                <w:szCs w:val="28"/>
              </w:rPr>
              <w:t xml:space="preserve">muzeja </w:t>
            </w:r>
            <w:r w:rsidR="005415B8" w:rsidRPr="0073437F">
              <w:rPr>
                <w:rFonts w:ascii="Times New Roman" w:hAnsi="Times New Roman" w:cs="Times New Roman"/>
                <w:sz w:val="28"/>
                <w:szCs w:val="28"/>
              </w:rPr>
              <w:t>institūciju izveide nav nepieciešama</w:t>
            </w:r>
            <w:r w:rsidR="004D142D">
              <w:rPr>
                <w:rFonts w:ascii="Times New Roman" w:hAnsi="Times New Roman" w:cs="Times New Roman"/>
                <w:sz w:val="28"/>
                <w:szCs w:val="28"/>
              </w:rPr>
              <w:t>,</w:t>
            </w:r>
            <w:r>
              <w:rPr>
                <w:rFonts w:ascii="Times New Roman" w:hAnsi="Times New Roman" w:cs="Times New Roman"/>
                <w:sz w:val="28"/>
                <w:szCs w:val="28"/>
              </w:rPr>
              <w:t xml:space="preserve"> </w:t>
            </w:r>
            <w:r w:rsidR="004D142D">
              <w:rPr>
                <w:rFonts w:ascii="Times New Roman" w:hAnsi="Times New Roman" w:cs="Times New Roman"/>
                <w:sz w:val="28"/>
                <w:szCs w:val="28"/>
              </w:rPr>
              <w:t>e</w:t>
            </w:r>
            <w:r w:rsidR="005415B8" w:rsidRPr="0073437F">
              <w:rPr>
                <w:rFonts w:ascii="Times New Roman" w:hAnsi="Times New Roman" w:cs="Times New Roman"/>
                <w:sz w:val="28"/>
                <w:szCs w:val="28"/>
              </w:rPr>
              <w:t xml:space="preserve">sošās </w:t>
            </w:r>
            <w:r w:rsidR="005415B8" w:rsidRPr="00F15750">
              <w:rPr>
                <w:rFonts w:ascii="Times New Roman" w:hAnsi="Times New Roman" w:cs="Times New Roman"/>
                <w:sz w:val="28"/>
                <w:szCs w:val="28"/>
              </w:rPr>
              <w:t>muzeja institūcijas netiek likvidētas.</w:t>
            </w:r>
            <w:r w:rsidRPr="00F15750">
              <w:rPr>
                <w:rFonts w:ascii="Times New Roman" w:hAnsi="Times New Roman" w:cs="Times New Roman"/>
                <w:sz w:val="28"/>
                <w:szCs w:val="28"/>
              </w:rPr>
              <w:t xml:space="preserve"> </w:t>
            </w:r>
            <w:r w:rsidR="005415B8" w:rsidRPr="00F15750">
              <w:rPr>
                <w:rFonts w:ascii="Times New Roman" w:hAnsi="Times New Roman" w:cs="Times New Roman"/>
                <w:sz w:val="28"/>
                <w:szCs w:val="28"/>
              </w:rPr>
              <w:t>Esošo muzeja institūciju reorganizācija nav paredzēta.</w:t>
            </w:r>
            <w:r w:rsidR="00656EC4">
              <w:rPr>
                <w:rFonts w:ascii="Times New Roman" w:hAnsi="Times New Roman" w:cs="Times New Roman"/>
                <w:sz w:val="28"/>
                <w:szCs w:val="28"/>
              </w:rPr>
              <w:t xml:space="preserve"> </w:t>
            </w:r>
          </w:p>
          <w:p w:rsidR="00656EC4" w:rsidRPr="0073437F" w:rsidRDefault="00656EC4" w:rsidP="00656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Pr="007261D1">
              <w:rPr>
                <w:rFonts w:ascii="Times New Roman" w:hAnsi="Times New Roman" w:cs="Times New Roman"/>
                <w:sz w:val="28"/>
                <w:szCs w:val="28"/>
              </w:rPr>
              <w:t>rojekta izpilde tiks nodrošināta esošo cilvēkresursu ietvaros.</w:t>
            </w:r>
          </w:p>
        </w:tc>
      </w:tr>
      <w:tr w:rsidR="00A74211" w:rsidRPr="0073437F" w:rsidTr="00702F16">
        <w:trPr>
          <w:tblCellSpacing w:w="7" w:type="dxa"/>
        </w:trPr>
        <w:tc>
          <w:tcPr>
            <w:tcW w:w="2335" w:type="pct"/>
            <w:tcBorders>
              <w:top w:val="outset" w:sz="6" w:space="0" w:color="auto"/>
              <w:left w:val="outset" w:sz="6" w:space="0" w:color="auto"/>
              <w:bottom w:val="outset" w:sz="6" w:space="0" w:color="auto"/>
              <w:right w:val="outset" w:sz="6" w:space="0" w:color="auto"/>
            </w:tcBorders>
          </w:tcPr>
          <w:p w:rsidR="00A74211" w:rsidRPr="0073437F" w:rsidRDefault="005415B8" w:rsidP="00DF5E93">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A74211" w:rsidRPr="0073437F">
              <w:rPr>
                <w:rFonts w:ascii="Times New Roman" w:hAnsi="Times New Roman" w:cs="Times New Roman"/>
                <w:sz w:val="28"/>
                <w:szCs w:val="28"/>
              </w:rPr>
              <w:t>. Cita informācija</w:t>
            </w:r>
          </w:p>
        </w:tc>
        <w:tc>
          <w:tcPr>
            <w:tcW w:w="2642" w:type="pct"/>
            <w:tcBorders>
              <w:top w:val="outset" w:sz="6" w:space="0" w:color="auto"/>
              <w:left w:val="outset" w:sz="6" w:space="0" w:color="auto"/>
              <w:bottom w:val="outset" w:sz="6" w:space="0" w:color="auto"/>
              <w:right w:val="outset" w:sz="6" w:space="0" w:color="auto"/>
            </w:tcBorders>
          </w:tcPr>
          <w:p w:rsidR="00A74211" w:rsidRPr="0073437F" w:rsidRDefault="00A74211" w:rsidP="00DF5E93">
            <w:pPr>
              <w:spacing w:after="0" w:line="240" w:lineRule="auto"/>
              <w:rPr>
                <w:rFonts w:ascii="Times New Roman" w:hAnsi="Times New Roman" w:cs="Times New Roman"/>
                <w:sz w:val="28"/>
                <w:szCs w:val="28"/>
              </w:rPr>
            </w:pPr>
            <w:r w:rsidRPr="0073437F">
              <w:rPr>
                <w:rFonts w:ascii="Times New Roman" w:hAnsi="Times New Roman" w:cs="Times New Roman"/>
                <w:sz w:val="28"/>
                <w:szCs w:val="28"/>
              </w:rPr>
              <w:t>Nav</w:t>
            </w:r>
          </w:p>
        </w:tc>
      </w:tr>
    </w:tbl>
    <w:p w:rsidR="00A74211" w:rsidRDefault="00A74211" w:rsidP="00DF5E93">
      <w:pPr>
        <w:spacing w:after="0" w:line="240" w:lineRule="auto"/>
        <w:rPr>
          <w:rFonts w:ascii="Times New Roman" w:hAnsi="Times New Roman" w:cs="Times New Roman"/>
          <w:b/>
          <w:bCs/>
          <w:sz w:val="28"/>
          <w:szCs w:val="28"/>
        </w:rPr>
      </w:pPr>
    </w:p>
    <w:p w:rsidR="00656EC4" w:rsidRPr="0073437F" w:rsidRDefault="00656EC4" w:rsidP="00DF5E93">
      <w:pPr>
        <w:spacing w:after="0" w:line="240" w:lineRule="auto"/>
        <w:rPr>
          <w:rFonts w:ascii="Times New Roman" w:hAnsi="Times New Roman" w:cs="Times New Roman"/>
          <w:b/>
          <w:bCs/>
          <w:sz w:val="28"/>
          <w:szCs w:val="28"/>
        </w:rPr>
      </w:pPr>
    </w:p>
    <w:p w:rsidR="005F23D3" w:rsidRPr="00C800C1" w:rsidRDefault="005F23D3" w:rsidP="005F23D3">
      <w:pPr>
        <w:spacing w:after="0" w:line="240" w:lineRule="auto"/>
        <w:ind w:firstLine="284"/>
        <w:rPr>
          <w:rFonts w:ascii="Times New Roman" w:hAnsi="Times New Roman"/>
          <w:sz w:val="28"/>
          <w:szCs w:val="28"/>
        </w:rPr>
      </w:pPr>
      <w:r w:rsidRPr="00C800C1">
        <w:rPr>
          <w:rFonts w:ascii="Times New Roman" w:hAnsi="Times New Roman"/>
          <w:sz w:val="28"/>
          <w:szCs w:val="28"/>
        </w:rPr>
        <w:t>Kultūras ministr</w:t>
      </w:r>
      <w:r>
        <w:rPr>
          <w:rFonts w:ascii="Times New Roman" w:hAnsi="Times New Roman"/>
          <w:sz w:val="28"/>
          <w:szCs w:val="28"/>
        </w:rPr>
        <w:t xml:space="preserve">a </w:t>
      </w:r>
      <w:proofErr w:type="spellStart"/>
      <w:r>
        <w:rPr>
          <w:rFonts w:ascii="Times New Roman" w:hAnsi="Times New Roman"/>
          <w:sz w:val="28"/>
          <w:szCs w:val="28"/>
        </w:rPr>
        <w:t>p.i</w:t>
      </w:r>
      <w:proofErr w:type="spellEnd"/>
      <w:r>
        <w:rPr>
          <w:rFonts w:ascii="Times New Roman" w:hAnsi="Times New Roman"/>
          <w:sz w:val="28"/>
          <w:szCs w:val="28"/>
        </w:rPr>
        <w:t>.</w:t>
      </w:r>
      <w:r w:rsidRPr="00C800C1">
        <w:rPr>
          <w:rFonts w:ascii="Times New Roman" w:hAnsi="Times New Roman"/>
          <w:sz w:val="28"/>
          <w:szCs w:val="28"/>
        </w:rPr>
        <w:tab/>
      </w:r>
      <w:r w:rsidRPr="00C800C1">
        <w:rPr>
          <w:rFonts w:ascii="Times New Roman" w:hAnsi="Times New Roman"/>
          <w:sz w:val="28"/>
          <w:szCs w:val="28"/>
        </w:rPr>
        <w:tab/>
      </w:r>
      <w:r w:rsidRPr="00C800C1">
        <w:rPr>
          <w:rFonts w:ascii="Times New Roman" w:hAnsi="Times New Roman"/>
          <w:sz w:val="28"/>
          <w:szCs w:val="28"/>
        </w:rPr>
        <w:tab/>
      </w:r>
      <w:r w:rsidRPr="00C800C1">
        <w:rPr>
          <w:rFonts w:ascii="Times New Roman" w:hAnsi="Times New Roman"/>
          <w:sz w:val="28"/>
          <w:szCs w:val="28"/>
        </w:rPr>
        <w:tab/>
      </w:r>
      <w:r>
        <w:rPr>
          <w:rFonts w:ascii="Times New Roman" w:hAnsi="Times New Roman"/>
          <w:sz w:val="28"/>
          <w:szCs w:val="28"/>
        </w:rPr>
        <w:tab/>
      </w:r>
      <w:r w:rsidRPr="00C800C1">
        <w:rPr>
          <w:rFonts w:ascii="Times New Roman" w:hAnsi="Times New Roman"/>
          <w:sz w:val="28"/>
          <w:szCs w:val="28"/>
        </w:rPr>
        <w:tab/>
      </w:r>
      <w:r w:rsidRPr="00C800C1">
        <w:rPr>
          <w:rFonts w:ascii="Times New Roman" w:hAnsi="Times New Roman"/>
          <w:sz w:val="28"/>
          <w:szCs w:val="28"/>
        </w:rPr>
        <w:tab/>
      </w:r>
    </w:p>
    <w:p w:rsidR="005F23D3" w:rsidRPr="00225B99" w:rsidRDefault="00C91B40" w:rsidP="005F23D3">
      <w:pPr>
        <w:spacing w:after="0" w:line="240" w:lineRule="auto"/>
        <w:ind w:left="284"/>
        <w:jc w:val="both"/>
        <w:rPr>
          <w:rFonts w:ascii="Times New Roman" w:eastAsia="Times New Roman" w:hAnsi="Times New Roman"/>
          <w:sz w:val="28"/>
          <w:szCs w:val="28"/>
        </w:rPr>
      </w:pPr>
      <w:r>
        <w:rPr>
          <w:rFonts w:ascii="Times New Roman" w:eastAsia="Times New Roman" w:hAnsi="Times New Roman"/>
          <w:sz w:val="28"/>
          <w:szCs w:val="28"/>
        </w:rPr>
        <w:t>tieslietu</w:t>
      </w:r>
      <w:r w:rsidR="005F23D3" w:rsidRPr="00225B99">
        <w:rPr>
          <w:rFonts w:ascii="Times New Roman" w:eastAsia="Times New Roman" w:hAnsi="Times New Roman"/>
          <w:sz w:val="28"/>
          <w:szCs w:val="28"/>
        </w:rPr>
        <w:t xml:space="preserve"> ministrs </w:t>
      </w:r>
      <w:r w:rsidR="005F23D3" w:rsidRPr="00225B99">
        <w:rPr>
          <w:rFonts w:ascii="Times New Roman" w:eastAsia="Times New Roman" w:hAnsi="Times New Roman"/>
          <w:sz w:val="28"/>
          <w:szCs w:val="28"/>
        </w:rPr>
        <w:tab/>
      </w:r>
      <w:r w:rsidR="005F23D3" w:rsidRPr="00225B99">
        <w:rPr>
          <w:rFonts w:ascii="Times New Roman" w:eastAsia="Times New Roman" w:hAnsi="Times New Roman"/>
          <w:sz w:val="28"/>
          <w:szCs w:val="28"/>
        </w:rPr>
        <w:tab/>
      </w:r>
      <w:r>
        <w:rPr>
          <w:rFonts w:ascii="Times New Roman" w:eastAsia="Times New Roman" w:hAnsi="Times New Roman"/>
          <w:sz w:val="28"/>
          <w:szCs w:val="28"/>
        </w:rPr>
        <w:tab/>
      </w:r>
      <w:r w:rsidR="005F23D3" w:rsidRPr="00225B99">
        <w:rPr>
          <w:rFonts w:ascii="Times New Roman" w:eastAsia="Times New Roman" w:hAnsi="Times New Roman"/>
          <w:sz w:val="28"/>
          <w:szCs w:val="28"/>
        </w:rPr>
        <w:tab/>
      </w:r>
      <w:r w:rsidR="005F23D3" w:rsidRPr="00225B99">
        <w:rPr>
          <w:rFonts w:ascii="Times New Roman" w:eastAsia="Times New Roman" w:hAnsi="Times New Roman"/>
          <w:sz w:val="28"/>
          <w:szCs w:val="28"/>
        </w:rPr>
        <w:tab/>
      </w:r>
      <w:r w:rsidR="005F23D3" w:rsidRPr="00225B99">
        <w:rPr>
          <w:rFonts w:ascii="Times New Roman" w:eastAsia="Times New Roman" w:hAnsi="Times New Roman"/>
          <w:sz w:val="28"/>
          <w:szCs w:val="28"/>
        </w:rPr>
        <w:tab/>
      </w:r>
      <w:r w:rsidR="005F23D3" w:rsidRPr="00225B99">
        <w:rPr>
          <w:rFonts w:ascii="Times New Roman" w:eastAsia="Times New Roman" w:hAnsi="Times New Roman"/>
          <w:sz w:val="28"/>
          <w:szCs w:val="28"/>
        </w:rPr>
        <w:tab/>
      </w:r>
      <w:proofErr w:type="spellStart"/>
      <w:r>
        <w:rPr>
          <w:rFonts w:ascii="Times New Roman" w:eastAsia="Times New Roman" w:hAnsi="Times New Roman"/>
          <w:sz w:val="28"/>
          <w:szCs w:val="28"/>
        </w:rPr>
        <w:t>Dz.Rasnačs</w:t>
      </w:r>
      <w:proofErr w:type="spellEnd"/>
    </w:p>
    <w:p w:rsidR="005F23D3" w:rsidRPr="00C800C1" w:rsidRDefault="005F23D3" w:rsidP="005F23D3">
      <w:pPr>
        <w:spacing w:after="0" w:line="240" w:lineRule="auto"/>
        <w:ind w:firstLine="284"/>
        <w:rPr>
          <w:rFonts w:ascii="Times New Roman" w:hAnsi="Times New Roman"/>
          <w:sz w:val="28"/>
          <w:szCs w:val="28"/>
        </w:rPr>
      </w:pPr>
    </w:p>
    <w:p w:rsidR="00217170" w:rsidRPr="0073437F" w:rsidRDefault="00217170" w:rsidP="00DF5E93">
      <w:pPr>
        <w:spacing w:after="0" w:line="240" w:lineRule="auto"/>
        <w:ind w:firstLine="284"/>
        <w:rPr>
          <w:rFonts w:ascii="Times New Roman" w:hAnsi="Times New Roman" w:cs="Times New Roman"/>
          <w:sz w:val="28"/>
          <w:szCs w:val="28"/>
        </w:rPr>
      </w:pPr>
      <w:r w:rsidRPr="0073437F">
        <w:rPr>
          <w:rFonts w:ascii="Times New Roman" w:hAnsi="Times New Roman" w:cs="Times New Roman"/>
          <w:sz w:val="28"/>
          <w:szCs w:val="28"/>
        </w:rPr>
        <w:t>Vīza: Valsts sekretār</w:t>
      </w:r>
      <w:r w:rsidR="003F7226">
        <w:rPr>
          <w:rFonts w:ascii="Times New Roman" w:hAnsi="Times New Roman" w:cs="Times New Roman"/>
          <w:sz w:val="28"/>
          <w:szCs w:val="28"/>
        </w:rPr>
        <w:t>s</w:t>
      </w:r>
      <w:r w:rsidR="003F7226">
        <w:rPr>
          <w:rFonts w:ascii="Times New Roman" w:hAnsi="Times New Roman" w:cs="Times New Roman"/>
          <w:sz w:val="28"/>
          <w:szCs w:val="28"/>
        </w:rPr>
        <w:tab/>
      </w:r>
      <w:r w:rsidRPr="0073437F">
        <w:rPr>
          <w:rFonts w:ascii="Times New Roman" w:hAnsi="Times New Roman" w:cs="Times New Roman"/>
          <w:sz w:val="28"/>
          <w:szCs w:val="28"/>
        </w:rPr>
        <w:tab/>
      </w:r>
      <w:r w:rsidRPr="0073437F">
        <w:rPr>
          <w:rFonts w:ascii="Times New Roman" w:hAnsi="Times New Roman" w:cs="Times New Roman"/>
          <w:sz w:val="28"/>
          <w:szCs w:val="28"/>
        </w:rPr>
        <w:tab/>
      </w:r>
      <w:r w:rsidR="00CD5CE4">
        <w:rPr>
          <w:rFonts w:ascii="Times New Roman" w:hAnsi="Times New Roman" w:cs="Times New Roman"/>
          <w:sz w:val="28"/>
          <w:szCs w:val="28"/>
        </w:rPr>
        <w:tab/>
      </w:r>
      <w:r w:rsidRPr="0073437F">
        <w:rPr>
          <w:rFonts w:ascii="Times New Roman" w:hAnsi="Times New Roman" w:cs="Times New Roman"/>
          <w:sz w:val="28"/>
          <w:szCs w:val="28"/>
        </w:rPr>
        <w:tab/>
      </w:r>
      <w:r w:rsidRPr="0073437F">
        <w:rPr>
          <w:rFonts w:ascii="Times New Roman" w:hAnsi="Times New Roman" w:cs="Times New Roman"/>
          <w:sz w:val="28"/>
          <w:szCs w:val="28"/>
        </w:rPr>
        <w:tab/>
      </w:r>
      <w:r w:rsidRPr="0073437F">
        <w:rPr>
          <w:rFonts w:ascii="Times New Roman" w:hAnsi="Times New Roman" w:cs="Times New Roman"/>
          <w:sz w:val="28"/>
          <w:szCs w:val="28"/>
        </w:rPr>
        <w:tab/>
      </w:r>
      <w:r w:rsidR="003F7226">
        <w:rPr>
          <w:rFonts w:ascii="Times New Roman" w:hAnsi="Times New Roman" w:cs="Times New Roman"/>
          <w:sz w:val="28"/>
          <w:szCs w:val="28"/>
        </w:rPr>
        <w:t>S.Voldiņš</w:t>
      </w:r>
    </w:p>
    <w:p w:rsidR="00656EC4" w:rsidRDefault="00656EC4" w:rsidP="00690E03">
      <w:pPr>
        <w:spacing w:after="0" w:line="240" w:lineRule="auto"/>
        <w:rPr>
          <w:rFonts w:ascii="Times New Roman" w:hAnsi="Times New Roman"/>
        </w:rPr>
      </w:pPr>
    </w:p>
    <w:p w:rsidR="00656EC4" w:rsidRDefault="00656EC4" w:rsidP="00690E03">
      <w:pPr>
        <w:spacing w:after="0" w:line="240" w:lineRule="auto"/>
        <w:rPr>
          <w:rFonts w:ascii="Times New Roman" w:hAnsi="Times New Roman"/>
        </w:rPr>
      </w:pPr>
    </w:p>
    <w:p w:rsidR="00656EC4" w:rsidRDefault="00656EC4" w:rsidP="00690E03">
      <w:pPr>
        <w:spacing w:after="0" w:line="240" w:lineRule="auto"/>
        <w:rPr>
          <w:rFonts w:ascii="Times New Roman" w:hAnsi="Times New Roman"/>
        </w:rPr>
      </w:pPr>
    </w:p>
    <w:p w:rsidR="00690E03" w:rsidRDefault="00080EFB" w:rsidP="00690E03">
      <w:pPr>
        <w:spacing w:after="0" w:line="240" w:lineRule="auto"/>
        <w:rPr>
          <w:rFonts w:ascii="Times New Roman" w:hAnsi="Times New Roman"/>
        </w:rPr>
      </w:pPr>
      <w:r>
        <w:rPr>
          <w:rFonts w:ascii="Times New Roman" w:hAnsi="Times New Roman"/>
        </w:rPr>
        <w:t>27</w:t>
      </w:r>
      <w:r w:rsidR="00690E03">
        <w:rPr>
          <w:rFonts w:ascii="Times New Roman" w:hAnsi="Times New Roman"/>
        </w:rPr>
        <w:t>.0</w:t>
      </w:r>
      <w:r w:rsidR="003B7664">
        <w:rPr>
          <w:rFonts w:ascii="Times New Roman" w:hAnsi="Times New Roman"/>
        </w:rPr>
        <w:t>7</w:t>
      </w:r>
      <w:r w:rsidR="00690E03">
        <w:rPr>
          <w:rFonts w:ascii="Times New Roman" w:hAnsi="Times New Roman"/>
        </w:rPr>
        <w:t>.2015.</w:t>
      </w:r>
    </w:p>
    <w:p w:rsidR="00690E03" w:rsidRDefault="00E95E6B" w:rsidP="00690E03">
      <w:pPr>
        <w:tabs>
          <w:tab w:val="center" w:pos="4535"/>
        </w:tabs>
        <w:spacing w:after="0" w:line="240" w:lineRule="auto"/>
        <w:rPr>
          <w:rFonts w:ascii="Times New Roman" w:hAnsi="Times New Roman"/>
        </w:rPr>
      </w:pPr>
      <w:r>
        <w:rPr>
          <w:rFonts w:ascii="Times New Roman" w:hAnsi="Times New Roman"/>
        </w:rPr>
        <w:t>1</w:t>
      </w:r>
      <w:r w:rsidR="008E6AF5">
        <w:rPr>
          <w:rFonts w:ascii="Times New Roman" w:hAnsi="Times New Roman"/>
        </w:rPr>
        <w:t>7</w:t>
      </w:r>
      <w:r w:rsidR="00C91B40">
        <w:rPr>
          <w:rFonts w:ascii="Times New Roman" w:hAnsi="Times New Roman"/>
        </w:rPr>
        <w:t>67</w:t>
      </w:r>
    </w:p>
    <w:p w:rsidR="00690E03" w:rsidRDefault="00690E03" w:rsidP="00690E03">
      <w:pPr>
        <w:spacing w:after="0" w:line="240" w:lineRule="auto"/>
        <w:rPr>
          <w:rFonts w:ascii="Times New Roman" w:hAnsi="Times New Roman"/>
        </w:rPr>
      </w:pPr>
      <w:bookmarkStart w:id="1" w:name="OLE_LINK1"/>
      <w:bookmarkStart w:id="2" w:name="OLE_LINK2"/>
      <w:r>
        <w:rPr>
          <w:rFonts w:ascii="Times New Roman" w:hAnsi="Times New Roman"/>
        </w:rPr>
        <w:t>I.Imša</w:t>
      </w:r>
    </w:p>
    <w:p w:rsidR="00690E03" w:rsidRDefault="00690E03" w:rsidP="00690E03">
      <w:pPr>
        <w:spacing w:after="0" w:line="240" w:lineRule="auto"/>
        <w:rPr>
          <w:rFonts w:ascii="Times New Roman" w:hAnsi="Times New Roman"/>
        </w:rPr>
      </w:pPr>
      <w:r>
        <w:rPr>
          <w:rFonts w:ascii="Times New Roman" w:hAnsi="Times New Roman"/>
        </w:rPr>
        <w:t>Tālr. 67216430</w:t>
      </w:r>
    </w:p>
    <w:p w:rsidR="00217170" w:rsidRPr="005415B8" w:rsidRDefault="00A11780" w:rsidP="00DF5E93">
      <w:pPr>
        <w:spacing w:after="0" w:line="240" w:lineRule="auto"/>
        <w:rPr>
          <w:rFonts w:ascii="Times New Roman" w:hAnsi="Times New Roman" w:cs="Times New Roman"/>
          <w:b/>
          <w:bCs/>
        </w:rPr>
      </w:pPr>
      <w:hyperlink r:id="rId12" w:history="1">
        <w:r w:rsidR="00690E03">
          <w:rPr>
            <w:rStyle w:val="Hipersaite"/>
            <w:rFonts w:ascii="Times New Roman" w:hAnsi="Times New Roman"/>
          </w:rPr>
          <w:t>ilgvars.imsa@rmm.lv</w:t>
        </w:r>
      </w:hyperlink>
      <w:r w:rsidR="00690E03">
        <w:rPr>
          <w:rFonts w:ascii="Times New Roman" w:hAnsi="Times New Roman"/>
        </w:rPr>
        <w:t xml:space="preserve"> </w:t>
      </w:r>
      <w:bookmarkEnd w:id="1"/>
      <w:bookmarkEnd w:id="2"/>
    </w:p>
    <w:sectPr w:rsidR="00217170" w:rsidRPr="005415B8" w:rsidSect="00DF5E93">
      <w:headerReference w:type="default" r:id="rId13"/>
      <w:footerReference w:type="default" r:id="rId14"/>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BB8" w:rsidRDefault="00353BB8" w:rsidP="00A74211">
      <w:pPr>
        <w:spacing w:after="0" w:line="240" w:lineRule="auto"/>
      </w:pPr>
      <w:r>
        <w:separator/>
      </w:r>
    </w:p>
  </w:endnote>
  <w:endnote w:type="continuationSeparator" w:id="0">
    <w:p w:rsidR="00353BB8" w:rsidRDefault="00353BB8" w:rsidP="00A74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B8" w:rsidRDefault="00353BB8">
    <w:pPr>
      <w:pStyle w:val="Kjene"/>
      <w:jc w:val="center"/>
    </w:pPr>
  </w:p>
  <w:p w:rsidR="00353BB8" w:rsidRPr="00D863F1" w:rsidRDefault="00353BB8" w:rsidP="00D863F1">
    <w:pPr>
      <w:spacing w:after="0" w:line="240" w:lineRule="auto"/>
      <w:jc w:val="both"/>
      <w:rPr>
        <w:rFonts w:ascii="Times New Roman" w:hAnsi="Times New Roman" w:cs="Times New Roman"/>
      </w:rPr>
    </w:pPr>
    <w:bookmarkStart w:id="3" w:name="OLE_LINK11"/>
    <w:bookmarkStart w:id="4" w:name="OLE_LINK12"/>
    <w:r>
      <w:rPr>
        <w:rFonts w:ascii="Times New Roman" w:hAnsi="Times New Roman" w:cs="Times New Roman"/>
      </w:rPr>
      <w:t>KMAnot_</w:t>
    </w:r>
    <w:r w:rsidR="00080EFB">
      <w:rPr>
        <w:rFonts w:ascii="Times New Roman" w:hAnsi="Times New Roman" w:cs="Times New Roman"/>
      </w:rPr>
      <w:t>27</w:t>
    </w:r>
    <w:r w:rsidRPr="00D863F1">
      <w:rPr>
        <w:rFonts w:ascii="Times New Roman" w:hAnsi="Times New Roman" w:cs="Times New Roman"/>
      </w:rPr>
      <w:t>0</w:t>
    </w:r>
    <w:r>
      <w:rPr>
        <w:rFonts w:ascii="Times New Roman" w:hAnsi="Times New Roman" w:cs="Times New Roman"/>
      </w:rPr>
      <w:t>7</w:t>
    </w:r>
    <w:r w:rsidRPr="00D863F1">
      <w:rPr>
        <w:rFonts w:ascii="Times New Roman" w:hAnsi="Times New Roman" w:cs="Times New Roman"/>
      </w:rPr>
      <w:t>1</w:t>
    </w:r>
    <w:r>
      <w:rPr>
        <w:rFonts w:ascii="Times New Roman" w:hAnsi="Times New Roman" w:cs="Times New Roman"/>
      </w:rPr>
      <w:t>5</w:t>
    </w:r>
    <w:r w:rsidRPr="00D863F1">
      <w:rPr>
        <w:rFonts w:ascii="Times New Roman" w:hAnsi="Times New Roman" w:cs="Times New Roman"/>
      </w:rPr>
      <w:t>_Rakstnm</w:t>
    </w:r>
    <w:r w:rsidR="00547365">
      <w:rPr>
        <w:rFonts w:ascii="Times New Roman" w:hAnsi="Times New Roman" w:cs="Times New Roman"/>
      </w:rPr>
      <w:t>u</w:t>
    </w:r>
    <w:r w:rsidRPr="00D863F1">
      <w:rPr>
        <w:rFonts w:ascii="Times New Roman" w:hAnsi="Times New Roman" w:cs="Times New Roman"/>
      </w:rPr>
      <w:t>z_cenr</w:t>
    </w:r>
    <w:r w:rsidR="00547365">
      <w:rPr>
        <w:rFonts w:ascii="Times New Roman" w:hAnsi="Times New Roman" w:cs="Times New Roman"/>
      </w:rPr>
      <w:t>a</w:t>
    </w:r>
    <w:r w:rsidRPr="00D863F1">
      <w:rPr>
        <w:rFonts w:ascii="Times New Roman" w:hAnsi="Times New Roman" w:cs="Times New Roman"/>
      </w:rPr>
      <w:t>dis</w:t>
    </w:r>
    <w:bookmarkEnd w:id="3"/>
    <w:bookmarkEnd w:id="4"/>
    <w:r w:rsidRPr="00D863F1">
      <w:rPr>
        <w:rFonts w:ascii="Times New Roman" w:hAnsi="Times New Roman" w:cs="Times New Roman"/>
      </w:rPr>
      <w:t xml:space="preserve">; </w:t>
    </w:r>
    <w:bookmarkStart w:id="5" w:name="OLE_LINK5"/>
    <w:bookmarkStart w:id="6" w:name="OLE_LINK6"/>
    <w:bookmarkStart w:id="7" w:name="_Hlk388955797"/>
    <w:r w:rsidRPr="00D863F1">
      <w:rPr>
        <w:rFonts w:ascii="Times New Roman" w:hAnsi="Times New Roman" w:cs="Times New Roman"/>
      </w:rPr>
      <w:t>Ministru kabineta noteikumu projekt</w:t>
    </w:r>
    <w:r>
      <w:rPr>
        <w:rFonts w:ascii="Times New Roman" w:hAnsi="Times New Roman" w:cs="Times New Roman"/>
      </w:rPr>
      <w:t>a</w:t>
    </w:r>
    <w:r w:rsidRPr="00D863F1">
      <w:rPr>
        <w:rFonts w:ascii="Times New Roman" w:hAnsi="Times New Roman" w:cs="Times New Roman"/>
      </w:rPr>
      <w:t xml:space="preserve"> „</w:t>
    </w:r>
    <w:bookmarkStart w:id="8" w:name="OLE_LINK7"/>
    <w:bookmarkStart w:id="9" w:name="OLE_LINK8"/>
    <w:r w:rsidRPr="00D863F1">
      <w:rPr>
        <w:rFonts w:ascii="Times New Roman" w:hAnsi="Times New Roman" w:cs="Times New Roman"/>
      </w:rPr>
      <w:t>Rakstniecības un mūzikas muzeja publisko maksas pakalpojumu cenrādis</w:t>
    </w:r>
    <w:bookmarkEnd w:id="8"/>
    <w:bookmarkEnd w:id="9"/>
    <w:r w:rsidRPr="00D863F1">
      <w:rPr>
        <w:rFonts w:ascii="Times New Roman" w:hAnsi="Times New Roman" w:cs="Times New Roman"/>
      </w:rPr>
      <w:t>”</w:t>
    </w:r>
    <w:r w:rsidRPr="00D863F1">
      <w:rPr>
        <w:rFonts w:ascii="Times New Roman" w:hAnsi="Times New Roman" w:cs="Times New Roman"/>
        <w:bCs/>
      </w:rPr>
      <w:t xml:space="preserve"> sākotnējās ietekmes novērtējuma ziņojums (anotācija)</w:t>
    </w:r>
    <w:bookmarkEnd w:id="5"/>
    <w:bookmarkEnd w:id="6"/>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BB8" w:rsidRDefault="00353BB8" w:rsidP="00A74211">
      <w:pPr>
        <w:spacing w:after="0" w:line="240" w:lineRule="auto"/>
      </w:pPr>
      <w:r>
        <w:separator/>
      </w:r>
    </w:p>
  </w:footnote>
  <w:footnote w:type="continuationSeparator" w:id="0">
    <w:p w:rsidR="00353BB8" w:rsidRDefault="00353BB8" w:rsidP="00A74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2379"/>
      <w:docPartObj>
        <w:docPartGallery w:val="Page Numbers (Top of Page)"/>
        <w:docPartUnique/>
      </w:docPartObj>
    </w:sdtPr>
    <w:sdtContent>
      <w:p w:rsidR="00353BB8" w:rsidRDefault="00A11780">
        <w:pPr>
          <w:pStyle w:val="Galvene"/>
          <w:jc w:val="center"/>
        </w:pPr>
        <w:fldSimple w:instr=" PAGE   \* MERGEFORMAT ">
          <w:r w:rsidR="00C91B40">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24E1"/>
    <w:multiLevelType w:val="hybridMultilevel"/>
    <w:tmpl w:val="54547D82"/>
    <w:lvl w:ilvl="0" w:tplc="D14E4F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1A0511D"/>
    <w:multiLevelType w:val="hybridMultilevel"/>
    <w:tmpl w:val="567E94DC"/>
    <w:lvl w:ilvl="0" w:tplc="EA1856D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nsid w:val="479C6D04"/>
    <w:multiLevelType w:val="hybridMultilevel"/>
    <w:tmpl w:val="B9D833B4"/>
    <w:lvl w:ilvl="0" w:tplc="EF96145E">
      <w:start w:val="1"/>
      <w:numFmt w:val="decimal"/>
      <w:lvlText w:val="%1."/>
      <w:lvlJc w:val="left"/>
      <w:pPr>
        <w:ind w:left="720" w:hanging="360"/>
      </w:pPr>
      <w:rPr>
        <w:rFonts w:asciiTheme="minorHAnsi" w:eastAsiaTheme="minorHAnsi" w:hAnsiTheme="minorHAnsi" w:cstheme="minorBidi"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9C13680"/>
    <w:multiLevelType w:val="hybridMultilevel"/>
    <w:tmpl w:val="25C8EB9C"/>
    <w:lvl w:ilvl="0" w:tplc="B2DAC7B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gvars Imša">
    <w15:presenceInfo w15:providerId="None" w15:userId="Ilgvars Imš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7D655D"/>
    <w:rsid w:val="00015F77"/>
    <w:rsid w:val="000168BA"/>
    <w:rsid w:val="00030D6F"/>
    <w:rsid w:val="0003227A"/>
    <w:rsid w:val="00033D9F"/>
    <w:rsid w:val="0004776E"/>
    <w:rsid w:val="00055E01"/>
    <w:rsid w:val="00056B4F"/>
    <w:rsid w:val="00072654"/>
    <w:rsid w:val="00073E41"/>
    <w:rsid w:val="000742BD"/>
    <w:rsid w:val="000766AF"/>
    <w:rsid w:val="00080EFB"/>
    <w:rsid w:val="000811A3"/>
    <w:rsid w:val="00081B11"/>
    <w:rsid w:val="000855BB"/>
    <w:rsid w:val="00087C61"/>
    <w:rsid w:val="000A391F"/>
    <w:rsid w:val="000B0C4B"/>
    <w:rsid w:val="000B4CF8"/>
    <w:rsid w:val="000B4F89"/>
    <w:rsid w:val="000C2E87"/>
    <w:rsid w:val="000D180B"/>
    <w:rsid w:val="000D6D5C"/>
    <w:rsid w:val="000E5B4E"/>
    <w:rsid w:val="0010498F"/>
    <w:rsid w:val="00106391"/>
    <w:rsid w:val="00135EC5"/>
    <w:rsid w:val="00156C1B"/>
    <w:rsid w:val="00166AF3"/>
    <w:rsid w:val="00183E39"/>
    <w:rsid w:val="00186579"/>
    <w:rsid w:val="0019096B"/>
    <w:rsid w:val="001A2DCB"/>
    <w:rsid w:val="001E370E"/>
    <w:rsid w:val="001E3905"/>
    <w:rsid w:val="001E3ECD"/>
    <w:rsid w:val="001F25CB"/>
    <w:rsid w:val="001F5B00"/>
    <w:rsid w:val="001F5EC7"/>
    <w:rsid w:val="00210333"/>
    <w:rsid w:val="002139F5"/>
    <w:rsid w:val="0021606B"/>
    <w:rsid w:val="002164E3"/>
    <w:rsid w:val="00217170"/>
    <w:rsid w:val="00222BE0"/>
    <w:rsid w:val="002247CF"/>
    <w:rsid w:val="00253F7D"/>
    <w:rsid w:val="00273D11"/>
    <w:rsid w:val="00286FC6"/>
    <w:rsid w:val="002A7F47"/>
    <w:rsid w:val="002B29FD"/>
    <w:rsid w:val="002C0F1E"/>
    <w:rsid w:val="002C34FF"/>
    <w:rsid w:val="002D0F63"/>
    <w:rsid w:val="002D3F06"/>
    <w:rsid w:val="002D5005"/>
    <w:rsid w:val="002E163D"/>
    <w:rsid w:val="002E4464"/>
    <w:rsid w:val="002E6909"/>
    <w:rsid w:val="002F2327"/>
    <w:rsid w:val="002F28C6"/>
    <w:rsid w:val="002F5340"/>
    <w:rsid w:val="002F68BB"/>
    <w:rsid w:val="003017E3"/>
    <w:rsid w:val="00314D2D"/>
    <w:rsid w:val="00325335"/>
    <w:rsid w:val="00337E9F"/>
    <w:rsid w:val="003406F7"/>
    <w:rsid w:val="00346EC9"/>
    <w:rsid w:val="003502A0"/>
    <w:rsid w:val="00350834"/>
    <w:rsid w:val="00353BB8"/>
    <w:rsid w:val="00354A93"/>
    <w:rsid w:val="00355A31"/>
    <w:rsid w:val="0035796B"/>
    <w:rsid w:val="003621D6"/>
    <w:rsid w:val="003842DB"/>
    <w:rsid w:val="003877D3"/>
    <w:rsid w:val="00387A75"/>
    <w:rsid w:val="00387C99"/>
    <w:rsid w:val="003A4DE9"/>
    <w:rsid w:val="003B7664"/>
    <w:rsid w:val="003B7FDF"/>
    <w:rsid w:val="003C0614"/>
    <w:rsid w:val="003F7226"/>
    <w:rsid w:val="00415532"/>
    <w:rsid w:val="00417392"/>
    <w:rsid w:val="00422931"/>
    <w:rsid w:val="00444860"/>
    <w:rsid w:val="00451DE8"/>
    <w:rsid w:val="00463569"/>
    <w:rsid w:val="00470A1B"/>
    <w:rsid w:val="00473A22"/>
    <w:rsid w:val="00475D56"/>
    <w:rsid w:val="00476959"/>
    <w:rsid w:val="00476FA7"/>
    <w:rsid w:val="00482366"/>
    <w:rsid w:val="004839AB"/>
    <w:rsid w:val="004D142D"/>
    <w:rsid w:val="004D1E0B"/>
    <w:rsid w:val="004D690C"/>
    <w:rsid w:val="004F5092"/>
    <w:rsid w:val="004F68B8"/>
    <w:rsid w:val="00502588"/>
    <w:rsid w:val="005047DC"/>
    <w:rsid w:val="00534392"/>
    <w:rsid w:val="005415B8"/>
    <w:rsid w:val="00542D1A"/>
    <w:rsid w:val="00544690"/>
    <w:rsid w:val="005457F2"/>
    <w:rsid w:val="00547365"/>
    <w:rsid w:val="00555914"/>
    <w:rsid w:val="005565F6"/>
    <w:rsid w:val="005608B9"/>
    <w:rsid w:val="00567E32"/>
    <w:rsid w:val="00581085"/>
    <w:rsid w:val="005A2122"/>
    <w:rsid w:val="005A523D"/>
    <w:rsid w:val="005A65F5"/>
    <w:rsid w:val="005B0737"/>
    <w:rsid w:val="005C2CF9"/>
    <w:rsid w:val="005C7834"/>
    <w:rsid w:val="005E357F"/>
    <w:rsid w:val="005F23D3"/>
    <w:rsid w:val="005F3742"/>
    <w:rsid w:val="005F3F16"/>
    <w:rsid w:val="006303C0"/>
    <w:rsid w:val="0063128D"/>
    <w:rsid w:val="00644D41"/>
    <w:rsid w:val="00656EC4"/>
    <w:rsid w:val="00661F70"/>
    <w:rsid w:val="006756E4"/>
    <w:rsid w:val="00690E03"/>
    <w:rsid w:val="006A5C15"/>
    <w:rsid w:val="006B0843"/>
    <w:rsid w:val="006C4B5A"/>
    <w:rsid w:val="006C5DDD"/>
    <w:rsid w:val="006D4F06"/>
    <w:rsid w:val="006E5AA7"/>
    <w:rsid w:val="006F0318"/>
    <w:rsid w:val="00702F16"/>
    <w:rsid w:val="0070677D"/>
    <w:rsid w:val="00725AA9"/>
    <w:rsid w:val="0073437F"/>
    <w:rsid w:val="00740676"/>
    <w:rsid w:val="007443A5"/>
    <w:rsid w:val="00744C24"/>
    <w:rsid w:val="00757D00"/>
    <w:rsid w:val="007650FC"/>
    <w:rsid w:val="00766562"/>
    <w:rsid w:val="00772710"/>
    <w:rsid w:val="0077314F"/>
    <w:rsid w:val="00780CB9"/>
    <w:rsid w:val="00782B41"/>
    <w:rsid w:val="007852C2"/>
    <w:rsid w:val="00794B9A"/>
    <w:rsid w:val="007A0954"/>
    <w:rsid w:val="007A0E5B"/>
    <w:rsid w:val="007A1739"/>
    <w:rsid w:val="007A4374"/>
    <w:rsid w:val="007B0162"/>
    <w:rsid w:val="007B4569"/>
    <w:rsid w:val="007B5BD5"/>
    <w:rsid w:val="007B7861"/>
    <w:rsid w:val="007B7B01"/>
    <w:rsid w:val="007C18E1"/>
    <w:rsid w:val="007C4E82"/>
    <w:rsid w:val="007C69B9"/>
    <w:rsid w:val="007C7EC1"/>
    <w:rsid w:val="007D48A0"/>
    <w:rsid w:val="007D655D"/>
    <w:rsid w:val="007D7EE2"/>
    <w:rsid w:val="007E1337"/>
    <w:rsid w:val="007E2F70"/>
    <w:rsid w:val="007E6895"/>
    <w:rsid w:val="007F258A"/>
    <w:rsid w:val="00814239"/>
    <w:rsid w:val="0081792D"/>
    <w:rsid w:val="0082595D"/>
    <w:rsid w:val="00825AD9"/>
    <w:rsid w:val="00840CAD"/>
    <w:rsid w:val="008448B0"/>
    <w:rsid w:val="00881DD8"/>
    <w:rsid w:val="008845BF"/>
    <w:rsid w:val="00887A11"/>
    <w:rsid w:val="008A0767"/>
    <w:rsid w:val="008A0FC8"/>
    <w:rsid w:val="008A4A49"/>
    <w:rsid w:val="008B3B9E"/>
    <w:rsid w:val="008B70F3"/>
    <w:rsid w:val="008C15CD"/>
    <w:rsid w:val="008D01F1"/>
    <w:rsid w:val="008E6AF5"/>
    <w:rsid w:val="009008BF"/>
    <w:rsid w:val="009105F6"/>
    <w:rsid w:val="009121D9"/>
    <w:rsid w:val="009266D1"/>
    <w:rsid w:val="00951AA6"/>
    <w:rsid w:val="00970B13"/>
    <w:rsid w:val="00974219"/>
    <w:rsid w:val="0099278A"/>
    <w:rsid w:val="009951CD"/>
    <w:rsid w:val="009962B9"/>
    <w:rsid w:val="00997611"/>
    <w:rsid w:val="009A34AC"/>
    <w:rsid w:val="009A723C"/>
    <w:rsid w:val="009C0A03"/>
    <w:rsid w:val="009C1832"/>
    <w:rsid w:val="009E0AF9"/>
    <w:rsid w:val="009E0D7D"/>
    <w:rsid w:val="009F7127"/>
    <w:rsid w:val="00A11780"/>
    <w:rsid w:val="00A25BC9"/>
    <w:rsid w:val="00A26989"/>
    <w:rsid w:val="00A37224"/>
    <w:rsid w:val="00A40558"/>
    <w:rsid w:val="00A62A1F"/>
    <w:rsid w:val="00A71198"/>
    <w:rsid w:val="00A74211"/>
    <w:rsid w:val="00A85EDB"/>
    <w:rsid w:val="00A92E93"/>
    <w:rsid w:val="00AA5A35"/>
    <w:rsid w:val="00AA5AA6"/>
    <w:rsid w:val="00AA5C8C"/>
    <w:rsid w:val="00AB5330"/>
    <w:rsid w:val="00AC5B7E"/>
    <w:rsid w:val="00AD0AB9"/>
    <w:rsid w:val="00AD0C34"/>
    <w:rsid w:val="00AE74DC"/>
    <w:rsid w:val="00AF05ED"/>
    <w:rsid w:val="00AF29EC"/>
    <w:rsid w:val="00B03825"/>
    <w:rsid w:val="00B12EB4"/>
    <w:rsid w:val="00B25E57"/>
    <w:rsid w:val="00B2756C"/>
    <w:rsid w:val="00B32807"/>
    <w:rsid w:val="00B33324"/>
    <w:rsid w:val="00B33B8A"/>
    <w:rsid w:val="00B47ED6"/>
    <w:rsid w:val="00B566D4"/>
    <w:rsid w:val="00B66515"/>
    <w:rsid w:val="00B8078B"/>
    <w:rsid w:val="00B80843"/>
    <w:rsid w:val="00B8093C"/>
    <w:rsid w:val="00B81838"/>
    <w:rsid w:val="00B850A6"/>
    <w:rsid w:val="00BA1F0D"/>
    <w:rsid w:val="00BA4A3B"/>
    <w:rsid w:val="00BB3ED4"/>
    <w:rsid w:val="00BC1D3A"/>
    <w:rsid w:val="00BC3062"/>
    <w:rsid w:val="00BD6131"/>
    <w:rsid w:val="00BE0168"/>
    <w:rsid w:val="00BE433B"/>
    <w:rsid w:val="00BE573D"/>
    <w:rsid w:val="00BF65E6"/>
    <w:rsid w:val="00C02E6E"/>
    <w:rsid w:val="00C03877"/>
    <w:rsid w:val="00C04C6A"/>
    <w:rsid w:val="00C059CB"/>
    <w:rsid w:val="00C162CB"/>
    <w:rsid w:val="00C211CE"/>
    <w:rsid w:val="00C227C1"/>
    <w:rsid w:val="00C239FB"/>
    <w:rsid w:val="00C33307"/>
    <w:rsid w:val="00C52B38"/>
    <w:rsid w:val="00C57714"/>
    <w:rsid w:val="00C60B24"/>
    <w:rsid w:val="00C801EB"/>
    <w:rsid w:val="00C804B0"/>
    <w:rsid w:val="00C83496"/>
    <w:rsid w:val="00C84850"/>
    <w:rsid w:val="00C8514D"/>
    <w:rsid w:val="00C863AD"/>
    <w:rsid w:val="00C91B40"/>
    <w:rsid w:val="00C942CF"/>
    <w:rsid w:val="00C94354"/>
    <w:rsid w:val="00C96E8D"/>
    <w:rsid w:val="00CA33FF"/>
    <w:rsid w:val="00CA659A"/>
    <w:rsid w:val="00CB4694"/>
    <w:rsid w:val="00CD5CE4"/>
    <w:rsid w:val="00D1713D"/>
    <w:rsid w:val="00D2298C"/>
    <w:rsid w:val="00D310B6"/>
    <w:rsid w:val="00D3610A"/>
    <w:rsid w:val="00D4044F"/>
    <w:rsid w:val="00D504F2"/>
    <w:rsid w:val="00D617A4"/>
    <w:rsid w:val="00D62FF1"/>
    <w:rsid w:val="00D667BA"/>
    <w:rsid w:val="00D67212"/>
    <w:rsid w:val="00D76610"/>
    <w:rsid w:val="00D7779B"/>
    <w:rsid w:val="00D863F1"/>
    <w:rsid w:val="00D97862"/>
    <w:rsid w:val="00DA301F"/>
    <w:rsid w:val="00DB4385"/>
    <w:rsid w:val="00DB7FA3"/>
    <w:rsid w:val="00DC0297"/>
    <w:rsid w:val="00DC15CA"/>
    <w:rsid w:val="00DC4F89"/>
    <w:rsid w:val="00DD585D"/>
    <w:rsid w:val="00DF5E93"/>
    <w:rsid w:val="00E04777"/>
    <w:rsid w:val="00E06323"/>
    <w:rsid w:val="00E0650F"/>
    <w:rsid w:val="00E15B45"/>
    <w:rsid w:val="00E236E0"/>
    <w:rsid w:val="00E31D78"/>
    <w:rsid w:val="00E36B28"/>
    <w:rsid w:val="00E37A0C"/>
    <w:rsid w:val="00E510B7"/>
    <w:rsid w:val="00E6304F"/>
    <w:rsid w:val="00E64321"/>
    <w:rsid w:val="00E7625B"/>
    <w:rsid w:val="00E80C30"/>
    <w:rsid w:val="00E81F04"/>
    <w:rsid w:val="00E912FA"/>
    <w:rsid w:val="00E95E6B"/>
    <w:rsid w:val="00EA23E1"/>
    <w:rsid w:val="00EA5841"/>
    <w:rsid w:val="00EC4B36"/>
    <w:rsid w:val="00EC6B18"/>
    <w:rsid w:val="00F071DC"/>
    <w:rsid w:val="00F15750"/>
    <w:rsid w:val="00F259C2"/>
    <w:rsid w:val="00F2763E"/>
    <w:rsid w:val="00F27F40"/>
    <w:rsid w:val="00F30335"/>
    <w:rsid w:val="00F445CC"/>
    <w:rsid w:val="00F53FBF"/>
    <w:rsid w:val="00F55240"/>
    <w:rsid w:val="00F563FF"/>
    <w:rsid w:val="00F66065"/>
    <w:rsid w:val="00F743F6"/>
    <w:rsid w:val="00F74F4D"/>
    <w:rsid w:val="00F766BF"/>
    <w:rsid w:val="00F84303"/>
    <w:rsid w:val="00F94D1E"/>
    <w:rsid w:val="00FA47CA"/>
    <w:rsid w:val="00FB5666"/>
    <w:rsid w:val="00FB7538"/>
    <w:rsid w:val="00FC1049"/>
    <w:rsid w:val="00FC4F94"/>
    <w:rsid w:val="00FC711D"/>
    <w:rsid w:val="00FD2179"/>
    <w:rsid w:val="00FE0AE8"/>
    <w:rsid w:val="00FE1873"/>
    <w:rsid w:val="00FE2928"/>
    <w:rsid w:val="00FF5000"/>
    <w:rsid w:val="00FF63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C104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31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ais"/>
    <w:rsid w:val="0063128D"/>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Parastais"/>
    <w:rsid w:val="0063128D"/>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Parastais"/>
    <w:rsid w:val="0063128D"/>
    <w:pPr>
      <w:spacing w:before="75" w:after="75" w:line="240" w:lineRule="auto"/>
    </w:pPr>
    <w:rPr>
      <w:rFonts w:ascii="Times New Roman" w:eastAsia="Times New Roman" w:hAnsi="Times New Roman" w:cs="Times New Roman"/>
      <w:sz w:val="24"/>
      <w:szCs w:val="24"/>
    </w:rPr>
  </w:style>
  <w:style w:type="paragraph" w:styleId="ParastaisWeb">
    <w:name w:val="Normal (Web)"/>
    <w:basedOn w:val="Parastais"/>
    <w:unhideWhenUsed/>
    <w:rsid w:val="00E0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Parastais"/>
    <w:rsid w:val="000811A3"/>
    <w:pPr>
      <w:spacing w:before="75" w:after="75" w:line="240" w:lineRule="auto"/>
      <w:jc w:val="center"/>
    </w:pPr>
    <w:rPr>
      <w:rFonts w:ascii="Times New Roman" w:eastAsia="Times New Roman" w:hAnsi="Times New Roman" w:cs="Times New Roman"/>
      <w:sz w:val="24"/>
      <w:szCs w:val="24"/>
      <w:lang w:val="en-US"/>
    </w:rPr>
  </w:style>
  <w:style w:type="paragraph" w:styleId="Sarakstarindkopa">
    <w:name w:val="List Paragraph"/>
    <w:basedOn w:val="Parastais"/>
    <w:uiPriority w:val="34"/>
    <w:qFormat/>
    <w:rsid w:val="000811A3"/>
    <w:pPr>
      <w:ind w:left="720"/>
      <w:contextualSpacing/>
    </w:pPr>
  </w:style>
  <w:style w:type="character" w:styleId="Komentraatsauce">
    <w:name w:val="annotation reference"/>
    <w:basedOn w:val="Noklusjumarindkopasfonts"/>
    <w:uiPriority w:val="99"/>
    <w:semiHidden/>
    <w:unhideWhenUsed/>
    <w:rsid w:val="000B4F89"/>
    <w:rPr>
      <w:sz w:val="16"/>
      <w:szCs w:val="16"/>
    </w:rPr>
  </w:style>
  <w:style w:type="paragraph" w:styleId="Komentrateksts">
    <w:name w:val="annotation text"/>
    <w:basedOn w:val="Parastais"/>
    <w:link w:val="KomentratekstsRakstz"/>
    <w:uiPriority w:val="99"/>
    <w:semiHidden/>
    <w:unhideWhenUsed/>
    <w:rsid w:val="000B4F8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4F89"/>
    <w:rPr>
      <w:sz w:val="20"/>
      <w:szCs w:val="20"/>
    </w:rPr>
  </w:style>
  <w:style w:type="paragraph" w:styleId="Komentratma">
    <w:name w:val="annotation subject"/>
    <w:basedOn w:val="Komentrateksts"/>
    <w:next w:val="Komentrateksts"/>
    <w:link w:val="KomentratmaRakstz"/>
    <w:uiPriority w:val="99"/>
    <w:semiHidden/>
    <w:unhideWhenUsed/>
    <w:rsid w:val="000B4F89"/>
    <w:rPr>
      <w:b/>
      <w:bCs/>
    </w:rPr>
  </w:style>
  <w:style w:type="character" w:customStyle="1" w:styleId="KomentratmaRakstz">
    <w:name w:val="Komentāra tēma Rakstz."/>
    <w:basedOn w:val="KomentratekstsRakstz"/>
    <w:link w:val="Komentratma"/>
    <w:uiPriority w:val="99"/>
    <w:semiHidden/>
    <w:rsid w:val="000B4F89"/>
    <w:rPr>
      <w:b/>
      <w:bCs/>
      <w:sz w:val="20"/>
      <w:szCs w:val="20"/>
    </w:rPr>
  </w:style>
  <w:style w:type="paragraph" w:styleId="Balonteksts">
    <w:name w:val="Balloon Text"/>
    <w:basedOn w:val="Parastais"/>
    <w:link w:val="BalontekstsRakstz"/>
    <w:uiPriority w:val="99"/>
    <w:semiHidden/>
    <w:unhideWhenUsed/>
    <w:rsid w:val="000B4F8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B4F89"/>
    <w:rPr>
      <w:rFonts w:ascii="Tahoma" w:hAnsi="Tahoma" w:cs="Tahoma"/>
      <w:sz w:val="16"/>
      <w:szCs w:val="16"/>
    </w:rPr>
  </w:style>
  <w:style w:type="paragraph" w:styleId="Prskatjums">
    <w:name w:val="Revision"/>
    <w:hidden/>
    <w:uiPriority w:val="99"/>
    <w:semiHidden/>
    <w:rsid w:val="000B4F89"/>
    <w:pPr>
      <w:spacing w:after="0" w:line="240" w:lineRule="auto"/>
    </w:pPr>
  </w:style>
  <w:style w:type="paragraph" w:styleId="Pamatteksts">
    <w:name w:val="Body Text"/>
    <w:basedOn w:val="Parastais"/>
    <w:link w:val="PamattekstsRakstz"/>
    <w:rsid w:val="0019096B"/>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19096B"/>
    <w:rPr>
      <w:rFonts w:ascii="Times New Roman" w:eastAsia="Times New Roman" w:hAnsi="Times New Roman" w:cs="Times New Roman"/>
      <w:sz w:val="24"/>
      <w:szCs w:val="24"/>
    </w:rPr>
  </w:style>
  <w:style w:type="paragraph" w:styleId="Galvene">
    <w:name w:val="header"/>
    <w:basedOn w:val="Parastais"/>
    <w:link w:val="GalveneRakstz"/>
    <w:unhideWhenUsed/>
    <w:rsid w:val="00A74211"/>
    <w:pPr>
      <w:tabs>
        <w:tab w:val="center" w:pos="4153"/>
        <w:tab w:val="right" w:pos="8306"/>
      </w:tabs>
      <w:spacing w:after="0" w:line="240" w:lineRule="auto"/>
    </w:pPr>
  </w:style>
  <w:style w:type="character" w:customStyle="1" w:styleId="GalveneRakstz">
    <w:name w:val="Galvene Rakstz."/>
    <w:basedOn w:val="Noklusjumarindkopasfonts"/>
    <w:link w:val="Galvene"/>
    <w:rsid w:val="00A74211"/>
  </w:style>
  <w:style w:type="paragraph" w:styleId="Kjene">
    <w:name w:val="footer"/>
    <w:basedOn w:val="Parastais"/>
    <w:link w:val="KjeneRakstz"/>
    <w:unhideWhenUsed/>
    <w:rsid w:val="00A74211"/>
    <w:pPr>
      <w:tabs>
        <w:tab w:val="center" w:pos="4153"/>
        <w:tab w:val="right" w:pos="8306"/>
      </w:tabs>
      <w:spacing w:after="0" w:line="240" w:lineRule="auto"/>
    </w:pPr>
  </w:style>
  <w:style w:type="character" w:customStyle="1" w:styleId="KjeneRakstz">
    <w:name w:val="Kājene Rakstz."/>
    <w:basedOn w:val="Noklusjumarindkopasfonts"/>
    <w:link w:val="Kjene"/>
    <w:rsid w:val="00A74211"/>
  </w:style>
  <w:style w:type="character" w:styleId="Hipersaite">
    <w:name w:val="Hyperlink"/>
    <w:unhideWhenUsed/>
    <w:rsid w:val="00217170"/>
    <w:rPr>
      <w:color w:val="0000FF"/>
      <w:u w:val="single"/>
    </w:rPr>
  </w:style>
  <w:style w:type="paragraph" w:customStyle="1" w:styleId="tv2131">
    <w:name w:val="tv2131"/>
    <w:basedOn w:val="Parastais"/>
    <w:rsid w:val="0073437F"/>
    <w:pPr>
      <w:spacing w:after="0" w:line="360" w:lineRule="auto"/>
      <w:ind w:firstLine="300"/>
    </w:pPr>
    <w:rPr>
      <w:rFonts w:ascii="Times New Roman" w:eastAsia="Times New Roman" w:hAnsi="Times New Roman" w:cs="Times New Roman"/>
      <w:color w:val="414142"/>
      <w:sz w:val="20"/>
      <w:szCs w:val="20"/>
    </w:rPr>
  </w:style>
</w:styles>
</file>

<file path=word/webSettings.xml><?xml version="1.0" encoding="utf-8"?>
<w:webSettings xmlns:r="http://schemas.openxmlformats.org/officeDocument/2006/relationships" xmlns:w="http://schemas.openxmlformats.org/wordprocessingml/2006/main">
  <w:divs>
    <w:div w:id="290866909">
      <w:bodyDiv w:val="1"/>
      <w:marLeft w:val="0"/>
      <w:marRight w:val="0"/>
      <w:marTop w:val="0"/>
      <w:marBottom w:val="0"/>
      <w:divBdr>
        <w:top w:val="none" w:sz="0" w:space="0" w:color="auto"/>
        <w:left w:val="none" w:sz="0" w:space="0" w:color="auto"/>
        <w:bottom w:val="none" w:sz="0" w:space="0" w:color="auto"/>
        <w:right w:val="none" w:sz="0" w:space="0" w:color="auto"/>
      </w:divBdr>
      <w:divsChild>
        <w:div w:id="1692560465">
          <w:marLeft w:val="0"/>
          <w:marRight w:val="0"/>
          <w:marTop w:val="0"/>
          <w:marBottom w:val="0"/>
          <w:divBdr>
            <w:top w:val="none" w:sz="0" w:space="0" w:color="auto"/>
            <w:left w:val="none" w:sz="0" w:space="0" w:color="auto"/>
            <w:bottom w:val="none" w:sz="0" w:space="0" w:color="auto"/>
            <w:right w:val="none" w:sz="0" w:space="0" w:color="auto"/>
          </w:divBdr>
          <w:divsChild>
            <w:div w:id="2144884885">
              <w:marLeft w:val="0"/>
              <w:marRight w:val="0"/>
              <w:marTop w:val="0"/>
              <w:marBottom w:val="0"/>
              <w:divBdr>
                <w:top w:val="none" w:sz="0" w:space="0" w:color="auto"/>
                <w:left w:val="none" w:sz="0" w:space="0" w:color="auto"/>
                <w:bottom w:val="none" w:sz="0" w:space="0" w:color="auto"/>
                <w:right w:val="none" w:sz="0" w:space="0" w:color="auto"/>
              </w:divBdr>
              <w:divsChild>
                <w:div w:id="329021241">
                  <w:marLeft w:val="0"/>
                  <w:marRight w:val="0"/>
                  <w:marTop w:val="0"/>
                  <w:marBottom w:val="0"/>
                  <w:divBdr>
                    <w:top w:val="none" w:sz="0" w:space="0" w:color="auto"/>
                    <w:left w:val="none" w:sz="0" w:space="0" w:color="auto"/>
                    <w:bottom w:val="none" w:sz="0" w:space="0" w:color="auto"/>
                    <w:right w:val="none" w:sz="0" w:space="0" w:color="auto"/>
                  </w:divBdr>
                  <w:divsChild>
                    <w:div w:id="796341689">
                      <w:marLeft w:val="0"/>
                      <w:marRight w:val="0"/>
                      <w:marTop w:val="0"/>
                      <w:marBottom w:val="0"/>
                      <w:divBdr>
                        <w:top w:val="none" w:sz="0" w:space="0" w:color="auto"/>
                        <w:left w:val="none" w:sz="0" w:space="0" w:color="auto"/>
                        <w:bottom w:val="none" w:sz="0" w:space="0" w:color="auto"/>
                        <w:right w:val="none" w:sz="0" w:space="0" w:color="auto"/>
                      </w:divBdr>
                      <w:divsChild>
                        <w:div w:id="1820414322">
                          <w:marLeft w:val="0"/>
                          <w:marRight w:val="0"/>
                          <w:marTop w:val="0"/>
                          <w:marBottom w:val="0"/>
                          <w:divBdr>
                            <w:top w:val="none" w:sz="0" w:space="0" w:color="auto"/>
                            <w:left w:val="none" w:sz="0" w:space="0" w:color="auto"/>
                            <w:bottom w:val="none" w:sz="0" w:space="0" w:color="auto"/>
                            <w:right w:val="none" w:sz="0" w:space="0" w:color="auto"/>
                          </w:divBdr>
                          <w:divsChild>
                            <w:div w:id="1565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43893">
      <w:bodyDiv w:val="1"/>
      <w:marLeft w:val="0"/>
      <w:marRight w:val="0"/>
      <w:marTop w:val="0"/>
      <w:marBottom w:val="0"/>
      <w:divBdr>
        <w:top w:val="none" w:sz="0" w:space="0" w:color="auto"/>
        <w:left w:val="none" w:sz="0" w:space="0" w:color="auto"/>
        <w:bottom w:val="none" w:sz="0" w:space="0" w:color="auto"/>
        <w:right w:val="none" w:sz="0" w:space="0" w:color="auto"/>
      </w:divBdr>
    </w:div>
    <w:div w:id="936137429">
      <w:bodyDiv w:val="1"/>
      <w:marLeft w:val="0"/>
      <w:marRight w:val="0"/>
      <w:marTop w:val="0"/>
      <w:marBottom w:val="0"/>
      <w:divBdr>
        <w:top w:val="none" w:sz="0" w:space="0" w:color="auto"/>
        <w:left w:val="none" w:sz="0" w:space="0" w:color="auto"/>
        <w:bottom w:val="none" w:sz="0" w:space="0" w:color="auto"/>
        <w:right w:val="none" w:sz="0" w:space="0" w:color="auto"/>
      </w:divBdr>
    </w:div>
    <w:div w:id="20304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3451-pievienotas-vertibas-nodokla-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gvars.imsa@rmm.l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53451-pievienotas-vertibas-nodokla-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253451-pievienotas-vertibas-nodokla-likums" TargetMode="External"/><Relationship Id="rId4" Type="http://schemas.openxmlformats.org/officeDocument/2006/relationships/settings" Target="settings.xml"/><Relationship Id="rId9" Type="http://schemas.openxmlformats.org/officeDocument/2006/relationships/hyperlink" Target="http://likumi.lv/ta/id/253451-pievienotas-vertibas-nodokla-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62D7-B9FA-4514-94F6-06553268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9114</Words>
  <Characters>5196</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„Rakstniecības un mūzikas muzeja publisko maksas pakalpojumu cenrādis” sākotnējās ietekmes novērtējuma ziņojums (anotācija)</vt:lpstr>
      <vt:lpstr>Ministru kabineta noteikumu projekta „Rakstniecības un mūzikas muzeja publisko maksas pakalpojumu cenrādis” sākotnējās ietekmes novērtējuma ziņojums (anotācija)</vt:lpstr>
    </vt:vector>
  </TitlesOfParts>
  <Company>LR Kultūras Ministrija</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„Rakstniecības un mūzikas muzeja publisko maksas pakalpojumu cenrādis” sākotnējās ietekmes novērtējuma ziņojums (anotācija)</dc:title>
  <dc:subject>Rakstniecības un mūzikas muzeja publisko maksas pakalpojumu cenrādis</dc:subject>
  <dc:creator>I.Imša</dc:creator>
  <cp:keywords>KMAnot_270715_Rakstnmuz_cenradis</cp:keywords>
  <dc:description>I.Imša
Tālr. 67216430
ilgvars.imsa@rmm.lv</dc:description>
  <cp:lastModifiedBy>LeldeP</cp:lastModifiedBy>
  <cp:revision>3</cp:revision>
  <cp:lastPrinted>2015-06-12T10:17:00Z</cp:lastPrinted>
  <dcterms:created xsi:type="dcterms:W3CDTF">2015-07-28T06:00:00Z</dcterms:created>
  <dcterms:modified xsi:type="dcterms:W3CDTF">2015-07-29T09:46:00Z</dcterms:modified>
</cp:coreProperties>
</file>