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BD" w:rsidRPr="00611589" w:rsidRDefault="008F32BD" w:rsidP="0017538A">
      <w:pPr>
        <w:spacing w:after="0" w:line="240" w:lineRule="auto"/>
        <w:jc w:val="center"/>
        <w:rPr>
          <w:rFonts w:ascii="Times New Roman" w:hAnsi="Times New Roman" w:cs="Times New Roman"/>
          <w:b/>
          <w:color w:val="000000" w:themeColor="text1"/>
          <w:sz w:val="36"/>
          <w:szCs w:val="36"/>
        </w:rPr>
      </w:pPr>
    </w:p>
    <w:p w:rsidR="008F32BD" w:rsidRPr="00611589" w:rsidRDefault="008F32BD" w:rsidP="0017538A">
      <w:pPr>
        <w:spacing w:after="0" w:line="240" w:lineRule="auto"/>
        <w:jc w:val="center"/>
        <w:rPr>
          <w:rFonts w:ascii="Times New Roman" w:hAnsi="Times New Roman" w:cs="Times New Roman"/>
          <w:b/>
          <w:color w:val="000000" w:themeColor="text1"/>
          <w:sz w:val="36"/>
          <w:szCs w:val="36"/>
        </w:rPr>
      </w:pPr>
    </w:p>
    <w:p w:rsidR="008F32BD" w:rsidRPr="00611589" w:rsidRDefault="00556B03" w:rsidP="0017538A">
      <w:pPr>
        <w:spacing w:after="0" w:line="240" w:lineRule="auto"/>
        <w:jc w:val="center"/>
        <w:rPr>
          <w:rFonts w:ascii="Times New Roman" w:hAnsi="Times New Roman" w:cs="Times New Roman"/>
          <w:b/>
          <w:sz w:val="36"/>
          <w:szCs w:val="36"/>
        </w:rPr>
      </w:pPr>
      <w:r w:rsidRPr="00611589">
        <w:rPr>
          <w:rFonts w:ascii="Times New Roman" w:hAnsi="Times New Roman" w:cs="Times New Roman"/>
          <w:b/>
          <w:noProof/>
          <w:color w:val="000000" w:themeColor="text1"/>
          <w:sz w:val="36"/>
          <w:szCs w:val="36"/>
          <w:lang w:eastAsia="lv-LV"/>
        </w:rPr>
        <w:drawing>
          <wp:anchor distT="0" distB="0" distL="114300" distR="114300" simplePos="0" relativeHeight="251658240" behindDoc="0" locked="0" layoutInCell="1" allowOverlap="1" wp14:anchorId="025119AC" wp14:editId="7C528478">
            <wp:simplePos x="0" y="0"/>
            <wp:positionH relativeFrom="column">
              <wp:posOffset>2059940</wp:posOffset>
            </wp:positionH>
            <wp:positionV relativeFrom="paragraph">
              <wp:posOffset>81280</wp:posOffset>
            </wp:positionV>
            <wp:extent cx="1319530" cy="15081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B_LOGO_bw_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530" cy="1508125"/>
                    </a:xfrm>
                    <a:prstGeom prst="rect">
                      <a:avLst/>
                    </a:prstGeom>
                  </pic:spPr>
                </pic:pic>
              </a:graphicData>
            </a:graphic>
            <wp14:sizeRelH relativeFrom="page">
              <wp14:pctWidth>0</wp14:pctWidth>
            </wp14:sizeRelH>
            <wp14:sizeRelV relativeFrom="page">
              <wp14:pctHeight>0</wp14:pctHeight>
            </wp14:sizeRelV>
          </wp:anchor>
        </w:drawing>
      </w: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4F7B23" w:rsidRDefault="008F32BD" w:rsidP="008F32BD">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p>
    <w:p w:rsidR="00556B03" w:rsidRPr="00556B03" w:rsidRDefault="00556B03" w:rsidP="00556B03"/>
    <w:p w:rsidR="00556B03" w:rsidRPr="00556B03" w:rsidRDefault="00556B03" w:rsidP="00556B03"/>
    <w:p w:rsidR="00556B03" w:rsidRPr="00556B03" w:rsidRDefault="00556B03" w:rsidP="00556B03"/>
    <w:p w:rsidR="00556B03" w:rsidRPr="00556B03" w:rsidRDefault="00556B03" w:rsidP="00556B03">
      <w:bookmarkStart w:id="0" w:name="_GoBack"/>
      <w:bookmarkEnd w:id="0"/>
    </w:p>
    <w:p w:rsidR="00556B03" w:rsidRPr="00556B03" w:rsidRDefault="00556B03" w:rsidP="00556B03"/>
    <w:p w:rsidR="008F32BD" w:rsidRPr="009412D1" w:rsidRDefault="00556B03" w:rsidP="00556B03">
      <w:pPr>
        <w:pStyle w:val="Title"/>
      </w:pPr>
      <w:r>
        <w:t>I</w:t>
      </w:r>
      <w:r w:rsidR="008F32BD" w:rsidRPr="009412D1">
        <w:t>nformatīvais ziņojums</w:t>
      </w:r>
    </w:p>
    <w:p w:rsidR="008F32BD" w:rsidRPr="009412D1" w:rsidRDefault="008F32BD" w:rsidP="00556B03">
      <w:pPr>
        <w:pStyle w:val="Title"/>
      </w:pPr>
      <w:r w:rsidRPr="009412D1">
        <w:t>«Par Korupcijas novēršanas un apkarošanas biroja</w:t>
      </w:r>
    </w:p>
    <w:p w:rsidR="008F32BD" w:rsidRPr="009412D1" w:rsidRDefault="00254D0E" w:rsidP="00556B03">
      <w:pPr>
        <w:pStyle w:val="Title"/>
      </w:pPr>
      <w:r w:rsidRPr="009412D1">
        <w:t>darbību no 201</w:t>
      </w:r>
      <w:r w:rsidR="00EB70D6" w:rsidRPr="009412D1">
        <w:t>5</w:t>
      </w:r>
      <w:r w:rsidRPr="009412D1">
        <w:t>.gada 1.</w:t>
      </w:r>
      <w:r w:rsidR="00EB70D6" w:rsidRPr="009412D1">
        <w:t>janvāra</w:t>
      </w:r>
      <w:r w:rsidR="001C08BB" w:rsidRPr="009412D1">
        <w:t xml:space="preserve"> līdz </w:t>
      </w:r>
      <w:r w:rsidR="00EB70D6" w:rsidRPr="009412D1">
        <w:t>30.jūnijam</w:t>
      </w:r>
      <w:r w:rsidR="008F32BD" w:rsidRPr="009412D1">
        <w:t>»</w:t>
      </w:r>
    </w:p>
    <w:p w:rsidR="008F32BD" w:rsidRPr="009412D1" w:rsidRDefault="008F32BD" w:rsidP="008F32BD">
      <w:pPr>
        <w:spacing w:after="0" w:line="240" w:lineRule="auto"/>
        <w:rPr>
          <w:rFonts w:ascii="Times New Roman" w:hAnsi="Times New Roman" w:cs="Times New Roman"/>
          <w:b/>
          <w:sz w:val="32"/>
          <w:szCs w:val="32"/>
        </w:rPr>
      </w:pPr>
      <w:r w:rsidRPr="009412D1">
        <w:rPr>
          <w:rFonts w:ascii="Times New Roman" w:hAnsi="Times New Roman" w:cs="Times New Roman"/>
          <w:b/>
          <w:sz w:val="32"/>
          <w:szCs w:val="32"/>
        </w:rPr>
        <w:br w:type="page"/>
      </w:r>
    </w:p>
    <w:p w:rsidR="007D40A9" w:rsidRDefault="007D40A9" w:rsidP="00752EF4">
      <w:pPr>
        <w:pStyle w:val="Title"/>
      </w:pPr>
      <w:r>
        <w:lastRenderedPageBreak/>
        <w:t xml:space="preserve">Vispārīga informācija </w:t>
      </w:r>
    </w:p>
    <w:p w:rsidR="00D14C6E" w:rsidRDefault="00D14C6E" w:rsidP="006A4302">
      <w:pPr>
        <w:pStyle w:val="Default"/>
        <w:ind w:firstLine="720"/>
        <w:jc w:val="both"/>
        <w:rPr>
          <w:color w:val="auto"/>
          <w:sz w:val="28"/>
          <w:szCs w:val="28"/>
        </w:rPr>
      </w:pPr>
    </w:p>
    <w:p w:rsidR="0082587B" w:rsidRPr="00143AD5" w:rsidRDefault="008F32BD" w:rsidP="006A4302">
      <w:pPr>
        <w:pStyle w:val="Default"/>
        <w:ind w:firstLine="720"/>
        <w:jc w:val="both"/>
        <w:rPr>
          <w:color w:val="auto"/>
          <w:sz w:val="28"/>
          <w:szCs w:val="28"/>
        </w:rPr>
      </w:pPr>
      <w:r w:rsidRPr="00143AD5">
        <w:rPr>
          <w:color w:val="auto"/>
          <w:sz w:val="28"/>
          <w:szCs w:val="28"/>
        </w:rPr>
        <w:t xml:space="preserve">Informatīvais ziņojums par Korupcijas novēršanas un apkarošanas biroja (turpmāk – Birojs) darbību </w:t>
      </w:r>
      <w:r w:rsidRPr="00143AD5">
        <w:rPr>
          <w:bCs/>
          <w:color w:val="auto"/>
          <w:sz w:val="28"/>
          <w:szCs w:val="28"/>
        </w:rPr>
        <w:t>no 201</w:t>
      </w:r>
      <w:r w:rsidR="00EB70D6" w:rsidRPr="00143AD5">
        <w:rPr>
          <w:bCs/>
          <w:color w:val="auto"/>
          <w:sz w:val="28"/>
          <w:szCs w:val="28"/>
        </w:rPr>
        <w:t>5</w:t>
      </w:r>
      <w:r w:rsidRPr="00143AD5">
        <w:rPr>
          <w:bCs/>
          <w:color w:val="auto"/>
          <w:sz w:val="28"/>
          <w:szCs w:val="28"/>
        </w:rPr>
        <w:t xml:space="preserve">.gada </w:t>
      </w:r>
      <w:r w:rsidR="00412BC7" w:rsidRPr="00143AD5">
        <w:rPr>
          <w:bCs/>
          <w:color w:val="auto"/>
          <w:sz w:val="28"/>
          <w:szCs w:val="28"/>
        </w:rPr>
        <w:t>1.</w:t>
      </w:r>
      <w:r w:rsidR="00EB70D6" w:rsidRPr="00143AD5">
        <w:rPr>
          <w:bCs/>
          <w:color w:val="auto"/>
          <w:sz w:val="28"/>
          <w:szCs w:val="28"/>
        </w:rPr>
        <w:t>janvāra līdz</w:t>
      </w:r>
      <w:r w:rsidRPr="00143AD5">
        <w:rPr>
          <w:bCs/>
          <w:color w:val="auto"/>
          <w:sz w:val="28"/>
          <w:szCs w:val="28"/>
        </w:rPr>
        <w:t xml:space="preserve"> </w:t>
      </w:r>
      <w:r w:rsidR="00EB70D6" w:rsidRPr="00143AD5">
        <w:rPr>
          <w:bCs/>
          <w:color w:val="auto"/>
          <w:sz w:val="28"/>
          <w:szCs w:val="28"/>
        </w:rPr>
        <w:t>30.jūnijam</w:t>
      </w:r>
      <w:r w:rsidR="003022CD" w:rsidRPr="00143AD5">
        <w:rPr>
          <w:bCs/>
          <w:color w:val="auto"/>
          <w:sz w:val="28"/>
          <w:szCs w:val="28"/>
        </w:rPr>
        <w:t xml:space="preserve"> </w:t>
      </w:r>
      <w:r w:rsidRPr="00143AD5">
        <w:rPr>
          <w:color w:val="auto"/>
          <w:sz w:val="28"/>
          <w:szCs w:val="28"/>
        </w:rPr>
        <w:t>sagatavots iesniegšanai</w:t>
      </w:r>
      <w:r w:rsidR="008B4A69" w:rsidRPr="00143AD5">
        <w:rPr>
          <w:color w:val="auto"/>
          <w:sz w:val="28"/>
          <w:szCs w:val="28"/>
        </w:rPr>
        <w:t xml:space="preserve"> </w:t>
      </w:r>
      <w:r w:rsidRPr="00143AD5">
        <w:rPr>
          <w:color w:val="auto"/>
          <w:sz w:val="28"/>
          <w:szCs w:val="28"/>
        </w:rPr>
        <w:t>Ministru kabinetā un Saeimā saskaņā ar Korupcijas novēršanas un apkarošanas biroja likuma 4.panta trešās daļas 14.punktu.</w:t>
      </w:r>
      <w:r w:rsidR="00F758F0" w:rsidRPr="00143AD5">
        <w:rPr>
          <w:color w:val="auto"/>
          <w:sz w:val="28"/>
          <w:szCs w:val="28"/>
        </w:rPr>
        <w:t xml:space="preserve"> </w:t>
      </w:r>
    </w:p>
    <w:p w:rsidR="00113355" w:rsidRPr="00E422EB" w:rsidRDefault="007C782E" w:rsidP="00E422EB">
      <w:pPr>
        <w:pStyle w:val="Default"/>
        <w:ind w:firstLine="720"/>
        <w:jc w:val="both"/>
        <w:rPr>
          <w:sz w:val="28"/>
          <w:szCs w:val="28"/>
        </w:rPr>
      </w:pPr>
      <w:r>
        <w:rPr>
          <w:sz w:val="28"/>
          <w:szCs w:val="28"/>
        </w:rPr>
        <w:t>P</w:t>
      </w:r>
      <w:r w:rsidRPr="007C782E">
        <w:rPr>
          <w:sz w:val="28"/>
          <w:szCs w:val="28"/>
        </w:rPr>
        <w:t xml:space="preserve">ārskata periodā </w:t>
      </w:r>
      <w:r w:rsidR="0082587B" w:rsidRPr="00143AD5">
        <w:rPr>
          <w:sz w:val="28"/>
          <w:szCs w:val="28"/>
        </w:rPr>
        <w:t xml:space="preserve">Biroja </w:t>
      </w:r>
      <w:r w:rsidR="0082587B" w:rsidRPr="00E422EB">
        <w:rPr>
          <w:b/>
          <w:sz w:val="28"/>
          <w:szCs w:val="28"/>
        </w:rPr>
        <w:t>lietvedībā</w:t>
      </w:r>
      <w:r w:rsidR="00E422EB">
        <w:rPr>
          <w:b/>
          <w:sz w:val="28"/>
          <w:szCs w:val="28"/>
        </w:rPr>
        <w:t xml:space="preserve"> kopā</w:t>
      </w:r>
      <w:r w:rsidR="0082587B" w:rsidRPr="00E422EB">
        <w:rPr>
          <w:b/>
          <w:sz w:val="28"/>
          <w:szCs w:val="28"/>
        </w:rPr>
        <w:t xml:space="preserve"> saņemt</w:t>
      </w:r>
      <w:r w:rsidR="004D2552" w:rsidRPr="00E422EB">
        <w:rPr>
          <w:b/>
          <w:sz w:val="28"/>
          <w:szCs w:val="28"/>
        </w:rPr>
        <w:t>i</w:t>
      </w:r>
      <w:r w:rsidR="00E422EB" w:rsidRPr="00E422EB">
        <w:rPr>
          <w:b/>
          <w:sz w:val="28"/>
          <w:szCs w:val="28"/>
        </w:rPr>
        <w:t xml:space="preserve"> 593 iesniegumi</w:t>
      </w:r>
      <w:r w:rsidR="00E422EB">
        <w:rPr>
          <w:sz w:val="28"/>
          <w:szCs w:val="28"/>
        </w:rPr>
        <w:t xml:space="preserve">, no kuriem 495 iesniegumi no fiziskām personām un </w:t>
      </w:r>
      <w:r w:rsidR="003C2032" w:rsidRPr="007C782E">
        <w:rPr>
          <w:sz w:val="28"/>
          <w:szCs w:val="28"/>
        </w:rPr>
        <w:t>98</w:t>
      </w:r>
      <w:r w:rsidR="0082587B" w:rsidRPr="007C782E">
        <w:rPr>
          <w:sz w:val="28"/>
          <w:szCs w:val="28"/>
        </w:rPr>
        <w:t xml:space="preserve"> iesniegumi no juridiskām personām.</w:t>
      </w:r>
      <w:r w:rsidR="0082587B" w:rsidRPr="00143AD5">
        <w:rPr>
          <w:sz w:val="28"/>
          <w:szCs w:val="28"/>
        </w:rPr>
        <w:t xml:space="preserve"> </w:t>
      </w:r>
      <w:r w:rsidR="00F758F0" w:rsidRPr="00143AD5">
        <w:rPr>
          <w:color w:val="auto"/>
          <w:sz w:val="28"/>
          <w:szCs w:val="28"/>
        </w:rPr>
        <w:t>201</w:t>
      </w:r>
      <w:r w:rsidR="003C2032" w:rsidRPr="00143AD5">
        <w:rPr>
          <w:color w:val="auto"/>
          <w:sz w:val="28"/>
          <w:szCs w:val="28"/>
        </w:rPr>
        <w:t>5</w:t>
      </w:r>
      <w:r w:rsidR="00F758F0" w:rsidRPr="00143AD5">
        <w:rPr>
          <w:color w:val="auto"/>
          <w:sz w:val="28"/>
          <w:szCs w:val="28"/>
        </w:rPr>
        <w:t xml:space="preserve">.gada </w:t>
      </w:r>
      <w:r w:rsidR="003C2032" w:rsidRPr="00143AD5">
        <w:rPr>
          <w:color w:val="auto"/>
          <w:sz w:val="28"/>
          <w:szCs w:val="28"/>
        </w:rPr>
        <w:t>pirmajā</w:t>
      </w:r>
      <w:r w:rsidR="00F758F0" w:rsidRPr="00143AD5">
        <w:rPr>
          <w:color w:val="auto"/>
          <w:sz w:val="28"/>
          <w:szCs w:val="28"/>
        </w:rPr>
        <w:t xml:space="preserve"> pusgadā Biroja Ziņojumu centrā ir pieņemti un uzklausīti </w:t>
      </w:r>
      <w:r w:rsidR="003C2032" w:rsidRPr="00D14C6E">
        <w:rPr>
          <w:b/>
          <w:color w:val="auto"/>
          <w:sz w:val="28"/>
          <w:szCs w:val="28"/>
        </w:rPr>
        <w:t>55</w:t>
      </w:r>
      <w:r w:rsidR="00F758F0" w:rsidRPr="00D14C6E">
        <w:rPr>
          <w:b/>
          <w:color w:val="auto"/>
          <w:sz w:val="28"/>
          <w:szCs w:val="28"/>
        </w:rPr>
        <w:t xml:space="preserve"> apmeklētāji</w:t>
      </w:r>
      <w:r w:rsidR="003C2032" w:rsidRPr="00143AD5">
        <w:rPr>
          <w:color w:val="auto"/>
          <w:sz w:val="28"/>
          <w:szCs w:val="28"/>
        </w:rPr>
        <w:t>.</w:t>
      </w:r>
      <w:r w:rsidR="00CB58D2" w:rsidRPr="00143AD5">
        <w:rPr>
          <w:color w:val="auto"/>
          <w:sz w:val="28"/>
          <w:szCs w:val="28"/>
        </w:rPr>
        <w:t xml:space="preserve"> </w:t>
      </w:r>
      <w:r w:rsidR="001B0E8A" w:rsidRPr="00143AD5">
        <w:rPr>
          <w:sz w:val="28"/>
          <w:szCs w:val="28"/>
        </w:rPr>
        <w:t>Birojā saņemto iesniegumu un zvanu skaits, kā arī pieņemto apmeklētāju skaits atspoguļots 1.attēlā.</w:t>
      </w:r>
    </w:p>
    <w:p w:rsidR="004D2552" w:rsidRDefault="004D2552" w:rsidP="004D2552">
      <w:pPr>
        <w:pStyle w:val="NoSpacing"/>
        <w:ind w:firstLine="720"/>
        <w:jc w:val="both"/>
        <w:rPr>
          <w:rFonts w:ascii="Times New Roman" w:hAnsi="Times New Roman" w:cs="Times New Roman"/>
          <w:sz w:val="28"/>
          <w:szCs w:val="28"/>
        </w:rPr>
      </w:pPr>
      <w:r w:rsidRPr="00143AD5">
        <w:rPr>
          <w:rFonts w:ascii="Times New Roman" w:hAnsi="Times New Roman" w:cs="Times New Roman"/>
          <w:sz w:val="28"/>
          <w:szCs w:val="28"/>
        </w:rPr>
        <w:t xml:space="preserve">2015.gada 30.jūnijā Birojā strādāja </w:t>
      </w:r>
      <w:r w:rsidRPr="00D14C6E">
        <w:rPr>
          <w:rFonts w:ascii="Times New Roman" w:hAnsi="Times New Roman" w:cs="Times New Roman"/>
          <w:b/>
          <w:sz w:val="28"/>
          <w:szCs w:val="28"/>
        </w:rPr>
        <w:t>144</w:t>
      </w:r>
      <w:r w:rsidRPr="00D14C6E">
        <w:rPr>
          <w:rFonts w:ascii="Times New Roman" w:hAnsi="Times New Roman" w:cs="Times New Roman"/>
          <w:b/>
          <w:bCs/>
          <w:sz w:val="28"/>
          <w:szCs w:val="28"/>
        </w:rPr>
        <w:t xml:space="preserve"> darbinieki</w:t>
      </w:r>
      <w:r w:rsidRPr="00143AD5">
        <w:rPr>
          <w:rFonts w:ascii="Times New Roman" w:hAnsi="Times New Roman" w:cs="Times New Roman"/>
          <w:sz w:val="28"/>
          <w:szCs w:val="28"/>
        </w:rPr>
        <w:t xml:space="preserve">. Pārskata periodā darbā pieņemti 13 darbinieki, savukārt darba tiesiskās attiecības ir izbeigtas ar 4 darbiniekiem. </w:t>
      </w:r>
    </w:p>
    <w:p w:rsidR="004D2552" w:rsidRDefault="004D2552" w:rsidP="004D2552">
      <w:pPr>
        <w:pStyle w:val="NoSpacing"/>
        <w:ind w:firstLine="720"/>
        <w:jc w:val="both"/>
        <w:rPr>
          <w:rFonts w:ascii="Times New Roman" w:hAnsi="Times New Roman" w:cs="Times New Roman"/>
          <w:sz w:val="28"/>
          <w:szCs w:val="28"/>
        </w:rPr>
      </w:pPr>
      <w:r w:rsidRPr="00143AD5">
        <w:rPr>
          <w:rFonts w:ascii="Times New Roman" w:hAnsi="Times New Roman" w:cs="Times New Roman"/>
          <w:sz w:val="28"/>
          <w:szCs w:val="28"/>
        </w:rPr>
        <w:t xml:space="preserve">2015.gada pirmajā pusgadā Birojam piešķirtais valsts budžeta finansējums bija </w:t>
      </w:r>
      <w:r w:rsidR="00BC04E1" w:rsidRPr="00D14C6E">
        <w:rPr>
          <w:rFonts w:ascii="Times New Roman" w:hAnsi="Times New Roman" w:cs="Times New Roman"/>
          <w:b/>
          <w:sz w:val="28"/>
          <w:szCs w:val="28"/>
        </w:rPr>
        <w:t xml:space="preserve">EUR </w:t>
      </w:r>
      <w:r w:rsidRPr="00D14C6E">
        <w:rPr>
          <w:rFonts w:ascii="Times New Roman" w:hAnsi="Times New Roman" w:cs="Times New Roman"/>
          <w:b/>
          <w:sz w:val="28"/>
          <w:szCs w:val="28"/>
        </w:rPr>
        <w:t>5 237 428</w:t>
      </w:r>
      <w:r w:rsidRPr="00143AD5">
        <w:rPr>
          <w:rFonts w:ascii="Times New Roman" w:hAnsi="Times New Roman" w:cs="Times New Roman"/>
          <w:sz w:val="28"/>
          <w:szCs w:val="28"/>
        </w:rPr>
        <w:t xml:space="preserve">, papildus tam Birojs piesaistīja ārvalstu finanšu palīdzību </w:t>
      </w:r>
      <w:r w:rsidR="00BC04E1" w:rsidRPr="00D14C6E">
        <w:rPr>
          <w:rFonts w:ascii="Times New Roman" w:hAnsi="Times New Roman" w:cs="Times New Roman"/>
          <w:b/>
          <w:sz w:val="28"/>
          <w:szCs w:val="28"/>
        </w:rPr>
        <w:t xml:space="preserve">EUR </w:t>
      </w:r>
      <w:r w:rsidRPr="00D14C6E">
        <w:rPr>
          <w:rFonts w:ascii="Times New Roman" w:hAnsi="Times New Roman" w:cs="Times New Roman"/>
          <w:b/>
          <w:sz w:val="28"/>
          <w:szCs w:val="28"/>
        </w:rPr>
        <w:t>15 882</w:t>
      </w:r>
      <w:r w:rsidRPr="00143AD5">
        <w:rPr>
          <w:rFonts w:ascii="Times New Roman" w:hAnsi="Times New Roman" w:cs="Times New Roman"/>
          <w:sz w:val="28"/>
          <w:szCs w:val="28"/>
        </w:rPr>
        <w:t xml:space="preserve"> apmērā. </w:t>
      </w:r>
    </w:p>
    <w:p w:rsidR="00E422EB" w:rsidRDefault="00E422EB" w:rsidP="004D2552">
      <w:pPr>
        <w:pStyle w:val="NoSpacing"/>
        <w:ind w:firstLine="720"/>
        <w:jc w:val="both"/>
        <w:rPr>
          <w:rFonts w:ascii="Times New Roman" w:hAnsi="Times New Roman" w:cs="Times New Roman"/>
          <w:sz w:val="28"/>
          <w:szCs w:val="28"/>
        </w:rPr>
      </w:pPr>
    </w:p>
    <w:p w:rsidR="00D14C6E" w:rsidRDefault="00E422EB" w:rsidP="00E422EB">
      <w:pPr>
        <w:pStyle w:val="NoSpacing"/>
        <w:ind w:firstLine="720"/>
        <w:jc w:val="center"/>
        <w:rPr>
          <w:rFonts w:ascii="Times New Roman" w:hAnsi="Times New Roman" w:cs="Times New Roman"/>
          <w:i/>
          <w:sz w:val="28"/>
          <w:szCs w:val="28"/>
        </w:rPr>
      </w:pPr>
      <w:bookmarkStart w:id="1" w:name="_Toc282617329"/>
      <w:r>
        <w:rPr>
          <w:noProof/>
          <w:lang w:eastAsia="lv-LV"/>
        </w:rPr>
        <w:drawing>
          <wp:inline distT="0" distB="0" distL="0" distR="0" wp14:anchorId="01FC5DB4" wp14:editId="49A361A3">
            <wp:extent cx="5486400" cy="3474720"/>
            <wp:effectExtent l="0" t="0" r="1905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621D" w:rsidRDefault="00D6621D" w:rsidP="00D6621D">
      <w:pPr>
        <w:pStyle w:val="NormalWeb"/>
        <w:spacing w:before="0" w:beforeAutospacing="0" w:after="0" w:afterAutospacing="0"/>
        <w:jc w:val="both"/>
        <w:rPr>
          <w:i/>
          <w:sz w:val="28"/>
          <w:szCs w:val="28"/>
          <w:lang w:val="lv-LV"/>
        </w:rPr>
      </w:pPr>
      <w:r w:rsidRPr="00752EF4">
        <w:rPr>
          <w:i/>
          <w:sz w:val="28"/>
          <w:szCs w:val="28"/>
          <w:lang w:val="lv-LV"/>
        </w:rPr>
        <w:t xml:space="preserve">1.attēls. Saņemtie iesniegumi un </w:t>
      </w:r>
      <w:r>
        <w:rPr>
          <w:i/>
          <w:sz w:val="28"/>
          <w:szCs w:val="28"/>
          <w:lang w:val="lv-LV"/>
        </w:rPr>
        <w:t>zvanu skaits uz bezmaksas tālruni, kā arī pieņemtie apmeklētāji.</w:t>
      </w: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8F32BD" w:rsidRPr="00752EF4" w:rsidRDefault="00752EF4" w:rsidP="00752EF4">
      <w:pPr>
        <w:pStyle w:val="Title"/>
        <w:rPr>
          <w:rFonts w:ascii="Times New Roman" w:hAnsi="Times New Roman"/>
        </w:rPr>
      </w:pPr>
      <w:r w:rsidRPr="00752EF4">
        <w:rPr>
          <w:rFonts w:ascii="Times New Roman" w:hAnsi="Times New Roman"/>
        </w:rPr>
        <w:lastRenderedPageBreak/>
        <w:t xml:space="preserve">1. </w:t>
      </w:r>
      <w:r w:rsidR="008F32BD" w:rsidRPr="00752EF4">
        <w:rPr>
          <w:rFonts w:ascii="Times New Roman" w:hAnsi="Times New Roman"/>
        </w:rPr>
        <w:t>Korupcijas novēršan</w:t>
      </w:r>
      <w:bookmarkEnd w:id="1"/>
      <w:r w:rsidR="008F32BD" w:rsidRPr="00752EF4">
        <w:rPr>
          <w:rFonts w:ascii="Times New Roman" w:hAnsi="Times New Roman"/>
        </w:rPr>
        <w:t>a</w:t>
      </w:r>
    </w:p>
    <w:p w:rsidR="00CF0F74" w:rsidRPr="00752EF4" w:rsidRDefault="00CF0F74" w:rsidP="00752EF4">
      <w:pPr>
        <w:autoSpaceDE w:val="0"/>
        <w:autoSpaceDN w:val="0"/>
        <w:adjustRightInd w:val="0"/>
        <w:spacing w:after="120" w:line="240" w:lineRule="auto"/>
        <w:jc w:val="center"/>
        <w:rPr>
          <w:rStyle w:val="Strong"/>
          <w:rFonts w:ascii="Times New Roman" w:hAnsi="Times New Roman" w:cs="Times New Roman"/>
          <w:sz w:val="28"/>
          <w:szCs w:val="28"/>
        </w:rPr>
      </w:pPr>
      <w:bookmarkStart w:id="2" w:name="_Toc282617327"/>
      <w:r w:rsidRPr="00752EF4">
        <w:rPr>
          <w:rStyle w:val="Strong"/>
          <w:rFonts w:ascii="Times New Roman" w:hAnsi="Times New Roman" w:cs="Times New Roman"/>
          <w:sz w:val="28"/>
          <w:szCs w:val="28"/>
        </w:rPr>
        <w:t xml:space="preserve">1.1. </w:t>
      </w:r>
      <w:r w:rsidR="008F32BD" w:rsidRPr="00752EF4">
        <w:rPr>
          <w:rStyle w:val="Strong"/>
          <w:rFonts w:ascii="Times New Roman" w:hAnsi="Times New Roman" w:cs="Times New Roman"/>
          <w:sz w:val="28"/>
          <w:szCs w:val="28"/>
        </w:rPr>
        <w:t>Pretkorupcijas politikas koordinēšana</w:t>
      </w:r>
      <w:bookmarkEnd w:id="2"/>
      <w:r w:rsidR="001809DB" w:rsidRPr="00752EF4">
        <w:rPr>
          <w:rStyle w:val="Strong"/>
          <w:rFonts w:ascii="Times New Roman" w:hAnsi="Times New Roman" w:cs="Times New Roman"/>
          <w:sz w:val="28"/>
          <w:szCs w:val="28"/>
        </w:rPr>
        <w:t>,</w:t>
      </w:r>
    </w:p>
    <w:p w:rsidR="008F32BD" w:rsidRPr="00752EF4" w:rsidRDefault="008F32BD" w:rsidP="00752EF4">
      <w:pPr>
        <w:autoSpaceDE w:val="0"/>
        <w:autoSpaceDN w:val="0"/>
        <w:adjustRightInd w:val="0"/>
        <w:spacing w:after="120" w:line="240" w:lineRule="auto"/>
        <w:jc w:val="center"/>
        <w:rPr>
          <w:rStyle w:val="Strong"/>
          <w:rFonts w:ascii="Times New Roman" w:hAnsi="Times New Roman" w:cs="Times New Roman"/>
          <w:sz w:val="28"/>
          <w:szCs w:val="28"/>
        </w:rPr>
      </w:pPr>
      <w:r w:rsidRPr="00752EF4">
        <w:rPr>
          <w:rStyle w:val="Strong"/>
          <w:rFonts w:ascii="Times New Roman" w:hAnsi="Times New Roman" w:cs="Times New Roman"/>
          <w:sz w:val="28"/>
          <w:szCs w:val="28"/>
        </w:rPr>
        <w:t>normatīvo aktu projektu izstrāde</w:t>
      </w:r>
      <w:r w:rsidR="001809DB" w:rsidRPr="00752EF4">
        <w:rPr>
          <w:rStyle w:val="Strong"/>
          <w:rFonts w:ascii="Times New Roman" w:hAnsi="Times New Roman" w:cs="Times New Roman"/>
          <w:sz w:val="28"/>
          <w:szCs w:val="28"/>
        </w:rPr>
        <w:t xml:space="preserve"> un korupcijas risku analīze </w:t>
      </w:r>
    </w:p>
    <w:p w:rsidR="003520F9" w:rsidRDefault="000C619E" w:rsidP="00752EF4">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201</w:t>
      </w:r>
      <w:r w:rsidR="00895DCF">
        <w:rPr>
          <w:rFonts w:ascii="Times New Roman" w:hAnsi="Times New Roman" w:cs="Times New Roman"/>
          <w:sz w:val="28"/>
          <w:szCs w:val="28"/>
        </w:rPr>
        <w:t>5</w:t>
      </w:r>
      <w:r w:rsidRPr="00611589">
        <w:rPr>
          <w:rFonts w:ascii="Times New Roman" w:hAnsi="Times New Roman" w:cs="Times New Roman"/>
          <w:sz w:val="28"/>
          <w:szCs w:val="28"/>
        </w:rPr>
        <w:t xml:space="preserve">.gada </w:t>
      </w:r>
      <w:r w:rsidR="00895DCF">
        <w:rPr>
          <w:rFonts w:ascii="Times New Roman" w:hAnsi="Times New Roman" w:cs="Times New Roman"/>
          <w:sz w:val="28"/>
          <w:szCs w:val="28"/>
        </w:rPr>
        <w:t>pirmajā</w:t>
      </w:r>
      <w:r w:rsidRPr="00611589">
        <w:rPr>
          <w:rFonts w:ascii="Times New Roman" w:hAnsi="Times New Roman" w:cs="Times New Roman"/>
          <w:sz w:val="28"/>
          <w:szCs w:val="28"/>
        </w:rPr>
        <w:t xml:space="preserve"> pusgadā Birojs turpināja uzsākto darbu pie plānošanas dokumenta </w:t>
      </w:r>
      <w:r w:rsidR="00EC4A85" w:rsidRPr="00611589">
        <w:rPr>
          <w:rFonts w:ascii="Times New Roman" w:hAnsi="Times New Roman" w:cs="Times New Roman"/>
          <w:sz w:val="28"/>
          <w:szCs w:val="28"/>
        </w:rPr>
        <w:t>„</w:t>
      </w:r>
      <w:r w:rsidR="004143A8" w:rsidRPr="004568FC">
        <w:rPr>
          <w:rFonts w:ascii="Times New Roman" w:hAnsi="Times New Roman" w:cs="Times New Roman"/>
          <w:b/>
          <w:sz w:val="28"/>
          <w:szCs w:val="28"/>
        </w:rPr>
        <w:t xml:space="preserve">Korupcijas novēršanas un apkarošanas </w:t>
      </w:r>
      <w:r w:rsidR="00BC04E1" w:rsidRPr="004568FC">
        <w:rPr>
          <w:rFonts w:ascii="Times New Roman" w:hAnsi="Times New Roman" w:cs="Times New Roman"/>
          <w:b/>
          <w:sz w:val="28"/>
          <w:szCs w:val="28"/>
        </w:rPr>
        <w:t>pamatnostādnes</w:t>
      </w:r>
      <w:r w:rsidRPr="004568FC">
        <w:rPr>
          <w:rFonts w:ascii="Times New Roman" w:hAnsi="Times New Roman" w:cs="Times New Roman"/>
          <w:b/>
          <w:sz w:val="28"/>
          <w:szCs w:val="28"/>
        </w:rPr>
        <w:t xml:space="preserve"> 201</w:t>
      </w:r>
      <w:r w:rsidR="00895DCF" w:rsidRPr="004568FC">
        <w:rPr>
          <w:rFonts w:ascii="Times New Roman" w:hAnsi="Times New Roman" w:cs="Times New Roman"/>
          <w:b/>
          <w:sz w:val="28"/>
          <w:szCs w:val="28"/>
        </w:rPr>
        <w:t>5</w:t>
      </w:r>
      <w:r w:rsidR="004568FC">
        <w:rPr>
          <w:rFonts w:ascii="Times New Roman" w:hAnsi="Times New Roman" w:cs="Times New Roman"/>
          <w:b/>
          <w:sz w:val="28"/>
          <w:szCs w:val="28"/>
        </w:rPr>
        <w:t>.–</w:t>
      </w:r>
      <w:r w:rsidR="00772E12" w:rsidRPr="004568FC">
        <w:rPr>
          <w:rFonts w:ascii="Times New Roman" w:hAnsi="Times New Roman" w:cs="Times New Roman"/>
          <w:b/>
          <w:sz w:val="28"/>
          <w:szCs w:val="28"/>
        </w:rPr>
        <w:t>2020.gadam</w:t>
      </w:r>
      <w:r w:rsidR="00EC4A85" w:rsidRPr="00611589">
        <w:rPr>
          <w:rFonts w:ascii="Times New Roman" w:hAnsi="Times New Roman" w:cs="Times New Roman"/>
          <w:sz w:val="28"/>
          <w:szCs w:val="28"/>
        </w:rPr>
        <w:t xml:space="preserve">” </w:t>
      </w:r>
      <w:r w:rsidR="00894211" w:rsidRPr="00611589">
        <w:rPr>
          <w:rFonts w:ascii="Times New Roman" w:hAnsi="Times New Roman" w:cs="Times New Roman"/>
          <w:sz w:val="28"/>
          <w:szCs w:val="28"/>
        </w:rPr>
        <w:t>izstrādes</w:t>
      </w:r>
      <w:r w:rsidR="003520F9" w:rsidRPr="00611589">
        <w:rPr>
          <w:rFonts w:ascii="Times New Roman" w:hAnsi="Times New Roman" w:cs="Times New Roman"/>
          <w:sz w:val="28"/>
          <w:szCs w:val="28"/>
        </w:rPr>
        <w:t xml:space="preserve"> nākamajam plānošanas periodam.</w:t>
      </w:r>
    </w:p>
    <w:p w:rsidR="004D2552" w:rsidRDefault="004D2552" w:rsidP="00752EF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Pārskata periodā Birojs ir izstrādājis </w:t>
      </w:r>
      <w:r w:rsidRPr="004568FC">
        <w:rPr>
          <w:rFonts w:ascii="Times New Roman" w:hAnsi="Times New Roman" w:cs="Times New Roman"/>
          <w:b/>
          <w:sz w:val="28"/>
          <w:szCs w:val="28"/>
        </w:rPr>
        <w:t>informatīv</w:t>
      </w:r>
      <w:r w:rsidR="002C1504">
        <w:rPr>
          <w:rFonts w:ascii="Times New Roman" w:hAnsi="Times New Roman" w:cs="Times New Roman"/>
          <w:b/>
          <w:sz w:val="28"/>
          <w:szCs w:val="28"/>
        </w:rPr>
        <w:t>o</w:t>
      </w:r>
      <w:r w:rsidRPr="004568FC">
        <w:rPr>
          <w:rFonts w:ascii="Times New Roman" w:hAnsi="Times New Roman" w:cs="Times New Roman"/>
          <w:b/>
          <w:sz w:val="28"/>
          <w:szCs w:val="28"/>
        </w:rPr>
        <w:t xml:space="preserve"> ziņojum</w:t>
      </w:r>
      <w:r w:rsidR="002C1504">
        <w:rPr>
          <w:rFonts w:ascii="Times New Roman" w:hAnsi="Times New Roman" w:cs="Times New Roman"/>
          <w:b/>
          <w:sz w:val="28"/>
          <w:szCs w:val="28"/>
        </w:rPr>
        <w:t>u</w:t>
      </w:r>
      <w:r w:rsidRPr="004568FC">
        <w:rPr>
          <w:rFonts w:ascii="Times New Roman" w:hAnsi="Times New Roman" w:cs="Times New Roman"/>
          <w:b/>
          <w:sz w:val="28"/>
          <w:szCs w:val="28"/>
        </w:rPr>
        <w:t xml:space="preserve"> „Par „Koncepcij</w:t>
      </w:r>
      <w:r w:rsidR="00BC04E1" w:rsidRPr="004568FC">
        <w:rPr>
          <w:rFonts w:ascii="Times New Roman" w:hAnsi="Times New Roman" w:cs="Times New Roman"/>
          <w:b/>
          <w:sz w:val="28"/>
          <w:szCs w:val="28"/>
        </w:rPr>
        <w:t>ā</w:t>
      </w:r>
      <w:r w:rsidRPr="004568FC">
        <w:rPr>
          <w:rFonts w:ascii="Times New Roman" w:hAnsi="Times New Roman" w:cs="Times New Roman"/>
          <w:b/>
          <w:sz w:val="28"/>
          <w:szCs w:val="28"/>
        </w:rPr>
        <w:t xml:space="preserve"> par korupcijas risku samazināšanu valsts pārvaldes iestādēs un pašvaldībās” ietvertā risinājuma 3. variantā minēto uzdevumu īstenošanas gaitu”</w:t>
      </w:r>
      <w:r w:rsidR="009D0284">
        <w:rPr>
          <w:rFonts w:ascii="Times New Roman" w:hAnsi="Times New Roman" w:cs="Times New Roman"/>
          <w:sz w:val="28"/>
          <w:szCs w:val="28"/>
        </w:rPr>
        <w:t xml:space="preserve">, kas </w:t>
      </w:r>
      <w:r w:rsidR="002C1504" w:rsidRPr="002C1504">
        <w:rPr>
          <w:rFonts w:ascii="Times New Roman" w:hAnsi="Times New Roman" w:cs="Times New Roman"/>
          <w:sz w:val="28"/>
          <w:szCs w:val="28"/>
        </w:rPr>
        <w:t xml:space="preserve">2015.gada 16.aprīlī </w:t>
      </w:r>
      <w:r w:rsidR="009D0284">
        <w:rPr>
          <w:rFonts w:ascii="Times New Roman" w:hAnsi="Times New Roman" w:cs="Times New Roman"/>
          <w:sz w:val="28"/>
          <w:szCs w:val="28"/>
        </w:rPr>
        <w:t>ir izsludin</w:t>
      </w:r>
      <w:r w:rsidR="002C1504">
        <w:rPr>
          <w:rFonts w:ascii="Times New Roman" w:hAnsi="Times New Roman" w:cs="Times New Roman"/>
          <w:sz w:val="28"/>
          <w:szCs w:val="28"/>
        </w:rPr>
        <w:t xml:space="preserve">āts </w:t>
      </w:r>
      <w:r w:rsidR="002C1504" w:rsidRPr="002C1504">
        <w:rPr>
          <w:rFonts w:ascii="Times New Roman" w:hAnsi="Times New Roman" w:cs="Times New Roman"/>
          <w:sz w:val="28"/>
          <w:szCs w:val="28"/>
        </w:rPr>
        <w:t>Valsts sekretāru sanāksmē</w:t>
      </w:r>
      <w:r w:rsidR="002C1504">
        <w:rPr>
          <w:rFonts w:ascii="Times New Roman" w:hAnsi="Times New Roman" w:cs="Times New Roman"/>
          <w:sz w:val="28"/>
          <w:szCs w:val="28"/>
        </w:rPr>
        <w:t>. Ši</w:t>
      </w:r>
      <w:r>
        <w:rPr>
          <w:rFonts w:ascii="Times New Roman" w:hAnsi="Times New Roman" w:cs="Times New Roman"/>
          <w:sz w:val="28"/>
          <w:szCs w:val="28"/>
        </w:rPr>
        <w:t xml:space="preserve">s risinājums paredz pievērst būtisku uzmanību iekšējai kontrolei un </w:t>
      </w:r>
      <w:proofErr w:type="spellStart"/>
      <w:r>
        <w:rPr>
          <w:rFonts w:ascii="Times New Roman" w:hAnsi="Times New Roman" w:cs="Times New Roman"/>
          <w:sz w:val="28"/>
          <w:szCs w:val="28"/>
        </w:rPr>
        <w:t>personālpolitikai</w:t>
      </w:r>
      <w:proofErr w:type="spellEnd"/>
      <w:r>
        <w:rPr>
          <w:rFonts w:ascii="Times New Roman" w:hAnsi="Times New Roman" w:cs="Times New Roman"/>
          <w:sz w:val="28"/>
          <w:szCs w:val="28"/>
        </w:rPr>
        <w:t xml:space="preserve"> valsts un pašvaldību institūcijās, īpaši vērtējot un kontrolējot tos amatus, kas pakļauti </w:t>
      </w:r>
      <w:r w:rsidR="001B0E8A">
        <w:rPr>
          <w:rFonts w:ascii="Times New Roman" w:hAnsi="Times New Roman" w:cs="Times New Roman"/>
          <w:sz w:val="28"/>
          <w:szCs w:val="28"/>
        </w:rPr>
        <w:t>augstam</w:t>
      </w:r>
      <w:r>
        <w:rPr>
          <w:rFonts w:ascii="Times New Roman" w:hAnsi="Times New Roman" w:cs="Times New Roman"/>
          <w:sz w:val="28"/>
          <w:szCs w:val="28"/>
        </w:rPr>
        <w:t xml:space="preserve"> korupcijas riskam.</w:t>
      </w:r>
    </w:p>
    <w:p w:rsidR="006A2249" w:rsidRDefault="0076048A" w:rsidP="004D25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2015.gada </w:t>
      </w:r>
      <w:r w:rsidR="00757649">
        <w:rPr>
          <w:rFonts w:ascii="Times New Roman" w:hAnsi="Times New Roman" w:cs="Times New Roman"/>
          <w:sz w:val="28"/>
          <w:szCs w:val="28"/>
        </w:rPr>
        <w:t>februārī</w:t>
      </w:r>
      <w:r>
        <w:rPr>
          <w:rFonts w:ascii="Times New Roman" w:hAnsi="Times New Roman" w:cs="Times New Roman"/>
          <w:sz w:val="28"/>
          <w:szCs w:val="28"/>
        </w:rPr>
        <w:t xml:space="preserve"> </w:t>
      </w:r>
      <w:r w:rsidR="004D2552">
        <w:rPr>
          <w:rFonts w:ascii="Times New Roman" w:hAnsi="Times New Roman" w:cs="Times New Roman"/>
          <w:sz w:val="28"/>
          <w:szCs w:val="28"/>
        </w:rPr>
        <w:t>Birojā tika</w:t>
      </w:r>
      <w:r>
        <w:rPr>
          <w:rFonts w:ascii="Times New Roman" w:hAnsi="Times New Roman" w:cs="Times New Roman"/>
          <w:sz w:val="28"/>
          <w:szCs w:val="28"/>
        </w:rPr>
        <w:t xml:space="preserve"> rīkotas divas </w:t>
      </w:r>
      <w:r w:rsidR="00757649">
        <w:rPr>
          <w:rFonts w:ascii="Times New Roman" w:hAnsi="Times New Roman" w:cs="Times New Roman"/>
          <w:sz w:val="28"/>
          <w:szCs w:val="28"/>
        </w:rPr>
        <w:t xml:space="preserve">saskaņošanas sanāksmes, lai </w:t>
      </w:r>
      <w:r w:rsidR="004D2552">
        <w:rPr>
          <w:rFonts w:ascii="Times New Roman" w:hAnsi="Times New Roman" w:cs="Times New Roman"/>
          <w:sz w:val="28"/>
          <w:szCs w:val="28"/>
        </w:rPr>
        <w:t xml:space="preserve">ar citu valsts pārvaldes institūciju pārstāvjiem </w:t>
      </w:r>
      <w:r w:rsidR="00757649">
        <w:rPr>
          <w:rFonts w:ascii="Times New Roman" w:hAnsi="Times New Roman" w:cs="Times New Roman"/>
          <w:sz w:val="28"/>
          <w:szCs w:val="28"/>
        </w:rPr>
        <w:t>vienotos par</w:t>
      </w:r>
      <w:r w:rsidR="00F95AF9">
        <w:rPr>
          <w:rFonts w:ascii="Times New Roman" w:hAnsi="Times New Roman" w:cs="Times New Roman"/>
          <w:sz w:val="28"/>
          <w:szCs w:val="28"/>
        </w:rPr>
        <w:t xml:space="preserve"> Biroja izstrādātajā</w:t>
      </w:r>
      <w:r w:rsidR="00757649">
        <w:rPr>
          <w:rFonts w:ascii="Times New Roman" w:hAnsi="Times New Roman" w:cs="Times New Roman"/>
          <w:sz w:val="28"/>
          <w:szCs w:val="28"/>
        </w:rPr>
        <w:t xml:space="preserve"> </w:t>
      </w:r>
      <w:r w:rsidR="006A2249" w:rsidRPr="004568FC">
        <w:rPr>
          <w:rFonts w:ascii="Times New Roman" w:hAnsi="Times New Roman" w:cs="Times New Roman"/>
          <w:b/>
          <w:sz w:val="28"/>
          <w:szCs w:val="28"/>
        </w:rPr>
        <w:t>informatīv</w:t>
      </w:r>
      <w:r w:rsidR="004D2552" w:rsidRPr="004568FC">
        <w:rPr>
          <w:rFonts w:ascii="Times New Roman" w:hAnsi="Times New Roman" w:cs="Times New Roman"/>
          <w:b/>
          <w:sz w:val="28"/>
          <w:szCs w:val="28"/>
        </w:rPr>
        <w:t xml:space="preserve">ajā </w:t>
      </w:r>
      <w:r w:rsidR="006A2249" w:rsidRPr="004568FC">
        <w:rPr>
          <w:rFonts w:ascii="Times New Roman" w:hAnsi="Times New Roman" w:cs="Times New Roman"/>
          <w:b/>
          <w:sz w:val="28"/>
          <w:szCs w:val="28"/>
        </w:rPr>
        <w:t>ziņojum</w:t>
      </w:r>
      <w:r w:rsidR="004D2552" w:rsidRPr="004568FC">
        <w:rPr>
          <w:rFonts w:ascii="Times New Roman" w:hAnsi="Times New Roman" w:cs="Times New Roman"/>
          <w:b/>
          <w:sz w:val="28"/>
          <w:szCs w:val="28"/>
        </w:rPr>
        <w:t>ā</w:t>
      </w:r>
      <w:r w:rsidR="00757649" w:rsidRPr="004568FC">
        <w:rPr>
          <w:rFonts w:ascii="Times New Roman" w:hAnsi="Times New Roman" w:cs="Times New Roman"/>
          <w:b/>
          <w:sz w:val="28"/>
          <w:szCs w:val="28"/>
        </w:rPr>
        <w:t xml:space="preserve"> „Par A</w:t>
      </w:r>
      <w:r w:rsidR="004D2552" w:rsidRPr="004568FC">
        <w:rPr>
          <w:rFonts w:ascii="Times New Roman" w:hAnsi="Times New Roman" w:cs="Times New Roman"/>
          <w:b/>
          <w:sz w:val="28"/>
          <w:szCs w:val="28"/>
        </w:rPr>
        <w:t>pvienoto Nāciju Organizācijas</w:t>
      </w:r>
      <w:r w:rsidR="00757649" w:rsidRPr="004568FC">
        <w:rPr>
          <w:rFonts w:ascii="Times New Roman" w:hAnsi="Times New Roman" w:cs="Times New Roman"/>
          <w:b/>
          <w:sz w:val="28"/>
          <w:szCs w:val="28"/>
        </w:rPr>
        <w:t xml:space="preserve"> Pretkorupcijas konvencijas rekomendācijām un to izpildes nodrošināšanu</w:t>
      </w:r>
      <w:r w:rsidR="006A2249" w:rsidRPr="004568FC">
        <w:rPr>
          <w:rFonts w:ascii="Times New Roman" w:hAnsi="Times New Roman" w:cs="Times New Roman"/>
          <w:b/>
          <w:sz w:val="28"/>
          <w:szCs w:val="28"/>
        </w:rPr>
        <w:t>”</w:t>
      </w:r>
      <w:r w:rsidR="006A2249">
        <w:rPr>
          <w:rFonts w:ascii="Times New Roman" w:hAnsi="Times New Roman" w:cs="Times New Roman"/>
          <w:sz w:val="28"/>
          <w:szCs w:val="28"/>
        </w:rPr>
        <w:t xml:space="preserve"> ietvertajiem</w:t>
      </w:r>
      <w:r w:rsidR="00757649" w:rsidRPr="00757649">
        <w:rPr>
          <w:rFonts w:ascii="Times New Roman" w:hAnsi="Times New Roman" w:cs="Times New Roman"/>
          <w:sz w:val="28"/>
          <w:szCs w:val="28"/>
        </w:rPr>
        <w:t xml:space="preserve"> </w:t>
      </w:r>
      <w:r w:rsidR="006A2249">
        <w:rPr>
          <w:rFonts w:ascii="Times New Roman" w:hAnsi="Times New Roman" w:cs="Times New Roman"/>
          <w:sz w:val="28"/>
          <w:szCs w:val="28"/>
        </w:rPr>
        <w:t xml:space="preserve">uzdevumiem, </w:t>
      </w:r>
      <w:r w:rsidR="004D2552">
        <w:rPr>
          <w:rFonts w:ascii="Times New Roman" w:hAnsi="Times New Roman" w:cs="Times New Roman"/>
          <w:sz w:val="28"/>
          <w:szCs w:val="28"/>
        </w:rPr>
        <w:t>atbildīgajām institūcijām un izpildes termiņiem</w:t>
      </w:r>
      <w:r w:rsidR="00757649" w:rsidRPr="00757649">
        <w:rPr>
          <w:rFonts w:ascii="Times New Roman" w:hAnsi="Times New Roman" w:cs="Times New Roman"/>
          <w:sz w:val="28"/>
          <w:szCs w:val="28"/>
        </w:rPr>
        <w:t xml:space="preserve">. </w:t>
      </w:r>
      <w:r w:rsidR="006A2249">
        <w:rPr>
          <w:rFonts w:ascii="Times New Roman" w:hAnsi="Times New Roman" w:cs="Times New Roman"/>
          <w:sz w:val="28"/>
          <w:szCs w:val="28"/>
        </w:rPr>
        <w:t xml:space="preserve">2015.gada 28.aprīlī </w:t>
      </w:r>
      <w:r w:rsidR="004D2552">
        <w:rPr>
          <w:rFonts w:ascii="Times New Roman" w:hAnsi="Times New Roman" w:cs="Times New Roman"/>
          <w:sz w:val="28"/>
          <w:szCs w:val="28"/>
        </w:rPr>
        <w:t xml:space="preserve">minētais </w:t>
      </w:r>
      <w:r w:rsidR="006A2249">
        <w:rPr>
          <w:rFonts w:ascii="Times New Roman" w:hAnsi="Times New Roman" w:cs="Times New Roman"/>
          <w:sz w:val="28"/>
          <w:szCs w:val="28"/>
        </w:rPr>
        <w:t>i</w:t>
      </w:r>
      <w:r w:rsidR="00757649" w:rsidRPr="00757649">
        <w:rPr>
          <w:rFonts w:ascii="Times New Roman" w:hAnsi="Times New Roman" w:cs="Times New Roman"/>
          <w:sz w:val="28"/>
          <w:szCs w:val="28"/>
        </w:rPr>
        <w:t xml:space="preserve">nformatīvais ziņojums tika </w:t>
      </w:r>
      <w:r w:rsidR="006A2249">
        <w:rPr>
          <w:rFonts w:ascii="Times New Roman" w:hAnsi="Times New Roman" w:cs="Times New Roman"/>
          <w:sz w:val="28"/>
          <w:szCs w:val="28"/>
        </w:rPr>
        <w:t xml:space="preserve">izskatīts un pieņemts Ministru kabineta sēdē. </w:t>
      </w:r>
    </w:p>
    <w:p w:rsidR="001F1123" w:rsidRDefault="00556B03" w:rsidP="009753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2015.gada pirmajos sešos mēnešos</w:t>
      </w:r>
      <w:r w:rsidR="00F4438D" w:rsidRPr="00611589">
        <w:rPr>
          <w:rFonts w:ascii="Times New Roman" w:hAnsi="Times New Roman" w:cs="Times New Roman"/>
          <w:sz w:val="28"/>
          <w:szCs w:val="28"/>
        </w:rPr>
        <w:t xml:space="preserve"> </w:t>
      </w:r>
      <w:r w:rsidR="00F4438D" w:rsidRPr="004568FC">
        <w:rPr>
          <w:rFonts w:ascii="Times New Roman" w:hAnsi="Times New Roman" w:cs="Times New Roman"/>
          <w:b/>
          <w:sz w:val="28"/>
          <w:szCs w:val="28"/>
        </w:rPr>
        <w:t>Birojs</w:t>
      </w:r>
      <w:r>
        <w:rPr>
          <w:rFonts w:ascii="Times New Roman" w:hAnsi="Times New Roman" w:cs="Times New Roman"/>
          <w:b/>
          <w:sz w:val="28"/>
          <w:szCs w:val="28"/>
        </w:rPr>
        <w:t xml:space="preserve"> ir</w:t>
      </w:r>
      <w:r w:rsidR="00F4438D" w:rsidRPr="004568FC">
        <w:rPr>
          <w:rFonts w:ascii="Times New Roman" w:hAnsi="Times New Roman" w:cs="Times New Roman"/>
          <w:b/>
          <w:sz w:val="28"/>
          <w:szCs w:val="28"/>
        </w:rPr>
        <w:t xml:space="preserve"> sagatavoj</w:t>
      </w:r>
      <w:r>
        <w:rPr>
          <w:rFonts w:ascii="Times New Roman" w:hAnsi="Times New Roman" w:cs="Times New Roman"/>
          <w:b/>
          <w:sz w:val="28"/>
          <w:szCs w:val="28"/>
        </w:rPr>
        <w:t>is</w:t>
      </w:r>
      <w:r w:rsidR="00F4438D" w:rsidRPr="004568FC">
        <w:rPr>
          <w:rFonts w:ascii="Times New Roman" w:hAnsi="Times New Roman" w:cs="Times New Roman"/>
          <w:b/>
          <w:sz w:val="28"/>
          <w:szCs w:val="28"/>
        </w:rPr>
        <w:t xml:space="preserve"> </w:t>
      </w:r>
      <w:r w:rsidR="007F69A6" w:rsidRPr="004568FC">
        <w:rPr>
          <w:rFonts w:ascii="Times New Roman" w:hAnsi="Times New Roman" w:cs="Times New Roman"/>
          <w:b/>
          <w:sz w:val="28"/>
          <w:szCs w:val="28"/>
        </w:rPr>
        <w:t xml:space="preserve">51 atzinumu </w:t>
      </w:r>
      <w:r w:rsidR="00CD742E" w:rsidRPr="00611589">
        <w:rPr>
          <w:rFonts w:ascii="Times New Roman" w:hAnsi="Times New Roman" w:cs="Times New Roman"/>
          <w:sz w:val="28"/>
          <w:szCs w:val="28"/>
        </w:rPr>
        <w:t>par</w:t>
      </w:r>
      <w:r w:rsidR="00F4438D" w:rsidRPr="00611589">
        <w:rPr>
          <w:rFonts w:ascii="Times New Roman" w:hAnsi="Times New Roman" w:cs="Times New Roman"/>
          <w:sz w:val="28"/>
          <w:szCs w:val="28"/>
        </w:rPr>
        <w:t xml:space="preserve"> </w:t>
      </w:r>
      <w:r w:rsidR="00CD742E" w:rsidRPr="00611589">
        <w:rPr>
          <w:rFonts w:ascii="Times New Roman" w:hAnsi="Times New Roman" w:cs="Times New Roman"/>
          <w:sz w:val="28"/>
          <w:szCs w:val="28"/>
        </w:rPr>
        <w:t>Valsts sekretāru sanāksmē izsludinātajiem</w:t>
      </w:r>
      <w:r w:rsidR="00F4438D" w:rsidRPr="00611589">
        <w:rPr>
          <w:rFonts w:ascii="Times New Roman" w:hAnsi="Times New Roman" w:cs="Times New Roman"/>
          <w:sz w:val="28"/>
          <w:szCs w:val="28"/>
        </w:rPr>
        <w:t xml:space="preserve"> citu institūciju izstrādā</w:t>
      </w:r>
      <w:r w:rsidR="006C1384">
        <w:rPr>
          <w:rFonts w:ascii="Times New Roman" w:hAnsi="Times New Roman" w:cs="Times New Roman"/>
          <w:sz w:val="28"/>
          <w:szCs w:val="28"/>
        </w:rPr>
        <w:t>tājiem tiesību aktu projektiem</w:t>
      </w:r>
      <w:r w:rsidR="003C046E">
        <w:rPr>
          <w:rFonts w:ascii="Times New Roman" w:hAnsi="Times New Roman" w:cs="Times New Roman"/>
          <w:sz w:val="28"/>
          <w:szCs w:val="28"/>
        </w:rPr>
        <w:t xml:space="preserve"> nolūkā izskaust tajos korupciju un interešu konfliktu veicinošas normas</w:t>
      </w:r>
      <w:r w:rsidR="006C1384">
        <w:rPr>
          <w:rFonts w:ascii="Times New Roman" w:hAnsi="Times New Roman" w:cs="Times New Roman"/>
          <w:sz w:val="28"/>
          <w:szCs w:val="28"/>
        </w:rPr>
        <w:t xml:space="preserve">, </w:t>
      </w:r>
      <w:r w:rsidR="00FE4036" w:rsidRPr="00611589">
        <w:rPr>
          <w:rFonts w:ascii="Times New Roman" w:hAnsi="Times New Roman" w:cs="Times New Roman"/>
          <w:sz w:val="28"/>
          <w:szCs w:val="28"/>
        </w:rPr>
        <w:t xml:space="preserve">izsakot </w:t>
      </w:r>
      <w:r w:rsidR="007F69A6">
        <w:rPr>
          <w:rFonts w:ascii="Times New Roman" w:hAnsi="Times New Roman" w:cs="Times New Roman"/>
          <w:sz w:val="28"/>
          <w:szCs w:val="28"/>
        </w:rPr>
        <w:t>86</w:t>
      </w:r>
      <w:r w:rsidR="00BB2836" w:rsidRPr="00611589">
        <w:rPr>
          <w:rFonts w:ascii="Times New Roman" w:hAnsi="Times New Roman" w:cs="Times New Roman"/>
          <w:sz w:val="28"/>
          <w:szCs w:val="28"/>
        </w:rPr>
        <w:t xml:space="preserve"> iebildumus un </w:t>
      </w:r>
      <w:r w:rsidR="007F69A6">
        <w:rPr>
          <w:rFonts w:ascii="Times New Roman" w:hAnsi="Times New Roman" w:cs="Times New Roman"/>
          <w:sz w:val="28"/>
          <w:szCs w:val="28"/>
        </w:rPr>
        <w:t>33</w:t>
      </w:r>
      <w:r w:rsidR="007F01CD" w:rsidRPr="00611589">
        <w:rPr>
          <w:rFonts w:ascii="Times New Roman" w:hAnsi="Times New Roman" w:cs="Times New Roman"/>
          <w:sz w:val="28"/>
          <w:szCs w:val="28"/>
        </w:rPr>
        <w:t> </w:t>
      </w:r>
      <w:r w:rsidR="00BB2836" w:rsidRPr="00611589">
        <w:rPr>
          <w:rFonts w:ascii="Times New Roman" w:hAnsi="Times New Roman" w:cs="Times New Roman"/>
          <w:sz w:val="28"/>
          <w:szCs w:val="28"/>
        </w:rPr>
        <w:t>priekšlikumus</w:t>
      </w:r>
      <w:r w:rsidR="0097537A">
        <w:rPr>
          <w:rFonts w:ascii="Times New Roman" w:hAnsi="Times New Roman" w:cs="Times New Roman"/>
          <w:sz w:val="28"/>
          <w:szCs w:val="28"/>
        </w:rPr>
        <w:t>, tai skaitā par</w:t>
      </w:r>
      <w:r w:rsidR="001F1123">
        <w:rPr>
          <w:rFonts w:ascii="Times New Roman" w:hAnsi="Times New Roman" w:cs="Times New Roman"/>
          <w:sz w:val="28"/>
          <w:szCs w:val="28"/>
        </w:rPr>
        <w:t>:</w:t>
      </w:r>
    </w:p>
    <w:p w:rsidR="007F69A6" w:rsidRDefault="007F69A6" w:rsidP="007F69A6">
      <w:pPr>
        <w:pStyle w:val="ListParagraph"/>
        <w:numPr>
          <w:ilvl w:val="0"/>
          <w:numId w:val="25"/>
        </w:numPr>
        <w:autoSpaceDE w:val="0"/>
        <w:autoSpaceDN w:val="0"/>
        <w:adjustRightInd w:val="0"/>
        <w:spacing w:after="0" w:line="240" w:lineRule="auto"/>
        <w:jc w:val="both"/>
        <w:rPr>
          <w:rFonts w:ascii="Times New Roman" w:hAnsi="Times New Roman" w:cs="Times New Roman"/>
          <w:sz w:val="28"/>
          <w:szCs w:val="28"/>
        </w:rPr>
      </w:pPr>
      <w:r w:rsidRPr="007F69A6">
        <w:rPr>
          <w:rFonts w:ascii="Times New Roman" w:hAnsi="Times New Roman" w:cs="Times New Roman"/>
          <w:sz w:val="28"/>
          <w:szCs w:val="28"/>
        </w:rPr>
        <w:t>noteikumu projekt</w:t>
      </w:r>
      <w:r w:rsidR="0097537A">
        <w:rPr>
          <w:rFonts w:ascii="Times New Roman" w:hAnsi="Times New Roman" w:cs="Times New Roman"/>
          <w:sz w:val="28"/>
          <w:szCs w:val="28"/>
        </w:rPr>
        <w:t>u</w:t>
      </w:r>
      <w:r w:rsidRPr="007F69A6">
        <w:rPr>
          <w:rFonts w:ascii="Times New Roman" w:hAnsi="Times New Roman" w:cs="Times New Roman"/>
          <w:sz w:val="28"/>
          <w:szCs w:val="28"/>
        </w:rPr>
        <w:t xml:space="preserve"> „Meliorācijas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šo izmaksu segšanā” (Zemkopības ministrija)</w:t>
      </w:r>
      <w:r>
        <w:rPr>
          <w:rFonts w:ascii="Times New Roman" w:hAnsi="Times New Roman" w:cs="Times New Roman"/>
          <w:sz w:val="28"/>
          <w:szCs w:val="28"/>
        </w:rPr>
        <w:t>;</w:t>
      </w:r>
    </w:p>
    <w:p w:rsidR="001F1123" w:rsidRDefault="007F69A6" w:rsidP="007F69A6">
      <w:pPr>
        <w:pStyle w:val="ListParagraph"/>
        <w:numPr>
          <w:ilvl w:val="0"/>
          <w:numId w:val="25"/>
        </w:numPr>
        <w:autoSpaceDE w:val="0"/>
        <w:autoSpaceDN w:val="0"/>
        <w:adjustRightInd w:val="0"/>
        <w:spacing w:after="0" w:line="240" w:lineRule="auto"/>
        <w:jc w:val="both"/>
        <w:rPr>
          <w:rFonts w:ascii="Times New Roman" w:hAnsi="Times New Roman" w:cs="Times New Roman"/>
          <w:sz w:val="28"/>
          <w:szCs w:val="28"/>
        </w:rPr>
      </w:pPr>
      <w:r w:rsidRPr="007F69A6">
        <w:rPr>
          <w:rFonts w:ascii="Times New Roman" w:hAnsi="Times New Roman" w:cs="Times New Roman"/>
          <w:sz w:val="28"/>
          <w:szCs w:val="28"/>
        </w:rPr>
        <w:t>koncepcijas projekt</w:t>
      </w:r>
      <w:r w:rsidR="0097537A">
        <w:rPr>
          <w:rFonts w:ascii="Times New Roman" w:hAnsi="Times New Roman" w:cs="Times New Roman"/>
          <w:sz w:val="28"/>
          <w:szCs w:val="28"/>
        </w:rPr>
        <w:t>u</w:t>
      </w:r>
      <w:r w:rsidRPr="007F69A6">
        <w:rPr>
          <w:rFonts w:ascii="Times New Roman" w:hAnsi="Times New Roman" w:cs="Times New Roman"/>
          <w:sz w:val="28"/>
          <w:szCs w:val="28"/>
        </w:rPr>
        <w:t xml:space="preserve"> "Koncepcija par zemes dzīļu izmantošanas tiesiskā regulējuma pilnveidošanu potenciālo investīciju piesaistei" (Vides aizsardzības un reģionālās attīstības ministrija)</w:t>
      </w:r>
      <w:r>
        <w:rPr>
          <w:rFonts w:ascii="Times New Roman" w:hAnsi="Times New Roman" w:cs="Times New Roman"/>
          <w:sz w:val="28"/>
          <w:szCs w:val="28"/>
        </w:rPr>
        <w:t>;</w:t>
      </w:r>
    </w:p>
    <w:p w:rsidR="00F01782" w:rsidRDefault="007F69A6" w:rsidP="0074740D">
      <w:pPr>
        <w:pStyle w:val="ListParagraph"/>
        <w:numPr>
          <w:ilvl w:val="0"/>
          <w:numId w:val="25"/>
        </w:numPr>
        <w:autoSpaceDE w:val="0"/>
        <w:autoSpaceDN w:val="0"/>
        <w:adjustRightInd w:val="0"/>
        <w:spacing w:after="0" w:line="240" w:lineRule="auto"/>
        <w:jc w:val="both"/>
        <w:rPr>
          <w:rFonts w:ascii="Times New Roman" w:hAnsi="Times New Roman" w:cs="Times New Roman"/>
          <w:sz w:val="28"/>
          <w:szCs w:val="28"/>
        </w:rPr>
      </w:pPr>
      <w:r w:rsidRPr="007F69A6">
        <w:rPr>
          <w:rFonts w:ascii="Times New Roman" w:hAnsi="Times New Roman" w:cs="Times New Roman"/>
          <w:sz w:val="28"/>
          <w:szCs w:val="28"/>
        </w:rPr>
        <w:t>noteikumu projekt</w:t>
      </w:r>
      <w:r w:rsidR="0097537A">
        <w:rPr>
          <w:rFonts w:ascii="Times New Roman" w:hAnsi="Times New Roman" w:cs="Times New Roman"/>
          <w:sz w:val="28"/>
          <w:szCs w:val="28"/>
        </w:rPr>
        <w:t>u</w:t>
      </w:r>
      <w:r w:rsidRPr="007F69A6">
        <w:rPr>
          <w:rFonts w:ascii="Times New Roman" w:hAnsi="Times New Roman" w:cs="Times New Roman"/>
          <w:sz w:val="28"/>
          <w:szCs w:val="28"/>
        </w:rPr>
        <w:t xml:space="preserve"> "Kārtība, kādā nosaka un kompensē ar sabiedriskā transporta pakalpojumu sniegšanu saistītos zaudējumus un izdevumus un nosaka sabiedriskā transporta pakalpojuma tarifu" (Satiksmes ministrija)</w:t>
      </w:r>
      <w:r>
        <w:rPr>
          <w:rFonts w:ascii="Times New Roman" w:hAnsi="Times New Roman" w:cs="Times New Roman"/>
          <w:sz w:val="28"/>
          <w:szCs w:val="28"/>
        </w:rPr>
        <w:t>.</w:t>
      </w:r>
    </w:p>
    <w:p w:rsidR="00765E3A" w:rsidRPr="00FA303A" w:rsidRDefault="00765E3A" w:rsidP="00765E3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Pārskata periodā Biroja pārstāvji aktīvi piedalījās citu institūciju </w:t>
      </w:r>
      <w:r w:rsidRPr="00FA303A">
        <w:rPr>
          <w:rFonts w:ascii="Times New Roman" w:hAnsi="Times New Roman" w:cs="Times New Roman"/>
          <w:sz w:val="28"/>
          <w:szCs w:val="28"/>
        </w:rPr>
        <w:t xml:space="preserve">rīkotajās </w:t>
      </w:r>
      <w:r w:rsidRPr="007129FC">
        <w:rPr>
          <w:rFonts w:ascii="Times New Roman" w:hAnsi="Times New Roman" w:cs="Times New Roman"/>
          <w:b/>
          <w:sz w:val="28"/>
          <w:szCs w:val="28"/>
        </w:rPr>
        <w:t>saskaņošanas sanāksmēs</w:t>
      </w:r>
      <w:r w:rsidRPr="00FA303A">
        <w:rPr>
          <w:rFonts w:ascii="Times New Roman" w:hAnsi="Times New Roman" w:cs="Times New Roman"/>
          <w:sz w:val="28"/>
          <w:szCs w:val="28"/>
        </w:rPr>
        <w:t>, tai skaitā:</w:t>
      </w:r>
    </w:p>
    <w:p w:rsidR="00765E3A" w:rsidRDefault="00765E3A" w:rsidP="00765E3A">
      <w:pPr>
        <w:pStyle w:val="ListParagraph"/>
        <w:numPr>
          <w:ilvl w:val="0"/>
          <w:numId w:val="25"/>
        </w:numPr>
        <w:spacing w:after="0" w:line="240" w:lineRule="auto"/>
        <w:ind w:left="0" w:firstLine="0"/>
        <w:jc w:val="both"/>
        <w:rPr>
          <w:rFonts w:ascii="Times New Roman" w:hAnsi="Times New Roman" w:cs="Times New Roman"/>
          <w:sz w:val="28"/>
          <w:szCs w:val="28"/>
        </w:rPr>
      </w:pPr>
      <w:r w:rsidRPr="00FA303A">
        <w:rPr>
          <w:rFonts w:ascii="Times New Roman" w:hAnsi="Times New Roman" w:cs="Times New Roman"/>
          <w:sz w:val="28"/>
          <w:szCs w:val="28"/>
        </w:rPr>
        <w:t>ar Tieslietu ministrijas pārstāvjiem par plānotajiem grozījumiem Tiesu izpildītāju likumā par iniciatīvu paplašināt zvērinātu tiesu izpildītāju amata darbību uzskaitījumu;</w:t>
      </w:r>
    </w:p>
    <w:p w:rsidR="00765E3A" w:rsidRDefault="00765E3A" w:rsidP="00765E3A">
      <w:pPr>
        <w:pStyle w:val="ListParagraph"/>
        <w:numPr>
          <w:ilvl w:val="0"/>
          <w:numId w:val="25"/>
        </w:numPr>
        <w:spacing w:after="0" w:line="240" w:lineRule="auto"/>
        <w:ind w:left="0" w:firstLine="0"/>
        <w:jc w:val="both"/>
        <w:rPr>
          <w:rFonts w:ascii="Times New Roman" w:hAnsi="Times New Roman" w:cs="Times New Roman"/>
          <w:sz w:val="28"/>
          <w:szCs w:val="28"/>
        </w:rPr>
      </w:pPr>
      <w:r w:rsidRPr="00FA303A">
        <w:rPr>
          <w:rFonts w:ascii="Times New Roman" w:hAnsi="Times New Roman" w:cs="Times New Roman"/>
          <w:sz w:val="28"/>
          <w:szCs w:val="28"/>
        </w:rPr>
        <w:t>ar Finanšu ministrijas pārstāvjiem par turpmāko sadarbību ar Krāpšanas apkarošana</w:t>
      </w:r>
      <w:r>
        <w:rPr>
          <w:rFonts w:ascii="Times New Roman" w:hAnsi="Times New Roman" w:cs="Times New Roman"/>
          <w:sz w:val="28"/>
          <w:szCs w:val="28"/>
        </w:rPr>
        <w:t>s koordinācijas dienestu, par Eiropas Savienības (turpmāk – ES)</w:t>
      </w:r>
      <w:r w:rsidRPr="00FA303A">
        <w:rPr>
          <w:rFonts w:ascii="Times New Roman" w:hAnsi="Times New Roman" w:cs="Times New Roman"/>
          <w:sz w:val="28"/>
          <w:szCs w:val="28"/>
        </w:rPr>
        <w:t xml:space="preserve"> </w:t>
      </w:r>
      <w:r w:rsidRPr="00FA303A">
        <w:rPr>
          <w:rFonts w:ascii="Times New Roman" w:hAnsi="Times New Roman" w:cs="Times New Roman"/>
          <w:sz w:val="28"/>
          <w:szCs w:val="28"/>
        </w:rPr>
        <w:lastRenderedPageBreak/>
        <w:t xml:space="preserve">fondu revīzijas iestādes faktisko neatkarību un interešu konflikta riskiem ES fondos. </w:t>
      </w:r>
    </w:p>
    <w:p w:rsidR="00997D9E" w:rsidRPr="00A71FAA" w:rsidRDefault="00997D9E" w:rsidP="00997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Pārskata periodā Biroja pārstāvji nodrošināja dalību virknē </w:t>
      </w:r>
      <w:r w:rsidRPr="00F95AF9">
        <w:rPr>
          <w:rFonts w:ascii="Times New Roman" w:hAnsi="Times New Roman" w:cs="Times New Roman"/>
          <w:b/>
          <w:sz w:val="28"/>
          <w:szCs w:val="28"/>
        </w:rPr>
        <w:t>darba grup</w:t>
      </w:r>
      <w:r>
        <w:rPr>
          <w:rFonts w:ascii="Times New Roman" w:hAnsi="Times New Roman" w:cs="Times New Roman"/>
          <w:b/>
          <w:sz w:val="28"/>
          <w:szCs w:val="28"/>
        </w:rPr>
        <w:t>u</w:t>
      </w:r>
      <w:r>
        <w:rPr>
          <w:rFonts w:ascii="Times New Roman" w:hAnsi="Times New Roman" w:cs="Times New Roman"/>
          <w:sz w:val="28"/>
          <w:szCs w:val="28"/>
        </w:rPr>
        <w:t xml:space="preserve"> </w:t>
      </w:r>
      <w:r w:rsidRPr="00556B03">
        <w:rPr>
          <w:rFonts w:ascii="Times New Roman" w:hAnsi="Times New Roman" w:cs="Times New Roman"/>
          <w:b/>
          <w:sz w:val="28"/>
          <w:szCs w:val="28"/>
        </w:rPr>
        <w:t>attiecībā uz normatīvo aktu grozījumiem</w:t>
      </w:r>
      <w:r>
        <w:rPr>
          <w:rFonts w:ascii="Times New Roman" w:hAnsi="Times New Roman" w:cs="Times New Roman"/>
          <w:sz w:val="28"/>
          <w:szCs w:val="28"/>
        </w:rPr>
        <w:t xml:space="preserve">, tai skaitā: </w:t>
      </w:r>
    </w:p>
    <w:p w:rsidR="00997D9E" w:rsidRPr="00765E3A" w:rsidRDefault="00997D9E" w:rsidP="00765E3A">
      <w:pPr>
        <w:pStyle w:val="ListParagraph"/>
        <w:numPr>
          <w:ilvl w:val="0"/>
          <w:numId w:val="2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Tieslietu ministrijas darba grupā p</w:t>
      </w:r>
      <w:r w:rsidRPr="00A71FAA">
        <w:rPr>
          <w:rFonts w:ascii="Times New Roman" w:hAnsi="Times New Roman" w:cs="Times New Roman"/>
          <w:sz w:val="28"/>
          <w:szCs w:val="28"/>
        </w:rPr>
        <w:t>ar grozījumiem Maksātnespējas likumā, par maksātnespējas administratoru v</w:t>
      </w:r>
      <w:r w:rsidR="00556B03">
        <w:rPr>
          <w:rFonts w:ascii="Times New Roman" w:hAnsi="Times New Roman" w:cs="Times New Roman"/>
          <w:sz w:val="28"/>
          <w:szCs w:val="28"/>
        </w:rPr>
        <w:t>alsts amatpersonu</w:t>
      </w:r>
      <w:r w:rsidR="00765E3A">
        <w:rPr>
          <w:rFonts w:ascii="Times New Roman" w:hAnsi="Times New Roman" w:cs="Times New Roman"/>
          <w:sz w:val="28"/>
          <w:szCs w:val="28"/>
        </w:rPr>
        <w:t xml:space="preserve"> statusu, </w:t>
      </w:r>
      <w:r w:rsidR="00765E3A" w:rsidRPr="00611589">
        <w:rPr>
          <w:rFonts w:ascii="Times New Roman" w:eastAsia="Times New Roman" w:hAnsi="Times New Roman" w:cs="Times New Roman"/>
          <w:sz w:val="28"/>
          <w:szCs w:val="28"/>
          <w:lang w:eastAsia="lv-LV"/>
        </w:rPr>
        <w:t>likum</w:t>
      </w:r>
      <w:r w:rsidR="00765E3A">
        <w:rPr>
          <w:rFonts w:ascii="Times New Roman" w:eastAsia="Times New Roman" w:hAnsi="Times New Roman" w:cs="Times New Roman"/>
          <w:sz w:val="28"/>
          <w:szCs w:val="28"/>
          <w:lang w:eastAsia="lv-LV"/>
        </w:rPr>
        <w:t>a</w:t>
      </w:r>
      <w:r w:rsidR="00765E3A" w:rsidRPr="00611589">
        <w:rPr>
          <w:rFonts w:ascii="Times New Roman" w:eastAsia="Times New Roman" w:hAnsi="Times New Roman" w:cs="Times New Roman"/>
          <w:sz w:val="28"/>
          <w:szCs w:val="28"/>
          <w:lang w:eastAsia="lv-LV"/>
        </w:rPr>
        <w:t xml:space="preserve"> „Par interešu konflikta novēršanu valsts amatpersonu darbībā”</w:t>
      </w:r>
      <w:r w:rsidR="00765E3A">
        <w:rPr>
          <w:rFonts w:ascii="Times New Roman" w:hAnsi="Times New Roman" w:cs="Times New Roman"/>
          <w:sz w:val="28"/>
          <w:szCs w:val="28"/>
        </w:rPr>
        <w:t xml:space="preserve"> (turpmāk IKNL) </w:t>
      </w:r>
      <w:r w:rsidRPr="00765E3A">
        <w:rPr>
          <w:rFonts w:ascii="Times New Roman" w:hAnsi="Times New Roman" w:cs="Times New Roman"/>
          <w:sz w:val="28"/>
          <w:szCs w:val="28"/>
        </w:rPr>
        <w:t xml:space="preserve">grozījumiem un piemērošanu, kā arī </w:t>
      </w:r>
      <w:r w:rsidR="00765E3A">
        <w:rPr>
          <w:rFonts w:ascii="Times New Roman" w:hAnsi="Times New Roman" w:cs="Times New Roman"/>
          <w:sz w:val="28"/>
          <w:szCs w:val="28"/>
        </w:rPr>
        <w:t xml:space="preserve">piedalījās </w:t>
      </w:r>
      <w:r w:rsidRPr="00765E3A">
        <w:rPr>
          <w:rFonts w:ascii="Times New Roman" w:hAnsi="Times New Roman" w:cs="Times New Roman"/>
          <w:sz w:val="28"/>
          <w:szCs w:val="28"/>
        </w:rPr>
        <w:t>Tieslietu ministrijas Maksātnespējas jautājumu konsultatīvās padomes sēdē;</w:t>
      </w:r>
    </w:p>
    <w:p w:rsidR="00997D9E" w:rsidRDefault="00997D9E" w:rsidP="00997D9E">
      <w:pPr>
        <w:numPr>
          <w:ilvl w:val="0"/>
          <w:numId w:val="25"/>
        </w:numPr>
        <w:spacing w:after="0" w:line="240" w:lineRule="auto"/>
        <w:ind w:left="0" w:firstLine="0"/>
        <w:contextualSpacing/>
        <w:jc w:val="both"/>
        <w:rPr>
          <w:rFonts w:ascii="Times New Roman" w:hAnsi="Times New Roman"/>
          <w:sz w:val="28"/>
          <w:szCs w:val="28"/>
        </w:rPr>
      </w:pPr>
      <w:r w:rsidRPr="00FA303A">
        <w:rPr>
          <w:rFonts w:ascii="Times New Roman" w:eastAsia="Times New Roman" w:hAnsi="Times New Roman"/>
          <w:sz w:val="28"/>
          <w:szCs w:val="28"/>
        </w:rPr>
        <w:t>Tieslietu ministrijas vadītajā Krimināllikuma darba grupā;</w:t>
      </w:r>
    </w:p>
    <w:p w:rsidR="00997D9E" w:rsidRDefault="00997D9E" w:rsidP="00997D9E">
      <w:pPr>
        <w:numPr>
          <w:ilvl w:val="0"/>
          <w:numId w:val="25"/>
        </w:numPr>
        <w:spacing w:after="0" w:line="240" w:lineRule="auto"/>
        <w:ind w:left="0" w:firstLine="0"/>
        <w:contextualSpacing/>
        <w:jc w:val="both"/>
        <w:rPr>
          <w:rFonts w:ascii="Times New Roman" w:hAnsi="Times New Roman"/>
          <w:sz w:val="28"/>
          <w:szCs w:val="28"/>
        </w:rPr>
      </w:pPr>
      <w:r>
        <w:rPr>
          <w:rFonts w:ascii="Times New Roman" w:hAnsi="Times New Roman" w:cs="Times New Roman"/>
          <w:sz w:val="28"/>
          <w:szCs w:val="28"/>
        </w:rPr>
        <w:t>Valsts kancelejas darba grupā</w:t>
      </w:r>
      <w:r w:rsidRPr="00A71FAA">
        <w:rPr>
          <w:rFonts w:ascii="Times New Roman" w:hAnsi="Times New Roman" w:cs="Times New Roman"/>
          <w:sz w:val="28"/>
          <w:szCs w:val="28"/>
        </w:rPr>
        <w:t xml:space="preserve"> par grozījumiem Korupcijas novēršanas un apkarošanas biroja likumā</w:t>
      </w:r>
      <w:r>
        <w:rPr>
          <w:rFonts w:ascii="Times New Roman" w:hAnsi="Times New Roman" w:cs="Times New Roman"/>
          <w:sz w:val="28"/>
          <w:szCs w:val="28"/>
        </w:rPr>
        <w:t>;</w:t>
      </w:r>
    </w:p>
    <w:p w:rsidR="00997D9E" w:rsidRDefault="00997D9E" w:rsidP="00997D9E">
      <w:pPr>
        <w:numPr>
          <w:ilvl w:val="0"/>
          <w:numId w:val="25"/>
        </w:numPr>
        <w:spacing w:after="0" w:line="240" w:lineRule="auto"/>
        <w:ind w:left="0" w:firstLine="0"/>
        <w:contextualSpacing/>
        <w:jc w:val="both"/>
        <w:rPr>
          <w:rFonts w:ascii="Times New Roman" w:hAnsi="Times New Roman"/>
          <w:sz w:val="28"/>
          <w:szCs w:val="28"/>
        </w:rPr>
      </w:pPr>
      <w:r w:rsidRPr="00F95AF9">
        <w:rPr>
          <w:rFonts w:ascii="Times New Roman" w:hAnsi="Times New Roman"/>
          <w:sz w:val="28"/>
          <w:szCs w:val="28"/>
        </w:rPr>
        <w:t>Saeimas Valsts pārvaldes un pašvaldību komisijas (</w:t>
      </w:r>
      <w:r w:rsidR="00556B03">
        <w:rPr>
          <w:rFonts w:ascii="Times New Roman" w:hAnsi="Times New Roman"/>
          <w:sz w:val="28"/>
          <w:szCs w:val="28"/>
        </w:rPr>
        <w:t xml:space="preserve">turpmāk – </w:t>
      </w:r>
      <w:r w:rsidRPr="00F95AF9">
        <w:rPr>
          <w:rFonts w:ascii="Times New Roman" w:hAnsi="Times New Roman"/>
          <w:sz w:val="28"/>
          <w:szCs w:val="28"/>
        </w:rPr>
        <w:t>VPPK)</w:t>
      </w:r>
      <w:r>
        <w:rPr>
          <w:rFonts w:ascii="Times New Roman" w:hAnsi="Times New Roman"/>
          <w:sz w:val="28"/>
          <w:szCs w:val="28"/>
        </w:rPr>
        <w:t xml:space="preserve"> </w:t>
      </w:r>
      <w:r w:rsidRPr="00F95AF9">
        <w:rPr>
          <w:rFonts w:ascii="Times New Roman" w:hAnsi="Times New Roman"/>
          <w:sz w:val="28"/>
          <w:szCs w:val="28"/>
        </w:rPr>
        <w:t>organizētajā darba grupā par</w:t>
      </w:r>
      <w:r w:rsidR="00556B03">
        <w:rPr>
          <w:rFonts w:ascii="Times New Roman" w:hAnsi="Times New Roman"/>
          <w:sz w:val="28"/>
          <w:szCs w:val="28"/>
        </w:rPr>
        <w:t xml:space="preserve"> </w:t>
      </w:r>
      <w:r w:rsidRPr="00F95AF9">
        <w:rPr>
          <w:rFonts w:ascii="Times New Roman" w:hAnsi="Times New Roman"/>
          <w:sz w:val="28"/>
          <w:szCs w:val="28"/>
        </w:rPr>
        <w:t xml:space="preserve">IKNL un </w:t>
      </w:r>
      <w:r w:rsidR="00556B03" w:rsidRPr="00BC7741">
        <w:rPr>
          <w:rFonts w:ascii="Times New Roman" w:hAnsi="Times New Roman" w:cs="Times New Roman"/>
          <w:color w:val="000000"/>
          <w:sz w:val="28"/>
          <w:szCs w:val="28"/>
        </w:rPr>
        <w:t>Valsts pārvaldes iekārtas likum</w:t>
      </w:r>
      <w:r w:rsidR="00556B03">
        <w:rPr>
          <w:rFonts w:ascii="Times New Roman" w:hAnsi="Times New Roman" w:cs="Times New Roman"/>
          <w:color w:val="000000"/>
          <w:sz w:val="28"/>
          <w:szCs w:val="28"/>
        </w:rPr>
        <w:t>a</w:t>
      </w:r>
      <w:r w:rsidR="00556B03" w:rsidRPr="00BC7741">
        <w:rPr>
          <w:rFonts w:ascii="Times New Roman" w:hAnsi="Times New Roman" w:cs="Times New Roman"/>
          <w:color w:val="000000"/>
          <w:sz w:val="28"/>
          <w:szCs w:val="28"/>
        </w:rPr>
        <w:t xml:space="preserve"> (</w:t>
      </w:r>
      <w:r w:rsidR="00556B03">
        <w:rPr>
          <w:rFonts w:ascii="Times New Roman" w:hAnsi="Times New Roman" w:cs="Times New Roman"/>
          <w:color w:val="000000"/>
          <w:sz w:val="28"/>
          <w:szCs w:val="28"/>
        </w:rPr>
        <w:t xml:space="preserve">turpmāk – </w:t>
      </w:r>
      <w:r w:rsidR="00556B03" w:rsidRPr="00BC7741">
        <w:rPr>
          <w:rFonts w:ascii="Times New Roman" w:hAnsi="Times New Roman" w:cs="Times New Roman"/>
          <w:color w:val="000000"/>
          <w:sz w:val="28"/>
          <w:szCs w:val="28"/>
        </w:rPr>
        <w:t xml:space="preserve">VPIL) </w:t>
      </w:r>
      <w:r w:rsidRPr="00F95AF9">
        <w:rPr>
          <w:rFonts w:ascii="Times New Roman" w:hAnsi="Times New Roman"/>
          <w:sz w:val="28"/>
          <w:szCs w:val="28"/>
        </w:rPr>
        <w:t>grozījumiem</w:t>
      </w:r>
      <w:r w:rsidR="00556B03">
        <w:rPr>
          <w:rFonts w:ascii="Times New Roman" w:hAnsi="Times New Roman"/>
          <w:sz w:val="28"/>
          <w:szCs w:val="28"/>
        </w:rPr>
        <w:t xml:space="preserve">. </w:t>
      </w:r>
    </w:p>
    <w:p w:rsidR="00997D9E" w:rsidRPr="00BC7741" w:rsidRDefault="00997D9E" w:rsidP="00997D9E">
      <w:pPr>
        <w:spacing w:after="0" w:line="240" w:lineRule="auto"/>
        <w:ind w:firstLine="567"/>
        <w:jc w:val="both"/>
        <w:rPr>
          <w:rFonts w:ascii="Times New Roman" w:hAnsi="Times New Roman" w:cs="Times New Roman"/>
          <w:sz w:val="28"/>
          <w:szCs w:val="28"/>
        </w:rPr>
      </w:pPr>
      <w:r w:rsidRPr="00BC7741">
        <w:rPr>
          <w:rFonts w:ascii="Times New Roman" w:hAnsi="Times New Roman" w:cs="Times New Roman"/>
          <w:sz w:val="28"/>
          <w:szCs w:val="28"/>
        </w:rPr>
        <w:t xml:space="preserve">Pārskata periodā Biroja pārstāvji nodrošināja </w:t>
      </w:r>
      <w:r w:rsidR="00556B03">
        <w:rPr>
          <w:rFonts w:ascii="Times New Roman" w:hAnsi="Times New Roman" w:cs="Times New Roman"/>
          <w:sz w:val="28"/>
          <w:szCs w:val="28"/>
        </w:rPr>
        <w:t xml:space="preserve">aktīvu </w:t>
      </w:r>
      <w:r w:rsidRPr="00BC7741">
        <w:rPr>
          <w:rFonts w:ascii="Times New Roman" w:hAnsi="Times New Roman" w:cs="Times New Roman"/>
          <w:sz w:val="28"/>
          <w:szCs w:val="28"/>
        </w:rPr>
        <w:t xml:space="preserve">dalību </w:t>
      </w:r>
      <w:r>
        <w:rPr>
          <w:rFonts w:ascii="Times New Roman" w:hAnsi="Times New Roman" w:cs="Times New Roman"/>
          <w:sz w:val="28"/>
          <w:szCs w:val="28"/>
        </w:rPr>
        <w:t xml:space="preserve">vairākās </w:t>
      </w:r>
      <w:r w:rsidRPr="00BC7741">
        <w:rPr>
          <w:rFonts w:ascii="Times New Roman" w:hAnsi="Times New Roman" w:cs="Times New Roman"/>
          <w:b/>
          <w:sz w:val="28"/>
          <w:szCs w:val="28"/>
        </w:rPr>
        <w:t>Saeimas komisiju sēdēs</w:t>
      </w:r>
      <w:r w:rsidRPr="00BC7741">
        <w:rPr>
          <w:rFonts w:ascii="Times New Roman" w:hAnsi="Times New Roman" w:cs="Times New Roman"/>
          <w:sz w:val="28"/>
          <w:szCs w:val="28"/>
        </w:rPr>
        <w:t>, tai skaitā:</w:t>
      </w:r>
    </w:p>
    <w:p w:rsidR="00556B03" w:rsidRDefault="00BC7741" w:rsidP="00997D9E">
      <w:pPr>
        <w:numPr>
          <w:ilvl w:val="0"/>
          <w:numId w:val="25"/>
        </w:numPr>
        <w:spacing w:after="0" w:line="240" w:lineRule="auto"/>
        <w:ind w:left="0" w:firstLine="0"/>
        <w:contextualSpacing/>
        <w:jc w:val="both"/>
        <w:rPr>
          <w:rFonts w:ascii="Times New Roman" w:hAnsi="Times New Roman" w:cs="Times New Roman"/>
          <w:sz w:val="28"/>
          <w:szCs w:val="28"/>
        </w:rPr>
      </w:pPr>
      <w:r w:rsidRPr="00BC7741">
        <w:rPr>
          <w:rFonts w:ascii="Times New Roman" w:hAnsi="Times New Roman" w:cs="Times New Roman"/>
          <w:sz w:val="28"/>
          <w:szCs w:val="28"/>
        </w:rPr>
        <w:t>Saeimas Zolitūdes traģēdijas parlamentārās izmeklēšanas komisijas sēdēs saistībā ar korupcijas riskie</w:t>
      </w:r>
      <w:r w:rsidR="00556B03">
        <w:rPr>
          <w:rFonts w:ascii="Times New Roman" w:hAnsi="Times New Roman" w:cs="Times New Roman"/>
          <w:sz w:val="28"/>
          <w:szCs w:val="28"/>
        </w:rPr>
        <w:t>m būvniecībā un tās uzraudzībā;</w:t>
      </w:r>
    </w:p>
    <w:p w:rsidR="00997D9E" w:rsidRPr="00BC7741" w:rsidRDefault="00BC7741" w:rsidP="00997D9E">
      <w:pPr>
        <w:numPr>
          <w:ilvl w:val="0"/>
          <w:numId w:val="25"/>
        </w:numPr>
        <w:spacing w:after="0" w:line="240" w:lineRule="auto"/>
        <w:ind w:left="0" w:firstLine="0"/>
        <w:contextualSpacing/>
        <w:jc w:val="both"/>
        <w:rPr>
          <w:rFonts w:ascii="Times New Roman" w:hAnsi="Times New Roman" w:cs="Times New Roman"/>
          <w:sz w:val="28"/>
          <w:szCs w:val="28"/>
        </w:rPr>
      </w:pPr>
      <w:r w:rsidRPr="00BC7741">
        <w:rPr>
          <w:rFonts w:ascii="Times New Roman" w:hAnsi="Times New Roman" w:cs="Times New Roman"/>
          <w:bCs/>
          <w:color w:val="000000"/>
          <w:sz w:val="28"/>
          <w:szCs w:val="28"/>
        </w:rPr>
        <w:t>Saeimas</w:t>
      </w:r>
      <w:r w:rsidRPr="00BC7741">
        <w:rPr>
          <w:rFonts w:ascii="Times New Roman" w:hAnsi="Times New Roman" w:cs="Times New Roman"/>
          <w:color w:val="000000"/>
          <w:sz w:val="28"/>
          <w:szCs w:val="28"/>
        </w:rPr>
        <w:t xml:space="preserve"> Juridiskās komisijas apakškomisijas darba grupā, izskatot likumprojektu „Administratīvo p</w:t>
      </w:r>
      <w:r w:rsidR="00765E3A">
        <w:rPr>
          <w:rFonts w:ascii="Times New Roman" w:hAnsi="Times New Roman" w:cs="Times New Roman"/>
          <w:color w:val="000000"/>
          <w:sz w:val="28"/>
          <w:szCs w:val="28"/>
        </w:rPr>
        <w:t>ārkāpumu procesa likums”</w:t>
      </w:r>
      <w:r w:rsidR="00556B03">
        <w:rPr>
          <w:rFonts w:ascii="Times New Roman" w:hAnsi="Times New Roman" w:cs="Times New Roman"/>
          <w:color w:val="000000"/>
          <w:sz w:val="28"/>
          <w:szCs w:val="28"/>
        </w:rPr>
        <w:t>;</w:t>
      </w:r>
      <w:r w:rsidRPr="00BC7741">
        <w:rPr>
          <w:rFonts w:ascii="Times New Roman" w:hAnsi="Times New Roman" w:cs="Times New Roman"/>
          <w:color w:val="000000"/>
          <w:sz w:val="28"/>
          <w:szCs w:val="28"/>
        </w:rPr>
        <w:t xml:space="preserve"> </w:t>
      </w:r>
    </w:p>
    <w:p w:rsidR="00997D9E" w:rsidRPr="00BC7741" w:rsidRDefault="00BC7741" w:rsidP="00997D9E">
      <w:pPr>
        <w:numPr>
          <w:ilvl w:val="0"/>
          <w:numId w:val="25"/>
        </w:numPr>
        <w:spacing w:after="0" w:line="240" w:lineRule="auto"/>
        <w:ind w:left="0" w:firstLine="0"/>
        <w:contextualSpacing/>
        <w:jc w:val="both"/>
        <w:rPr>
          <w:rFonts w:ascii="Times New Roman" w:hAnsi="Times New Roman" w:cs="Times New Roman"/>
          <w:sz w:val="28"/>
          <w:szCs w:val="28"/>
        </w:rPr>
      </w:pPr>
      <w:r w:rsidRPr="00BC7741">
        <w:rPr>
          <w:rFonts w:ascii="Times New Roman" w:hAnsi="Times New Roman" w:cs="Times New Roman"/>
          <w:sz w:val="28"/>
          <w:szCs w:val="28"/>
        </w:rPr>
        <w:t>Saeimas Juridiskās komisijas sēdē par groz</w:t>
      </w:r>
      <w:r w:rsidR="00997D9E" w:rsidRPr="00BC7741">
        <w:rPr>
          <w:rFonts w:ascii="Times New Roman" w:hAnsi="Times New Roman" w:cs="Times New Roman"/>
          <w:sz w:val="28"/>
          <w:szCs w:val="28"/>
        </w:rPr>
        <w:t>ījumiem Kriminālprocesa likumā</w:t>
      </w:r>
      <w:r w:rsidR="00556B03">
        <w:rPr>
          <w:rFonts w:ascii="Times New Roman" w:hAnsi="Times New Roman" w:cs="Times New Roman"/>
          <w:sz w:val="28"/>
          <w:szCs w:val="28"/>
        </w:rPr>
        <w:t>;</w:t>
      </w:r>
    </w:p>
    <w:p w:rsidR="00997D9E" w:rsidRDefault="00BC7741" w:rsidP="00997D9E">
      <w:pPr>
        <w:numPr>
          <w:ilvl w:val="0"/>
          <w:numId w:val="25"/>
        </w:numPr>
        <w:spacing w:after="0" w:line="240" w:lineRule="auto"/>
        <w:ind w:left="0" w:firstLine="0"/>
        <w:contextualSpacing/>
        <w:jc w:val="both"/>
        <w:rPr>
          <w:rFonts w:ascii="Times New Roman" w:hAnsi="Times New Roman" w:cs="Times New Roman"/>
          <w:sz w:val="28"/>
          <w:szCs w:val="28"/>
        </w:rPr>
      </w:pPr>
      <w:r w:rsidRPr="00BC7741">
        <w:rPr>
          <w:rFonts w:ascii="Times New Roman" w:hAnsi="Times New Roman" w:cs="Times New Roman"/>
          <w:sz w:val="28"/>
          <w:szCs w:val="28"/>
        </w:rPr>
        <w:t>Saeimas Juridiskās komisijas Krimināltiesību politikas apakškomisijas sēdē par grozījumiem Krimināllikumā un grozījumiem likumā „Par Krimināllikuma spēkā stāšanās un piemērošanas kārtību”</w:t>
      </w:r>
      <w:r w:rsidR="00765E3A">
        <w:rPr>
          <w:rFonts w:ascii="Times New Roman" w:hAnsi="Times New Roman" w:cs="Times New Roman"/>
          <w:sz w:val="28"/>
          <w:szCs w:val="28"/>
        </w:rPr>
        <w:t>;</w:t>
      </w:r>
    </w:p>
    <w:p w:rsidR="00765E3A" w:rsidRPr="00765E3A" w:rsidRDefault="00765E3A" w:rsidP="00765E3A">
      <w:pPr>
        <w:numPr>
          <w:ilvl w:val="0"/>
          <w:numId w:val="25"/>
        </w:numPr>
        <w:spacing w:after="0" w:line="240" w:lineRule="auto"/>
        <w:ind w:left="0" w:firstLine="0"/>
        <w:contextualSpacing/>
        <w:jc w:val="both"/>
        <w:rPr>
          <w:rFonts w:ascii="Times New Roman" w:hAnsi="Times New Roman" w:cs="Times New Roman"/>
          <w:sz w:val="28"/>
          <w:szCs w:val="28"/>
        </w:rPr>
      </w:pPr>
      <w:r w:rsidRPr="00BC7741">
        <w:rPr>
          <w:rFonts w:ascii="Times New Roman" w:hAnsi="Times New Roman" w:cs="Times New Roman"/>
          <w:sz w:val="28"/>
          <w:szCs w:val="28"/>
        </w:rPr>
        <w:t xml:space="preserve">Saeimas Juridiskās komisijas sēdēs par maksātnespējas administratoru </w:t>
      </w:r>
      <w:r>
        <w:rPr>
          <w:rFonts w:ascii="Times New Roman" w:hAnsi="Times New Roman" w:cs="Times New Roman"/>
          <w:sz w:val="28"/>
          <w:szCs w:val="28"/>
        </w:rPr>
        <w:t>valsts amatpersonu</w:t>
      </w:r>
      <w:r w:rsidRPr="00BC7741">
        <w:rPr>
          <w:rFonts w:ascii="Times New Roman" w:hAnsi="Times New Roman" w:cs="Times New Roman"/>
          <w:sz w:val="28"/>
          <w:szCs w:val="28"/>
        </w:rPr>
        <w:t xml:space="preserve"> statusu, grozījumiem Maksātnespējas likumā un IKNL</w:t>
      </w:r>
      <w:r>
        <w:rPr>
          <w:rFonts w:ascii="Times New Roman" w:hAnsi="Times New Roman" w:cs="Times New Roman"/>
          <w:sz w:val="28"/>
          <w:szCs w:val="28"/>
        </w:rPr>
        <w:t>;</w:t>
      </w:r>
    </w:p>
    <w:p w:rsidR="00997D9E" w:rsidRPr="00BC7741" w:rsidRDefault="00997D9E" w:rsidP="00997D9E">
      <w:pPr>
        <w:numPr>
          <w:ilvl w:val="0"/>
          <w:numId w:val="25"/>
        </w:numPr>
        <w:spacing w:after="0" w:line="240" w:lineRule="auto"/>
        <w:ind w:left="0" w:firstLine="0"/>
        <w:contextualSpacing/>
        <w:jc w:val="both"/>
        <w:rPr>
          <w:rFonts w:ascii="Times New Roman" w:hAnsi="Times New Roman" w:cs="Times New Roman"/>
          <w:sz w:val="28"/>
          <w:szCs w:val="28"/>
        </w:rPr>
      </w:pPr>
      <w:r w:rsidRPr="00BC7741">
        <w:rPr>
          <w:rFonts w:ascii="Times New Roman" w:hAnsi="Times New Roman" w:cs="Times New Roman"/>
          <w:bCs/>
          <w:color w:val="000000"/>
          <w:sz w:val="28"/>
          <w:szCs w:val="28"/>
        </w:rPr>
        <w:t>Saeimas</w:t>
      </w:r>
      <w:r w:rsidRPr="00BC7741">
        <w:rPr>
          <w:rFonts w:ascii="Times New Roman" w:hAnsi="Times New Roman" w:cs="Times New Roman"/>
          <w:color w:val="000000"/>
          <w:sz w:val="28"/>
          <w:szCs w:val="28"/>
        </w:rPr>
        <w:t xml:space="preserve"> VPPK sēdēs par grozījumiem </w:t>
      </w:r>
      <w:r w:rsidR="00556B03">
        <w:rPr>
          <w:rFonts w:ascii="Times New Roman" w:eastAsia="Times New Roman" w:hAnsi="Times New Roman" w:cs="Times New Roman"/>
          <w:sz w:val="28"/>
          <w:szCs w:val="28"/>
          <w:lang w:eastAsia="lv-LV"/>
        </w:rPr>
        <w:t>IKNL</w:t>
      </w:r>
      <w:r w:rsidRPr="00BC7741">
        <w:rPr>
          <w:rFonts w:ascii="Times New Roman" w:hAnsi="Times New Roman" w:cs="Times New Roman"/>
          <w:color w:val="000000"/>
          <w:sz w:val="28"/>
          <w:szCs w:val="28"/>
        </w:rPr>
        <w:t xml:space="preserve"> saistībā ar maksātnespējas administratoru valsts amatpersonu statusu, u.c., un grozījumiem  </w:t>
      </w:r>
      <w:r w:rsidR="00556B03">
        <w:rPr>
          <w:rFonts w:ascii="Times New Roman" w:hAnsi="Times New Roman" w:cs="Times New Roman"/>
          <w:color w:val="000000"/>
          <w:sz w:val="28"/>
          <w:szCs w:val="28"/>
        </w:rPr>
        <w:t>VPIL</w:t>
      </w:r>
      <w:r w:rsidRPr="00BC7741">
        <w:rPr>
          <w:rFonts w:ascii="Times New Roman" w:hAnsi="Times New Roman" w:cs="Times New Roman"/>
          <w:color w:val="000000"/>
          <w:sz w:val="28"/>
          <w:szCs w:val="28"/>
        </w:rPr>
        <w:t xml:space="preserve"> 88.pantā par publisku personu kapitālsabiedrību dibināšanas kritērijiem un līdzdalības ie</w:t>
      </w:r>
      <w:r w:rsidR="00556B03">
        <w:rPr>
          <w:rFonts w:ascii="Times New Roman" w:hAnsi="Times New Roman" w:cs="Times New Roman"/>
          <w:color w:val="000000"/>
          <w:sz w:val="28"/>
          <w:szCs w:val="28"/>
        </w:rPr>
        <w:t>gūšanu citās kapitālsabiedrībās;</w:t>
      </w:r>
    </w:p>
    <w:p w:rsidR="00997D9E" w:rsidRPr="00BC7741" w:rsidRDefault="00997D9E" w:rsidP="00997D9E">
      <w:pPr>
        <w:numPr>
          <w:ilvl w:val="0"/>
          <w:numId w:val="25"/>
        </w:numPr>
        <w:spacing w:after="0" w:line="240" w:lineRule="auto"/>
        <w:ind w:left="0" w:firstLine="0"/>
        <w:contextualSpacing/>
        <w:jc w:val="both"/>
        <w:rPr>
          <w:rFonts w:ascii="Times New Roman" w:hAnsi="Times New Roman" w:cs="Times New Roman"/>
          <w:sz w:val="28"/>
          <w:szCs w:val="28"/>
        </w:rPr>
      </w:pPr>
      <w:r w:rsidRPr="00BC7741">
        <w:rPr>
          <w:rFonts w:ascii="Times New Roman" w:hAnsi="Times New Roman" w:cs="Times New Roman"/>
          <w:bCs/>
          <w:color w:val="000000"/>
          <w:sz w:val="28"/>
          <w:szCs w:val="28"/>
        </w:rPr>
        <w:t>Saeimas</w:t>
      </w:r>
      <w:r w:rsidRPr="00BC7741">
        <w:rPr>
          <w:rFonts w:ascii="Times New Roman" w:hAnsi="Times New Roman" w:cs="Times New Roman"/>
          <w:color w:val="000000"/>
          <w:sz w:val="28"/>
          <w:szCs w:val="28"/>
        </w:rPr>
        <w:t xml:space="preserve"> VPPK sēdes par politisko partiju finansēšanas jautājumiem un iespējamiem grozījumiem likumā, palielinot valsts finansējumu, u.c.</w:t>
      </w:r>
      <w:r w:rsidR="00556B03">
        <w:rPr>
          <w:rFonts w:ascii="Times New Roman" w:hAnsi="Times New Roman" w:cs="Times New Roman"/>
          <w:color w:val="000000"/>
          <w:sz w:val="28"/>
          <w:szCs w:val="28"/>
        </w:rPr>
        <w:t>;</w:t>
      </w:r>
    </w:p>
    <w:p w:rsidR="00997D9E" w:rsidRPr="00BC7741" w:rsidRDefault="00997D9E" w:rsidP="00997D9E">
      <w:pPr>
        <w:numPr>
          <w:ilvl w:val="0"/>
          <w:numId w:val="25"/>
        </w:numPr>
        <w:spacing w:after="0" w:line="240" w:lineRule="auto"/>
        <w:ind w:left="0" w:firstLine="0"/>
        <w:contextualSpacing/>
        <w:jc w:val="both"/>
        <w:rPr>
          <w:rFonts w:ascii="Times New Roman" w:hAnsi="Times New Roman" w:cs="Times New Roman"/>
          <w:sz w:val="28"/>
          <w:szCs w:val="28"/>
        </w:rPr>
      </w:pPr>
      <w:r w:rsidRPr="00BC7741">
        <w:rPr>
          <w:rFonts w:ascii="Times New Roman" w:hAnsi="Times New Roman" w:cs="Times New Roman"/>
          <w:sz w:val="28"/>
          <w:szCs w:val="28"/>
        </w:rPr>
        <w:t xml:space="preserve">Saeimas </w:t>
      </w:r>
      <w:r w:rsidR="00556B03">
        <w:rPr>
          <w:rFonts w:ascii="Times New Roman" w:hAnsi="Times New Roman" w:cs="Times New Roman"/>
          <w:sz w:val="28"/>
          <w:szCs w:val="28"/>
        </w:rPr>
        <w:t>Aizsardzības, i</w:t>
      </w:r>
      <w:r w:rsidRPr="00BC7741">
        <w:rPr>
          <w:rFonts w:ascii="Times New Roman" w:hAnsi="Times New Roman" w:cs="Times New Roman"/>
          <w:sz w:val="28"/>
          <w:szCs w:val="28"/>
        </w:rPr>
        <w:t>ekšlietu un korupcijas novēršanas komisijas</w:t>
      </w:r>
      <w:r w:rsidR="00765E3A">
        <w:rPr>
          <w:rFonts w:ascii="Times New Roman" w:hAnsi="Times New Roman" w:cs="Times New Roman"/>
          <w:sz w:val="28"/>
          <w:szCs w:val="28"/>
        </w:rPr>
        <w:t>, kā arī Korupcijas novēršanas apakškomisijas</w:t>
      </w:r>
      <w:r w:rsidRPr="00BC7741">
        <w:rPr>
          <w:rFonts w:ascii="Times New Roman" w:hAnsi="Times New Roman" w:cs="Times New Roman"/>
          <w:sz w:val="28"/>
          <w:szCs w:val="28"/>
        </w:rPr>
        <w:t xml:space="preserve"> sēdēs par likumprojektu „Grozījumi Korupcijas novēršanas un apkarošanas biroja likumā”</w:t>
      </w:r>
      <w:r w:rsidR="0083384B">
        <w:rPr>
          <w:rFonts w:ascii="Times New Roman" w:hAnsi="Times New Roman" w:cs="Times New Roman"/>
          <w:sz w:val="28"/>
          <w:szCs w:val="28"/>
        </w:rPr>
        <w:t>;</w:t>
      </w:r>
    </w:p>
    <w:p w:rsidR="00BC7741" w:rsidRPr="00BC7741" w:rsidRDefault="00997D9E" w:rsidP="00997D9E">
      <w:pPr>
        <w:numPr>
          <w:ilvl w:val="0"/>
          <w:numId w:val="25"/>
        </w:numPr>
        <w:spacing w:after="0" w:line="240" w:lineRule="auto"/>
        <w:ind w:left="0" w:firstLine="0"/>
        <w:contextualSpacing/>
        <w:jc w:val="both"/>
        <w:rPr>
          <w:rFonts w:ascii="Times New Roman" w:hAnsi="Times New Roman" w:cs="Times New Roman"/>
          <w:sz w:val="28"/>
          <w:szCs w:val="28"/>
        </w:rPr>
      </w:pPr>
      <w:r w:rsidRPr="00BC7741">
        <w:rPr>
          <w:rFonts w:ascii="Times New Roman" w:hAnsi="Times New Roman" w:cs="Times New Roman"/>
          <w:color w:val="000000"/>
          <w:sz w:val="28"/>
          <w:szCs w:val="28"/>
        </w:rPr>
        <w:t xml:space="preserve">Saeimas </w:t>
      </w:r>
      <w:r w:rsidR="0083384B">
        <w:rPr>
          <w:rFonts w:ascii="Times New Roman" w:hAnsi="Times New Roman" w:cs="Times New Roman"/>
          <w:color w:val="000000"/>
          <w:sz w:val="28"/>
          <w:szCs w:val="28"/>
        </w:rPr>
        <w:t>Mandātu, iesniegumu un ē</w:t>
      </w:r>
      <w:r w:rsidRPr="00BC7741">
        <w:rPr>
          <w:rFonts w:ascii="Times New Roman" w:hAnsi="Times New Roman" w:cs="Times New Roman"/>
          <w:color w:val="000000"/>
          <w:sz w:val="28"/>
          <w:szCs w:val="28"/>
        </w:rPr>
        <w:t xml:space="preserve">tikas komisijas sēdē par </w:t>
      </w:r>
      <w:proofErr w:type="spellStart"/>
      <w:r w:rsidRPr="00BC7741">
        <w:rPr>
          <w:rFonts w:ascii="Times New Roman" w:hAnsi="Times New Roman" w:cs="Times New Roman"/>
          <w:color w:val="000000"/>
          <w:sz w:val="28"/>
          <w:szCs w:val="28"/>
        </w:rPr>
        <w:t>R.Eigima</w:t>
      </w:r>
      <w:proofErr w:type="spellEnd"/>
      <w:r w:rsidRPr="00BC7741">
        <w:rPr>
          <w:rFonts w:ascii="Times New Roman" w:hAnsi="Times New Roman" w:cs="Times New Roman"/>
          <w:color w:val="000000"/>
          <w:sz w:val="28"/>
          <w:szCs w:val="28"/>
        </w:rPr>
        <w:t xml:space="preserve"> iespējamo ētikas pārkāpumu</w:t>
      </w:r>
      <w:r w:rsidR="00765E3A">
        <w:rPr>
          <w:rFonts w:ascii="Times New Roman" w:hAnsi="Times New Roman" w:cs="Times New Roman"/>
          <w:color w:val="000000"/>
          <w:sz w:val="28"/>
          <w:szCs w:val="28"/>
        </w:rPr>
        <w:t xml:space="preserve">. </w:t>
      </w:r>
    </w:p>
    <w:p w:rsidR="00997D9E" w:rsidRDefault="00997D9E" w:rsidP="00997D9E">
      <w:pPr>
        <w:spacing w:after="0" w:line="240" w:lineRule="auto"/>
        <w:ind w:firstLine="567"/>
        <w:jc w:val="both"/>
        <w:rPr>
          <w:rFonts w:ascii="Times New Roman" w:hAnsi="Times New Roman" w:cs="Times New Roman"/>
          <w:sz w:val="28"/>
          <w:szCs w:val="28"/>
        </w:rPr>
      </w:pPr>
      <w:r w:rsidRPr="00FA303A">
        <w:rPr>
          <w:rFonts w:ascii="Times New Roman" w:hAnsi="Times New Roman" w:cs="Times New Roman"/>
          <w:sz w:val="28"/>
          <w:szCs w:val="28"/>
        </w:rPr>
        <w:t>Lai nodrošinātu Ministru prezidentes rezolūcijas izpildi, ar kuru Birojam sadarbībā ar Tieslietu ministriju ir dots uzdevums izstrādāt un iesniegt Ministru</w:t>
      </w:r>
      <w:r>
        <w:rPr>
          <w:rFonts w:ascii="Times New Roman" w:hAnsi="Times New Roman" w:cs="Times New Roman"/>
          <w:sz w:val="28"/>
          <w:szCs w:val="28"/>
        </w:rPr>
        <w:t xml:space="preserve"> kabinetā Biroja </w:t>
      </w:r>
      <w:r w:rsidRPr="004568FC">
        <w:rPr>
          <w:rFonts w:ascii="Times New Roman" w:hAnsi="Times New Roman" w:cs="Times New Roman"/>
          <w:b/>
          <w:sz w:val="28"/>
          <w:szCs w:val="28"/>
        </w:rPr>
        <w:t>informatīvajā ziņojumā „Par izvērtējumu lobēšanas atklātības nodrošināšanas tiesisko regulējumu iestrādāt spēkā esošajos normatīvajos aktos”</w:t>
      </w:r>
      <w:r w:rsidRPr="00A11BB5">
        <w:rPr>
          <w:rFonts w:ascii="Times New Roman" w:hAnsi="Times New Roman" w:cs="Times New Roman"/>
          <w:sz w:val="28"/>
          <w:szCs w:val="28"/>
        </w:rPr>
        <w:t xml:space="preserve"> minētos tiesību aktu projektus</w:t>
      </w:r>
      <w:r>
        <w:rPr>
          <w:rFonts w:ascii="Times New Roman" w:hAnsi="Times New Roman" w:cs="Times New Roman"/>
          <w:sz w:val="28"/>
          <w:szCs w:val="28"/>
        </w:rPr>
        <w:t xml:space="preserve">, pārskata periodā tika izveidota starpinstitūciju darba grupa. Viens no darba grupas uzdevumiem bija </w:t>
      </w:r>
      <w:r>
        <w:rPr>
          <w:rFonts w:ascii="Times New Roman" w:hAnsi="Times New Roman" w:cs="Times New Roman"/>
          <w:sz w:val="28"/>
          <w:szCs w:val="28"/>
        </w:rPr>
        <w:lastRenderedPageBreak/>
        <w:t xml:space="preserve">uzsākt konsultācijas ar Saeimas pārstāvjiem par nepieciešamajiem grozījumiem Saeimas kārtības rullī attiecībā uz komunikāciju ar lobētājiem. Veicot minētā uzdevuma izpildi, Biroja pārstāvji 2015.gada pavasarī piedalījās Saeimas Mandātu, ētikas un iesniegumu komisijas sēdē, kā arī </w:t>
      </w:r>
      <w:r w:rsidRPr="001F1123">
        <w:rPr>
          <w:rFonts w:ascii="Times New Roman" w:hAnsi="Times New Roman" w:cs="Times New Roman"/>
          <w:sz w:val="28"/>
          <w:szCs w:val="28"/>
        </w:rPr>
        <w:t>Saeimas Aizsardzības, iekšlietu un korupcijas novēršanas komisijas Korupcijas novēršanas apakškomisijas</w:t>
      </w:r>
      <w:r>
        <w:rPr>
          <w:rFonts w:ascii="Times New Roman" w:hAnsi="Times New Roman" w:cs="Times New Roman"/>
          <w:sz w:val="28"/>
          <w:szCs w:val="28"/>
        </w:rPr>
        <w:t xml:space="preserve"> sēdē, lai diskutētu par regulējuma nepieciešamību Saeimas pārstāvju komunikācijai ar lobētājiem. </w:t>
      </w:r>
    </w:p>
    <w:p w:rsidR="00765E3A" w:rsidRDefault="00F95AF9" w:rsidP="00F95AF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95AF9">
        <w:rPr>
          <w:rFonts w:ascii="Times New Roman" w:hAnsi="Times New Roman" w:cs="Times New Roman"/>
          <w:color w:val="000000"/>
          <w:sz w:val="28"/>
          <w:szCs w:val="28"/>
        </w:rPr>
        <w:t xml:space="preserve">Pārskata periodā </w:t>
      </w:r>
      <w:r w:rsidR="00765E3A">
        <w:rPr>
          <w:rFonts w:ascii="Times New Roman" w:hAnsi="Times New Roman" w:cs="Times New Roman"/>
          <w:color w:val="000000"/>
          <w:sz w:val="28"/>
          <w:szCs w:val="28"/>
        </w:rPr>
        <w:t xml:space="preserve">Biroja viedoklis tika pārstāvēts </w:t>
      </w:r>
      <w:r w:rsidR="00765E3A" w:rsidRPr="0083384B">
        <w:rPr>
          <w:rFonts w:ascii="Times New Roman" w:hAnsi="Times New Roman" w:cs="Times New Roman"/>
          <w:b/>
          <w:color w:val="000000"/>
          <w:sz w:val="28"/>
          <w:szCs w:val="28"/>
        </w:rPr>
        <w:t>darba tikšan</w:t>
      </w:r>
      <w:r w:rsidR="0083384B" w:rsidRPr="0083384B">
        <w:rPr>
          <w:rFonts w:ascii="Times New Roman" w:hAnsi="Times New Roman" w:cs="Times New Roman"/>
          <w:b/>
          <w:color w:val="000000"/>
          <w:sz w:val="28"/>
          <w:szCs w:val="28"/>
        </w:rPr>
        <w:t>ā</w:t>
      </w:r>
      <w:r w:rsidR="00765E3A" w:rsidRPr="0083384B">
        <w:rPr>
          <w:rFonts w:ascii="Times New Roman" w:hAnsi="Times New Roman" w:cs="Times New Roman"/>
          <w:b/>
          <w:color w:val="000000"/>
          <w:sz w:val="28"/>
          <w:szCs w:val="28"/>
        </w:rPr>
        <w:t>s</w:t>
      </w:r>
      <w:r w:rsidR="00765E3A">
        <w:rPr>
          <w:rFonts w:ascii="Times New Roman" w:hAnsi="Times New Roman" w:cs="Times New Roman"/>
          <w:color w:val="000000"/>
          <w:sz w:val="28"/>
          <w:szCs w:val="28"/>
        </w:rPr>
        <w:t xml:space="preserve"> laikā ar: </w:t>
      </w:r>
    </w:p>
    <w:p w:rsidR="00F95AF9" w:rsidRPr="00F95AF9" w:rsidRDefault="00F95AF9" w:rsidP="00F95AF9">
      <w:pPr>
        <w:numPr>
          <w:ilvl w:val="0"/>
          <w:numId w:val="25"/>
        </w:numPr>
        <w:spacing w:after="0" w:line="240" w:lineRule="auto"/>
        <w:ind w:left="0" w:firstLine="0"/>
        <w:contextualSpacing/>
        <w:jc w:val="both"/>
        <w:rPr>
          <w:rFonts w:ascii="Times New Roman" w:hAnsi="Times New Roman"/>
          <w:sz w:val="28"/>
          <w:szCs w:val="28"/>
        </w:rPr>
      </w:pPr>
      <w:r w:rsidRPr="00F95AF9">
        <w:rPr>
          <w:rFonts w:ascii="Times New Roman" w:hAnsi="Times New Roman"/>
          <w:sz w:val="28"/>
          <w:szCs w:val="28"/>
        </w:rPr>
        <w:t xml:space="preserve">Prezidenta kancelejas ekspertu darba grupas locekļiem par neatkarīgu institūciju darbības tiesisko regulējumu un </w:t>
      </w:r>
      <w:proofErr w:type="spellStart"/>
      <w:r w:rsidRPr="00F95AF9">
        <w:rPr>
          <w:rFonts w:ascii="Times New Roman" w:hAnsi="Times New Roman"/>
          <w:sz w:val="28"/>
          <w:szCs w:val="28"/>
        </w:rPr>
        <w:t>problēmjautājumiem</w:t>
      </w:r>
      <w:proofErr w:type="spellEnd"/>
      <w:r w:rsidRPr="00F95AF9">
        <w:rPr>
          <w:rFonts w:ascii="Times New Roman" w:hAnsi="Times New Roman"/>
          <w:sz w:val="28"/>
          <w:szCs w:val="28"/>
        </w:rPr>
        <w:t xml:space="preserve"> to darba organizācijā, uzraudzībā;</w:t>
      </w:r>
    </w:p>
    <w:p w:rsidR="00F95AF9" w:rsidRPr="00F95AF9" w:rsidRDefault="00F95AF9" w:rsidP="00F95AF9">
      <w:pPr>
        <w:numPr>
          <w:ilvl w:val="0"/>
          <w:numId w:val="25"/>
        </w:numPr>
        <w:spacing w:after="0" w:line="240" w:lineRule="auto"/>
        <w:ind w:left="0" w:firstLine="0"/>
        <w:contextualSpacing/>
        <w:jc w:val="both"/>
        <w:rPr>
          <w:rFonts w:ascii="Times New Roman" w:hAnsi="Times New Roman"/>
          <w:sz w:val="28"/>
          <w:szCs w:val="28"/>
        </w:rPr>
      </w:pPr>
      <w:r w:rsidRPr="00F95AF9">
        <w:rPr>
          <w:rFonts w:ascii="Times New Roman" w:hAnsi="Times New Roman" w:cs="Times New Roman"/>
          <w:color w:val="000000"/>
          <w:sz w:val="28"/>
          <w:szCs w:val="28"/>
        </w:rPr>
        <w:t xml:space="preserve">Konkurences padomes amatpersonām par IKNL piemērošanas </w:t>
      </w:r>
      <w:proofErr w:type="spellStart"/>
      <w:r w:rsidRPr="00F95AF9">
        <w:rPr>
          <w:rFonts w:ascii="Times New Roman" w:hAnsi="Times New Roman" w:cs="Times New Roman"/>
          <w:color w:val="000000"/>
          <w:sz w:val="28"/>
          <w:szCs w:val="28"/>
        </w:rPr>
        <w:t>problēmjautājumiem</w:t>
      </w:r>
      <w:proofErr w:type="spellEnd"/>
      <w:r w:rsidRPr="00F95AF9">
        <w:rPr>
          <w:rFonts w:ascii="Times New Roman" w:hAnsi="Times New Roman" w:cs="Times New Roman"/>
          <w:color w:val="000000"/>
          <w:sz w:val="28"/>
          <w:szCs w:val="28"/>
        </w:rPr>
        <w:t xml:space="preserve"> (par ierobežojumu no</w:t>
      </w:r>
      <w:r w:rsidR="0083384B">
        <w:rPr>
          <w:rFonts w:ascii="Times New Roman" w:hAnsi="Times New Roman" w:cs="Times New Roman"/>
          <w:color w:val="000000"/>
          <w:sz w:val="28"/>
          <w:szCs w:val="28"/>
        </w:rPr>
        <w:t>teikšanu pēc amata atstāšanas Konkurences padomē</w:t>
      </w:r>
      <w:r w:rsidRPr="00F95AF9">
        <w:rPr>
          <w:rFonts w:ascii="Times New Roman" w:hAnsi="Times New Roman" w:cs="Times New Roman"/>
          <w:color w:val="000000"/>
          <w:sz w:val="28"/>
          <w:szCs w:val="28"/>
        </w:rPr>
        <w:t>)</w:t>
      </w:r>
      <w:r w:rsidR="00765E3A">
        <w:rPr>
          <w:rFonts w:ascii="Times New Roman" w:hAnsi="Times New Roman" w:cs="Times New Roman"/>
          <w:color w:val="000000"/>
          <w:sz w:val="28"/>
          <w:szCs w:val="28"/>
        </w:rPr>
        <w:t>;</w:t>
      </w:r>
    </w:p>
    <w:p w:rsidR="00F95AF9" w:rsidRPr="00F95AF9" w:rsidRDefault="00F95AF9" w:rsidP="00F95AF9">
      <w:pPr>
        <w:numPr>
          <w:ilvl w:val="0"/>
          <w:numId w:val="25"/>
        </w:numPr>
        <w:spacing w:after="0" w:line="240" w:lineRule="auto"/>
        <w:ind w:left="0" w:firstLine="0"/>
        <w:contextualSpacing/>
        <w:jc w:val="both"/>
        <w:rPr>
          <w:rFonts w:ascii="Times New Roman" w:hAnsi="Times New Roman"/>
          <w:sz w:val="28"/>
          <w:szCs w:val="28"/>
        </w:rPr>
      </w:pPr>
      <w:r w:rsidRPr="00F95AF9">
        <w:rPr>
          <w:rFonts w:ascii="Times New Roman" w:hAnsi="Times New Roman" w:cs="Times New Roman"/>
          <w:bCs/>
          <w:color w:val="000000"/>
          <w:sz w:val="28"/>
          <w:szCs w:val="28"/>
        </w:rPr>
        <w:t>Valsts kontroles</w:t>
      </w:r>
      <w:r w:rsidRPr="00F95AF9">
        <w:rPr>
          <w:rFonts w:ascii="Times New Roman" w:hAnsi="Times New Roman" w:cs="Times New Roman"/>
          <w:color w:val="000000"/>
          <w:sz w:val="28"/>
          <w:szCs w:val="28"/>
        </w:rPr>
        <w:t xml:space="preserve"> pārstāvjiem par normatīvo aktu pilnveidošanas jautājumi</w:t>
      </w:r>
      <w:r w:rsidR="00765E3A">
        <w:rPr>
          <w:rFonts w:ascii="Times New Roman" w:hAnsi="Times New Roman" w:cs="Times New Roman"/>
          <w:color w:val="000000"/>
          <w:sz w:val="28"/>
          <w:szCs w:val="28"/>
        </w:rPr>
        <w:t>em, lai padarītu  efektīvāku valsts amatpersonas</w:t>
      </w:r>
      <w:r w:rsidRPr="00F95AF9">
        <w:rPr>
          <w:rFonts w:ascii="Times New Roman" w:hAnsi="Times New Roman" w:cs="Times New Roman"/>
          <w:color w:val="000000"/>
          <w:sz w:val="28"/>
          <w:szCs w:val="28"/>
        </w:rPr>
        <w:t xml:space="preserve"> darbības uzraudzību, rīkojoties ar publisku personu mantu un finanšu līdzekļiem</w:t>
      </w:r>
      <w:r w:rsidR="00765E3A">
        <w:rPr>
          <w:rFonts w:ascii="Times New Roman" w:hAnsi="Times New Roman" w:cs="Times New Roman"/>
          <w:color w:val="000000"/>
          <w:sz w:val="28"/>
          <w:szCs w:val="28"/>
        </w:rPr>
        <w:t xml:space="preserve">. </w:t>
      </w:r>
    </w:p>
    <w:p w:rsidR="001809DB" w:rsidRDefault="001809DB" w:rsidP="001809DB">
      <w:pPr>
        <w:autoSpaceDE w:val="0"/>
        <w:autoSpaceDN w:val="0"/>
        <w:adjustRightInd w:val="0"/>
        <w:spacing w:after="0" w:line="240" w:lineRule="auto"/>
        <w:ind w:firstLine="567"/>
        <w:jc w:val="both"/>
        <w:rPr>
          <w:rFonts w:ascii="Times New Roman" w:hAnsi="Times New Roman" w:cs="Times New Roman"/>
          <w:sz w:val="28"/>
          <w:szCs w:val="28"/>
        </w:rPr>
      </w:pPr>
      <w:r w:rsidRPr="001809DB">
        <w:rPr>
          <w:rFonts w:ascii="Times New Roman" w:hAnsi="Times New Roman" w:cs="Times New Roman"/>
          <w:sz w:val="28"/>
          <w:szCs w:val="28"/>
        </w:rPr>
        <w:t xml:space="preserve">2015.gada 20.aprīlī tika parakstīts </w:t>
      </w:r>
      <w:r w:rsidRPr="004568FC">
        <w:rPr>
          <w:rFonts w:ascii="Times New Roman" w:hAnsi="Times New Roman" w:cs="Times New Roman"/>
          <w:b/>
          <w:sz w:val="28"/>
          <w:szCs w:val="28"/>
        </w:rPr>
        <w:t>sadarbības līgums starp Biroju un Valsts darba inspekciju</w:t>
      </w:r>
      <w:r w:rsidRPr="001809DB">
        <w:rPr>
          <w:rFonts w:ascii="Times New Roman" w:hAnsi="Times New Roman" w:cs="Times New Roman"/>
          <w:sz w:val="28"/>
          <w:szCs w:val="28"/>
        </w:rPr>
        <w:t xml:space="preserve"> (VDI). Līgums paredz informācijas apmaiņu un savstarpēju konsultāciju sniegšanu ar mērķi novērst, mazināt vai atklāt iespējamus pārkāpumus interešu konfliktu, korupcijas, darba tiesisko attiecību un darba aizsardzības jomā. Paredzams, ka tādējādi tiks uzlabota abu institūciju sadarbība, lai pēc iespējas operatīvāk reaģētu uz jau konstatētiem vai potenciāliem pārkāpumiem jomās, kuru uzraudzība ir Biroja vai VDI pārziņā.</w:t>
      </w:r>
    </w:p>
    <w:p w:rsidR="001809DB" w:rsidRPr="001809DB" w:rsidRDefault="001809DB" w:rsidP="001809DB">
      <w:pPr>
        <w:autoSpaceDE w:val="0"/>
        <w:autoSpaceDN w:val="0"/>
        <w:adjustRightInd w:val="0"/>
        <w:spacing w:after="0" w:line="240" w:lineRule="auto"/>
        <w:ind w:firstLine="567"/>
        <w:jc w:val="both"/>
        <w:rPr>
          <w:rFonts w:ascii="Times New Roman" w:hAnsi="Times New Roman" w:cs="Times New Roman"/>
          <w:sz w:val="28"/>
          <w:szCs w:val="28"/>
        </w:rPr>
      </w:pPr>
      <w:r w:rsidRPr="001809DB">
        <w:rPr>
          <w:rFonts w:ascii="Times New Roman" w:hAnsi="Times New Roman" w:cs="Times New Roman"/>
          <w:sz w:val="28"/>
          <w:szCs w:val="28"/>
        </w:rPr>
        <w:t xml:space="preserve">2015.gada pirmajā pusgadā sadarbībā ar Latvijas Investīciju un attīstības aģentūru tika nodrošināta </w:t>
      </w:r>
      <w:r w:rsidRPr="004568FC">
        <w:rPr>
          <w:rFonts w:ascii="Times New Roman" w:hAnsi="Times New Roman" w:cs="Times New Roman"/>
          <w:b/>
          <w:sz w:val="28"/>
          <w:szCs w:val="28"/>
        </w:rPr>
        <w:t>Biroja dalība vairākos pasākumos uzņēmējiem</w:t>
      </w:r>
      <w:r w:rsidRPr="001809DB">
        <w:rPr>
          <w:rFonts w:ascii="Times New Roman" w:hAnsi="Times New Roman" w:cs="Times New Roman"/>
          <w:sz w:val="28"/>
          <w:szCs w:val="28"/>
        </w:rPr>
        <w:t>, lai informētu pa</w:t>
      </w:r>
      <w:r w:rsidR="00056BF4">
        <w:rPr>
          <w:rFonts w:ascii="Times New Roman" w:hAnsi="Times New Roman" w:cs="Times New Roman"/>
          <w:sz w:val="28"/>
          <w:szCs w:val="28"/>
        </w:rPr>
        <w:t>r</w:t>
      </w:r>
      <w:r w:rsidR="001B0E8A">
        <w:rPr>
          <w:rFonts w:ascii="Times New Roman" w:hAnsi="Times New Roman" w:cs="Times New Roman"/>
          <w:sz w:val="28"/>
          <w:szCs w:val="28"/>
        </w:rPr>
        <w:t xml:space="preserve"> nepieciešamajiem iekšējās</w:t>
      </w:r>
      <w:r w:rsidR="00056BF4">
        <w:rPr>
          <w:rFonts w:ascii="Times New Roman" w:hAnsi="Times New Roman" w:cs="Times New Roman"/>
          <w:sz w:val="28"/>
          <w:szCs w:val="28"/>
        </w:rPr>
        <w:t xml:space="preserve"> kontroles pasākumiem uzņēmumos</w:t>
      </w:r>
      <w:r w:rsidRPr="001809DB">
        <w:rPr>
          <w:rFonts w:ascii="Times New Roman" w:hAnsi="Times New Roman" w:cs="Times New Roman"/>
          <w:sz w:val="28"/>
          <w:szCs w:val="28"/>
        </w:rPr>
        <w:t xml:space="preserve">. </w:t>
      </w:r>
    </w:p>
    <w:p w:rsidR="001809DB" w:rsidRPr="001809DB" w:rsidRDefault="001809DB" w:rsidP="001809DB">
      <w:pPr>
        <w:autoSpaceDE w:val="0"/>
        <w:autoSpaceDN w:val="0"/>
        <w:adjustRightInd w:val="0"/>
        <w:spacing w:after="0" w:line="240" w:lineRule="auto"/>
        <w:jc w:val="both"/>
        <w:rPr>
          <w:rFonts w:ascii="Times New Roman" w:hAnsi="Times New Roman" w:cs="Times New Roman"/>
          <w:sz w:val="28"/>
          <w:szCs w:val="28"/>
        </w:rPr>
      </w:pPr>
    </w:p>
    <w:p w:rsidR="00A924A8" w:rsidRPr="00752EF4" w:rsidRDefault="00A924A8" w:rsidP="00752EF4">
      <w:pPr>
        <w:pStyle w:val="ListParagraph"/>
        <w:numPr>
          <w:ilvl w:val="1"/>
          <w:numId w:val="21"/>
        </w:numPr>
        <w:autoSpaceDE w:val="0"/>
        <w:autoSpaceDN w:val="0"/>
        <w:adjustRightInd w:val="0"/>
        <w:spacing w:after="120" w:line="240" w:lineRule="auto"/>
        <w:jc w:val="center"/>
        <w:rPr>
          <w:rStyle w:val="Strong"/>
          <w:rFonts w:ascii="Times New Roman" w:hAnsi="Times New Roman" w:cs="Times New Roman"/>
          <w:sz w:val="28"/>
          <w:szCs w:val="28"/>
        </w:rPr>
      </w:pPr>
      <w:r w:rsidRPr="00752EF4">
        <w:rPr>
          <w:rStyle w:val="Strong"/>
          <w:rFonts w:ascii="Times New Roman" w:hAnsi="Times New Roman" w:cs="Times New Roman"/>
          <w:sz w:val="28"/>
          <w:szCs w:val="28"/>
        </w:rPr>
        <w:t>Starptautiskā sadarbība</w:t>
      </w:r>
    </w:p>
    <w:p w:rsidR="00056BF4" w:rsidRDefault="001809DB" w:rsidP="00A858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Pārskata periodā</w:t>
      </w:r>
      <w:r w:rsidR="002B6772">
        <w:rPr>
          <w:rFonts w:ascii="Times New Roman" w:hAnsi="Times New Roman" w:cs="Times New Roman"/>
          <w:color w:val="000000" w:themeColor="text1"/>
          <w:sz w:val="28"/>
          <w:szCs w:val="28"/>
        </w:rPr>
        <w:t xml:space="preserve"> </w:t>
      </w:r>
      <w:r w:rsidR="00A924A8">
        <w:rPr>
          <w:rFonts w:ascii="Times New Roman" w:hAnsi="Times New Roman" w:cs="Times New Roman"/>
          <w:color w:val="000000" w:themeColor="text1"/>
          <w:sz w:val="28"/>
          <w:szCs w:val="28"/>
        </w:rPr>
        <w:t>Biroja amatpersonas ieguldīja nozīm</w:t>
      </w:r>
      <w:r w:rsidR="00056BF4">
        <w:rPr>
          <w:rFonts w:ascii="Times New Roman" w:hAnsi="Times New Roman" w:cs="Times New Roman"/>
          <w:color w:val="000000" w:themeColor="text1"/>
          <w:sz w:val="28"/>
          <w:szCs w:val="28"/>
        </w:rPr>
        <w:t xml:space="preserve">īgu darbu </w:t>
      </w:r>
      <w:r w:rsidR="002B6772">
        <w:rPr>
          <w:rFonts w:ascii="Times New Roman" w:hAnsi="Times New Roman" w:cs="Times New Roman"/>
          <w:color w:val="000000" w:themeColor="text1"/>
          <w:sz w:val="28"/>
          <w:szCs w:val="28"/>
        </w:rPr>
        <w:t xml:space="preserve">piedaloties </w:t>
      </w:r>
      <w:r w:rsidR="002B6772" w:rsidRPr="002B6772">
        <w:rPr>
          <w:rFonts w:ascii="Times New Roman" w:hAnsi="Times New Roman" w:cs="Times New Roman"/>
          <w:color w:val="000000" w:themeColor="text1"/>
          <w:sz w:val="28"/>
          <w:szCs w:val="28"/>
        </w:rPr>
        <w:t>Ekonomiskās sadarbības un attīstības organizācijas (</w:t>
      </w:r>
      <w:r>
        <w:rPr>
          <w:rFonts w:ascii="Times New Roman" w:hAnsi="Times New Roman" w:cs="Times New Roman"/>
          <w:color w:val="000000" w:themeColor="text1"/>
          <w:sz w:val="28"/>
          <w:szCs w:val="28"/>
        </w:rPr>
        <w:t xml:space="preserve">turpmāk – </w:t>
      </w:r>
      <w:r w:rsidR="002B6772" w:rsidRPr="004568FC">
        <w:rPr>
          <w:rFonts w:ascii="Times New Roman" w:hAnsi="Times New Roman" w:cs="Times New Roman"/>
          <w:b/>
          <w:color w:val="000000" w:themeColor="text1"/>
          <w:sz w:val="28"/>
          <w:szCs w:val="28"/>
        </w:rPr>
        <w:t>OECD</w:t>
      </w:r>
      <w:r w:rsidR="002B6772" w:rsidRPr="002B6772">
        <w:rPr>
          <w:rFonts w:ascii="Times New Roman" w:hAnsi="Times New Roman" w:cs="Times New Roman"/>
          <w:color w:val="000000" w:themeColor="text1"/>
          <w:sz w:val="28"/>
          <w:szCs w:val="28"/>
        </w:rPr>
        <w:t>)</w:t>
      </w:r>
      <w:r w:rsidR="002B6772" w:rsidRPr="002B6772">
        <w:t xml:space="preserve"> </w:t>
      </w:r>
      <w:r w:rsidR="002B6772" w:rsidRPr="002B6772">
        <w:rPr>
          <w:rFonts w:ascii="Times New Roman" w:hAnsi="Times New Roman" w:cs="Times New Roman"/>
          <w:color w:val="000000" w:themeColor="text1"/>
          <w:sz w:val="28"/>
          <w:szCs w:val="28"/>
        </w:rPr>
        <w:t>1997.gada 21.novembra konvencija</w:t>
      </w:r>
      <w:r w:rsidR="002B6772">
        <w:rPr>
          <w:rFonts w:ascii="Times New Roman" w:hAnsi="Times New Roman" w:cs="Times New Roman"/>
          <w:color w:val="000000" w:themeColor="text1"/>
          <w:sz w:val="28"/>
          <w:szCs w:val="28"/>
        </w:rPr>
        <w:t>s</w:t>
      </w:r>
      <w:r w:rsidR="002B6772" w:rsidRPr="002B6772">
        <w:rPr>
          <w:rFonts w:ascii="Times New Roman" w:hAnsi="Times New Roman" w:cs="Times New Roman"/>
          <w:color w:val="000000" w:themeColor="text1"/>
          <w:sz w:val="28"/>
          <w:szCs w:val="28"/>
        </w:rPr>
        <w:t xml:space="preserve"> „Par ārvalstu amatpersonu kukuļošanas apkarošanu starptautiskajos biznesa darījumos”</w:t>
      </w:r>
      <w:r w:rsidR="002B67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(turpmāk – OECD Konvencija)</w:t>
      </w:r>
      <w:r w:rsidR="001B0E8A">
        <w:rPr>
          <w:rFonts w:ascii="Times New Roman" w:hAnsi="Times New Roman" w:cs="Times New Roman"/>
          <w:color w:val="000000" w:themeColor="text1"/>
          <w:sz w:val="28"/>
          <w:szCs w:val="28"/>
        </w:rPr>
        <w:t xml:space="preserve"> ieviešanas</w:t>
      </w:r>
      <w:r>
        <w:rPr>
          <w:rFonts w:ascii="Times New Roman" w:hAnsi="Times New Roman" w:cs="Times New Roman"/>
          <w:color w:val="000000" w:themeColor="text1"/>
          <w:sz w:val="28"/>
          <w:szCs w:val="28"/>
        </w:rPr>
        <w:t xml:space="preserve"> </w:t>
      </w:r>
      <w:r w:rsidR="002B6772" w:rsidRPr="004568FC">
        <w:rPr>
          <w:rFonts w:ascii="Times New Roman" w:hAnsi="Times New Roman" w:cs="Times New Roman"/>
          <w:b/>
          <w:color w:val="000000" w:themeColor="text1"/>
          <w:sz w:val="28"/>
          <w:szCs w:val="28"/>
        </w:rPr>
        <w:t>otr</w:t>
      </w:r>
      <w:r w:rsidR="001C2160" w:rsidRPr="004568FC">
        <w:rPr>
          <w:rFonts w:ascii="Times New Roman" w:hAnsi="Times New Roman" w:cs="Times New Roman"/>
          <w:b/>
          <w:color w:val="000000" w:themeColor="text1"/>
          <w:sz w:val="28"/>
          <w:szCs w:val="28"/>
        </w:rPr>
        <w:t>ā</w:t>
      </w:r>
      <w:r w:rsidRPr="004568FC">
        <w:rPr>
          <w:rFonts w:ascii="Times New Roman" w:hAnsi="Times New Roman" w:cs="Times New Roman"/>
          <w:b/>
          <w:color w:val="000000" w:themeColor="text1"/>
          <w:sz w:val="28"/>
          <w:szCs w:val="28"/>
        </w:rPr>
        <w:t>s</w:t>
      </w:r>
      <w:r w:rsidR="002B6772" w:rsidRPr="004568FC">
        <w:rPr>
          <w:rFonts w:ascii="Times New Roman" w:hAnsi="Times New Roman" w:cs="Times New Roman"/>
          <w:b/>
          <w:color w:val="000000" w:themeColor="text1"/>
          <w:sz w:val="28"/>
          <w:szCs w:val="28"/>
        </w:rPr>
        <w:t xml:space="preserve"> novērtējuma f</w:t>
      </w:r>
      <w:r w:rsidR="00A924A8" w:rsidRPr="004568FC">
        <w:rPr>
          <w:rFonts w:ascii="Times New Roman" w:hAnsi="Times New Roman" w:cs="Times New Roman"/>
          <w:b/>
          <w:color w:val="000000" w:themeColor="text1"/>
          <w:sz w:val="28"/>
          <w:szCs w:val="28"/>
        </w:rPr>
        <w:t>āzes vizītē Latvijā</w:t>
      </w:r>
      <w:r w:rsidR="00A924A8" w:rsidRPr="00A924A8">
        <w:rPr>
          <w:rFonts w:ascii="Times New Roman" w:hAnsi="Times New Roman" w:cs="Times New Roman"/>
          <w:color w:val="000000" w:themeColor="text1"/>
          <w:sz w:val="28"/>
          <w:szCs w:val="28"/>
        </w:rPr>
        <w:t xml:space="preserve"> par korupcijas novēršanas, starptautiskās krimināltiesiskās sadarbības un ārvalstu amatpersonu kukuļ</w:t>
      </w:r>
      <w:r w:rsidR="002B6772">
        <w:rPr>
          <w:rFonts w:ascii="Times New Roman" w:hAnsi="Times New Roman" w:cs="Times New Roman"/>
          <w:color w:val="000000" w:themeColor="text1"/>
          <w:sz w:val="28"/>
          <w:szCs w:val="28"/>
        </w:rPr>
        <w:t xml:space="preserve">ošanas izmeklēšanas jautājumiem. </w:t>
      </w:r>
      <w:r w:rsidR="00093551">
        <w:rPr>
          <w:rFonts w:ascii="Times New Roman" w:hAnsi="Times New Roman" w:cs="Times New Roman"/>
          <w:color w:val="000000" w:themeColor="text1"/>
          <w:sz w:val="28"/>
          <w:szCs w:val="28"/>
        </w:rPr>
        <w:t xml:space="preserve">Lai sagatavotos vizītei, Biroja amatpersonas sniedza </w:t>
      </w:r>
      <w:r>
        <w:rPr>
          <w:rFonts w:ascii="Times New Roman" w:hAnsi="Times New Roman" w:cs="Times New Roman"/>
          <w:color w:val="000000" w:themeColor="text1"/>
          <w:sz w:val="28"/>
          <w:szCs w:val="28"/>
        </w:rPr>
        <w:t xml:space="preserve">apjomīgas </w:t>
      </w:r>
      <w:r w:rsidR="00093551">
        <w:rPr>
          <w:rFonts w:ascii="Times New Roman" w:hAnsi="Times New Roman" w:cs="Times New Roman"/>
          <w:color w:val="000000" w:themeColor="text1"/>
          <w:sz w:val="28"/>
          <w:szCs w:val="28"/>
        </w:rPr>
        <w:t xml:space="preserve">atbildes </w:t>
      </w:r>
      <w:r w:rsidR="00093551" w:rsidRPr="00093551">
        <w:rPr>
          <w:rFonts w:ascii="Times New Roman" w:hAnsi="Times New Roman" w:cs="Times New Roman"/>
          <w:color w:val="000000" w:themeColor="text1"/>
          <w:sz w:val="28"/>
          <w:szCs w:val="28"/>
        </w:rPr>
        <w:t xml:space="preserve">OECD Kukuļošanas apkarošanas starptautiskajos biznesa darījumos darba grupas </w:t>
      </w:r>
      <w:r w:rsidR="00093551">
        <w:rPr>
          <w:rFonts w:ascii="Times New Roman" w:hAnsi="Times New Roman" w:cs="Times New Roman"/>
          <w:color w:val="000000" w:themeColor="text1"/>
          <w:sz w:val="28"/>
          <w:szCs w:val="28"/>
        </w:rPr>
        <w:t xml:space="preserve">otrās </w:t>
      </w:r>
      <w:r w:rsidR="00093551" w:rsidRPr="00093551">
        <w:rPr>
          <w:rFonts w:ascii="Times New Roman" w:hAnsi="Times New Roman" w:cs="Times New Roman"/>
          <w:color w:val="000000" w:themeColor="text1"/>
          <w:sz w:val="28"/>
          <w:szCs w:val="28"/>
        </w:rPr>
        <w:t>fāzes novērtējuma anketai</w:t>
      </w:r>
      <w:r w:rsidR="00093551">
        <w:rPr>
          <w:rFonts w:ascii="Times New Roman" w:hAnsi="Times New Roman" w:cs="Times New Roman"/>
          <w:color w:val="000000" w:themeColor="text1"/>
          <w:sz w:val="28"/>
          <w:szCs w:val="28"/>
        </w:rPr>
        <w:t xml:space="preserve">. </w:t>
      </w:r>
      <w:r w:rsidR="00093551" w:rsidRPr="00093551">
        <w:rPr>
          <w:rFonts w:ascii="Times New Roman" w:hAnsi="Times New Roman" w:cs="Times New Roman"/>
          <w:color w:val="000000" w:themeColor="text1"/>
          <w:sz w:val="28"/>
          <w:szCs w:val="28"/>
        </w:rPr>
        <w:t>2015.gada maija beigās Biroja amatpersonas piedalījās Ministru kabineta Memoranda padomes sēdē par OECD Konvencijas prasībām attiecībā uz iekšējiem kontroles pasākumiem uzņēmumos un otrās novērtējuma fāzes sākotnējiem secinājumiem.</w:t>
      </w:r>
      <w:r w:rsidR="00093551">
        <w:rPr>
          <w:rFonts w:ascii="Times New Roman" w:hAnsi="Times New Roman" w:cs="Times New Roman"/>
          <w:color w:val="000000" w:themeColor="text1"/>
          <w:sz w:val="28"/>
          <w:szCs w:val="28"/>
        </w:rPr>
        <w:t xml:space="preserve"> </w:t>
      </w:r>
      <w:r w:rsidR="00056BF4">
        <w:rPr>
          <w:rFonts w:ascii="Times New Roman" w:hAnsi="Times New Roman" w:cs="Times New Roman"/>
          <w:color w:val="000000" w:themeColor="text1"/>
          <w:sz w:val="28"/>
          <w:szCs w:val="28"/>
        </w:rPr>
        <w:t xml:space="preserve">Pārskata periodā </w:t>
      </w:r>
      <w:r w:rsidR="002B6772">
        <w:rPr>
          <w:rFonts w:ascii="Times New Roman" w:hAnsi="Times New Roman" w:cs="Times New Roman"/>
          <w:color w:val="000000" w:themeColor="text1"/>
          <w:sz w:val="28"/>
          <w:szCs w:val="28"/>
        </w:rPr>
        <w:t xml:space="preserve">Biroja pārstāvji ir piedalījušies divās </w:t>
      </w:r>
      <w:r w:rsidR="002B6772" w:rsidRPr="002B6772">
        <w:rPr>
          <w:rFonts w:ascii="Times New Roman" w:hAnsi="Times New Roman" w:cs="Times New Roman"/>
          <w:color w:val="000000" w:themeColor="text1"/>
          <w:sz w:val="28"/>
          <w:szCs w:val="28"/>
        </w:rPr>
        <w:t>OECD Kukuļošanas apkarošanas starptautiskajos biznesa darījumos darba grupas plenārsēdēs Francijā</w:t>
      </w:r>
      <w:r w:rsidR="002B67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Vienlaikus š</w:t>
      </w:r>
      <w:r w:rsidR="00093551">
        <w:rPr>
          <w:rFonts w:ascii="Times New Roman" w:hAnsi="Times New Roman" w:cs="Times New Roman"/>
          <w:color w:val="000000" w:themeColor="text1"/>
          <w:sz w:val="28"/>
          <w:szCs w:val="28"/>
        </w:rPr>
        <w:t xml:space="preserve">īs darba grupas reģionālās pretkorupcijas apakšprogrammas ietvaros </w:t>
      </w:r>
      <w:r w:rsidR="00093551" w:rsidRPr="00093551">
        <w:rPr>
          <w:rFonts w:ascii="Times New Roman" w:hAnsi="Times New Roman" w:cs="Times New Roman"/>
          <w:color w:val="000000" w:themeColor="text1"/>
          <w:sz w:val="28"/>
          <w:szCs w:val="28"/>
        </w:rPr>
        <w:lastRenderedPageBreak/>
        <w:t>Austrumeiropas un Centrālāzijas valstīm</w:t>
      </w:r>
      <w:r w:rsidR="00056BF4">
        <w:rPr>
          <w:rFonts w:ascii="Times New Roman" w:hAnsi="Times New Roman" w:cs="Times New Roman"/>
          <w:color w:val="000000" w:themeColor="text1"/>
          <w:sz w:val="28"/>
          <w:szCs w:val="28"/>
        </w:rPr>
        <w:t xml:space="preserve"> tika</w:t>
      </w:r>
      <w:r w:rsidR="00093551" w:rsidRPr="00093551">
        <w:rPr>
          <w:rFonts w:ascii="Times New Roman" w:hAnsi="Times New Roman" w:cs="Times New Roman"/>
          <w:color w:val="000000" w:themeColor="text1"/>
          <w:sz w:val="28"/>
          <w:szCs w:val="28"/>
        </w:rPr>
        <w:t xml:space="preserve"> sniegta informācija par tiesisko regulējumu ārvalstu amatpersonu kukuļošanas novēršanai un izmeklēšanai</w:t>
      </w:r>
      <w:r w:rsidR="00093551">
        <w:rPr>
          <w:rFonts w:ascii="Times New Roman" w:hAnsi="Times New Roman" w:cs="Times New Roman"/>
          <w:color w:val="000000" w:themeColor="text1"/>
          <w:sz w:val="28"/>
          <w:szCs w:val="28"/>
        </w:rPr>
        <w:t>.</w:t>
      </w:r>
    </w:p>
    <w:p w:rsidR="001C2160" w:rsidRPr="00056BF4" w:rsidRDefault="00093551" w:rsidP="00A858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Pārskata periodā s</w:t>
      </w:r>
      <w:r w:rsidRPr="00093551">
        <w:rPr>
          <w:rFonts w:ascii="Times New Roman" w:hAnsi="Times New Roman" w:cs="Times New Roman"/>
          <w:color w:val="000000" w:themeColor="text1"/>
          <w:sz w:val="28"/>
          <w:szCs w:val="28"/>
        </w:rPr>
        <w:t>agatavota pozīcija par jaunu instrumentu pievienošanās OECD kontekstā</w:t>
      </w:r>
      <w:r>
        <w:rPr>
          <w:rFonts w:ascii="Times New Roman" w:hAnsi="Times New Roman" w:cs="Times New Roman"/>
          <w:color w:val="000000" w:themeColor="text1"/>
          <w:sz w:val="28"/>
          <w:szCs w:val="28"/>
        </w:rPr>
        <w:t xml:space="preserve"> – </w:t>
      </w:r>
      <w:r w:rsidRPr="00093551">
        <w:rPr>
          <w:rFonts w:ascii="Times New Roman" w:hAnsi="Times New Roman" w:cs="Times New Roman"/>
          <w:color w:val="000000" w:themeColor="text1"/>
          <w:sz w:val="28"/>
          <w:szCs w:val="28"/>
        </w:rPr>
        <w:t>OECD Padomes rekomendāciju par publisko iepirkumu sadaļu,  kas attiecas uz godprātības veicināšanu un korupcijas novēršanu publiskajos iepirkumos</w:t>
      </w:r>
      <w:r>
        <w:rPr>
          <w:rFonts w:ascii="Times New Roman" w:hAnsi="Times New Roman" w:cs="Times New Roman"/>
          <w:color w:val="000000" w:themeColor="text1"/>
          <w:sz w:val="28"/>
          <w:szCs w:val="28"/>
        </w:rPr>
        <w:t xml:space="preserve">. </w:t>
      </w:r>
    </w:p>
    <w:p w:rsidR="00093551" w:rsidRDefault="00F76217" w:rsidP="002B677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2015.gada pirmajā pusē</w:t>
      </w:r>
      <w:r w:rsidR="00093551">
        <w:rPr>
          <w:rFonts w:ascii="Times New Roman" w:hAnsi="Times New Roman" w:cs="Times New Roman"/>
          <w:color w:val="000000" w:themeColor="text1"/>
          <w:sz w:val="28"/>
          <w:szCs w:val="28"/>
        </w:rPr>
        <w:t xml:space="preserve"> </w:t>
      </w:r>
      <w:r w:rsidR="00056BF4">
        <w:rPr>
          <w:rFonts w:ascii="Times New Roman" w:hAnsi="Times New Roman" w:cs="Times New Roman"/>
          <w:color w:val="000000" w:themeColor="text1"/>
          <w:sz w:val="28"/>
          <w:szCs w:val="28"/>
        </w:rPr>
        <w:t xml:space="preserve">tika </w:t>
      </w:r>
      <w:r w:rsidR="00093551">
        <w:rPr>
          <w:rFonts w:ascii="Times New Roman" w:hAnsi="Times New Roman" w:cs="Times New Roman"/>
          <w:color w:val="000000" w:themeColor="text1"/>
          <w:sz w:val="28"/>
          <w:szCs w:val="28"/>
        </w:rPr>
        <w:t>s</w:t>
      </w:r>
      <w:r w:rsidR="00093551" w:rsidRPr="00093551">
        <w:rPr>
          <w:rFonts w:ascii="Times New Roman" w:hAnsi="Times New Roman" w:cs="Times New Roman"/>
          <w:color w:val="000000" w:themeColor="text1"/>
          <w:sz w:val="28"/>
          <w:szCs w:val="28"/>
        </w:rPr>
        <w:t xml:space="preserve">niegta informācija Eiropas Padomes Starpvalstu pretkorupcijas grupas </w:t>
      </w:r>
      <w:r w:rsidR="000935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turpmāk – </w:t>
      </w:r>
      <w:r w:rsidR="00093551" w:rsidRPr="004568FC">
        <w:rPr>
          <w:rFonts w:ascii="Times New Roman" w:hAnsi="Times New Roman" w:cs="Times New Roman"/>
          <w:b/>
          <w:color w:val="000000" w:themeColor="text1"/>
          <w:sz w:val="28"/>
          <w:szCs w:val="28"/>
        </w:rPr>
        <w:t>GRECO</w:t>
      </w:r>
      <w:r w:rsidR="00093551">
        <w:rPr>
          <w:rFonts w:ascii="Times New Roman" w:hAnsi="Times New Roman" w:cs="Times New Roman"/>
          <w:color w:val="000000" w:themeColor="text1"/>
          <w:sz w:val="28"/>
          <w:szCs w:val="28"/>
        </w:rPr>
        <w:t>)</w:t>
      </w:r>
      <w:r w:rsidR="00093551" w:rsidRPr="00093551">
        <w:rPr>
          <w:rFonts w:ascii="Times New Roman" w:hAnsi="Times New Roman" w:cs="Times New Roman"/>
          <w:color w:val="000000" w:themeColor="text1"/>
          <w:sz w:val="28"/>
          <w:szCs w:val="28"/>
        </w:rPr>
        <w:t xml:space="preserve"> IV novērtēšanas kārtas atbilstības ziņojumam par rekomendāciju izpildi korupcijas novēršanā tiesu varā, parlamentā un prokuratūrā</w:t>
      </w:r>
      <w:r w:rsidR="00093551">
        <w:rPr>
          <w:rFonts w:ascii="Times New Roman" w:hAnsi="Times New Roman" w:cs="Times New Roman"/>
          <w:color w:val="000000" w:themeColor="text1"/>
          <w:sz w:val="28"/>
          <w:szCs w:val="28"/>
        </w:rPr>
        <w:t xml:space="preserve">.  </w:t>
      </w:r>
      <w:r w:rsidR="00093551" w:rsidRPr="00093551">
        <w:rPr>
          <w:rFonts w:ascii="Times New Roman" w:hAnsi="Times New Roman" w:cs="Times New Roman"/>
          <w:color w:val="000000" w:themeColor="text1"/>
          <w:sz w:val="28"/>
          <w:szCs w:val="28"/>
        </w:rPr>
        <w:t xml:space="preserve">Lai </w:t>
      </w:r>
      <w:r w:rsidR="00093551">
        <w:rPr>
          <w:rFonts w:ascii="Times New Roman" w:hAnsi="Times New Roman" w:cs="Times New Roman"/>
          <w:color w:val="000000" w:themeColor="text1"/>
          <w:sz w:val="28"/>
          <w:szCs w:val="28"/>
        </w:rPr>
        <w:t>nodrošinātu GRECO</w:t>
      </w:r>
      <w:r w:rsidR="00093551" w:rsidRPr="00093551">
        <w:rPr>
          <w:rFonts w:ascii="Times New Roman" w:hAnsi="Times New Roman" w:cs="Times New Roman"/>
          <w:color w:val="000000" w:themeColor="text1"/>
          <w:sz w:val="28"/>
          <w:szCs w:val="28"/>
        </w:rPr>
        <w:t xml:space="preserve"> IV novērtēšanas kārtas rekomendāciju izpildi, Birojs ir iniciējis vairākas tikšanās gan ar Saeimas Mandātu, ētikas un iesniegumu komisijas vadītāju par GRECO rekomendāciju izpildi attiecībā uz Saeimu, gan ar</w:t>
      </w:r>
      <w:r w:rsidR="00056BF4">
        <w:rPr>
          <w:rFonts w:ascii="Times New Roman" w:hAnsi="Times New Roman" w:cs="Times New Roman"/>
          <w:color w:val="000000" w:themeColor="text1"/>
          <w:sz w:val="28"/>
          <w:szCs w:val="28"/>
        </w:rPr>
        <w:t>ī ar</w:t>
      </w:r>
      <w:r w:rsidR="00093551" w:rsidRPr="00093551">
        <w:rPr>
          <w:rFonts w:ascii="Times New Roman" w:hAnsi="Times New Roman" w:cs="Times New Roman"/>
          <w:color w:val="000000" w:themeColor="text1"/>
          <w:sz w:val="28"/>
          <w:szCs w:val="28"/>
        </w:rPr>
        <w:t xml:space="preserve"> Tieslietu ministrijas pārstāvjiem par atteikšanos no administratīvās imunitātes tiesnešiem un prokuroriem, </w:t>
      </w:r>
      <w:r>
        <w:rPr>
          <w:rFonts w:ascii="Times New Roman" w:hAnsi="Times New Roman" w:cs="Times New Roman"/>
          <w:color w:val="000000" w:themeColor="text1"/>
          <w:sz w:val="28"/>
          <w:szCs w:val="28"/>
        </w:rPr>
        <w:t xml:space="preserve">kuras rezultātā </w:t>
      </w:r>
      <w:r w:rsidR="00093551" w:rsidRPr="00093551">
        <w:rPr>
          <w:rFonts w:ascii="Times New Roman" w:hAnsi="Times New Roman" w:cs="Times New Roman"/>
          <w:color w:val="000000" w:themeColor="text1"/>
          <w:sz w:val="28"/>
          <w:szCs w:val="28"/>
        </w:rPr>
        <w:t>panākta vienošanās par turpmāko rīcību administratīvās imunitātes atcelšanas nodrošināšanai.</w:t>
      </w:r>
      <w:r w:rsidR="00D97800" w:rsidRPr="00D97800">
        <w:t xml:space="preserve"> </w:t>
      </w:r>
      <w:r w:rsidR="00D97800" w:rsidRPr="00D97800">
        <w:rPr>
          <w:rFonts w:ascii="Times New Roman" w:hAnsi="Times New Roman" w:cs="Times New Roman"/>
          <w:color w:val="000000" w:themeColor="text1"/>
          <w:sz w:val="28"/>
          <w:szCs w:val="28"/>
        </w:rPr>
        <w:t xml:space="preserve">Biroja pārstāvji ir </w:t>
      </w:r>
      <w:r w:rsidR="00056BF4">
        <w:rPr>
          <w:rFonts w:ascii="Times New Roman" w:hAnsi="Times New Roman" w:cs="Times New Roman"/>
          <w:color w:val="000000" w:themeColor="text1"/>
          <w:sz w:val="28"/>
          <w:szCs w:val="28"/>
        </w:rPr>
        <w:t>piedalījušies</w:t>
      </w:r>
      <w:r w:rsidR="00D97800" w:rsidRPr="00D97800">
        <w:rPr>
          <w:rFonts w:ascii="Times New Roman" w:hAnsi="Times New Roman" w:cs="Times New Roman"/>
          <w:color w:val="000000" w:themeColor="text1"/>
          <w:sz w:val="28"/>
          <w:szCs w:val="28"/>
        </w:rPr>
        <w:t xml:space="preserve"> divās GRECO plenārsēdēs Francijā</w:t>
      </w:r>
      <w:r w:rsidR="00104879">
        <w:rPr>
          <w:rFonts w:ascii="Times New Roman" w:hAnsi="Times New Roman" w:cs="Times New Roman"/>
          <w:color w:val="000000" w:themeColor="text1"/>
          <w:sz w:val="28"/>
          <w:szCs w:val="28"/>
        </w:rPr>
        <w:t xml:space="preserve"> un </w:t>
      </w:r>
      <w:r w:rsidR="00056BF4">
        <w:rPr>
          <w:rFonts w:ascii="Times New Roman" w:hAnsi="Times New Roman" w:cs="Times New Roman"/>
          <w:color w:val="000000" w:themeColor="text1"/>
          <w:sz w:val="28"/>
          <w:szCs w:val="28"/>
        </w:rPr>
        <w:t xml:space="preserve">nodrošinājuši </w:t>
      </w:r>
      <w:r>
        <w:rPr>
          <w:rFonts w:ascii="Times New Roman" w:hAnsi="Times New Roman" w:cs="Times New Roman"/>
          <w:color w:val="000000" w:themeColor="text1"/>
          <w:sz w:val="28"/>
          <w:szCs w:val="28"/>
        </w:rPr>
        <w:t>ekspertīzi</w:t>
      </w:r>
      <w:r w:rsidR="00104879" w:rsidRPr="00104879">
        <w:rPr>
          <w:rFonts w:ascii="Times New Roman" w:hAnsi="Times New Roman" w:cs="Times New Roman"/>
          <w:color w:val="000000" w:themeColor="text1"/>
          <w:sz w:val="28"/>
          <w:szCs w:val="28"/>
        </w:rPr>
        <w:t xml:space="preserve"> Rumānijas IV kārtas novērtēšanai</w:t>
      </w:r>
      <w:r w:rsidR="00D97800">
        <w:rPr>
          <w:rFonts w:ascii="Times New Roman" w:hAnsi="Times New Roman" w:cs="Times New Roman"/>
          <w:color w:val="000000" w:themeColor="text1"/>
          <w:sz w:val="28"/>
          <w:szCs w:val="28"/>
        </w:rPr>
        <w:t xml:space="preserve">. </w:t>
      </w:r>
    </w:p>
    <w:p w:rsidR="00093551" w:rsidRDefault="00F76217" w:rsidP="0009355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2015.gada pirmajos sešos mēnešos Birojs ir sniedzis </w:t>
      </w:r>
      <w:r w:rsidR="00093551" w:rsidRPr="004568FC">
        <w:rPr>
          <w:rFonts w:ascii="Times New Roman" w:hAnsi="Times New Roman" w:cs="Times New Roman"/>
          <w:b/>
          <w:color w:val="000000" w:themeColor="text1"/>
          <w:sz w:val="28"/>
          <w:szCs w:val="28"/>
        </w:rPr>
        <w:t>informāciju Eiropas Komisijai par pirmajā ES Pretkorupcijas ziņojumā</w:t>
      </w:r>
      <w:r w:rsidR="00093551" w:rsidRPr="00093551">
        <w:rPr>
          <w:rFonts w:ascii="Times New Roman" w:hAnsi="Times New Roman" w:cs="Times New Roman"/>
          <w:color w:val="000000" w:themeColor="text1"/>
          <w:sz w:val="28"/>
          <w:szCs w:val="28"/>
        </w:rPr>
        <w:t xml:space="preserve"> </w:t>
      </w:r>
      <w:r w:rsidR="00093551" w:rsidRPr="004568FC">
        <w:rPr>
          <w:rFonts w:ascii="Times New Roman" w:hAnsi="Times New Roman" w:cs="Times New Roman"/>
          <w:b/>
          <w:color w:val="000000" w:themeColor="text1"/>
          <w:sz w:val="28"/>
          <w:szCs w:val="28"/>
        </w:rPr>
        <w:t>izteikto rekomendāciju izpildi</w:t>
      </w:r>
      <w:r w:rsidR="00093551" w:rsidRPr="0009355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sagatavojot pārskatu</w:t>
      </w:r>
      <w:r w:rsidR="00093551" w:rsidRPr="00093551">
        <w:rPr>
          <w:rFonts w:ascii="Times New Roman" w:hAnsi="Times New Roman" w:cs="Times New Roman"/>
          <w:color w:val="000000" w:themeColor="text1"/>
          <w:sz w:val="28"/>
          <w:szCs w:val="28"/>
        </w:rPr>
        <w:t xml:space="preserve"> par izmeklēto un iztiesāto koruptīvu noziedzīgu nodarījumu skaitu valstī</w:t>
      </w:r>
      <w:r>
        <w:rPr>
          <w:rFonts w:ascii="Times New Roman" w:hAnsi="Times New Roman" w:cs="Times New Roman"/>
          <w:color w:val="000000" w:themeColor="text1"/>
          <w:sz w:val="28"/>
          <w:szCs w:val="28"/>
        </w:rPr>
        <w:t xml:space="preserve">. Biroja amatpersonas ir arī sagatavojušas un nosūtījušas </w:t>
      </w:r>
      <w:r w:rsidR="00093551" w:rsidRPr="00093551">
        <w:rPr>
          <w:rFonts w:ascii="Times New Roman" w:hAnsi="Times New Roman" w:cs="Times New Roman"/>
          <w:color w:val="000000" w:themeColor="text1"/>
          <w:sz w:val="28"/>
          <w:szCs w:val="28"/>
        </w:rPr>
        <w:t>informācij</w:t>
      </w:r>
      <w:r w:rsidR="00093551">
        <w:rPr>
          <w:rFonts w:ascii="Times New Roman" w:hAnsi="Times New Roman" w:cs="Times New Roman"/>
          <w:color w:val="000000" w:themeColor="text1"/>
          <w:sz w:val="28"/>
          <w:szCs w:val="28"/>
        </w:rPr>
        <w:t>u</w:t>
      </w:r>
      <w:r w:rsidR="00093551" w:rsidRPr="00093551">
        <w:rPr>
          <w:rFonts w:ascii="Times New Roman" w:hAnsi="Times New Roman" w:cs="Times New Roman"/>
          <w:color w:val="000000" w:themeColor="text1"/>
          <w:sz w:val="28"/>
          <w:szCs w:val="28"/>
        </w:rPr>
        <w:t xml:space="preserve"> Slovākijai par Latvijas pretkorupcijas politikas plānošanu attiecībā uz tiesu varu</w:t>
      </w:r>
      <w:r w:rsidR="00093551">
        <w:rPr>
          <w:rFonts w:ascii="Times New Roman" w:hAnsi="Times New Roman" w:cs="Times New Roman"/>
          <w:color w:val="000000" w:themeColor="text1"/>
          <w:sz w:val="28"/>
          <w:szCs w:val="28"/>
        </w:rPr>
        <w:t xml:space="preserve">. </w:t>
      </w:r>
    </w:p>
    <w:p w:rsidR="002B6772" w:rsidRDefault="002B6772" w:rsidP="00DF35A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C66BE">
        <w:rPr>
          <w:rFonts w:ascii="Times New Roman" w:hAnsi="Times New Roman" w:cs="Times New Roman"/>
          <w:color w:val="000000" w:themeColor="text1"/>
          <w:sz w:val="28"/>
          <w:szCs w:val="28"/>
        </w:rPr>
        <w:t>20</w:t>
      </w:r>
      <w:r w:rsidR="007C66BE" w:rsidRPr="007C66BE">
        <w:rPr>
          <w:rFonts w:ascii="Times New Roman" w:hAnsi="Times New Roman" w:cs="Times New Roman"/>
          <w:color w:val="000000" w:themeColor="text1"/>
          <w:sz w:val="28"/>
          <w:szCs w:val="28"/>
        </w:rPr>
        <w:t>15.gada sākumā uzsākta sadarbības līgum</w:t>
      </w:r>
      <w:r w:rsidR="00DF35A5">
        <w:rPr>
          <w:rFonts w:ascii="Times New Roman" w:hAnsi="Times New Roman" w:cs="Times New Roman"/>
          <w:color w:val="000000" w:themeColor="text1"/>
          <w:sz w:val="28"/>
          <w:szCs w:val="28"/>
        </w:rPr>
        <w:t xml:space="preserve">ā </w:t>
      </w:r>
      <w:r w:rsidR="00A924A8" w:rsidRPr="007C66BE">
        <w:rPr>
          <w:rFonts w:ascii="Times New Roman" w:hAnsi="Times New Roman" w:cs="Times New Roman"/>
          <w:b/>
          <w:color w:val="000000" w:themeColor="text1"/>
          <w:sz w:val="28"/>
          <w:szCs w:val="28"/>
        </w:rPr>
        <w:t>ar Igaunijas Tieslietu ministriju</w:t>
      </w:r>
      <w:r w:rsidR="00A924A8" w:rsidRPr="007C66BE">
        <w:rPr>
          <w:rFonts w:ascii="Times New Roman" w:hAnsi="Times New Roman" w:cs="Times New Roman"/>
          <w:color w:val="000000" w:themeColor="text1"/>
          <w:sz w:val="28"/>
          <w:szCs w:val="28"/>
        </w:rPr>
        <w:t xml:space="preserve"> </w:t>
      </w:r>
      <w:r w:rsidR="00DF35A5">
        <w:rPr>
          <w:rFonts w:ascii="Times New Roman" w:hAnsi="Times New Roman" w:cs="Times New Roman"/>
          <w:color w:val="000000" w:themeColor="text1"/>
          <w:sz w:val="28"/>
          <w:szCs w:val="28"/>
        </w:rPr>
        <w:t xml:space="preserve">paredzētā </w:t>
      </w:r>
      <w:r w:rsidR="00A924A8" w:rsidRPr="007C66BE">
        <w:rPr>
          <w:rFonts w:ascii="Times New Roman" w:hAnsi="Times New Roman" w:cs="Times New Roman"/>
          <w:color w:val="000000" w:themeColor="text1"/>
          <w:sz w:val="28"/>
          <w:szCs w:val="28"/>
        </w:rPr>
        <w:t>projekta „Korupcijas mazināšana: koncentrējoties uz korupcijas apkaroša</w:t>
      </w:r>
      <w:r w:rsidRPr="007C66BE">
        <w:rPr>
          <w:rFonts w:ascii="Times New Roman" w:hAnsi="Times New Roman" w:cs="Times New Roman"/>
          <w:color w:val="000000" w:themeColor="text1"/>
          <w:sz w:val="28"/>
          <w:szCs w:val="28"/>
        </w:rPr>
        <w:t xml:space="preserve">nu privātajā sektorā” </w:t>
      </w:r>
      <w:r w:rsidR="00093551" w:rsidRPr="007C66BE">
        <w:rPr>
          <w:rFonts w:ascii="Times New Roman" w:hAnsi="Times New Roman" w:cs="Times New Roman"/>
          <w:color w:val="000000" w:themeColor="text1"/>
          <w:sz w:val="28"/>
          <w:szCs w:val="28"/>
        </w:rPr>
        <w:t>īstenošana</w:t>
      </w:r>
      <w:r w:rsidR="00DF35A5">
        <w:rPr>
          <w:rFonts w:ascii="Times New Roman" w:hAnsi="Times New Roman" w:cs="Times New Roman"/>
          <w:color w:val="000000" w:themeColor="text1"/>
          <w:sz w:val="28"/>
          <w:szCs w:val="28"/>
        </w:rPr>
        <w:t>, kas tiek veikta</w:t>
      </w:r>
      <w:r w:rsidRPr="007C66BE">
        <w:rPr>
          <w:rFonts w:ascii="Times New Roman" w:hAnsi="Times New Roman" w:cs="Times New Roman"/>
          <w:color w:val="000000" w:themeColor="text1"/>
          <w:sz w:val="28"/>
          <w:szCs w:val="28"/>
        </w:rPr>
        <w:t xml:space="preserve"> </w:t>
      </w:r>
      <w:r w:rsidR="00A924A8" w:rsidRPr="007C66BE">
        <w:rPr>
          <w:rFonts w:ascii="Times New Roman" w:hAnsi="Times New Roman" w:cs="Times New Roman"/>
          <w:color w:val="000000" w:themeColor="text1"/>
          <w:sz w:val="28"/>
          <w:szCs w:val="28"/>
        </w:rPr>
        <w:t xml:space="preserve">sadarbībā ar </w:t>
      </w:r>
      <w:r w:rsidR="00056BF4" w:rsidRPr="007C66BE">
        <w:rPr>
          <w:rFonts w:ascii="Times New Roman" w:hAnsi="Times New Roman" w:cs="Times New Roman"/>
          <w:color w:val="000000" w:themeColor="text1"/>
          <w:sz w:val="28"/>
          <w:szCs w:val="28"/>
        </w:rPr>
        <w:t>Igaunijas</w:t>
      </w:r>
      <w:r w:rsidR="00A924A8" w:rsidRPr="007C66BE">
        <w:rPr>
          <w:rFonts w:ascii="Times New Roman" w:hAnsi="Times New Roman" w:cs="Times New Roman"/>
          <w:color w:val="000000" w:themeColor="text1"/>
          <w:sz w:val="28"/>
          <w:szCs w:val="28"/>
        </w:rPr>
        <w:t xml:space="preserve">, </w:t>
      </w:r>
      <w:r w:rsidR="00056BF4" w:rsidRPr="007C66BE">
        <w:rPr>
          <w:rFonts w:ascii="Times New Roman" w:hAnsi="Times New Roman" w:cs="Times New Roman"/>
          <w:color w:val="000000" w:themeColor="text1"/>
          <w:sz w:val="28"/>
          <w:szCs w:val="28"/>
        </w:rPr>
        <w:t>Dānijas</w:t>
      </w:r>
      <w:r w:rsidR="00A924A8" w:rsidRPr="007C66BE">
        <w:rPr>
          <w:rFonts w:ascii="Times New Roman" w:hAnsi="Times New Roman" w:cs="Times New Roman"/>
          <w:color w:val="000000" w:themeColor="text1"/>
          <w:sz w:val="28"/>
          <w:szCs w:val="28"/>
        </w:rPr>
        <w:t xml:space="preserve"> un Spānijas </w:t>
      </w:r>
      <w:proofErr w:type="spellStart"/>
      <w:r w:rsidR="00A924A8" w:rsidRPr="007C66BE">
        <w:rPr>
          <w:rFonts w:ascii="Times New Roman" w:hAnsi="Times New Roman" w:cs="Times New Roman"/>
          <w:color w:val="000000" w:themeColor="text1"/>
          <w:sz w:val="28"/>
          <w:szCs w:val="28"/>
        </w:rPr>
        <w:t>partnerdienestiem</w:t>
      </w:r>
      <w:proofErr w:type="spellEnd"/>
      <w:r w:rsidR="00A924A8" w:rsidRPr="007C66BE">
        <w:rPr>
          <w:rFonts w:ascii="Times New Roman" w:hAnsi="Times New Roman" w:cs="Times New Roman"/>
          <w:color w:val="000000" w:themeColor="text1"/>
          <w:sz w:val="28"/>
          <w:szCs w:val="28"/>
        </w:rPr>
        <w:t xml:space="preserve">. </w:t>
      </w:r>
      <w:r w:rsidRPr="007C66BE">
        <w:rPr>
          <w:rFonts w:ascii="Times New Roman" w:hAnsi="Times New Roman" w:cs="Times New Roman"/>
          <w:color w:val="000000" w:themeColor="text1"/>
          <w:sz w:val="28"/>
          <w:szCs w:val="28"/>
        </w:rPr>
        <w:t xml:space="preserve">Projekta ietvaros Biroja amatpersonas piedalījās </w:t>
      </w:r>
      <w:r w:rsidR="007C66BE">
        <w:rPr>
          <w:rFonts w:ascii="Times New Roman" w:hAnsi="Times New Roman" w:cs="Times New Roman"/>
          <w:color w:val="000000" w:themeColor="text1"/>
          <w:sz w:val="28"/>
          <w:szCs w:val="28"/>
        </w:rPr>
        <w:t xml:space="preserve">pirmajā </w:t>
      </w:r>
      <w:r w:rsidRPr="007C66BE">
        <w:rPr>
          <w:rFonts w:ascii="Times New Roman" w:hAnsi="Times New Roman" w:cs="Times New Roman"/>
          <w:color w:val="000000" w:themeColor="text1"/>
          <w:sz w:val="28"/>
          <w:szCs w:val="28"/>
        </w:rPr>
        <w:t>pieredzes apmaiņas vizītē Dānijā.</w:t>
      </w:r>
    </w:p>
    <w:p w:rsidR="00A924A8" w:rsidRPr="00104879" w:rsidRDefault="002B6772" w:rsidP="0010487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Pārskata periodā </w:t>
      </w:r>
      <w:r w:rsidR="00A924A8" w:rsidRPr="004568FC">
        <w:rPr>
          <w:rFonts w:ascii="Times New Roman" w:hAnsi="Times New Roman" w:cs="Times New Roman"/>
          <w:b/>
          <w:color w:val="000000" w:themeColor="text1"/>
          <w:sz w:val="28"/>
          <w:szCs w:val="28"/>
        </w:rPr>
        <w:t>Birojs ir</w:t>
      </w:r>
      <w:r w:rsidRPr="004568FC">
        <w:rPr>
          <w:rFonts w:ascii="Times New Roman" w:hAnsi="Times New Roman" w:cs="Times New Roman"/>
          <w:b/>
          <w:color w:val="000000" w:themeColor="text1"/>
          <w:sz w:val="28"/>
          <w:szCs w:val="28"/>
        </w:rPr>
        <w:t xml:space="preserve"> saņēmis </w:t>
      </w:r>
      <w:r w:rsidR="00093551" w:rsidRPr="004568FC">
        <w:rPr>
          <w:rFonts w:ascii="Times New Roman" w:hAnsi="Times New Roman" w:cs="Times New Roman"/>
          <w:b/>
          <w:color w:val="000000" w:themeColor="text1"/>
          <w:sz w:val="28"/>
          <w:szCs w:val="28"/>
        </w:rPr>
        <w:t>apstiprinājumu projekta pieteikumam</w:t>
      </w:r>
      <w:r w:rsidR="00093551">
        <w:rPr>
          <w:rFonts w:ascii="Times New Roman" w:hAnsi="Times New Roman" w:cs="Times New Roman"/>
          <w:color w:val="000000" w:themeColor="text1"/>
          <w:sz w:val="28"/>
          <w:szCs w:val="28"/>
        </w:rPr>
        <w:t xml:space="preserve">  </w:t>
      </w:r>
      <w:r w:rsidR="00A924A8" w:rsidRPr="004568FC">
        <w:rPr>
          <w:rFonts w:ascii="Times New Roman" w:hAnsi="Times New Roman" w:cs="Times New Roman"/>
          <w:b/>
          <w:color w:val="000000" w:themeColor="text1"/>
          <w:sz w:val="28"/>
          <w:szCs w:val="28"/>
        </w:rPr>
        <w:t>OLAF</w:t>
      </w:r>
      <w:r w:rsidR="00A924A8" w:rsidRPr="00A924A8">
        <w:rPr>
          <w:rFonts w:ascii="Times New Roman" w:hAnsi="Times New Roman" w:cs="Times New Roman"/>
          <w:color w:val="000000" w:themeColor="text1"/>
          <w:sz w:val="28"/>
          <w:szCs w:val="28"/>
        </w:rPr>
        <w:t xml:space="preserve"> „</w:t>
      </w:r>
      <w:proofErr w:type="spellStart"/>
      <w:r w:rsidR="00A924A8" w:rsidRPr="00A924A8">
        <w:rPr>
          <w:rFonts w:ascii="Times New Roman" w:hAnsi="Times New Roman" w:cs="Times New Roman"/>
          <w:color w:val="000000" w:themeColor="text1"/>
          <w:sz w:val="28"/>
          <w:szCs w:val="28"/>
        </w:rPr>
        <w:t>Hercule</w:t>
      </w:r>
      <w:proofErr w:type="spellEnd"/>
      <w:r w:rsidR="00A924A8" w:rsidRPr="00A924A8">
        <w:rPr>
          <w:rFonts w:ascii="Times New Roman" w:hAnsi="Times New Roman" w:cs="Times New Roman"/>
          <w:color w:val="000000" w:themeColor="text1"/>
          <w:sz w:val="28"/>
          <w:szCs w:val="28"/>
        </w:rPr>
        <w:t xml:space="preserve"> III programmas 2014 – 2020” ietvaros operatīvās</w:t>
      </w:r>
      <w:r w:rsidR="00093551">
        <w:rPr>
          <w:rFonts w:ascii="Times New Roman" w:hAnsi="Times New Roman" w:cs="Times New Roman"/>
          <w:color w:val="000000" w:themeColor="text1"/>
          <w:sz w:val="28"/>
          <w:szCs w:val="28"/>
        </w:rPr>
        <w:t xml:space="preserve"> un analītiskās</w:t>
      </w:r>
      <w:r w:rsidR="00D97800">
        <w:rPr>
          <w:rFonts w:ascii="Times New Roman" w:hAnsi="Times New Roman" w:cs="Times New Roman"/>
          <w:color w:val="000000" w:themeColor="text1"/>
          <w:sz w:val="28"/>
          <w:szCs w:val="28"/>
        </w:rPr>
        <w:t xml:space="preserve"> kapacitātes celšanai. 2015.gada jūnijā tika parakstīts granta līgums par </w:t>
      </w:r>
      <w:r w:rsidR="00056BF4">
        <w:rPr>
          <w:rFonts w:ascii="Times New Roman" w:hAnsi="Times New Roman" w:cs="Times New Roman"/>
          <w:color w:val="000000" w:themeColor="text1"/>
          <w:sz w:val="28"/>
          <w:szCs w:val="28"/>
        </w:rPr>
        <w:t>EUR 186 411</w:t>
      </w:r>
      <w:r w:rsidR="00D97800" w:rsidRPr="00104879">
        <w:rPr>
          <w:rFonts w:ascii="Times New Roman" w:hAnsi="Times New Roman" w:cs="Times New Roman"/>
          <w:color w:val="000000" w:themeColor="text1"/>
          <w:sz w:val="28"/>
          <w:szCs w:val="28"/>
        </w:rPr>
        <w:t xml:space="preserve"> </w:t>
      </w:r>
      <w:r w:rsidR="00056BF4">
        <w:rPr>
          <w:rFonts w:ascii="Times New Roman" w:hAnsi="Times New Roman" w:cs="Times New Roman"/>
          <w:color w:val="000000" w:themeColor="text1"/>
          <w:sz w:val="28"/>
          <w:szCs w:val="28"/>
        </w:rPr>
        <w:t>līdzfinansējuma piešķiršanu.</w:t>
      </w:r>
      <w:r w:rsidR="00D97800" w:rsidRPr="00104879">
        <w:rPr>
          <w:rFonts w:ascii="Times New Roman" w:hAnsi="Times New Roman" w:cs="Times New Roman"/>
          <w:color w:val="000000" w:themeColor="text1"/>
          <w:sz w:val="28"/>
          <w:szCs w:val="28"/>
        </w:rPr>
        <w:t xml:space="preserve"> </w:t>
      </w:r>
    </w:p>
    <w:p w:rsidR="00A924A8" w:rsidRDefault="00AE1BE5" w:rsidP="00AE1BE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Pārskata periodā ir organizētas pieredzes apmaiņas tikšanās ar Lietuvas un Azerbaidžānas</w:t>
      </w:r>
      <w:r w:rsidR="00F76217">
        <w:rPr>
          <w:rFonts w:ascii="Times New Roman" w:hAnsi="Times New Roman" w:cs="Times New Roman"/>
          <w:color w:val="000000" w:themeColor="text1"/>
          <w:sz w:val="28"/>
          <w:szCs w:val="28"/>
        </w:rPr>
        <w:t xml:space="preserve"> pārstāvjiem</w:t>
      </w:r>
      <w:r>
        <w:rPr>
          <w:rFonts w:ascii="Times New Roman" w:hAnsi="Times New Roman" w:cs="Times New Roman"/>
          <w:color w:val="000000" w:themeColor="text1"/>
          <w:sz w:val="28"/>
          <w:szCs w:val="28"/>
        </w:rPr>
        <w:t xml:space="preserve">, lai iepazīstinātu ar Biroja pieredzi un labo praksi </w:t>
      </w:r>
      <w:r w:rsidR="00A924A8" w:rsidRPr="00104879">
        <w:rPr>
          <w:rFonts w:ascii="Times New Roman" w:hAnsi="Times New Roman" w:cs="Times New Roman"/>
          <w:color w:val="000000" w:themeColor="text1"/>
          <w:sz w:val="28"/>
          <w:szCs w:val="28"/>
        </w:rPr>
        <w:t>korupcijas novēršanā un apkarošanā, kā arī politisko partiju finansēšanas un priekšvēlēšanu aģitācijas uzraudzībā.</w:t>
      </w:r>
    </w:p>
    <w:p w:rsidR="00A85869" w:rsidRPr="00A924A8" w:rsidRDefault="00A85869" w:rsidP="00AE1BE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761130" w:rsidRPr="00752EF4" w:rsidRDefault="001208B0" w:rsidP="00752EF4">
      <w:pPr>
        <w:pStyle w:val="ListParagraph"/>
        <w:numPr>
          <w:ilvl w:val="1"/>
          <w:numId w:val="28"/>
        </w:numPr>
        <w:autoSpaceDE w:val="0"/>
        <w:autoSpaceDN w:val="0"/>
        <w:adjustRightInd w:val="0"/>
        <w:spacing w:after="120" w:line="240" w:lineRule="auto"/>
        <w:jc w:val="center"/>
        <w:rPr>
          <w:rStyle w:val="Strong"/>
          <w:rFonts w:ascii="Times New Roman" w:hAnsi="Times New Roman" w:cs="Times New Roman"/>
          <w:sz w:val="28"/>
          <w:szCs w:val="28"/>
        </w:rPr>
      </w:pPr>
      <w:bookmarkStart w:id="3" w:name="_Toc282617331"/>
      <w:r w:rsidRPr="00752EF4">
        <w:rPr>
          <w:rStyle w:val="Strong"/>
          <w:rFonts w:ascii="Times New Roman" w:hAnsi="Times New Roman" w:cs="Times New Roman"/>
          <w:sz w:val="28"/>
          <w:szCs w:val="28"/>
        </w:rPr>
        <w:t>I</w:t>
      </w:r>
      <w:r w:rsidR="008F32BD" w:rsidRPr="00752EF4">
        <w:rPr>
          <w:rStyle w:val="Strong"/>
          <w:rFonts w:ascii="Times New Roman" w:hAnsi="Times New Roman" w:cs="Times New Roman"/>
          <w:sz w:val="28"/>
          <w:szCs w:val="28"/>
        </w:rPr>
        <w:t>zglītošana</w:t>
      </w:r>
      <w:bookmarkEnd w:id="3"/>
      <w:r w:rsidRPr="00752EF4">
        <w:rPr>
          <w:rStyle w:val="Strong"/>
          <w:rFonts w:ascii="Times New Roman" w:hAnsi="Times New Roman" w:cs="Times New Roman"/>
          <w:sz w:val="28"/>
          <w:szCs w:val="28"/>
        </w:rPr>
        <w:t xml:space="preserve"> un sabiedrības informēšana </w:t>
      </w:r>
    </w:p>
    <w:p w:rsidR="00761130" w:rsidRPr="00761130" w:rsidRDefault="00761130" w:rsidP="00761130">
      <w:pPr>
        <w:pStyle w:val="NoSpacing"/>
        <w:ind w:firstLine="567"/>
        <w:jc w:val="both"/>
        <w:rPr>
          <w:rFonts w:ascii="Times New Roman" w:hAnsi="Times New Roman" w:cs="Times New Roman"/>
          <w:sz w:val="28"/>
          <w:szCs w:val="28"/>
        </w:rPr>
      </w:pPr>
      <w:r w:rsidRPr="00761130">
        <w:rPr>
          <w:rFonts w:ascii="Times New Roman" w:hAnsi="Times New Roman" w:cs="Times New Roman"/>
          <w:sz w:val="28"/>
          <w:szCs w:val="28"/>
        </w:rPr>
        <w:t xml:space="preserve">Pārskata periodā par pretkorupcijas, interešu konflikta novēršanas, publiskās pārvaldes ētikas jautājumiem un politiskās aģitācijas ierobežojumiem organizēta un novadīta </w:t>
      </w:r>
      <w:r w:rsidRPr="004568FC">
        <w:rPr>
          <w:rFonts w:ascii="Times New Roman" w:hAnsi="Times New Roman" w:cs="Times New Roman"/>
          <w:b/>
          <w:sz w:val="28"/>
          <w:szCs w:val="28"/>
        </w:rPr>
        <w:t>61 izglītojoša nodarbība</w:t>
      </w:r>
      <w:r w:rsidRPr="00761130">
        <w:rPr>
          <w:rFonts w:ascii="Times New Roman" w:hAnsi="Times New Roman" w:cs="Times New Roman"/>
          <w:sz w:val="28"/>
          <w:szCs w:val="28"/>
        </w:rPr>
        <w:t xml:space="preserve"> (2014. gada I pusgadā – 62 izglītošanas pasākumi), </w:t>
      </w:r>
      <w:r w:rsidRPr="004568FC">
        <w:rPr>
          <w:rFonts w:ascii="Times New Roman" w:hAnsi="Times New Roman" w:cs="Times New Roman"/>
          <w:b/>
          <w:sz w:val="28"/>
          <w:szCs w:val="28"/>
        </w:rPr>
        <w:t>kopumā aptverot 1891 personu lielu auditoriju</w:t>
      </w:r>
      <w:r w:rsidRPr="00761130">
        <w:rPr>
          <w:rFonts w:ascii="Times New Roman" w:hAnsi="Times New Roman" w:cs="Times New Roman"/>
          <w:sz w:val="28"/>
          <w:szCs w:val="28"/>
        </w:rPr>
        <w:t xml:space="preserve">. </w:t>
      </w:r>
      <w:r>
        <w:rPr>
          <w:rFonts w:ascii="Times New Roman" w:hAnsi="Times New Roman" w:cs="Times New Roman"/>
          <w:sz w:val="28"/>
          <w:szCs w:val="28"/>
        </w:rPr>
        <w:t>Šajos pasākumos piedalījās</w:t>
      </w:r>
      <w:r w:rsidRPr="00761130">
        <w:rPr>
          <w:rFonts w:ascii="Times New Roman" w:hAnsi="Times New Roman" w:cs="Times New Roman"/>
          <w:sz w:val="28"/>
          <w:szCs w:val="28"/>
        </w:rPr>
        <w:t xml:space="preserve"> valsts amatpersonas un valsts un pašvaldību iestāžu </w:t>
      </w:r>
      <w:r w:rsidRPr="00761130">
        <w:rPr>
          <w:rFonts w:ascii="Times New Roman" w:hAnsi="Times New Roman" w:cs="Times New Roman"/>
          <w:sz w:val="28"/>
          <w:szCs w:val="28"/>
        </w:rPr>
        <w:lastRenderedPageBreak/>
        <w:t>darbinieki, jaunieši, pedagogi, politisko partiju pārstāvji, zvērināti revidenti un auditori.</w:t>
      </w:r>
      <w:r w:rsidR="00560186" w:rsidRPr="00560186">
        <w:rPr>
          <w:rFonts w:ascii="Times New Roman" w:hAnsi="Times New Roman" w:cs="Times New Roman"/>
          <w:sz w:val="28"/>
          <w:szCs w:val="28"/>
        </w:rPr>
        <w:t xml:space="preserve"> Izglītošanas pasākumi un dalībnieku skaits </w:t>
      </w:r>
      <w:r w:rsidR="00560186">
        <w:rPr>
          <w:rFonts w:ascii="Times New Roman" w:hAnsi="Times New Roman" w:cs="Times New Roman"/>
          <w:sz w:val="28"/>
          <w:szCs w:val="28"/>
        </w:rPr>
        <w:t xml:space="preserve">attēlots 2.attēlā. </w:t>
      </w:r>
    </w:p>
    <w:p w:rsidR="00761130" w:rsidRPr="00761130" w:rsidRDefault="00761130" w:rsidP="00761130">
      <w:pPr>
        <w:pStyle w:val="NoSpacing"/>
        <w:ind w:firstLine="567"/>
        <w:jc w:val="both"/>
        <w:rPr>
          <w:rFonts w:ascii="Times New Roman" w:hAnsi="Times New Roman" w:cs="Times New Roman"/>
          <w:sz w:val="28"/>
          <w:szCs w:val="28"/>
        </w:rPr>
      </w:pPr>
      <w:r w:rsidRPr="00761130">
        <w:rPr>
          <w:rFonts w:ascii="Times New Roman" w:hAnsi="Times New Roman" w:cs="Times New Roman"/>
          <w:sz w:val="28"/>
          <w:szCs w:val="28"/>
        </w:rPr>
        <w:t xml:space="preserve">Novadīto pasākumu un dalībnieku skaits pārskata periodā </w:t>
      </w:r>
      <w:r w:rsidR="009D0284">
        <w:rPr>
          <w:rFonts w:ascii="Times New Roman" w:hAnsi="Times New Roman" w:cs="Times New Roman"/>
          <w:sz w:val="28"/>
          <w:szCs w:val="28"/>
        </w:rPr>
        <w:t>atbilstoši</w:t>
      </w:r>
      <w:r w:rsidRPr="00761130">
        <w:rPr>
          <w:rFonts w:ascii="Times New Roman" w:hAnsi="Times New Roman" w:cs="Times New Roman"/>
          <w:sz w:val="28"/>
          <w:szCs w:val="28"/>
        </w:rPr>
        <w:t xml:space="preserve"> izglītošanas tēmām:</w:t>
      </w:r>
    </w:p>
    <w:p w:rsidR="00761130" w:rsidRPr="00761130" w:rsidRDefault="00761130" w:rsidP="00761130">
      <w:pPr>
        <w:pStyle w:val="NoSpacing"/>
        <w:ind w:firstLine="567"/>
        <w:jc w:val="both"/>
        <w:rPr>
          <w:rFonts w:ascii="Times New Roman" w:hAnsi="Times New Roman" w:cs="Times New Roman"/>
          <w:sz w:val="28"/>
          <w:szCs w:val="28"/>
        </w:rPr>
      </w:pPr>
      <w:r w:rsidRPr="00761130">
        <w:rPr>
          <w:rFonts w:ascii="Times New Roman" w:hAnsi="Times New Roman" w:cs="Times New Roman"/>
          <w:sz w:val="28"/>
          <w:szCs w:val="28"/>
        </w:rPr>
        <w:t>1)</w:t>
      </w:r>
      <w:r w:rsidRPr="00761130">
        <w:rPr>
          <w:rFonts w:ascii="Times New Roman" w:hAnsi="Times New Roman" w:cs="Times New Roman"/>
          <w:sz w:val="28"/>
          <w:szCs w:val="28"/>
        </w:rPr>
        <w:tab/>
        <w:t xml:space="preserve">Interešu konflikta novēršana </w:t>
      </w:r>
      <w:r w:rsidR="00560186">
        <w:rPr>
          <w:rFonts w:ascii="Times New Roman" w:hAnsi="Times New Roman" w:cs="Times New Roman"/>
          <w:sz w:val="28"/>
          <w:szCs w:val="28"/>
        </w:rPr>
        <w:t xml:space="preserve">un publiskās pārvaldes ētika – </w:t>
      </w:r>
      <w:r w:rsidR="00F76217">
        <w:rPr>
          <w:rFonts w:ascii="Times New Roman" w:hAnsi="Times New Roman" w:cs="Times New Roman"/>
          <w:sz w:val="28"/>
          <w:szCs w:val="28"/>
        </w:rPr>
        <w:t>36 </w:t>
      </w:r>
      <w:r w:rsidRPr="00761130">
        <w:rPr>
          <w:rFonts w:ascii="Times New Roman" w:hAnsi="Times New Roman" w:cs="Times New Roman"/>
          <w:sz w:val="28"/>
          <w:szCs w:val="28"/>
        </w:rPr>
        <w:t>pasākumi un 1314 izglītotas personas;</w:t>
      </w:r>
    </w:p>
    <w:p w:rsidR="00761130" w:rsidRPr="00761130" w:rsidRDefault="00761130" w:rsidP="00761130">
      <w:pPr>
        <w:pStyle w:val="NoSpacing"/>
        <w:ind w:firstLine="567"/>
        <w:jc w:val="both"/>
        <w:rPr>
          <w:rFonts w:ascii="Times New Roman" w:hAnsi="Times New Roman" w:cs="Times New Roman"/>
          <w:sz w:val="28"/>
          <w:szCs w:val="28"/>
        </w:rPr>
      </w:pPr>
      <w:r w:rsidRPr="00761130">
        <w:rPr>
          <w:rFonts w:ascii="Times New Roman" w:hAnsi="Times New Roman" w:cs="Times New Roman"/>
          <w:sz w:val="28"/>
          <w:szCs w:val="28"/>
        </w:rPr>
        <w:t>2)</w:t>
      </w:r>
      <w:r w:rsidRPr="00761130">
        <w:rPr>
          <w:rFonts w:ascii="Times New Roman" w:hAnsi="Times New Roman" w:cs="Times New Roman"/>
          <w:sz w:val="28"/>
          <w:szCs w:val="28"/>
        </w:rPr>
        <w:tab/>
        <w:t>Korupcija, tās izpausmes formas, korupcijas un krāpšanas riski, Biroja darbība –</w:t>
      </w:r>
      <w:r w:rsidR="00560186">
        <w:rPr>
          <w:rFonts w:ascii="Times New Roman" w:hAnsi="Times New Roman" w:cs="Times New Roman"/>
          <w:sz w:val="28"/>
          <w:szCs w:val="28"/>
        </w:rPr>
        <w:t xml:space="preserve"> </w:t>
      </w:r>
      <w:r w:rsidRPr="00761130">
        <w:rPr>
          <w:rFonts w:ascii="Times New Roman" w:hAnsi="Times New Roman" w:cs="Times New Roman"/>
          <w:sz w:val="28"/>
          <w:szCs w:val="28"/>
        </w:rPr>
        <w:t>19 pasākumi un 416 izglītotas personas;</w:t>
      </w:r>
    </w:p>
    <w:p w:rsidR="00C22F21" w:rsidRDefault="00761130" w:rsidP="00C22F21">
      <w:pPr>
        <w:pStyle w:val="NoSpacing"/>
        <w:ind w:firstLine="567"/>
        <w:jc w:val="both"/>
        <w:rPr>
          <w:rFonts w:ascii="Times New Roman" w:hAnsi="Times New Roman" w:cs="Times New Roman"/>
          <w:sz w:val="28"/>
          <w:szCs w:val="28"/>
        </w:rPr>
      </w:pPr>
      <w:r w:rsidRPr="00761130">
        <w:rPr>
          <w:rFonts w:ascii="Times New Roman" w:hAnsi="Times New Roman" w:cs="Times New Roman"/>
          <w:sz w:val="28"/>
          <w:szCs w:val="28"/>
        </w:rPr>
        <w:t>3)</w:t>
      </w:r>
      <w:r w:rsidRPr="00761130">
        <w:rPr>
          <w:rFonts w:ascii="Times New Roman" w:hAnsi="Times New Roman" w:cs="Times New Roman"/>
          <w:sz w:val="28"/>
          <w:szCs w:val="28"/>
        </w:rPr>
        <w:tab/>
        <w:t>Citi (lobēšana, iekšējās kontroles pasākumi, valsts fina</w:t>
      </w:r>
      <w:r w:rsidR="00560186">
        <w:rPr>
          <w:rFonts w:ascii="Times New Roman" w:hAnsi="Times New Roman" w:cs="Times New Roman"/>
          <w:sz w:val="28"/>
          <w:szCs w:val="28"/>
        </w:rPr>
        <w:t>nsējums politiskajām partijām)</w:t>
      </w:r>
      <w:r w:rsidRPr="00761130">
        <w:rPr>
          <w:rFonts w:ascii="Times New Roman" w:hAnsi="Times New Roman" w:cs="Times New Roman"/>
          <w:sz w:val="28"/>
          <w:szCs w:val="28"/>
        </w:rPr>
        <w:t xml:space="preserve"> – 6 izglītošanas </w:t>
      </w:r>
      <w:r w:rsidR="00C22F21">
        <w:rPr>
          <w:rFonts w:ascii="Times New Roman" w:hAnsi="Times New Roman" w:cs="Times New Roman"/>
          <w:sz w:val="28"/>
          <w:szCs w:val="28"/>
        </w:rPr>
        <w:t xml:space="preserve">pasākumi un </w:t>
      </w:r>
      <w:r w:rsidR="00F76217" w:rsidRPr="00F76217">
        <w:rPr>
          <w:rFonts w:ascii="Times New Roman" w:hAnsi="Times New Roman" w:cs="Times New Roman"/>
          <w:sz w:val="28"/>
          <w:szCs w:val="28"/>
        </w:rPr>
        <w:t>izg</w:t>
      </w:r>
      <w:r w:rsidR="008071BC">
        <w:rPr>
          <w:rFonts w:ascii="Times New Roman" w:hAnsi="Times New Roman" w:cs="Times New Roman"/>
          <w:sz w:val="28"/>
          <w:szCs w:val="28"/>
        </w:rPr>
        <w:t>lītota</w:t>
      </w:r>
      <w:r w:rsidR="00F76217" w:rsidRPr="00F76217">
        <w:rPr>
          <w:rFonts w:ascii="Times New Roman" w:hAnsi="Times New Roman" w:cs="Times New Roman"/>
          <w:sz w:val="28"/>
          <w:szCs w:val="28"/>
        </w:rPr>
        <w:t xml:space="preserve"> </w:t>
      </w:r>
      <w:r w:rsidR="00C22F21">
        <w:rPr>
          <w:rFonts w:ascii="Times New Roman" w:hAnsi="Times New Roman" w:cs="Times New Roman"/>
          <w:sz w:val="28"/>
          <w:szCs w:val="28"/>
        </w:rPr>
        <w:t>161 persona.</w:t>
      </w:r>
    </w:p>
    <w:p w:rsidR="00D7718A" w:rsidRDefault="00D7718A" w:rsidP="00C22F21">
      <w:pPr>
        <w:pStyle w:val="NoSpacing"/>
        <w:ind w:firstLine="567"/>
        <w:jc w:val="both"/>
        <w:rPr>
          <w:rFonts w:ascii="Times New Roman" w:hAnsi="Times New Roman" w:cs="Times New Roman"/>
          <w:sz w:val="28"/>
          <w:szCs w:val="28"/>
        </w:rPr>
      </w:pPr>
    </w:p>
    <w:p w:rsidR="00D7718A" w:rsidRDefault="00D7718A" w:rsidP="00C22F21">
      <w:pPr>
        <w:pStyle w:val="NoSpacing"/>
        <w:ind w:firstLine="567"/>
        <w:jc w:val="both"/>
        <w:rPr>
          <w:rFonts w:ascii="Times New Roman" w:hAnsi="Times New Roman" w:cs="Times New Roman"/>
          <w:sz w:val="28"/>
          <w:szCs w:val="28"/>
        </w:rPr>
      </w:pPr>
      <w:r>
        <w:rPr>
          <w:noProof/>
          <w:lang w:eastAsia="lv-LV"/>
        </w:rPr>
        <w:drawing>
          <wp:inline distT="0" distB="0" distL="0" distR="0" wp14:anchorId="37DCD638" wp14:editId="2678EA3E">
            <wp:extent cx="4933950" cy="3138488"/>
            <wp:effectExtent l="0" t="0" r="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2EF4" w:rsidRDefault="00752EF4" w:rsidP="00615921">
      <w:pPr>
        <w:pStyle w:val="NoSpacing"/>
        <w:jc w:val="both"/>
        <w:rPr>
          <w:rFonts w:ascii="Times New Roman" w:hAnsi="Times New Roman" w:cs="Times New Roman"/>
          <w:i/>
          <w:sz w:val="28"/>
          <w:szCs w:val="28"/>
        </w:rPr>
      </w:pPr>
      <w:r w:rsidRPr="00752EF4">
        <w:rPr>
          <w:rFonts w:ascii="Times New Roman" w:hAnsi="Times New Roman" w:cs="Times New Roman"/>
          <w:i/>
          <w:sz w:val="28"/>
          <w:szCs w:val="28"/>
        </w:rPr>
        <w:t xml:space="preserve">2.attēls. Izglītošanas pasākumi un dalībnieku skaits </w:t>
      </w:r>
    </w:p>
    <w:p w:rsidR="00615921" w:rsidRDefault="00615921" w:rsidP="00615921">
      <w:pPr>
        <w:pStyle w:val="NoSpacing"/>
        <w:jc w:val="both"/>
        <w:rPr>
          <w:rFonts w:ascii="Times New Roman" w:hAnsi="Times New Roman" w:cs="Times New Roman"/>
          <w:sz w:val="28"/>
          <w:szCs w:val="28"/>
        </w:rPr>
      </w:pPr>
    </w:p>
    <w:p w:rsidR="00761130" w:rsidRPr="00761130" w:rsidRDefault="00761130" w:rsidP="00761130">
      <w:pPr>
        <w:pStyle w:val="NoSpacing"/>
        <w:ind w:firstLine="567"/>
        <w:jc w:val="both"/>
        <w:rPr>
          <w:rFonts w:ascii="Times New Roman" w:hAnsi="Times New Roman" w:cs="Times New Roman"/>
          <w:sz w:val="28"/>
          <w:szCs w:val="28"/>
        </w:rPr>
      </w:pPr>
      <w:r w:rsidRPr="00761130">
        <w:rPr>
          <w:rFonts w:ascii="Times New Roman" w:hAnsi="Times New Roman" w:cs="Times New Roman"/>
          <w:sz w:val="28"/>
          <w:szCs w:val="28"/>
        </w:rPr>
        <w:t xml:space="preserve">Pārskata periodā Birojs turpināja </w:t>
      </w:r>
      <w:r w:rsidR="00140028">
        <w:rPr>
          <w:rFonts w:ascii="Times New Roman" w:hAnsi="Times New Roman" w:cs="Times New Roman"/>
          <w:sz w:val="28"/>
          <w:szCs w:val="28"/>
        </w:rPr>
        <w:t>iepriekšējā gadā</w:t>
      </w:r>
      <w:r w:rsidRPr="00761130">
        <w:rPr>
          <w:rFonts w:ascii="Times New Roman" w:hAnsi="Times New Roman" w:cs="Times New Roman"/>
          <w:sz w:val="28"/>
          <w:szCs w:val="28"/>
        </w:rPr>
        <w:t xml:space="preserve"> uzsākto </w:t>
      </w:r>
      <w:r w:rsidRPr="004568FC">
        <w:rPr>
          <w:rFonts w:ascii="Times New Roman" w:hAnsi="Times New Roman" w:cs="Times New Roman"/>
          <w:b/>
          <w:sz w:val="28"/>
          <w:szCs w:val="28"/>
        </w:rPr>
        <w:t>valsts amatpersonu un publisko institūciju darbinieku zināšanu testēšanu</w:t>
      </w:r>
      <w:r w:rsidRPr="00761130">
        <w:rPr>
          <w:rFonts w:ascii="Times New Roman" w:hAnsi="Times New Roman" w:cs="Times New Roman"/>
          <w:sz w:val="28"/>
          <w:szCs w:val="28"/>
        </w:rPr>
        <w:t xml:space="preserve"> par korupcijas un interešu k</w:t>
      </w:r>
      <w:r w:rsidR="00C22F21">
        <w:rPr>
          <w:rFonts w:ascii="Times New Roman" w:hAnsi="Times New Roman" w:cs="Times New Roman"/>
          <w:sz w:val="28"/>
          <w:szCs w:val="28"/>
        </w:rPr>
        <w:t>onflikta novēršanas jautājumiem</w:t>
      </w:r>
      <w:r w:rsidRPr="00761130">
        <w:rPr>
          <w:rFonts w:ascii="Times New Roman" w:hAnsi="Times New Roman" w:cs="Times New Roman"/>
          <w:sz w:val="28"/>
          <w:szCs w:val="28"/>
        </w:rPr>
        <w:t>. Zināšanu testēšana tika uzsākta ne tikai ar mērķi noteikt amatpersonu zināšanu līmeni par pretkorupcijas jautājumiem un identificēt zināšanu vājās puses, bet arī mērīt un analizēt, kā gadu laikā mainās mērķauditorijas zināšanas, un noteikt prioritā</w:t>
      </w:r>
      <w:r w:rsidR="007A72C3">
        <w:rPr>
          <w:rFonts w:ascii="Times New Roman" w:hAnsi="Times New Roman" w:cs="Times New Roman"/>
          <w:sz w:val="28"/>
          <w:szCs w:val="28"/>
        </w:rPr>
        <w:t xml:space="preserve">rās izglītojamo amatpersonu </w:t>
      </w:r>
      <w:r w:rsidRPr="00761130">
        <w:rPr>
          <w:rFonts w:ascii="Times New Roman" w:hAnsi="Times New Roman" w:cs="Times New Roman"/>
          <w:sz w:val="28"/>
          <w:szCs w:val="28"/>
        </w:rPr>
        <w:t>auditorijas.</w:t>
      </w:r>
      <w:r w:rsidR="007A72C3">
        <w:rPr>
          <w:rFonts w:ascii="Times New Roman" w:hAnsi="Times New Roman" w:cs="Times New Roman"/>
          <w:sz w:val="28"/>
          <w:szCs w:val="28"/>
        </w:rPr>
        <w:t xml:space="preserve"> Tā, piemēram, 2015.</w:t>
      </w:r>
      <w:r w:rsidR="007A72C3" w:rsidRPr="007A72C3">
        <w:rPr>
          <w:rFonts w:ascii="Times New Roman" w:hAnsi="Times New Roman" w:cs="Times New Roman"/>
          <w:sz w:val="28"/>
          <w:szCs w:val="28"/>
        </w:rPr>
        <w:t>gadā kā vienu no prioritārajām jomām Birojs ir noteicis pašvaldību amatpersonu izglītošanu</w:t>
      </w:r>
      <w:r w:rsidR="007A72C3">
        <w:rPr>
          <w:rFonts w:ascii="Times New Roman" w:hAnsi="Times New Roman" w:cs="Times New Roman"/>
          <w:sz w:val="28"/>
          <w:szCs w:val="28"/>
        </w:rPr>
        <w:t xml:space="preserve">. </w:t>
      </w:r>
      <w:r w:rsidR="007A72C3" w:rsidRPr="007A72C3">
        <w:rPr>
          <w:rFonts w:ascii="Times New Roman" w:hAnsi="Times New Roman" w:cs="Times New Roman"/>
          <w:sz w:val="28"/>
          <w:szCs w:val="28"/>
        </w:rPr>
        <w:t>Pārskata periodā organizēti 7 semināri pašvaldību amatpersonām, izglītojot 246</w:t>
      </w:r>
      <w:r w:rsidR="00DF35A5">
        <w:rPr>
          <w:rFonts w:ascii="Times New Roman" w:hAnsi="Times New Roman" w:cs="Times New Roman"/>
          <w:sz w:val="28"/>
          <w:szCs w:val="28"/>
        </w:rPr>
        <w:t> </w:t>
      </w:r>
      <w:r w:rsidR="007A72C3" w:rsidRPr="007A72C3">
        <w:rPr>
          <w:rFonts w:ascii="Times New Roman" w:hAnsi="Times New Roman" w:cs="Times New Roman"/>
          <w:sz w:val="28"/>
          <w:szCs w:val="28"/>
        </w:rPr>
        <w:t>amatpersonas (tai skaitā, pašvaldību deputātus, iestāžu vadītājus, iepirkumu komisiju locekļus u.c.).</w:t>
      </w:r>
    </w:p>
    <w:p w:rsidR="00A549FA" w:rsidRDefault="00761130" w:rsidP="00A549FA">
      <w:pPr>
        <w:pStyle w:val="NoSpacing"/>
        <w:ind w:firstLine="567"/>
        <w:jc w:val="both"/>
        <w:rPr>
          <w:rFonts w:ascii="Times New Roman" w:hAnsi="Times New Roman" w:cs="Times New Roman"/>
          <w:sz w:val="28"/>
          <w:szCs w:val="28"/>
        </w:rPr>
      </w:pPr>
      <w:r w:rsidRPr="00761130">
        <w:rPr>
          <w:rFonts w:ascii="Times New Roman" w:hAnsi="Times New Roman" w:cs="Times New Roman"/>
          <w:sz w:val="28"/>
          <w:szCs w:val="28"/>
        </w:rPr>
        <w:t>Analizējot testēšanas rezultātus, Birojs ir secinājis, ka kopumā amatpersonu zināšanas par interešu konflikta un pretkorupcijas jautājumiem ir vērtējamas kā labas, jo vidēji amatpersonas atbildējušas pareizi uz 81% jautājumu. Mazāk par 60% pareizo atbilžu snieguši tikai 4,1% testēto amatpersonu.</w:t>
      </w:r>
      <w:r w:rsidR="00A549FA">
        <w:rPr>
          <w:rFonts w:ascii="Times New Roman" w:hAnsi="Times New Roman" w:cs="Times New Roman"/>
          <w:sz w:val="28"/>
          <w:szCs w:val="28"/>
        </w:rPr>
        <w:t xml:space="preserve"> </w:t>
      </w:r>
      <w:r w:rsidRPr="00761130">
        <w:rPr>
          <w:rFonts w:ascii="Times New Roman" w:hAnsi="Times New Roman" w:cs="Times New Roman"/>
          <w:sz w:val="28"/>
          <w:szCs w:val="28"/>
        </w:rPr>
        <w:t xml:space="preserve">Vājākas zināšanas </w:t>
      </w:r>
      <w:r w:rsidRPr="00761130">
        <w:rPr>
          <w:rFonts w:ascii="Times New Roman" w:hAnsi="Times New Roman" w:cs="Times New Roman"/>
          <w:sz w:val="28"/>
          <w:szCs w:val="28"/>
        </w:rPr>
        <w:lastRenderedPageBreak/>
        <w:t xml:space="preserve">amatpersonām bijušas jautājumos par interešu konflikta identificēšanu dažādās darba situācijās. </w:t>
      </w:r>
    </w:p>
    <w:p w:rsidR="00653F55" w:rsidRPr="00765E3A" w:rsidRDefault="00765E3A" w:rsidP="00765E3A">
      <w:pPr>
        <w:pStyle w:val="NoSpacing"/>
        <w:ind w:firstLine="567"/>
        <w:jc w:val="both"/>
        <w:rPr>
          <w:rFonts w:ascii="Times New Roman" w:hAnsi="Times New Roman" w:cs="Times New Roman"/>
          <w:color w:val="000000"/>
          <w:sz w:val="28"/>
          <w:szCs w:val="28"/>
        </w:rPr>
      </w:pPr>
      <w:r w:rsidRPr="00765E3A">
        <w:rPr>
          <w:rFonts w:ascii="Times New Roman" w:hAnsi="Times New Roman" w:cs="Times New Roman"/>
          <w:color w:val="000000"/>
          <w:sz w:val="28"/>
          <w:szCs w:val="28"/>
        </w:rPr>
        <w:t xml:space="preserve">Pārskata periodā Birojs nodrošināja </w:t>
      </w:r>
      <w:r w:rsidR="00653F55" w:rsidRPr="00765E3A">
        <w:rPr>
          <w:rFonts w:ascii="Times New Roman" w:hAnsi="Times New Roman" w:cs="Times New Roman"/>
          <w:color w:val="000000"/>
          <w:sz w:val="28"/>
          <w:szCs w:val="28"/>
        </w:rPr>
        <w:t>dalīb</w:t>
      </w:r>
      <w:r w:rsidRPr="00765E3A">
        <w:rPr>
          <w:rFonts w:ascii="Times New Roman" w:hAnsi="Times New Roman" w:cs="Times New Roman"/>
          <w:color w:val="000000"/>
          <w:sz w:val="28"/>
          <w:szCs w:val="28"/>
        </w:rPr>
        <w:t>u</w:t>
      </w:r>
      <w:r w:rsidR="00653F55" w:rsidRPr="00765E3A">
        <w:rPr>
          <w:rFonts w:ascii="Times New Roman" w:hAnsi="Times New Roman" w:cs="Times New Roman"/>
          <w:color w:val="000000"/>
          <w:sz w:val="28"/>
          <w:szCs w:val="28"/>
        </w:rPr>
        <w:t xml:space="preserve">, sniedzot skaidrojumus, </w:t>
      </w:r>
      <w:r w:rsidRPr="00765E3A">
        <w:rPr>
          <w:rFonts w:ascii="Times New Roman" w:hAnsi="Times New Roman" w:cs="Times New Roman"/>
          <w:bCs/>
          <w:color w:val="000000"/>
          <w:sz w:val="28"/>
          <w:szCs w:val="28"/>
        </w:rPr>
        <w:t>Tieslietu ministrijas</w:t>
      </w:r>
      <w:r w:rsidR="00653F55" w:rsidRPr="00765E3A">
        <w:rPr>
          <w:rFonts w:ascii="Times New Roman" w:hAnsi="Times New Roman" w:cs="Times New Roman"/>
          <w:color w:val="000000"/>
          <w:sz w:val="28"/>
          <w:szCs w:val="28"/>
        </w:rPr>
        <w:t xml:space="preserve"> rīkotajā izglītojošajā seminārā maksātnespējas administratoriem par valsts amatpersonas statusu un v</w:t>
      </w:r>
      <w:r w:rsidRPr="00765E3A">
        <w:rPr>
          <w:rFonts w:ascii="Times New Roman" w:hAnsi="Times New Roman" w:cs="Times New Roman"/>
          <w:color w:val="000000"/>
          <w:sz w:val="28"/>
          <w:szCs w:val="28"/>
        </w:rPr>
        <w:t>alsts amatpersonām</w:t>
      </w:r>
      <w:r w:rsidR="00653F55" w:rsidRPr="00765E3A">
        <w:rPr>
          <w:rFonts w:ascii="Times New Roman" w:hAnsi="Times New Roman" w:cs="Times New Roman"/>
          <w:color w:val="000000"/>
          <w:sz w:val="28"/>
          <w:szCs w:val="28"/>
        </w:rPr>
        <w:t xml:space="preserve"> IKNL noteiktajiem ierobežojumiem, aizliegumiem un pienākumiem</w:t>
      </w:r>
      <w:r w:rsidRPr="00765E3A">
        <w:rPr>
          <w:rFonts w:ascii="Times New Roman" w:hAnsi="Times New Roman" w:cs="Times New Roman"/>
          <w:color w:val="000000"/>
          <w:sz w:val="28"/>
          <w:szCs w:val="28"/>
        </w:rPr>
        <w:t xml:space="preserve">, kā arī </w:t>
      </w:r>
      <w:r w:rsidR="00653F55" w:rsidRPr="00765E3A">
        <w:rPr>
          <w:rFonts w:ascii="Times New Roman" w:hAnsi="Times New Roman" w:cs="Times New Roman"/>
          <w:sz w:val="28"/>
          <w:szCs w:val="28"/>
        </w:rPr>
        <w:t xml:space="preserve">Juristu biedrības sanāksmē par maksātnespējas administratoru </w:t>
      </w:r>
      <w:r w:rsidRPr="00765E3A">
        <w:rPr>
          <w:rFonts w:ascii="Times New Roman" w:hAnsi="Times New Roman" w:cs="Times New Roman"/>
          <w:sz w:val="28"/>
          <w:szCs w:val="28"/>
        </w:rPr>
        <w:t>valsts amatpersonu</w:t>
      </w:r>
      <w:r w:rsidR="00653F55" w:rsidRPr="00765E3A">
        <w:rPr>
          <w:rFonts w:ascii="Times New Roman" w:hAnsi="Times New Roman" w:cs="Times New Roman"/>
          <w:sz w:val="28"/>
          <w:szCs w:val="28"/>
        </w:rPr>
        <w:t xml:space="preserve"> statusu</w:t>
      </w:r>
      <w:r w:rsidRPr="00765E3A">
        <w:rPr>
          <w:rFonts w:ascii="Times New Roman" w:hAnsi="Times New Roman" w:cs="Times New Roman"/>
          <w:sz w:val="28"/>
          <w:szCs w:val="28"/>
        </w:rPr>
        <w:t xml:space="preserve">. </w:t>
      </w:r>
    </w:p>
    <w:p w:rsidR="00C22F21" w:rsidRDefault="00C22F21" w:rsidP="00761130">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Pārskata periodā Birojs ir rīkojis </w:t>
      </w:r>
      <w:r w:rsidRPr="004568FC">
        <w:rPr>
          <w:rFonts w:ascii="Times New Roman" w:hAnsi="Times New Roman" w:cs="Times New Roman"/>
          <w:b/>
          <w:sz w:val="28"/>
          <w:szCs w:val="28"/>
        </w:rPr>
        <w:t>divas preses konferences</w:t>
      </w:r>
      <w:r w:rsidRPr="00C22F21">
        <w:rPr>
          <w:rFonts w:ascii="Times New Roman" w:hAnsi="Times New Roman" w:cs="Times New Roman"/>
          <w:sz w:val="28"/>
          <w:szCs w:val="28"/>
        </w:rPr>
        <w:t xml:space="preserve">, pirmajā medijus informējot par partiju finansēšanas noteikumu pārkāpumiem Eiropas </w:t>
      </w:r>
      <w:r w:rsidR="007A72C3">
        <w:rPr>
          <w:rFonts w:ascii="Times New Roman" w:hAnsi="Times New Roman" w:cs="Times New Roman"/>
          <w:sz w:val="28"/>
          <w:szCs w:val="28"/>
        </w:rPr>
        <w:t>P</w:t>
      </w:r>
      <w:r w:rsidRPr="00C22F21">
        <w:rPr>
          <w:rFonts w:ascii="Times New Roman" w:hAnsi="Times New Roman" w:cs="Times New Roman"/>
          <w:sz w:val="28"/>
          <w:szCs w:val="28"/>
        </w:rPr>
        <w:t>arlamenta vēlēšanu kampaņā 2014.gadā</w:t>
      </w:r>
      <w:r w:rsidR="007A72C3">
        <w:rPr>
          <w:rFonts w:ascii="Times New Roman" w:hAnsi="Times New Roman" w:cs="Times New Roman"/>
          <w:sz w:val="28"/>
          <w:szCs w:val="28"/>
        </w:rPr>
        <w:t xml:space="preserve"> un v</w:t>
      </w:r>
      <w:r w:rsidR="007A72C3" w:rsidRPr="007A72C3">
        <w:rPr>
          <w:rFonts w:ascii="Times New Roman" w:hAnsi="Times New Roman" w:cs="Times New Roman"/>
          <w:sz w:val="28"/>
          <w:szCs w:val="28"/>
        </w:rPr>
        <w:t>eiktajiem pasākumi</w:t>
      </w:r>
      <w:r w:rsidR="007A72C3">
        <w:rPr>
          <w:rFonts w:ascii="Times New Roman" w:hAnsi="Times New Roman" w:cs="Times New Roman"/>
          <w:sz w:val="28"/>
          <w:szCs w:val="28"/>
        </w:rPr>
        <w:t>em atklāto pārkāpumu novēršanai</w:t>
      </w:r>
      <w:r w:rsidR="00A549FA">
        <w:rPr>
          <w:rFonts w:ascii="Times New Roman" w:hAnsi="Times New Roman" w:cs="Times New Roman"/>
          <w:sz w:val="28"/>
          <w:szCs w:val="28"/>
        </w:rPr>
        <w:t xml:space="preserve">, savukārt </w:t>
      </w:r>
      <w:r w:rsidRPr="00C22F21">
        <w:rPr>
          <w:rFonts w:ascii="Times New Roman" w:hAnsi="Times New Roman" w:cs="Times New Roman"/>
          <w:sz w:val="28"/>
          <w:szCs w:val="28"/>
        </w:rPr>
        <w:t xml:space="preserve">otrajā </w:t>
      </w:r>
      <w:r w:rsidR="007A72C3">
        <w:rPr>
          <w:rFonts w:ascii="Times New Roman" w:hAnsi="Times New Roman" w:cs="Times New Roman"/>
          <w:sz w:val="28"/>
          <w:szCs w:val="28"/>
        </w:rPr>
        <w:t xml:space="preserve">– </w:t>
      </w:r>
      <w:r w:rsidRPr="00C22F21">
        <w:rPr>
          <w:rFonts w:ascii="Times New Roman" w:hAnsi="Times New Roman" w:cs="Times New Roman"/>
          <w:sz w:val="28"/>
          <w:szCs w:val="28"/>
        </w:rPr>
        <w:t xml:space="preserve">informējot par Biroja darbības rezultātiem 2014.gadā.   </w:t>
      </w:r>
    </w:p>
    <w:p w:rsidR="00C22F21" w:rsidRDefault="00C22F21" w:rsidP="00761130">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2015.gada </w:t>
      </w:r>
      <w:r w:rsidR="00A549FA">
        <w:rPr>
          <w:rFonts w:ascii="Times New Roman" w:hAnsi="Times New Roman" w:cs="Times New Roman"/>
          <w:sz w:val="28"/>
          <w:szCs w:val="28"/>
        </w:rPr>
        <w:t>28.</w:t>
      </w:r>
      <w:r>
        <w:rPr>
          <w:rFonts w:ascii="Times New Roman" w:hAnsi="Times New Roman" w:cs="Times New Roman"/>
          <w:sz w:val="28"/>
          <w:szCs w:val="28"/>
        </w:rPr>
        <w:t xml:space="preserve">aprīlī </w:t>
      </w:r>
      <w:r w:rsidR="00A549FA">
        <w:rPr>
          <w:rFonts w:ascii="Times New Roman" w:hAnsi="Times New Roman" w:cs="Times New Roman"/>
          <w:sz w:val="28"/>
          <w:szCs w:val="28"/>
        </w:rPr>
        <w:t xml:space="preserve">Jelgavā </w:t>
      </w:r>
      <w:r>
        <w:rPr>
          <w:rFonts w:ascii="Times New Roman" w:hAnsi="Times New Roman" w:cs="Times New Roman"/>
          <w:sz w:val="28"/>
          <w:szCs w:val="28"/>
        </w:rPr>
        <w:t xml:space="preserve">tika organizēta </w:t>
      </w:r>
      <w:r w:rsidRPr="004568FC">
        <w:rPr>
          <w:rFonts w:ascii="Times New Roman" w:hAnsi="Times New Roman" w:cs="Times New Roman"/>
          <w:b/>
          <w:sz w:val="28"/>
          <w:szCs w:val="28"/>
        </w:rPr>
        <w:t>Informatīvā diena</w:t>
      </w:r>
      <w:r w:rsidRPr="00C22F21">
        <w:rPr>
          <w:rFonts w:ascii="Times New Roman" w:hAnsi="Times New Roman" w:cs="Times New Roman"/>
          <w:sz w:val="28"/>
          <w:szCs w:val="28"/>
        </w:rPr>
        <w:t xml:space="preserve">, kuras mērķis bija iepazīstināt Zemgales iedzīvotājus, uzņēmējus, studentus, valsts un pašvaldību amatpersonas, kā arī reģionālos medijus ar </w:t>
      </w:r>
      <w:r>
        <w:rPr>
          <w:rFonts w:ascii="Times New Roman" w:hAnsi="Times New Roman" w:cs="Times New Roman"/>
          <w:sz w:val="28"/>
          <w:szCs w:val="28"/>
        </w:rPr>
        <w:t>Biroja</w:t>
      </w:r>
      <w:r w:rsidRPr="00C22F21">
        <w:rPr>
          <w:rFonts w:ascii="Times New Roman" w:hAnsi="Times New Roman" w:cs="Times New Roman"/>
          <w:sz w:val="28"/>
          <w:szCs w:val="28"/>
        </w:rPr>
        <w:t xml:space="preserve"> darbu un funkcijām. </w:t>
      </w:r>
    </w:p>
    <w:p w:rsidR="00C22F21" w:rsidRDefault="00C22F21" w:rsidP="0004079C">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2015.gada </w:t>
      </w:r>
      <w:r w:rsidRPr="00C22F21">
        <w:rPr>
          <w:rFonts w:ascii="Times New Roman" w:hAnsi="Times New Roman" w:cs="Times New Roman"/>
          <w:sz w:val="28"/>
          <w:szCs w:val="28"/>
        </w:rPr>
        <w:t xml:space="preserve">1.jūnijā </w:t>
      </w:r>
      <w:r>
        <w:rPr>
          <w:rFonts w:ascii="Times New Roman" w:hAnsi="Times New Roman" w:cs="Times New Roman"/>
          <w:sz w:val="28"/>
          <w:szCs w:val="28"/>
        </w:rPr>
        <w:t xml:space="preserve">Birojs </w:t>
      </w:r>
      <w:r w:rsidR="00F03B6B">
        <w:rPr>
          <w:rFonts w:ascii="Times New Roman" w:hAnsi="Times New Roman" w:cs="Times New Roman"/>
          <w:sz w:val="28"/>
          <w:szCs w:val="28"/>
        </w:rPr>
        <w:t>uzsāka</w:t>
      </w:r>
      <w:r w:rsidRPr="00C22F21">
        <w:rPr>
          <w:rFonts w:ascii="Times New Roman" w:hAnsi="Times New Roman" w:cs="Times New Roman"/>
          <w:sz w:val="28"/>
          <w:szCs w:val="28"/>
        </w:rPr>
        <w:t xml:space="preserve"> </w:t>
      </w:r>
      <w:r w:rsidRPr="004568FC">
        <w:rPr>
          <w:rFonts w:ascii="Times New Roman" w:hAnsi="Times New Roman" w:cs="Times New Roman"/>
          <w:b/>
          <w:sz w:val="28"/>
          <w:szCs w:val="28"/>
        </w:rPr>
        <w:t>sociālo kampaņu „Nepieļauj</w:t>
      </w:r>
      <w:r w:rsidR="00DF35A5">
        <w:rPr>
          <w:rFonts w:ascii="Times New Roman" w:hAnsi="Times New Roman" w:cs="Times New Roman"/>
          <w:b/>
          <w:sz w:val="28"/>
          <w:szCs w:val="28"/>
        </w:rPr>
        <w:t>!</w:t>
      </w:r>
      <w:r w:rsidRPr="004568FC">
        <w:rPr>
          <w:rFonts w:ascii="Times New Roman" w:hAnsi="Times New Roman" w:cs="Times New Roman"/>
          <w:b/>
          <w:sz w:val="28"/>
          <w:szCs w:val="28"/>
        </w:rPr>
        <w:t>”</w:t>
      </w:r>
      <w:r w:rsidRPr="00C22F21">
        <w:rPr>
          <w:rFonts w:ascii="Times New Roman" w:hAnsi="Times New Roman" w:cs="Times New Roman"/>
          <w:sz w:val="28"/>
          <w:szCs w:val="28"/>
        </w:rPr>
        <w:t xml:space="preserve">, </w:t>
      </w:r>
      <w:r w:rsidR="00F03B6B" w:rsidRPr="00F03B6B">
        <w:rPr>
          <w:rFonts w:ascii="Times New Roman" w:hAnsi="Times New Roman" w:cs="Times New Roman"/>
          <w:sz w:val="28"/>
          <w:szCs w:val="28"/>
        </w:rPr>
        <w:t>izvietojot plakātus Latvijas pilsētās un lidostā.</w:t>
      </w:r>
      <w:r w:rsidR="0004079C">
        <w:rPr>
          <w:rFonts w:ascii="Times New Roman" w:hAnsi="Times New Roman" w:cs="Times New Roman"/>
          <w:sz w:val="28"/>
          <w:szCs w:val="28"/>
        </w:rPr>
        <w:t xml:space="preserve"> </w:t>
      </w:r>
      <w:r w:rsidR="0004079C" w:rsidRPr="0004079C">
        <w:rPr>
          <w:rFonts w:ascii="Times New Roman" w:hAnsi="Times New Roman" w:cs="Times New Roman"/>
          <w:sz w:val="28"/>
          <w:szCs w:val="28"/>
        </w:rPr>
        <w:t xml:space="preserve">Sociālās kampaņas </w:t>
      </w:r>
      <w:r w:rsidR="0004079C">
        <w:rPr>
          <w:rFonts w:ascii="Times New Roman" w:hAnsi="Times New Roman" w:cs="Times New Roman"/>
          <w:sz w:val="28"/>
          <w:szCs w:val="28"/>
        </w:rPr>
        <w:t xml:space="preserve">mērķis bija </w:t>
      </w:r>
      <w:r w:rsidR="0004079C" w:rsidRPr="0004079C">
        <w:rPr>
          <w:rFonts w:ascii="Times New Roman" w:hAnsi="Times New Roman" w:cs="Times New Roman"/>
          <w:sz w:val="28"/>
          <w:szCs w:val="28"/>
        </w:rPr>
        <w:t>pievērst iedzīvotāju uzmanību korupcijas problemātikai</w:t>
      </w:r>
      <w:r w:rsidR="0004079C">
        <w:rPr>
          <w:rFonts w:ascii="Times New Roman" w:hAnsi="Times New Roman" w:cs="Times New Roman"/>
          <w:sz w:val="28"/>
          <w:szCs w:val="28"/>
        </w:rPr>
        <w:t xml:space="preserve">, aicinot informēt Biroju par </w:t>
      </w:r>
      <w:r w:rsidR="0004079C" w:rsidRPr="0004079C">
        <w:rPr>
          <w:rFonts w:ascii="Times New Roman" w:hAnsi="Times New Roman" w:cs="Times New Roman"/>
          <w:sz w:val="28"/>
          <w:szCs w:val="28"/>
        </w:rPr>
        <w:t>korup</w:t>
      </w:r>
      <w:r w:rsidR="0004079C">
        <w:rPr>
          <w:rFonts w:ascii="Times New Roman" w:hAnsi="Times New Roman" w:cs="Times New Roman"/>
          <w:sz w:val="28"/>
          <w:szCs w:val="28"/>
        </w:rPr>
        <w:t>cijas gadījumiem. V</w:t>
      </w:r>
      <w:r w:rsidR="0004079C" w:rsidRPr="0004079C">
        <w:rPr>
          <w:rFonts w:ascii="Times New Roman" w:hAnsi="Times New Roman" w:cs="Times New Roman"/>
          <w:sz w:val="28"/>
          <w:szCs w:val="28"/>
        </w:rPr>
        <w:t>airākās Latvijas pilsētās (Bauskā, Jelgavā,  Jēkabpilī, Salaspilī, Siguldā, Tukumā, Valmierā, Ventspilī)</w:t>
      </w:r>
      <w:r w:rsidR="005A47AC">
        <w:rPr>
          <w:rFonts w:ascii="Times New Roman" w:hAnsi="Times New Roman" w:cs="Times New Roman"/>
          <w:sz w:val="28"/>
          <w:szCs w:val="28"/>
        </w:rPr>
        <w:t xml:space="preserve"> un starptautiskajā lidostā </w:t>
      </w:r>
      <w:r w:rsidR="009D0284">
        <w:rPr>
          <w:rFonts w:ascii="Times New Roman" w:hAnsi="Times New Roman" w:cs="Times New Roman"/>
          <w:sz w:val="28"/>
          <w:szCs w:val="28"/>
        </w:rPr>
        <w:t>„</w:t>
      </w:r>
      <w:r w:rsidR="005A47AC">
        <w:rPr>
          <w:rFonts w:ascii="Times New Roman" w:hAnsi="Times New Roman" w:cs="Times New Roman"/>
          <w:sz w:val="28"/>
          <w:szCs w:val="28"/>
        </w:rPr>
        <w:t>Rīga”</w:t>
      </w:r>
      <w:r w:rsidR="0004079C" w:rsidRPr="0004079C">
        <w:rPr>
          <w:rFonts w:ascii="Times New Roman" w:hAnsi="Times New Roman" w:cs="Times New Roman"/>
          <w:sz w:val="28"/>
          <w:szCs w:val="28"/>
        </w:rPr>
        <w:t xml:space="preserve"> </w:t>
      </w:r>
      <w:r w:rsidR="0004079C">
        <w:rPr>
          <w:rFonts w:ascii="Times New Roman" w:hAnsi="Times New Roman" w:cs="Times New Roman"/>
          <w:sz w:val="28"/>
          <w:szCs w:val="28"/>
        </w:rPr>
        <w:t xml:space="preserve">tika izvietoti </w:t>
      </w:r>
      <w:r w:rsidR="0004079C" w:rsidRPr="0004079C">
        <w:rPr>
          <w:rFonts w:ascii="Times New Roman" w:hAnsi="Times New Roman" w:cs="Times New Roman"/>
          <w:sz w:val="28"/>
          <w:szCs w:val="28"/>
        </w:rPr>
        <w:t xml:space="preserve">plakāti, </w:t>
      </w:r>
      <w:r w:rsidR="0004079C">
        <w:rPr>
          <w:rFonts w:ascii="Times New Roman" w:hAnsi="Times New Roman" w:cs="Times New Roman"/>
          <w:sz w:val="28"/>
          <w:szCs w:val="28"/>
        </w:rPr>
        <w:t>aicinot</w:t>
      </w:r>
      <w:r w:rsidR="0004079C" w:rsidRPr="0004079C">
        <w:rPr>
          <w:rFonts w:ascii="Times New Roman" w:hAnsi="Times New Roman" w:cs="Times New Roman"/>
          <w:sz w:val="28"/>
          <w:szCs w:val="28"/>
        </w:rPr>
        <w:t xml:space="preserve"> nepieļaut korupciju.</w:t>
      </w:r>
      <w:r w:rsidR="008071BC">
        <w:rPr>
          <w:rFonts w:ascii="Times New Roman" w:hAnsi="Times New Roman" w:cs="Times New Roman"/>
          <w:sz w:val="28"/>
          <w:szCs w:val="28"/>
        </w:rPr>
        <w:t xml:space="preserve"> </w:t>
      </w:r>
      <w:r w:rsidR="00DF35A5">
        <w:rPr>
          <w:rFonts w:ascii="Times New Roman" w:hAnsi="Times New Roman" w:cs="Times New Roman"/>
          <w:sz w:val="28"/>
          <w:szCs w:val="28"/>
        </w:rPr>
        <w:t>Vairāk nekā 80 </w:t>
      </w:r>
      <w:r w:rsidR="008071BC">
        <w:rPr>
          <w:rFonts w:ascii="Times New Roman" w:hAnsi="Times New Roman" w:cs="Times New Roman"/>
          <w:sz w:val="28"/>
          <w:szCs w:val="28"/>
        </w:rPr>
        <w:t>pašvaldības ir atsaukušās a</w:t>
      </w:r>
      <w:r w:rsidR="00DF35A5">
        <w:rPr>
          <w:rFonts w:ascii="Times New Roman" w:hAnsi="Times New Roman" w:cs="Times New Roman"/>
          <w:sz w:val="28"/>
          <w:szCs w:val="28"/>
        </w:rPr>
        <w:t>icinājumam iesaistīties kampaņā, izvietojot</w:t>
      </w:r>
      <w:r w:rsidR="008071BC">
        <w:rPr>
          <w:rFonts w:ascii="Times New Roman" w:hAnsi="Times New Roman" w:cs="Times New Roman"/>
          <w:sz w:val="28"/>
          <w:szCs w:val="28"/>
        </w:rPr>
        <w:t xml:space="preserve"> plakātus </w:t>
      </w:r>
      <w:r w:rsidR="00DF35A5">
        <w:rPr>
          <w:rFonts w:ascii="Times New Roman" w:hAnsi="Times New Roman" w:cs="Times New Roman"/>
          <w:sz w:val="28"/>
          <w:szCs w:val="28"/>
        </w:rPr>
        <w:t xml:space="preserve">savās </w:t>
      </w:r>
      <w:r w:rsidR="008071BC">
        <w:rPr>
          <w:rFonts w:ascii="Times New Roman" w:hAnsi="Times New Roman" w:cs="Times New Roman"/>
          <w:sz w:val="28"/>
          <w:szCs w:val="28"/>
        </w:rPr>
        <w:t xml:space="preserve">padotības iestādes. </w:t>
      </w:r>
    </w:p>
    <w:p w:rsidR="00AE1BE5" w:rsidRDefault="00F03B6B" w:rsidP="00F03B6B">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Pārskata periodā </w:t>
      </w:r>
      <w:r w:rsidR="005A47AC">
        <w:rPr>
          <w:rFonts w:ascii="Times New Roman" w:hAnsi="Times New Roman" w:cs="Times New Roman"/>
          <w:sz w:val="28"/>
          <w:szCs w:val="28"/>
        </w:rPr>
        <w:t>tika</w:t>
      </w:r>
      <w:r>
        <w:rPr>
          <w:rFonts w:ascii="Times New Roman" w:hAnsi="Times New Roman" w:cs="Times New Roman"/>
          <w:sz w:val="28"/>
          <w:szCs w:val="28"/>
        </w:rPr>
        <w:t xml:space="preserve"> rīkotas </w:t>
      </w:r>
      <w:r w:rsidR="00560186">
        <w:rPr>
          <w:rFonts w:ascii="Times New Roman" w:hAnsi="Times New Roman" w:cs="Times New Roman"/>
          <w:sz w:val="28"/>
          <w:szCs w:val="28"/>
        </w:rPr>
        <w:t>trīs</w:t>
      </w:r>
      <w:r w:rsidR="00C22F21" w:rsidRPr="00C22F21">
        <w:rPr>
          <w:rFonts w:ascii="Times New Roman" w:hAnsi="Times New Roman" w:cs="Times New Roman"/>
          <w:sz w:val="28"/>
          <w:szCs w:val="28"/>
        </w:rPr>
        <w:t xml:space="preserve"> Sabiedri</w:t>
      </w:r>
      <w:r>
        <w:rPr>
          <w:rFonts w:ascii="Times New Roman" w:hAnsi="Times New Roman" w:cs="Times New Roman"/>
          <w:sz w:val="28"/>
          <w:szCs w:val="28"/>
        </w:rPr>
        <w:t>ski konsultatīvās padomes (</w:t>
      </w:r>
      <w:r w:rsidR="005A47AC">
        <w:rPr>
          <w:rFonts w:ascii="Times New Roman" w:hAnsi="Times New Roman" w:cs="Times New Roman"/>
          <w:sz w:val="28"/>
          <w:szCs w:val="28"/>
        </w:rPr>
        <w:t xml:space="preserve">turpmāk – </w:t>
      </w:r>
      <w:r w:rsidRPr="004568FC">
        <w:rPr>
          <w:rFonts w:ascii="Times New Roman" w:hAnsi="Times New Roman" w:cs="Times New Roman"/>
          <w:b/>
          <w:sz w:val="28"/>
          <w:szCs w:val="28"/>
        </w:rPr>
        <w:t>SKP</w:t>
      </w:r>
      <w:r>
        <w:rPr>
          <w:rFonts w:ascii="Times New Roman" w:hAnsi="Times New Roman" w:cs="Times New Roman"/>
          <w:sz w:val="28"/>
          <w:szCs w:val="28"/>
        </w:rPr>
        <w:t xml:space="preserve">) </w:t>
      </w:r>
      <w:r w:rsidRPr="004568FC">
        <w:rPr>
          <w:rFonts w:ascii="Times New Roman" w:hAnsi="Times New Roman" w:cs="Times New Roman"/>
          <w:b/>
          <w:sz w:val="28"/>
          <w:szCs w:val="28"/>
        </w:rPr>
        <w:t>sēdes</w:t>
      </w:r>
      <w:r>
        <w:rPr>
          <w:rFonts w:ascii="Times New Roman" w:hAnsi="Times New Roman" w:cs="Times New Roman"/>
          <w:sz w:val="28"/>
          <w:szCs w:val="28"/>
        </w:rPr>
        <w:t xml:space="preserve">, kurās tika </w:t>
      </w:r>
      <w:r w:rsidRPr="00F03B6B">
        <w:rPr>
          <w:rFonts w:ascii="Times New Roman" w:hAnsi="Times New Roman" w:cs="Times New Roman"/>
          <w:sz w:val="28"/>
          <w:szCs w:val="28"/>
        </w:rPr>
        <w:t>apstiprināts jaunais SKP sastāvs, ievēlēts SKP priekšsēdētājs un vietnieks</w:t>
      </w:r>
      <w:r>
        <w:rPr>
          <w:rFonts w:ascii="Times New Roman" w:hAnsi="Times New Roman" w:cs="Times New Roman"/>
          <w:sz w:val="28"/>
          <w:szCs w:val="28"/>
        </w:rPr>
        <w:t>, kā arī apspriest</w:t>
      </w:r>
      <w:r w:rsidR="007A72C3">
        <w:rPr>
          <w:rFonts w:ascii="Times New Roman" w:hAnsi="Times New Roman" w:cs="Times New Roman"/>
          <w:sz w:val="28"/>
          <w:szCs w:val="28"/>
        </w:rPr>
        <w:t>i</w:t>
      </w:r>
      <w:r>
        <w:rPr>
          <w:rFonts w:ascii="Times New Roman" w:hAnsi="Times New Roman" w:cs="Times New Roman"/>
          <w:sz w:val="28"/>
          <w:szCs w:val="28"/>
        </w:rPr>
        <w:t xml:space="preserve"> </w:t>
      </w:r>
      <w:r w:rsidRPr="00F03B6B">
        <w:rPr>
          <w:rFonts w:ascii="Times New Roman" w:hAnsi="Times New Roman" w:cs="Times New Roman"/>
          <w:sz w:val="28"/>
          <w:szCs w:val="28"/>
        </w:rPr>
        <w:t>likumprojekt</w:t>
      </w:r>
      <w:r w:rsidR="007A72C3">
        <w:rPr>
          <w:rFonts w:ascii="Times New Roman" w:hAnsi="Times New Roman" w:cs="Times New Roman"/>
          <w:sz w:val="28"/>
          <w:szCs w:val="28"/>
        </w:rPr>
        <w:t>ā</w:t>
      </w:r>
      <w:r w:rsidRPr="00F03B6B">
        <w:rPr>
          <w:rFonts w:ascii="Times New Roman" w:hAnsi="Times New Roman" w:cs="Times New Roman"/>
          <w:sz w:val="28"/>
          <w:szCs w:val="28"/>
        </w:rPr>
        <w:t xml:space="preserve"> „Korupcijas novēršanas</w:t>
      </w:r>
      <w:r>
        <w:rPr>
          <w:rFonts w:ascii="Times New Roman" w:hAnsi="Times New Roman" w:cs="Times New Roman"/>
          <w:sz w:val="28"/>
          <w:szCs w:val="28"/>
        </w:rPr>
        <w:t xml:space="preserve"> un apkarošanas biroja likums” </w:t>
      </w:r>
      <w:r w:rsidR="007A72C3">
        <w:rPr>
          <w:rFonts w:ascii="Times New Roman" w:hAnsi="Times New Roman" w:cs="Times New Roman"/>
          <w:sz w:val="28"/>
          <w:szCs w:val="28"/>
        </w:rPr>
        <w:t xml:space="preserve">paredzētie grozījumi </w:t>
      </w:r>
      <w:r>
        <w:rPr>
          <w:rFonts w:ascii="Times New Roman" w:hAnsi="Times New Roman" w:cs="Times New Roman"/>
          <w:sz w:val="28"/>
          <w:szCs w:val="28"/>
        </w:rPr>
        <w:t xml:space="preserve">un izskaidrotas </w:t>
      </w:r>
      <w:r w:rsidR="009D0284">
        <w:rPr>
          <w:rFonts w:ascii="Times New Roman" w:hAnsi="Times New Roman" w:cs="Times New Roman"/>
          <w:sz w:val="28"/>
          <w:szCs w:val="28"/>
        </w:rPr>
        <w:t>izmaiņas, ko plānots ieviest</w:t>
      </w:r>
      <w:r w:rsidR="00AE1BE5">
        <w:rPr>
          <w:rFonts w:ascii="Times New Roman" w:hAnsi="Times New Roman" w:cs="Times New Roman"/>
          <w:sz w:val="28"/>
          <w:szCs w:val="28"/>
        </w:rPr>
        <w:t xml:space="preserve"> atšķirībā no pašreiz spēkā esošā regulējuma. </w:t>
      </w:r>
    </w:p>
    <w:p w:rsidR="00761130" w:rsidRDefault="00AE1BE5" w:rsidP="00560186">
      <w:pPr>
        <w:pStyle w:val="NoSpacing"/>
        <w:ind w:firstLine="567"/>
        <w:jc w:val="both"/>
        <w:rPr>
          <w:rFonts w:ascii="Times New Roman" w:hAnsi="Times New Roman" w:cs="Times New Roman"/>
          <w:sz w:val="28"/>
          <w:szCs w:val="28"/>
        </w:rPr>
      </w:pPr>
      <w:r w:rsidRPr="00AE1BE5">
        <w:rPr>
          <w:rFonts w:ascii="Times New Roman" w:hAnsi="Times New Roman" w:cs="Times New Roman"/>
          <w:sz w:val="28"/>
          <w:szCs w:val="28"/>
        </w:rPr>
        <w:t>Informējot sabiedrību par korupcijas attīstības tendencēm un atklātajiem korupcijas gadījumiem, kā arī par veiktajiem pasākumiem korupcijas novēršanai un apkarošanai, 201</w:t>
      </w:r>
      <w:r>
        <w:rPr>
          <w:rFonts w:ascii="Times New Roman" w:hAnsi="Times New Roman" w:cs="Times New Roman"/>
          <w:sz w:val="28"/>
          <w:szCs w:val="28"/>
        </w:rPr>
        <w:t>5</w:t>
      </w:r>
      <w:r w:rsidRPr="00AE1BE5">
        <w:rPr>
          <w:rFonts w:ascii="Times New Roman" w:hAnsi="Times New Roman" w:cs="Times New Roman"/>
          <w:sz w:val="28"/>
          <w:szCs w:val="28"/>
        </w:rPr>
        <w:t>.gad</w:t>
      </w:r>
      <w:r>
        <w:rPr>
          <w:rFonts w:ascii="Times New Roman" w:hAnsi="Times New Roman" w:cs="Times New Roman"/>
          <w:sz w:val="28"/>
          <w:szCs w:val="28"/>
        </w:rPr>
        <w:t xml:space="preserve">a </w:t>
      </w:r>
      <w:r w:rsidR="005A47AC">
        <w:rPr>
          <w:rFonts w:ascii="Times New Roman" w:hAnsi="Times New Roman" w:cs="Times New Roman"/>
          <w:sz w:val="28"/>
          <w:szCs w:val="28"/>
        </w:rPr>
        <w:t>pirmajos sešos mēnešos</w:t>
      </w:r>
      <w:r>
        <w:rPr>
          <w:rFonts w:ascii="Times New Roman" w:hAnsi="Times New Roman" w:cs="Times New Roman"/>
          <w:sz w:val="28"/>
          <w:szCs w:val="28"/>
        </w:rPr>
        <w:t xml:space="preserve"> </w:t>
      </w:r>
      <w:r w:rsidRPr="00AE1BE5">
        <w:rPr>
          <w:rFonts w:ascii="Times New Roman" w:hAnsi="Times New Roman" w:cs="Times New Roman"/>
          <w:sz w:val="28"/>
          <w:szCs w:val="28"/>
        </w:rPr>
        <w:t>Biroj</w:t>
      </w:r>
      <w:r w:rsidR="00560186">
        <w:rPr>
          <w:rFonts w:ascii="Times New Roman" w:hAnsi="Times New Roman" w:cs="Times New Roman"/>
          <w:sz w:val="28"/>
          <w:szCs w:val="28"/>
        </w:rPr>
        <w:t xml:space="preserve">a amatpersonas ir sagatavojušas un publicējušas </w:t>
      </w:r>
      <w:r w:rsidR="00560186" w:rsidRPr="004568FC">
        <w:rPr>
          <w:rFonts w:ascii="Times New Roman" w:hAnsi="Times New Roman" w:cs="Times New Roman"/>
          <w:b/>
          <w:sz w:val="28"/>
          <w:szCs w:val="28"/>
        </w:rPr>
        <w:t>55 paziņojumus plašsaziņas līdzekļiem</w:t>
      </w:r>
      <w:r w:rsidR="00560186" w:rsidRPr="00560186">
        <w:rPr>
          <w:rFonts w:ascii="Times New Roman" w:hAnsi="Times New Roman" w:cs="Times New Roman"/>
          <w:sz w:val="28"/>
          <w:szCs w:val="28"/>
        </w:rPr>
        <w:t xml:space="preserve"> </w:t>
      </w:r>
      <w:r w:rsidR="00560186">
        <w:rPr>
          <w:rFonts w:ascii="Times New Roman" w:hAnsi="Times New Roman" w:cs="Times New Roman"/>
          <w:sz w:val="28"/>
          <w:szCs w:val="28"/>
        </w:rPr>
        <w:t>un vairāk nekā 250 reizes sniegušas</w:t>
      </w:r>
      <w:r w:rsidRPr="00AE1BE5">
        <w:rPr>
          <w:rFonts w:ascii="Times New Roman" w:hAnsi="Times New Roman" w:cs="Times New Roman"/>
          <w:sz w:val="28"/>
          <w:szCs w:val="28"/>
        </w:rPr>
        <w:t xml:space="preserve"> atbildes uz mediju pārstāvju jautājumiem.</w:t>
      </w:r>
    </w:p>
    <w:p w:rsidR="006C1384" w:rsidRPr="00611589" w:rsidRDefault="006C1384" w:rsidP="008373C7">
      <w:pPr>
        <w:spacing w:after="0" w:line="240" w:lineRule="auto"/>
        <w:ind w:firstLine="567"/>
        <w:jc w:val="both"/>
        <w:rPr>
          <w:rFonts w:ascii="Times New Roman" w:hAnsi="Times New Roman" w:cs="Times New Roman"/>
        </w:rPr>
      </w:pPr>
    </w:p>
    <w:p w:rsidR="008F32BD" w:rsidRPr="00752EF4" w:rsidRDefault="008F32BD" w:rsidP="00752EF4">
      <w:pPr>
        <w:pStyle w:val="ListParagraph"/>
        <w:numPr>
          <w:ilvl w:val="1"/>
          <w:numId w:val="28"/>
        </w:numPr>
        <w:autoSpaceDE w:val="0"/>
        <w:autoSpaceDN w:val="0"/>
        <w:adjustRightInd w:val="0"/>
        <w:spacing w:after="120" w:line="240" w:lineRule="auto"/>
        <w:jc w:val="center"/>
        <w:rPr>
          <w:rStyle w:val="Strong"/>
          <w:rFonts w:ascii="Times New Roman" w:hAnsi="Times New Roman" w:cs="Times New Roman"/>
          <w:sz w:val="28"/>
          <w:szCs w:val="28"/>
        </w:rPr>
      </w:pPr>
      <w:r w:rsidRPr="00752EF4">
        <w:rPr>
          <w:rStyle w:val="Strong"/>
          <w:rFonts w:ascii="Times New Roman" w:hAnsi="Times New Roman" w:cs="Times New Roman"/>
          <w:sz w:val="28"/>
          <w:szCs w:val="28"/>
        </w:rPr>
        <w:t>Valsts amatpersonu darbības kontrole</w:t>
      </w:r>
    </w:p>
    <w:p w:rsidR="007C66BE" w:rsidRDefault="003D70F1" w:rsidP="00752EF4">
      <w:pPr>
        <w:spacing w:after="0" w:line="240" w:lineRule="auto"/>
        <w:ind w:firstLine="567"/>
        <w:jc w:val="both"/>
        <w:rPr>
          <w:rFonts w:ascii="Times New Roman" w:eastAsia="Times New Roman" w:hAnsi="Times New Roman" w:cs="Times New Roman"/>
          <w:sz w:val="28"/>
          <w:szCs w:val="28"/>
          <w:lang w:eastAsia="lv-LV"/>
        </w:rPr>
      </w:pPr>
      <w:r w:rsidRPr="00611589">
        <w:rPr>
          <w:rFonts w:ascii="Times New Roman" w:eastAsia="Times New Roman" w:hAnsi="Times New Roman" w:cs="Times New Roman"/>
          <w:sz w:val="28"/>
          <w:szCs w:val="28"/>
          <w:lang w:eastAsia="lv-LV"/>
        </w:rPr>
        <w:t xml:space="preserve">Lai nodrošinātu valsts amatpersonu darbību sabiedrības interesēs, novēršot jebkuras </w:t>
      </w:r>
      <w:r w:rsidR="007C66BE">
        <w:rPr>
          <w:rFonts w:ascii="Times New Roman" w:eastAsia="Times New Roman" w:hAnsi="Times New Roman" w:cs="Times New Roman"/>
          <w:sz w:val="28"/>
          <w:szCs w:val="28"/>
          <w:lang w:eastAsia="lv-LV"/>
        </w:rPr>
        <w:t xml:space="preserve">valsts </w:t>
      </w:r>
      <w:r w:rsidRPr="00611589">
        <w:rPr>
          <w:rFonts w:ascii="Times New Roman" w:eastAsia="Times New Roman" w:hAnsi="Times New Roman" w:cs="Times New Roman"/>
          <w:sz w:val="28"/>
          <w:szCs w:val="28"/>
          <w:lang w:eastAsia="lv-LV"/>
        </w:rPr>
        <w:t xml:space="preserve">amatpersonas, tās radinieku vai darījumu partneru personiskās vai mantiskās ieinteresētības ietekmi uz valsts amatpersonas </w:t>
      </w:r>
      <w:r w:rsidR="007C66BE">
        <w:rPr>
          <w:rFonts w:ascii="Times New Roman" w:eastAsia="Times New Roman" w:hAnsi="Times New Roman" w:cs="Times New Roman"/>
          <w:sz w:val="28"/>
          <w:szCs w:val="28"/>
          <w:lang w:eastAsia="lv-LV"/>
        </w:rPr>
        <w:t>darbību</w:t>
      </w:r>
      <w:r w:rsidRPr="00611589">
        <w:rPr>
          <w:rFonts w:ascii="Times New Roman" w:eastAsia="Times New Roman" w:hAnsi="Times New Roman" w:cs="Times New Roman"/>
          <w:sz w:val="28"/>
          <w:szCs w:val="28"/>
          <w:lang w:eastAsia="lv-LV"/>
        </w:rPr>
        <w:t>, Birojs kontrolē</w:t>
      </w:r>
      <w:r w:rsidR="007C66BE">
        <w:rPr>
          <w:rFonts w:ascii="Times New Roman" w:eastAsia="Times New Roman" w:hAnsi="Times New Roman" w:cs="Times New Roman"/>
          <w:sz w:val="28"/>
          <w:szCs w:val="28"/>
          <w:lang w:eastAsia="lv-LV"/>
        </w:rPr>
        <w:t xml:space="preserve"> likuma </w:t>
      </w:r>
      <w:r w:rsidR="007C66BE" w:rsidRPr="007C66BE">
        <w:rPr>
          <w:rFonts w:ascii="Times New Roman" w:eastAsia="Times New Roman" w:hAnsi="Times New Roman" w:cs="Times New Roman"/>
          <w:sz w:val="28"/>
          <w:szCs w:val="28"/>
          <w:lang w:eastAsia="lv-LV"/>
        </w:rPr>
        <w:t>„Par interešu konflikta novēršanu valsts amatpersonu darbībā” izpildi</w:t>
      </w:r>
      <w:r w:rsidRPr="00611589">
        <w:rPr>
          <w:rFonts w:ascii="Times New Roman" w:eastAsia="Times New Roman" w:hAnsi="Times New Roman" w:cs="Times New Roman"/>
          <w:sz w:val="28"/>
          <w:szCs w:val="28"/>
          <w:lang w:eastAsia="lv-LV"/>
        </w:rPr>
        <w:t xml:space="preserve">, kā arī </w:t>
      </w:r>
      <w:r w:rsidR="007C66BE">
        <w:rPr>
          <w:rFonts w:ascii="Times New Roman" w:eastAsia="Times New Roman" w:hAnsi="Times New Roman" w:cs="Times New Roman"/>
          <w:sz w:val="28"/>
          <w:szCs w:val="28"/>
          <w:lang w:eastAsia="lv-LV"/>
        </w:rPr>
        <w:t xml:space="preserve">citos </w:t>
      </w:r>
      <w:r w:rsidRPr="00611589">
        <w:rPr>
          <w:rFonts w:ascii="Times New Roman" w:eastAsia="Times New Roman" w:hAnsi="Times New Roman" w:cs="Times New Roman"/>
          <w:sz w:val="28"/>
          <w:szCs w:val="28"/>
          <w:lang w:eastAsia="lv-LV"/>
        </w:rPr>
        <w:t xml:space="preserve">normatīvajos aktos </w:t>
      </w:r>
      <w:r w:rsidR="007C66BE">
        <w:rPr>
          <w:rFonts w:ascii="Times New Roman" w:eastAsia="Times New Roman" w:hAnsi="Times New Roman" w:cs="Times New Roman"/>
          <w:sz w:val="28"/>
          <w:szCs w:val="28"/>
          <w:lang w:eastAsia="lv-LV"/>
        </w:rPr>
        <w:t xml:space="preserve">valsts amatpersonām noteikto </w:t>
      </w:r>
      <w:r w:rsidRPr="00611589">
        <w:rPr>
          <w:rFonts w:ascii="Times New Roman" w:eastAsia="Times New Roman" w:hAnsi="Times New Roman" w:cs="Times New Roman"/>
          <w:sz w:val="28"/>
          <w:szCs w:val="28"/>
          <w:lang w:eastAsia="lv-LV"/>
        </w:rPr>
        <w:t>papildu ierobežojumu ievērošanu.</w:t>
      </w:r>
      <w:r w:rsidR="00BF1952" w:rsidRPr="00611589">
        <w:rPr>
          <w:rFonts w:ascii="Times New Roman" w:eastAsia="Times New Roman" w:hAnsi="Times New Roman" w:cs="Times New Roman"/>
          <w:sz w:val="28"/>
          <w:szCs w:val="28"/>
          <w:lang w:eastAsia="lv-LV"/>
        </w:rPr>
        <w:t xml:space="preserve"> </w:t>
      </w:r>
    </w:p>
    <w:p w:rsidR="007C66BE" w:rsidRDefault="007C66BE" w:rsidP="007C66BE">
      <w:pPr>
        <w:spacing w:after="0" w:line="240" w:lineRule="auto"/>
        <w:ind w:firstLine="567"/>
        <w:jc w:val="both"/>
        <w:rPr>
          <w:rFonts w:ascii="Times New Roman" w:hAnsi="Times New Roman" w:cs="Times New Roman"/>
          <w:sz w:val="28"/>
          <w:szCs w:val="28"/>
        </w:rPr>
      </w:pPr>
      <w:r w:rsidRPr="00611589">
        <w:rPr>
          <w:rFonts w:ascii="Times New Roman" w:hAnsi="Times New Roman" w:cs="Times New Roman"/>
          <w:sz w:val="28"/>
          <w:szCs w:val="28"/>
        </w:rPr>
        <w:lastRenderedPageBreak/>
        <w:t>Veicot likumā noteiktās funkcijas valsts amatpersonu darbības kontroles jomā, 201</w:t>
      </w:r>
      <w:r>
        <w:rPr>
          <w:rFonts w:ascii="Times New Roman" w:hAnsi="Times New Roman" w:cs="Times New Roman"/>
          <w:sz w:val="28"/>
          <w:szCs w:val="28"/>
        </w:rPr>
        <w:t>5</w:t>
      </w:r>
      <w:r w:rsidRPr="00611589">
        <w:rPr>
          <w:rFonts w:ascii="Times New Roman" w:hAnsi="Times New Roman" w:cs="Times New Roman"/>
          <w:sz w:val="28"/>
          <w:szCs w:val="28"/>
        </w:rPr>
        <w:t xml:space="preserve">.gada </w:t>
      </w:r>
      <w:r>
        <w:rPr>
          <w:rFonts w:ascii="Times New Roman" w:hAnsi="Times New Roman" w:cs="Times New Roman"/>
          <w:sz w:val="28"/>
          <w:szCs w:val="28"/>
        </w:rPr>
        <w:t>pirmajā</w:t>
      </w:r>
      <w:r w:rsidRPr="00611589">
        <w:rPr>
          <w:rFonts w:ascii="Times New Roman" w:hAnsi="Times New Roman" w:cs="Times New Roman"/>
          <w:sz w:val="28"/>
          <w:szCs w:val="28"/>
        </w:rPr>
        <w:t xml:space="preserve"> pusgadā Birojs pabeidza </w:t>
      </w:r>
      <w:r w:rsidRPr="004568FC">
        <w:rPr>
          <w:rFonts w:ascii="Times New Roman" w:hAnsi="Times New Roman" w:cs="Times New Roman"/>
          <w:b/>
          <w:sz w:val="28"/>
          <w:szCs w:val="28"/>
        </w:rPr>
        <w:t>224 pārbaudes</w:t>
      </w:r>
      <w:r>
        <w:rPr>
          <w:rFonts w:ascii="Times New Roman" w:hAnsi="Times New Roman" w:cs="Times New Roman"/>
          <w:sz w:val="28"/>
          <w:szCs w:val="28"/>
        </w:rPr>
        <w:t xml:space="preserve"> (2014.gada pirmajā pusgadā – 232 pārbaudes)</w:t>
      </w:r>
      <w:r w:rsidRPr="00611589">
        <w:rPr>
          <w:rFonts w:ascii="Times New Roman" w:hAnsi="Times New Roman" w:cs="Times New Roman"/>
          <w:sz w:val="28"/>
          <w:szCs w:val="28"/>
        </w:rPr>
        <w:t>.</w:t>
      </w:r>
      <w:r>
        <w:rPr>
          <w:rFonts w:ascii="Times New Roman" w:hAnsi="Times New Roman" w:cs="Times New Roman"/>
          <w:sz w:val="28"/>
          <w:szCs w:val="28"/>
        </w:rPr>
        <w:t xml:space="preserve"> V</w:t>
      </w:r>
      <w:r w:rsidRPr="00611589">
        <w:rPr>
          <w:rFonts w:ascii="Times New Roman" w:hAnsi="Times New Roman" w:cs="Times New Roman"/>
          <w:sz w:val="28"/>
          <w:szCs w:val="28"/>
        </w:rPr>
        <w:t xml:space="preserve">eikto pārbaužu ietvaros atbilstoši savai kompetencei </w:t>
      </w:r>
      <w:r w:rsidRPr="004568FC">
        <w:rPr>
          <w:rFonts w:ascii="Times New Roman" w:hAnsi="Times New Roman" w:cs="Times New Roman"/>
          <w:b/>
          <w:sz w:val="28"/>
          <w:szCs w:val="28"/>
        </w:rPr>
        <w:t>Birojs ir izvērtējis</w:t>
      </w:r>
      <w:r w:rsidRPr="00611589">
        <w:rPr>
          <w:rFonts w:ascii="Times New Roman" w:hAnsi="Times New Roman" w:cs="Times New Roman"/>
          <w:sz w:val="28"/>
          <w:szCs w:val="28"/>
        </w:rPr>
        <w:t xml:space="preserve"> </w:t>
      </w:r>
      <w:r w:rsidRPr="004568FC">
        <w:rPr>
          <w:rFonts w:ascii="Times New Roman" w:hAnsi="Times New Roman" w:cs="Times New Roman"/>
          <w:b/>
          <w:sz w:val="28"/>
          <w:szCs w:val="28"/>
        </w:rPr>
        <w:t>481 amatpersonu darbību, pārbaudot 662 amatpersonu deklarācijas</w:t>
      </w:r>
      <w:r>
        <w:rPr>
          <w:rFonts w:ascii="Times New Roman" w:hAnsi="Times New Roman" w:cs="Times New Roman"/>
          <w:sz w:val="28"/>
          <w:szCs w:val="28"/>
        </w:rPr>
        <w:t>, kas ir par 121 deklarāciju vairāk nekā 2014.gada pirmajā pusgadā,</w:t>
      </w:r>
      <w:r w:rsidRPr="00611589">
        <w:rPr>
          <w:rFonts w:ascii="Times New Roman" w:hAnsi="Times New Roman" w:cs="Times New Roman"/>
          <w:sz w:val="28"/>
          <w:szCs w:val="28"/>
        </w:rPr>
        <w:t xml:space="preserve"> saistībā ar likumā „Par interešu konflikta novēršanu valsts amatpersonu darbībā” noteikto ierobežojumu un aizliegumu ievērošanu.</w:t>
      </w:r>
    </w:p>
    <w:p w:rsidR="007C66BE" w:rsidRDefault="003D70F1" w:rsidP="00752EF4">
      <w:pPr>
        <w:spacing w:after="0" w:line="240" w:lineRule="auto"/>
        <w:ind w:firstLine="567"/>
        <w:jc w:val="both"/>
        <w:rPr>
          <w:rFonts w:ascii="Times New Roman" w:hAnsi="Times New Roman" w:cs="Times New Roman"/>
          <w:sz w:val="28"/>
          <w:szCs w:val="28"/>
        </w:rPr>
      </w:pPr>
      <w:r w:rsidRPr="00611589">
        <w:rPr>
          <w:rFonts w:ascii="Times New Roman" w:eastAsia="Times New Roman" w:hAnsi="Times New Roman" w:cs="Times New Roman"/>
          <w:sz w:val="28"/>
          <w:szCs w:val="28"/>
          <w:lang w:eastAsia="lv-LV"/>
        </w:rPr>
        <w:t xml:space="preserve">Saistībā ar likumā „Par interešu konflikta novēršanu valsts amatpersonu darbībā” </w:t>
      </w:r>
      <w:r w:rsidR="007C66BE">
        <w:rPr>
          <w:rFonts w:ascii="Times New Roman" w:eastAsia="Times New Roman" w:hAnsi="Times New Roman" w:cs="Times New Roman"/>
          <w:sz w:val="28"/>
          <w:szCs w:val="28"/>
          <w:lang w:eastAsia="lv-LV"/>
        </w:rPr>
        <w:t xml:space="preserve">valsts amatpersonām </w:t>
      </w:r>
      <w:r w:rsidRPr="00611589">
        <w:rPr>
          <w:rFonts w:ascii="Times New Roman" w:eastAsia="Times New Roman" w:hAnsi="Times New Roman" w:cs="Times New Roman"/>
          <w:sz w:val="28"/>
          <w:szCs w:val="28"/>
          <w:lang w:eastAsia="lv-LV"/>
        </w:rPr>
        <w:t>not</w:t>
      </w:r>
      <w:r w:rsidR="006E36A4" w:rsidRPr="00611589">
        <w:rPr>
          <w:rFonts w:ascii="Times New Roman" w:eastAsia="Times New Roman" w:hAnsi="Times New Roman" w:cs="Times New Roman"/>
          <w:sz w:val="28"/>
          <w:szCs w:val="28"/>
          <w:lang w:eastAsia="lv-LV"/>
        </w:rPr>
        <w:t>eikto ierobežojumu</w:t>
      </w:r>
      <w:r w:rsidR="007C66BE">
        <w:rPr>
          <w:rFonts w:ascii="Times New Roman" w:eastAsia="Times New Roman" w:hAnsi="Times New Roman" w:cs="Times New Roman"/>
          <w:sz w:val="28"/>
          <w:szCs w:val="28"/>
          <w:lang w:eastAsia="lv-LV"/>
        </w:rPr>
        <w:t>, aizliegumu un pienākumu</w:t>
      </w:r>
      <w:r w:rsidR="006E36A4" w:rsidRPr="00611589">
        <w:rPr>
          <w:rFonts w:ascii="Times New Roman" w:eastAsia="Times New Roman" w:hAnsi="Times New Roman" w:cs="Times New Roman"/>
          <w:sz w:val="28"/>
          <w:szCs w:val="28"/>
          <w:lang w:eastAsia="lv-LV"/>
        </w:rPr>
        <w:t xml:space="preserve"> neievērošanu, </w:t>
      </w:r>
      <w:r w:rsidR="004568FC">
        <w:rPr>
          <w:rFonts w:ascii="Times New Roman" w:eastAsia="Times New Roman" w:hAnsi="Times New Roman" w:cs="Times New Roman"/>
          <w:sz w:val="28"/>
          <w:szCs w:val="28"/>
          <w:lang w:eastAsia="lv-LV"/>
        </w:rPr>
        <w:t>p</w:t>
      </w:r>
      <w:r w:rsidR="001205CE" w:rsidRPr="00611589">
        <w:rPr>
          <w:rFonts w:ascii="Times New Roman" w:hAnsi="Times New Roman" w:cs="Times New Roman"/>
          <w:sz w:val="28"/>
          <w:szCs w:val="28"/>
        </w:rPr>
        <w:t xml:space="preserve">ārskata periodā </w:t>
      </w:r>
      <w:r w:rsidR="005A47AC">
        <w:rPr>
          <w:rFonts w:ascii="Times New Roman" w:hAnsi="Times New Roman" w:cs="Times New Roman"/>
          <w:sz w:val="28"/>
          <w:szCs w:val="28"/>
        </w:rPr>
        <w:t>ir</w:t>
      </w:r>
      <w:r w:rsidR="007C66BE">
        <w:rPr>
          <w:rFonts w:ascii="Times New Roman" w:hAnsi="Times New Roman" w:cs="Times New Roman"/>
          <w:sz w:val="28"/>
          <w:szCs w:val="28"/>
        </w:rPr>
        <w:t xml:space="preserve"> </w:t>
      </w:r>
      <w:r w:rsidR="007C66BE" w:rsidRPr="007C66BE">
        <w:rPr>
          <w:rFonts w:ascii="Times New Roman" w:hAnsi="Times New Roman" w:cs="Times New Roman"/>
          <w:b/>
          <w:sz w:val="28"/>
          <w:szCs w:val="28"/>
        </w:rPr>
        <w:t>131 gadījumā ir uzsākta lietvedība administratīvā pārkāpuma lietā</w:t>
      </w:r>
      <w:r w:rsidR="007C66BE">
        <w:rPr>
          <w:rFonts w:ascii="Times New Roman" w:hAnsi="Times New Roman" w:cs="Times New Roman"/>
          <w:sz w:val="28"/>
          <w:szCs w:val="28"/>
        </w:rPr>
        <w:t xml:space="preserve"> (2014.gada pirmajā pusgadā – 77 gadījumos).</w:t>
      </w:r>
    </w:p>
    <w:p w:rsidR="00752EF4" w:rsidRDefault="007C66BE" w:rsidP="00752E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Pārskata periodā ir</w:t>
      </w:r>
      <w:r w:rsidR="005A47AC">
        <w:rPr>
          <w:rFonts w:ascii="Times New Roman" w:hAnsi="Times New Roman" w:cs="Times New Roman"/>
          <w:sz w:val="28"/>
          <w:szCs w:val="28"/>
        </w:rPr>
        <w:t xml:space="preserve"> </w:t>
      </w:r>
      <w:r w:rsidR="001205CE" w:rsidRPr="004568FC">
        <w:rPr>
          <w:rFonts w:ascii="Times New Roman" w:hAnsi="Times New Roman" w:cs="Times New Roman"/>
          <w:b/>
          <w:sz w:val="28"/>
          <w:szCs w:val="28"/>
        </w:rPr>
        <w:t>pieņemti 10</w:t>
      </w:r>
      <w:r w:rsidR="00FB0F58" w:rsidRPr="004568FC">
        <w:rPr>
          <w:rFonts w:ascii="Times New Roman" w:hAnsi="Times New Roman" w:cs="Times New Roman"/>
          <w:b/>
          <w:sz w:val="28"/>
          <w:szCs w:val="28"/>
        </w:rPr>
        <w:t>4</w:t>
      </w:r>
      <w:r w:rsidR="004568FC">
        <w:rPr>
          <w:rFonts w:ascii="Times New Roman" w:hAnsi="Times New Roman" w:cs="Times New Roman"/>
          <w:b/>
          <w:sz w:val="28"/>
          <w:szCs w:val="28"/>
        </w:rPr>
        <w:t> </w:t>
      </w:r>
      <w:r w:rsidR="001205CE" w:rsidRPr="004568FC">
        <w:rPr>
          <w:rFonts w:ascii="Times New Roman" w:hAnsi="Times New Roman" w:cs="Times New Roman"/>
          <w:b/>
          <w:sz w:val="28"/>
          <w:szCs w:val="28"/>
        </w:rPr>
        <w:t>lēmumi administratīvā pārkāpuma lietā</w:t>
      </w:r>
      <w:r w:rsidR="009D0284">
        <w:rPr>
          <w:rFonts w:ascii="Times New Roman" w:hAnsi="Times New Roman" w:cs="Times New Roman"/>
          <w:sz w:val="28"/>
          <w:szCs w:val="28"/>
        </w:rPr>
        <w:t xml:space="preserve"> (2014.gada pirmajā pusgadā 100 </w:t>
      </w:r>
      <w:r w:rsidR="009E584C">
        <w:rPr>
          <w:rFonts w:ascii="Times New Roman" w:hAnsi="Times New Roman" w:cs="Times New Roman"/>
          <w:sz w:val="28"/>
          <w:szCs w:val="28"/>
        </w:rPr>
        <w:t>lēmumi</w:t>
      </w:r>
      <w:r w:rsidR="009D0284">
        <w:rPr>
          <w:rFonts w:ascii="Times New Roman" w:hAnsi="Times New Roman" w:cs="Times New Roman"/>
          <w:sz w:val="28"/>
          <w:szCs w:val="28"/>
        </w:rPr>
        <w:t>)</w:t>
      </w:r>
      <w:r w:rsidR="009E584C">
        <w:rPr>
          <w:rFonts w:ascii="Times New Roman" w:hAnsi="Times New Roman" w:cs="Times New Roman"/>
          <w:sz w:val="28"/>
          <w:szCs w:val="28"/>
        </w:rPr>
        <w:t xml:space="preserve">. Ar </w:t>
      </w:r>
      <w:r w:rsidR="001205CE" w:rsidRPr="00611589">
        <w:rPr>
          <w:rFonts w:ascii="Times New Roman" w:hAnsi="Times New Roman" w:cs="Times New Roman"/>
          <w:sz w:val="28"/>
          <w:szCs w:val="28"/>
        </w:rPr>
        <w:t xml:space="preserve">naudas sodu </w:t>
      </w:r>
      <w:r w:rsidR="009E584C">
        <w:rPr>
          <w:rFonts w:ascii="Times New Roman" w:hAnsi="Times New Roman" w:cs="Times New Roman"/>
          <w:sz w:val="28"/>
          <w:szCs w:val="28"/>
        </w:rPr>
        <w:t xml:space="preserve">tika </w:t>
      </w:r>
      <w:r w:rsidR="001205CE" w:rsidRPr="00611589">
        <w:rPr>
          <w:rFonts w:ascii="Times New Roman" w:hAnsi="Times New Roman" w:cs="Times New Roman"/>
          <w:sz w:val="28"/>
          <w:szCs w:val="28"/>
        </w:rPr>
        <w:t xml:space="preserve">sodītas </w:t>
      </w:r>
      <w:r w:rsidR="00FB0F58">
        <w:rPr>
          <w:rFonts w:ascii="Times New Roman" w:hAnsi="Times New Roman" w:cs="Times New Roman"/>
          <w:sz w:val="28"/>
          <w:szCs w:val="28"/>
        </w:rPr>
        <w:t>56</w:t>
      </w:r>
      <w:r w:rsidR="001205CE" w:rsidRPr="00611589">
        <w:rPr>
          <w:rFonts w:ascii="Times New Roman" w:hAnsi="Times New Roman" w:cs="Times New Roman"/>
          <w:sz w:val="28"/>
          <w:szCs w:val="28"/>
        </w:rPr>
        <w:t xml:space="preserve"> valsts amatpersonas par kopējo summu </w:t>
      </w:r>
      <w:r w:rsidR="001205CE" w:rsidRPr="004568FC">
        <w:rPr>
          <w:rFonts w:ascii="Times New Roman" w:hAnsi="Times New Roman" w:cs="Times New Roman"/>
          <w:b/>
          <w:sz w:val="28"/>
          <w:szCs w:val="28"/>
        </w:rPr>
        <w:t>EUR </w:t>
      </w:r>
      <w:r w:rsidR="00FB0F58" w:rsidRPr="004568FC">
        <w:rPr>
          <w:rFonts w:ascii="Times New Roman" w:hAnsi="Times New Roman" w:cs="Times New Roman"/>
          <w:b/>
          <w:sz w:val="28"/>
          <w:szCs w:val="28"/>
        </w:rPr>
        <w:t>5500</w:t>
      </w:r>
      <w:r w:rsidR="001205CE" w:rsidRPr="004568FC">
        <w:rPr>
          <w:rFonts w:ascii="Times New Roman" w:hAnsi="Times New Roman" w:cs="Times New Roman"/>
          <w:b/>
          <w:sz w:val="28"/>
          <w:szCs w:val="28"/>
        </w:rPr>
        <w:t xml:space="preserve"> apmērā</w:t>
      </w:r>
      <w:r w:rsidR="001205CE" w:rsidRPr="00611589">
        <w:rPr>
          <w:rFonts w:ascii="Times New Roman" w:hAnsi="Times New Roman" w:cs="Times New Roman"/>
          <w:sz w:val="28"/>
          <w:szCs w:val="28"/>
        </w:rPr>
        <w:t xml:space="preserve">, savukārt </w:t>
      </w:r>
      <w:r w:rsidR="00FB0F58">
        <w:rPr>
          <w:rFonts w:ascii="Times New Roman" w:hAnsi="Times New Roman" w:cs="Times New Roman"/>
          <w:sz w:val="28"/>
          <w:szCs w:val="28"/>
        </w:rPr>
        <w:t>44</w:t>
      </w:r>
      <w:r w:rsidR="004568FC">
        <w:rPr>
          <w:rFonts w:ascii="Times New Roman" w:hAnsi="Times New Roman" w:cs="Times New Roman"/>
          <w:sz w:val="28"/>
          <w:szCs w:val="28"/>
        </w:rPr>
        <w:t> </w:t>
      </w:r>
      <w:r w:rsidR="00930E31" w:rsidRPr="00611589">
        <w:rPr>
          <w:rFonts w:ascii="Times New Roman" w:hAnsi="Times New Roman" w:cs="Times New Roman"/>
          <w:sz w:val="28"/>
          <w:szCs w:val="28"/>
        </w:rPr>
        <w:t>gadījumos</w:t>
      </w:r>
      <w:r w:rsidR="009E584C">
        <w:rPr>
          <w:rFonts w:ascii="Times New Roman" w:hAnsi="Times New Roman" w:cs="Times New Roman"/>
          <w:sz w:val="28"/>
          <w:szCs w:val="28"/>
        </w:rPr>
        <w:t xml:space="preserve"> </w:t>
      </w:r>
      <w:r w:rsidR="00930E31" w:rsidRPr="00611589">
        <w:rPr>
          <w:rFonts w:ascii="Times New Roman" w:hAnsi="Times New Roman" w:cs="Times New Roman"/>
          <w:sz w:val="28"/>
          <w:szCs w:val="28"/>
        </w:rPr>
        <w:t>ziņas par administratīvo pārkāpumu bija pietiekamas, lai Birojs konstatētu, ka izdar</w:t>
      </w:r>
      <w:r w:rsidR="005A47AC">
        <w:rPr>
          <w:rFonts w:ascii="Times New Roman" w:hAnsi="Times New Roman" w:cs="Times New Roman"/>
          <w:sz w:val="28"/>
          <w:szCs w:val="28"/>
        </w:rPr>
        <w:t xml:space="preserve">ītais pārkāpums ir maznozīmīgs, un pieņemtu </w:t>
      </w:r>
      <w:r w:rsidR="00930E31" w:rsidRPr="00611589">
        <w:rPr>
          <w:rFonts w:ascii="Times New Roman" w:hAnsi="Times New Roman" w:cs="Times New Roman"/>
          <w:sz w:val="28"/>
          <w:szCs w:val="28"/>
        </w:rPr>
        <w:t xml:space="preserve">lēmumu neuzsākt administratīvā pārkāpuma lietvedību, </w:t>
      </w:r>
      <w:r w:rsidR="002825E2" w:rsidRPr="00611589">
        <w:rPr>
          <w:rFonts w:ascii="Times New Roman" w:hAnsi="Times New Roman" w:cs="Times New Roman"/>
          <w:sz w:val="28"/>
          <w:szCs w:val="28"/>
        </w:rPr>
        <w:t>izsakot</w:t>
      </w:r>
      <w:r w:rsidR="00930E31" w:rsidRPr="00611589">
        <w:rPr>
          <w:rFonts w:ascii="Times New Roman" w:hAnsi="Times New Roman" w:cs="Times New Roman"/>
          <w:sz w:val="28"/>
          <w:szCs w:val="28"/>
        </w:rPr>
        <w:t xml:space="preserve"> </w:t>
      </w:r>
      <w:r w:rsidR="00930E31" w:rsidRPr="005A47AC">
        <w:rPr>
          <w:rFonts w:ascii="Times New Roman" w:hAnsi="Times New Roman" w:cs="Times New Roman"/>
          <w:sz w:val="28"/>
          <w:szCs w:val="28"/>
        </w:rPr>
        <w:t>mutvārdu aizrādījumu</w:t>
      </w:r>
      <w:r w:rsidR="001205CE" w:rsidRPr="005A47AC">
        <w:rPr>
          <w:rFonts w:ascii="Times New Roman" w:hAnsi="Times New Roman" w:cs="Times New Roman"/>
          <w:sz w:val="28"/>
          <w:szCs w:val="28"/>
        </w:rPr>
        <w:t xml:space="preserve">. </w:t>
      </w:r>
      <w:r w:rsidR="007F4BB0" w:rsidRPr="005A47AC">
        <w:rPr>
          <w:rFonts w:ascii="Times New Roman" w:hAnsi="Times New Roman" w:cs="Times New Roman"/>
          <w:sz w:val="28"/>
          <w:szCs w:val="28"/>
        </w:rPr>
        <w:t>Pieņemtie lēmumi un uzliktie naudas sodi</w:t>
      </w:r>
      <w:r w:rsidR="00BF1952" w:rsidRPr="005A47AC">
        <w:rPr>
          <w:rFonts w:ascii="Times New Roman" w:hAnsi="Times New Roman" w:cs="Times New Roman"/>
          <w:sz w:val="28"/>
          <w:szCs w:val="28"/>
        </w:rPr>
        <w:t xml:space="preserve"> </w:t>
      </w:r>
      <w:r w:rsidR="000F1000" w:rsidRPr="005A47AC">
        <w:rPr>
          <w:rFonts w:ascii="Times New Roman" w:hAnsi="Times New Roman" w:cs="Times New Roman"/>
          <w:sz w:val="28"/>
          <w:szCs w:val="28"/>
        </w:rPr>
        <w:t>ir atspoguļoti</w:t>
      </w:r>
      <w:r w:rsidR="001A3122" w:rsidRPr="005A47AC">
        <w:rPr>
          <w:rFonts w:ascii="Times New Roman" w:hAnsi="Times New Roman" w:cs="Times New Roman"/>
          <w:sz w:val="28"/>
          <w:szCs w:val="28"/>
        </w:rPr>
        <w:t xml:space="preserve"> </w:t>
      </w:r>
      <w:r w:rsidR="006E36A4" w:rsidRPr="005A47AC">
        <w:rPr>
          <w:rFonts w:ascii="Times New Roman" w:hAnsi="Times New Roman" w:cs="Times New Roman"/>
          <w:sz w:val="28"/>
          <w:szCs w:val="28"/>
        </w:rPr>
        <w:t>3</w:t>
      </w:r>
      <w:r w:rsidR="008537EC" w:rsidRPr="005A47AC">
        <w:rPr>
          <w:rFonts w:ascii="Times New Roman" w:hAnsi="Times New Roman" w:cs="Times New Roman"/>
          <w:sz w:val="28"/>
          <w:szCs w:val="28"/>
        </w:rPr>
        <w:t>.attēlā.</w:t>
      </w:r>
      <w:r w:rsidR="006C1384" w:rsidRPr="005A47AC">
        <w:rPr>
          <w:rFonts w:ascii="Times New Roman" w:hAnsi="Times New Roman" w:cs="Times New Roman"/>
          <w:sz w:val="28"/>
          <w:szCs w:val="28"/>
        </w:rPr>
        <w:t xml:space="preserve"> </w:t>
      </w:r>
      <w:r w:rsidR="00FB0F58" w:rsidRPr="005A47AC">
        <w:rPr>
          <w:rFonts w:ascii="Times New Roman" w:hAnsi="Times New Roman" w:cs="Times New Roman"/>
          <w:sz w:val="28"/>
          <w:szCs w:val="28"/>
        </w:rPr>
        <w:t>2015.gada pirmajā pusgadā</w:t>
      </w:r>
      <w:r w:rsidR="006E36A4" w:rsidRPr="005A47AC">
        <w:rPr>
          <w:rFonts w:ascii="Times New Roman" w:hAnsi="Times New Roman" w:cs="Times New Roman"/>
          <w:sz w:val="28"/>
          <w:szCs w:val="28"/>
        </w:rPr>
        <w:t xml:space="preserve"> </w:t>
      </w:r>
      <w:r w:rsidR="00FB0F58" w:rsidRPr="005A47AC">
        <w:rPr>
          <w:rFonts w:ascii="Times New Roman" w:hAnsi="Times New Roman" w:cs="Times New Roman"/>
          <w:sz w:val="28"/>
          <w:szCs w:val="28"/>
        </w:rPr>
        <w:t>septiņām</w:t>
      </w:r>
      <w:r w:rsidR="006E36A4" w:rsidRPr="005A47AC">
        <w:rPr>
          <w:rFonts w:ascii="Times New Roman" w:hAnsi="Times New Roman" w:cs="Times New Roman"/>
          <w:sz w:val="28"/>
          <w:szCs w:val="28"/>
        </w:rPr>
        <w:t xml:space="preserve"> personām lūgts </w:t>
      </w:r>
      <w:r w:rsidR="006E36A4" w:rsidRPr="004568FC">
        <w:rPr>
          <w:rFonts w:ascii="Times New Roman" w:hAnsi="Times New Roman" w:cs="Times New Roman"/>
          <w:b/>
          <w:sz w:val="28"/>
          <w:szCs w:val="28"/>
        </w:rPr>
        <w:t xml:space="preserve">atlīdzināt valstij nodarītos zaudējumus par kopējo summu EUR </w:t>
      </w:r>
      <w:r w:rsidR="00FB0F58" w:rsidRPr="004568FC">
        <w:rPr>
          <w:rFonts w:ascii="Times New Roman" w:hAnsi="Times New Roman" w:cs="Times New Roman"/>
          <w:b/>
          <w:sz w:val="28"/>
          <w:szCs w:val="28"/>
        </w:rPr>
        <w:t>4266</w:t>
      </w:r>
      <w:r w:rsidR="006E36A4" w:rsidRPr="005A47AC">
        <w:rPr>
          <w:rFonts w:ascii="Times New Roman" w:hAnsi="Times New Roman" w:cs="Times New Roman"/>
          <w:sz w:val="28"/>
          <w:szCs w:val="28"/>
        </w:rPr>
        <w:t xml:space="preserve">. </w:t>
      </w:r>
      <w:r w:rsidR="004568FC" w:rsidRPr="004568FC">
        <w:rPr>
          <w:rFonts w:ascii="Times New Roman" w:hAnsi="Times New Roman" w:cs="Times New Roman"/>
          <w:sz w:val="28"/>
          <w:szCs w:val="28"/>
        </w:rPr>
        <w:t>Pamatojoties uz Biroja pieņemtajiem lēmumiem, pārskata periodā amatpersonas valsts budžetā ir pārskaitījušas EUR 6590.</w:t>
      </w:r>
    </w:p>
    <w:p w:rsidR="00D7718A" w:rsidRDefault="00D7718A" w:rsidP="00752EF4">
      <w:pPr>
        <w:spacing w:after="0" w:line="240" w:lineRule="auto"/>
        <w:ind w:firstLine="567"/>
        <w:jc w:val="both"/>
        <w:rPr>
          <w:rFonts w:ascii="Times New Roman" w:hAnsi="Times New Roman" w:cs="Times New Roman"/>
          <w:sz w:val="28"/>
          <w:szCs w:val="28"/>
        </w:rPr>
      </w:pPr>
    </w:p>
    <w:p w:rsidR="00D7718A" w:rsidRPr="00752EF4" w:rsidRDefault="00D7718A" w:rsidP="00752EF4">
      <w:pPr>
        <w:spacing w:after="0" w:line="240" w:lineRule="auto"/>
        <w:ind w:firstLine="567"/>
        <w:jc w:val="both"/>
        <w:rPr>
          <w:rFonts w:ascii="Times New Roman" w:eastAsia="Times New Roman" w:hAnsi="Times New Roman" w:cs="Times New Roman"/>
          <w:sz w:val="28"/>
          <w:szCs w:val="28"/>
          <w:lang w:eastAsia="lv-LV"/>
        </w:rPr>
      </w:pPr>
      <w:r w:rsidRPr="00615921">
        <w:rPr>
          <w:rFonts w:ascii="Times New Roman" w:hAnsi="Times New Roman" w:cs="Times New Roman"/>
          <w:noProof/>
          <w:lang w:eastAsia="lv-LV"/>
        </w:rPr>
        <w:drawing>
          <wp:inline distT="0" distB="0" distL="0" distR="0" wp14:anchorId="0E911C3E" wp14:editId="6FF53409">
            <wp:extent cx="5486400" cy="315087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2EF4" w:rsidRDefault="00752EF4" w:rsidP="00752EF4">
      <w:pPr>
        <w:spacing w:after="0" w:line="240" w:lineRule="auto"/>
        <w:jc w:val="both"/>
        <w:rPr>
          <w:rFonts w:ascii="Times New Roman" w:hAnsi="Times New Roman" w:cs="Times New Roman"/>
          <w:i/>
          <w:sz w:val="28"/>
          <w:szCs w:val="28"/>
        </w:rPr>
      </w:pPr>
      <w:r w:rsidRPr="00752EF4">
        <w:rPr>
          <w:rFonts w:ascii="Times New Roman" w:hAnsi="Times New Roman" w:cs="Times New Roman"/>
          <w:i/>
          <w:sz w:val="28"/>
          <w:szCs w:val="28"/>
        </w:rPr>
        <w:t>3.attēls.</w:t>
      </w:r>
      <w:r w:rsidRPr="00752EF4">
        <w:rPr>
          <w:rFonts w:ascii="Times New Roman" w:hAnsi="Times New Roman" w:cs="Times New Roman"/>
          <w:b/>
          <w:i/>
          <w:sz w:val="28"/>
          <w:szCs w:val="28"/>
        </w:rPr>
        <w:t xml:space="preserve"> </w:t>
      </w:r>
      <w:r w:rsidRPr="00752EF4">
        <w:rPr>
          <w:rFonts w:ascii="Times New Roman" w:hAnsi="Times New Roman" w:cs="Times New Roman"/>
          <w:i/>
          <w:sz w:val="28"/>
          <w:szCs w:val="28"/>
        </w:rPr>
        <w:t xml:space="preserve">Pieņemtie lēmumi un uzliktie naudas sodi </w:t>
      </w:r>
    </w:p>
    <w:p w:rsidR="00615921" w:rsidRPr="00752EF4" w:rsidRDefault="00615921" w:rsidP="00752EF4">
      <w:pPr>
        <w:spacing w:after="0" w:line="240" w:lineRule="auto"/>
        <w:jc w:val="both"/>
        <w:rPr>
          <w:rFonts w:ascii="Times New Roman" w:hAnsi="Times New Roman" w:cs="Times New Roman"/>
          <w:i/>
          <w:sz w:val="28"/>
          <w:szCs w:val="28"/>
        </w:rPr>
      </w:pPr>
    </w:p>
    <w:p w:rsidR="00CE13B2" w:rsidRDefault="00FB0F58" w:rsidP="00CE13B2">
      <w:pPr>
        <w:spacing w:after="0" w:line="240" w:lineRule="auto"/>
        <w:ind w:firstLine="567"/>
        <w:jc w:val="both"/>
        <w:rPr>
          <w:rFonts w:ascii="Times New Roman" w:hAnsi="Times New Roman" w:cs="Times New Roman"/>
          <w:sz w:val="28"/>
          <w:szCs w:val="28"/>
        </w:rPr>
      </w:pPr>
      <w:r w:rsidRPr="00C3465C">
        <w:rPr>
          <w:rFonts w:ascii="Times New Roman" w:hAnsi="Times New Roman" w:cs="Times New Roman"/>
          <w:sz w:val="28"/>
          <w:szCs w:val="28"/>
        </w:rPr>
        <w:t xml:space="preserve">2015.gada pirmajā pusgadā </w:t>
      </w:r>
      <w:r w:rsidRPr="004568FC">
        <w:rPr>
          <w:rFonts w:ascii="Times New Roman" w:hAnsi="Times New Roman" w:cs="Times New Roman"/>
          <w:b/>
          <w:sz w:val="28"/>
          <w:szCs w:val="28"/>
        </w:rPr>
        <w:t xml:space="preserve">Biroja </w:t>
      </w:r>
      <w:r w:rsidR="00B97C12" w:rsidRPr="004568FC">
        <w:rPr>
          <w:rFonts w:ascii="Times New Roman" w:hAnsi="Times New Roman" w:cs="Times New Roman"/>
          <w:b/>
          <w:sz w:val="28"/>
          <w:szCs w:val="28"/>
        </w:rPr>
        <w:t xml:space="preserve">priekšnieks izskatīja </w:t>
      </w:r>
      <w:r w:rsidR="003C4093" w:rsidRPr="004568FC">
        <w:rPr>
          <w:rFonts w:ascii="Times New Roman" w:hAnsi="Times New Roman" w:cs="Times New Roman"/>
          <w:b/>
          <w:sz w:val="28"/>
          <w:szCs w:val="28"/>
        </w:rPr>
        <w:t>1</w:t>
      </w:r>
      <w:r w:rsidR="00CE13B2" w:rsidRPr="004568FC">
        <w:rPr>
          <w:rFonts w:ascii="Times New Roman" w:hAnsi="Times New Roman" w:cs="Times New Roman"/>
          <w:b/>
          <w:sz w:val="28"/>
          <w:szCs w:val="28"/>
        </w:rPr>
        <w:t>8</w:t>
      </w:r>
      <w:r w:rsidR="00B97C12" w:rsidRPr="004568FC">
        <w:rPr>
          <w:rFonts w:ascii="Times New Roman" w:hAnsi="Times New Roman" w:cs="Times New Roman"/>
          <w:b/>
          <w:sz w:val="28"/>
          <w:szCs w:val="28"/>
        </w:rPr>
        <w:t xml:space="preserve"> sūdzības</w:t>
      </w:r>
      <w:r w:rsidR="00B97C12" w:rsidRPr="00C3465C">
        <w:rPr>
          <w:rFonts w:ascii="Times New Roman" w:hAnsi="Times New Roman" w:cs="Times New Roman"/>
          <w:sz w:val="28"/>
          <w:szCs w:val="28"/>
        </w:rPr>
        <w:t xml:space="preserve"> par</w:t>
      </w:r>
      <w:r w:rsidR="00B97C12" w:rsidRPr="00611589">
        <w:rPr>
          <w:rFonts w:ascii="Times New Roman" w:hAnsi="Times New Roman" w:cs="Times New Roman"/>
          <w:sz w:val="28"/>
          <w:szCs w:val="28"/>
        </w:rPr>
        <w:t xml:space="preserve"> Biroja amatpersonu pieņemtajiem lēmumiem administratīvā pārkāpuma lietās</w:t>
      </w:r>
      <w:r w:rsidR="00CE13B2">
        <w:rPr>
          <w:rFonts w:ascii="Times New Roman" w:hAnsi="Times New Roman" w:cs="Times New Roman"/>
          <w:sz w:val="28"/>
          <w:szCs w:val="28"/>
        </w:rPr>
        <w:t xml:space="preserve"> attiecībā uz </w:t>
      </w:r>
      <w:r w:rsidR="00CE13B2" w:rsidRPr="00CE13B2">
        <w:rPr>
          <w:rFonts w:ascii="Times New Roman" w:hAnsi="Times New Roman" w:cs="Times New Roman"/>
          <w:sz w:val="28"/>
          <w:szCs w:val="28"/>
        </w:rPr>
        <w:t xml:space="preserve">likumā „Par interešu konflikta novēršanu valsts amatpersonu darbībā” noteikto ierobežojumu un aizliegumu </w:t>
      </w:r>
      <w:r w:rsidR="00CE13B2">
        <w:rPr>
          <w:rFonts w:ascii="Times New Roman" w:hAnsi="Times New Roman" w:cs="Times New Roman"/>
          <w:sz w:val="28"/>
          <w:szCs w:val="28"/>
        </w:rPr>
        <w:t>ne</w:t>
      </w:r>
      <w:r w:rsidR="00CE13B2" w:rsidRPr="00CE13B2">
        <w:rPr>
          <w:rFonts w:ascii="Times New Roman" w:hAnsi="Times New Roman" w:cs="Times New Roman"/>
          <w:sz w:val="28"/>
          <w:szCs w:val="28"/>
        </w:rPr>
        <w:t>ievērošanu</w:t>
      </w:r>
      <w:r w:rsidR="00CE13B2">
        <w:rPr>
          <w:rFonts w:ascii="Times New Roman" w:hAnsi="Times New Roman" w:cs="Times New Roman"/>
          <w:sz w:val="28"/>
          <w:szCs w:val="28"/>
        </w:rPr>
        <w:t xml:space="preserve">. 16 gadījumos </w:t>
      </w:r>
      <w:r w:rsidR="00CE13B2" w:rsidRPr="00CE13B2">
        <w:rPr>
          <w:rFonts w:ascii="Times New Roman" w:hAnsi="Times New Roman" w:cs="Times New Roman"/>
          <w:sz w:val="28"/>
          <w:szCs w:val="28"/>
        </w:rPr>
        <w:lastRenderedPageBreak/>
        <w:t>Biroja priekšnieks atstāja lēmumus negrozītus,</w:t>
      </w:r>
      <w:r w:rsidR="00CE13B2">
        <w:rPr>
          <w:rFonts w:ascii="Times New Roman" w:hAnsi="Times New Roman" w:cs="Times New Roman"/>
          <w:sz w:val="28"/>
          <w:szCs w:val="28"/>
        </w:rPr>
        <w:t xml:space="preserve"> savukārt vienā</w:t>
      </w:r>
      <w:r w:rsidR="00CE13B2" w:rsidRPr="00CE13B2">
        <w:rPr>
          <w:rFonts w:ascii="Times New Roman" w:hAnsi="Times New Roman" w:cs="Times New Roman"/>
          <w:sz w:val="28"/>
          <w:szCs w:val="28"/>
        </w:rPr>
        <w:t xml:space="preserve"> gadījumā </w:t>
      </w:r>
      <w:r w:rsidR="00CE13B2">
        <w:rPr>
          <w:rFonts w:ascii="Times New Roman" w:hAnsi="Times New Roman" w:cs="Times New Roman"/>
          <w:sz w:val="28"/>
          <w:szCs w:val="28"/>
        </w:rPr>
        <w:t>–</w:t>
      </w:r>
      <w:r w:rsidR="00CE13B2" w:rsidRPr="00CE13B2">
        <w:rPr>
          <w:rFonts w:ascii="Times New Roman" w:hAnsi="Times New Roman" w:cs="Times New Roman"/>
          <w:sz w:val="28"/>
          <w:szCs w:val="28"/>
        </w:rPr>
        <w:t xml:space="preserve"> </w:t>
      </w:r>
      <w:r w:rsidR="00CE13B2">
        <w:rPr>
          <w:rFonts w:ascii="Times New Roman" w:hAnsi="Times New Roman" w:cs="Times New Roman"/>
          <w:sz w:val="28"/>
          <w:szCs w:val="28"/>
        </w:rPr>
        <w:t xml:space="preserve">lēmums tika grozīts daļā, samazinot naudas soda apmēru, bet vēl vienā gadījumā sūdzību izskatīt tika atteikts, jo bija nokavēts </w:t>
      </w:r>
      <w:r w:rsidR="00CE13B2" w:rsidRPr="00CE13B2">
        <w:rPr>
          <w:rFonts w:ascii="Times New Roman" w:hAnsi="Times New Roman" w:cs="Times New Roman"/>
          <w:sz w:val="28"/>
          <w:szCs w:val="28"/>
        </w:rPr>
        <w:t>Biroja amatpersonas lēmuma pārsūdzēšanas termiņš.</w:t>
      </w:r>
    </w:p>
    <w:p w:rsidR="00D112C6" w:rsidRDefault="003267A6" w:rsidP="003267A6">
      <w:pPr>
        <w:pStyle w:val="NoSpacing"/>
        <w:ind w:firstLine="567"/>
        <w:jc w:val="both"/>
        <w:rPr>
          <w:rFonts w:ascii="Times New Roman" w:hAnsi="Times New Roman" w:cs="Times New Roman"/>
          <w:sz w:val="28"/>
          <w:szCs w:val="28"/>
        </w:rPr>
      </w:pPr>
      <w:r w:rsidRPr="003267A6">
        <w:rPr>
          <w:rFonts w:ascii="Times New Roman" w:hAnsi="Times New Roman" w:cs="Times New Roman"/>
          <w:sz w:val="28"/>
          <w:szCs w:val="28"/>
        </w:rPr>
        <w:t>Izpildot likumā „Par interešu konflikta novēršanu valsts amatpersonu darbībā” 31.pantā noteikto pienākumu informēt sabiedrību par amatpersonām attiecībā uz kurām ir pieņemti lēmumi administratīvā pārkāpuma lietās</w:t>
      </w:r>
      <w:r>
        <w:rPr>
          <w:rFonts w:ascii="Times New Roman" w:hAnsi="Times New Roman" w:cs="Times New Roman"/>
          <w:sz w:val="28"/>
          <w:szCs w:val="28"/>
        </w:rPr>
        <w:t xml:space="preserve">, pārskata periodā </w:t>
      </w:r>
      <w:r w:rsidRPr="004568FC">
        <w:rPr>
          <w:rFonts w:ascii="Times New Roman" w:hAnsi="Times New Roman" w:cs="Times New Roman"/>
          <w:b/>
          <w:sz w:val="28"/>
          <w:szCs w:val="28"/>
        </w:rPr>
        <w:t xml:space="preserve">Biroja </w:t>
      </w:r>
      <w:r w:rsidR="00A85869">
        <w:rPr>
          <w:rFonts w:ascii="Times New Roman" w:hAnsi="Times New Roman" w:cs="Times New Roman"/>
          <w:b/>
          <w:sz w:val="28"/>
          <w:szCs w:val="28"/>
        </w:rPr>
        <w:t>tīmekļa vietnē</w:t>
      </w:r>
      <w:r w:rsidRPr="004568FC">
        <w:rPr>
          <w:rFonts w:ascii="Times New Roman" w:hAnsi="Times New Roman" w:cs="Times New Roman"/>
          <w:b/>
          <w:sz w:val="28"/>
          <w:szCs w:val="28"/>
        </w:rPr>
        <w:t xml:space="preserve"> ir publicēti 43 apraksti</w:t>
      </w:r>
      <w:r w:rsidRPr="00D112C6">
        <w:rPr>
          <w:rFonts w:ascii="Times New Roman" w:hAnsi="Times New Roman" w:cs="Times New Roman"/>
          <w:sz w:val="28"/>
          <w:szCs w:val="28"/>
        </w:rPr>
        <w:t xml:space="preserve"> par administratīvi sodītajām pe</w:t>
      </w:r>
      <w:r w:rsidR="00F762CE">
        <w:rPr>
          <w:rFonts w:ascii="Times New Roman" w:hAnsi="Times New Roman" w:cs="Times New Roman"/>
          <w:sz w:val="28"/>
          <w:szCs w:val="28"/>
        </w:rPr>
        <w:t xml:space="preserve">rsonām interešu konflikta jomā. </w:t>
      </w:r>
      <w:r w:rsidR="00D112C6" w:rsidRPr="00D112C6">
        <w:rPr>
          <w:rFonts w:ascii="Times New Roman" w:hAnsi="Times New Roman" w:cs="Times New Roman"/>
          <w:sz w:val="28"/>
          <w:szCs w:val="28"/>
        </w:rPr>
        <w:t>Savukārt</w:t>
      </w:r>
      <w:r w:rsidRPr="00D112C6">
        <w:rPr>
          <w:rFonts w:ascii="Times New Roman" w:hAnsi="Times New Roman" w:cs="Times New Roman"/>
          <w:sz w:val="28"/>
          <w:szCs w:val="28"/>
        </w:rPr>
        <w:t xml:space="preserve"> par tā</w:t>
      </w:r>
      <w:r w:rsidR="00D112C6" w:rsidRPr="00D112C6">
        <w:rPr>
          <w:rFonts w:ascii="Times New Roman" w:hAnsi="Times New Roman" w:cs="Times New Roman"/>
          <w:sz w:val="28"/>
          <w:szCs w:val="28"/>
        </w:rPr>
        <w:t>diem konstatētajiem pārkāpumiem</w:t>
      </w:r>
      <w:r w:rsidRPr="00D112C6">
        <w:rPr>
          <w:rFonts w:ascii="Times New Roman" w:hAnsi="Times New Roman" w:cs="Times New Roman"/>
          <w:sz w:val="28"/>
          <w:szCs w:val="28"/>
        </w:rPr>
        <w:t xml:space="preserve">, kuri bijuši maznozīmīgi, </w:t>
      </w:r>
      <w:r w:rsidR="00D112C6" w:rsidRPr="00D112C6">
        <w:rPr>
          <w:rFonts w:ascii="Times New Roman" w:hAnsi="Times New Roman" w:cs="Times New Roman"/>
          <w:sz w:val="28"/>
          <w:szCs w:val="28"/>
        </w:rPr>
        <w:t xml:space="preserve">informācija ir apkopota </w:t>
      </w:r>
      <w:r w:rsidR="00A85869">
        <w:rPr>
          <w:rFonts w:ascii="Times New Roman" w:hAnsi="Times New Roman" w:cs="Times New Roman"/>
          <w:sz w:val="28"/>
          <w:szCs w:val="28"/>
        </w:rPr>
        <w:t xml:space="preserve">tabulā </w:t>
      </w:r>
      <w:r w:rsidR="00D112C6" w:rsidRPr="00D112C6">
        <w:rPr>
          <w:rFonts w:ascii="Times New Roman" w:hAnsi="Times New Roman" w:cs="Times New Roman"/>
          <w:sz w:val="28"/>
          <w:szCs w:val="28"/>
        </w:rPr>
        <w:t xml:space="preserve">un publicēta Biroja </w:t>
      </w:r>
      <w:r w:rsidR="00A85869">
        <w:rPr>
          <w:rFonts w:ascii="Times New Roman" w:hAnsi="Times New Roman" w:cs="Times New Roman"/>
          <w:sz w:val="28"/>
          <w:szCs w:val="28"/>
        </w:rPr>
        <w:t>tīmekļa vietnē</w:t>
      </w:r>
      <w:r w:rsidR="00D112C6" w:rsidRPr="00D112C6">
        <w:rPr>
          <w:rFonts w:ascii="Times New Roman" w:hAnsi="Times New Roman" w:cs="Times New Roman"/>
          <w:sz w:val="28"/>
          <w:szCs w:val="28"/>
        </w:rPr>
        <w:t xml:space="preserve">, kopā tajā ir </w:t>
      </w:r>
      <w:r w:rsidR="00D112C6" w:rsidRPr="006A761F">
        <w:rPr>
          <w:rFonts w:ascii="Times New Roman" w:hAnsi="Times New Roman" w:cs="Times New Roman"/>
          <w:sz w:val="28"/>
          <w:szCs w:val="28"/>
        </w:rPr>
        <w:t>veikti 106 ieraksti</w:t>
      </w:r>
      <w:r w:rsidR="00D112C6" w:rsidRPr="00D112C6">
        <w:rPr>
          <w:rFonts w:ascii="Times New Roman" w:hAnsi="Times New Roman" w:cs="Times New Roman"/>
          <w:sz w:val="28"/>
          <w:szCs w:val="28"/>
        </w:rPr>
        <w:t xml:space="preserve">. </w:t>
      </w:r>
    </w:p>
    <w:p w:rsidR="00F26444" w:rsidRPr="00F26444" w:rsidRDefault="00F762CE" w:rsidP="005A47AC">
      <w:pPr>
        <w:pStyle w:val="NoSpacing"/>
        <w:ind w:firstLine="567"/>
        <w:jc w:val="both"/>
        <w:rPr>
          <w:rFonts w:ascii="Times New Roman" w:hAnsi="Times New Roman" w:cs="Times New Roman"/>
          <w:sz w:val="28"/>
          <w:szCs w:val="28"/>
        </w:rPr>
      </w:pPr>
      <w:r w:rsidRPr="00F762CE">
        <w:rPr>
          <w:rFonts w:ascii="Times New Roman" w:hAnsi="Times New Roman" w:cs="Times New Roman"/>
          <w:sz w:val="28"/>
          <w:szCs w:val="28"/>
        </w:rPr>
        <w:t>Lielākā daļa jeb 74% no sodītajām amatpersonām i</w:t>
      </w:r>
      <w:r>
        <w:rPr>
          <w:rFonts w:ascii="Times New Roman" w:hAnsi="Times New Roman" w:cs="Times New Roman"/>
          <w:sz w:val="28"/>
          <w:szCs w:val="28"/>
        </w:rPr>
        <w:t xml:space="preserve">eņem amatus pašvaldību, bet pārējie valsts iestādēs. Savukārt lielākā daļa </w:t>
      </w:r>
      <w:r w:rsidR="005A47AC">
        <w:rPr>
          <w:rFonts w:ascii="Times New Roman" w:hAnsi="Times New Roman" w:cs="Times New Roman"/>
          <w:sz w:val="28"/>
          <w:szCs w:val="28"/>
        </w:rPr>
        <w:t xml:space="preserve">(44%) </w:t>
      </w:r>
      <w:r>
        <w:rPr>
          <w:rFonts w:ascii="Times New Roman" w:hAnsi="Times New Roman" w:cs="Times New Roman"/>
          <w:sz w:val="28"/>
          <w:szCs w:val="28"/>
        </w:rPr>
        <w:t xml:space="preserve">pārkāpumu, ko veikušas amatpersonas, saistīti ar </w:t>
      </w:r>
      <w:r w:rsidRPr="00F762CE">
        <w:rPr>
          <w:rFonts w:ascii="Times New Roman" w:hAnsi="Times New Roman" w:cs="Times New Roman"/>
          <w:sz w:val="28"/>
          <w:szCs w:val="28"/>
        </w:rPr>
        <w:t>valsts amatpersonas</w:t>
      </w:r>
      <w:r>
        <w:rPr>
          <w:rFonts w:ascii="Times New Roman" w:hAnsi="Times New Roman" w:cs="Times New Roman"/>
          <w:sz w:val="28"/>
          <w:szCs w:val="28"/>
        </w:rPr>
        <w:t xml:space="preserve"> amata savienošanas ierobežojumu neievērošanu, tai skaitā vairāk nekā pusei gūstot neatļautus ienākumus. </w:t>
      </w:r>
      <w:r w:rsidR="00F26444">
        <w:rPr>
          <w:rFonts w:ascii="Times New Roman" w:hAnsi="Times New Roman" w:cs="Times New Roman"/>
          <w:sz w:val="28"/>
          <w:szCs w:val="28"/>
        </w:rPr>
        <w:t xml:space="preserve">Daļa gadījumu (27%) saistīti ar valsts amatpersonas funkciju veikšanu interešu konflikta situācijā, kad amatpersonas </w:t>
      </w:r>
      <w:r w:rsidR="00F26444" w:rsidRPr="00F26444">
        <w:rPr>
          <w:rFonts w:ascii="Times New Roman" w:hAnsi="Times New Roman" w:cs="Times New Roman"/>
          <w:sz w:val="28"/>
          <w:szCs w:val="28"/>
        </w:rPr>
        <w:t>radinieki vai darījumu partneri ir</w:t>
      </w:r>
      <w:r w:rsidR="00F26444">
        <w:rPr>
          <w:rFonts w:ascii="Times New Roman" w:hAnsi="Times New Roman" w:cs="Times New Roman"/>
          <w:sz w:val="28"/>
          <w:szCs w:val="28"/>
        </w:rPr>
        <w:t xml:space="preserve"> bijuši</w:t>
      </w:r>
      <w:r w:rsidR="00F26444" w:rsidRPr="00F26444">
        <w:rPr>
          <w:rFonts w:ascii="Times New Roman" w:hAnsi="Times New Roman" w:cs="Times New Roman"/>
          <w:sz w:val="28"/>
          <w:szCs w:val="28"/>
        </w:rPr>
        <w:t xml:space="preserve"> personiski vai mantiski ieinteresēti.</w:t>
      </w:r>
      <w:r w:rsidR="00F26444">
        <w:rPr>
          <w:rFonts w:ascii="Times New Roman" w:hAnsi="Times New Roman" w:cs="Times New Roman"/>
          <w:sz w:val="28"/>
          <w:szCs w:val="28"/>
        </w:rPr>
        <w:t xml:space="preserve"> 16% gadījumu saistīti ar noteikto ierobežojumu rīkoties ar valsts vai pašvaldības mantu pārkāpšanu. Savukārt atsevišķi gadījumi saistīti ar komercdarbības ierobežojumu un ziedojumu pieņemšanas ierobežojumu pārkāpšanu, bet viens gadījums ar informācijas izpaušan</w:t>
      </w:r>
      <w:r w:rsidR="005A47AC">
        <w:rPr>
          <w:rFonts w:ascii="Times New Roman" w:hAnsi="Times New Roman" w:cs="Times New Roman"/>
          <w:sz w:val="28"/>
          <w:szCs w:val="28"/>
        </w:rPr>
        <w:t>u mērķiem, kas nav saistīti</w:t>
      </w:r>
      <w:r w:rsidR="00F26444">
        <w:rPr>
          <w:rFonts w:ascii="Times New Roman" w:hAnsi="Times New Roman" w:cs="Times New Roman"/>
          <w:sz w:val="28"/>
          <w:szCs w:val="28"/>
        </w:rPr>
        <w:t xml:space="preserve"> ar amata pienākumu veikšanu. </w:t>
      </w:r>
    </w:p>
    <w:p w:rsidR="009F7FB1" w:rsidRDefault="00BE18F6" w:rsidP="00362B7B">
      <w:pPr>
        <w:pStyle w:val="NoSpacing"/>
        <w:ind w:firstLine="720"/>
        <w:jc w:val="both"/>
        <w:rPr>
          <w:rFonts w:ascii="Times New Roman" w:hAnsi="Times New Roman" w:cs="Times New Roman"/>
          <w:sz w:val="28"/>
          <w:szCs w:val="28"/>
        </w:rPr>
      </w:pPr>
      <w:r w:rsidRPr="00611589">
        <w:rPr>
          <w:rFonts w:ascii="Times New Roman" w:hAnsi="Times New Roman" w:cs="Times New Roman"/>
          <w:sz w:val="28"/>
          <w:szCs w:val="28"/>
        </w:rPr>
        <w:t>P</w:t>
      </w:r>
      <w:r w:rsidR="00BB74F8" w:rsidRPr="00611589">
        <w:rPr>
          <w:rFonts w:ascii="Times New Roman" w:hAnsi="Times New Roman" w:cs="Times New Roman"/>
          <w:sz w:val="28"/>
          <w:szCs w:val="28"/>
        </w:rPr>
        <w:t>ārbaužu ietvaros konstatējot paz</w:t>
      </w:r>
      <w:r w:rsidRPr="00611589">
        <w:rPr>
          <w:rFonts w:ascii="Times New Roman" w:hAnsi="Times New Roman" w:cs="Times New Roman"/>
          <w:sz w:val="28"/>
          <w:szCs w:val="28"/>
        </w:rPr>
        <w:t xml:space="preserve">īmes, kas liecina par iespējamu </w:t>
      </w:r>
      <w:r w:rsidR="00CF65DA" w:rsidRPr="00611589">
        <w:rPr>
          <w:rFonts w:ascii="Times New Roman" w:hAnsi="Times New Roman" w:cs="Times New Roman"/>
          <w:sz w:val="28"/>
          <w:szCs w:val="28"/>
        </w:rPr>
        <w:t xml:space="preserve">valsts amatpersonas deklarācijas aizpildīšanas kārtības neievērošanu, </w:t>
      </w:r>
      <w:r w:rsidR="00D27C81">
        <w:rPr>
          <w:rFonts w:ascii="Times New Roman" w:hAnsi="Times New Roman" w:cs="Times New Roman"/>
          <w:sz w:val="28"/>
          <w:szCs w:val="28"/>
        </w:rPr>
        <w:t xml:space="preserve">informācija par 25 personām </w:t>
      </w:r>
      <w:r w:rsidR="00113355" w:rsidRPr="00C3465C">
        <w:rPr>
          <w:rFonts w:ascii="Times New Roman" w:hAnsi="Times New Roman" w:cs="Times New Roman"/>
          <w:sz w:val="28"/>
          <w:szCs w:val="28"/>
        </w:rPr>
        <w:t>nosūtīta Valsts ieņēmumu dienest</w:t>
      </w:r>
      <w:r w:rsidR="00D27C81">
        <w:rPr>
          <w:rFonts w:ascii="Times New Roman" w:hAnsi="Times New Roman" w:cs="Times New Roman"/>
          <w:sz w:val="28"/>
          <w:szCs w:val="28"/>
        </w:rPr>
        <w:t>am</w:t>
      </w:r>
      <w:r w:rsidR="00113355" w:rsidRPr="00611589">
        <w:rPr>
          <w:rFonts w:ascii="Times New Roman" w:hAnsi="Times New Roman" w:cs="Times New Roman"/>
          <w:sz w:val="28"/>
          <w:szCs w:val="28"/>
        </w:rPr>
        <w:t xml:space="preserve"> (VID)</w:t>
      </w:r>
      <w:r w:rsidR="00CF65DA" w:rsidRPr="00611589">
        <w:rPr>
          <w:rFonts w:ascii="Times New Roman" w:hAnsi="Times New Roman" w:cs="Times New Roman"/>
          <w:sz w:val="28"/>
          <w:szCs w:val="28"/>
        </w:rPr>
        <w:t>.</w:t>
      </w:r>
      <w:r w:rsidR="00D27C81">
        <w:rPr>
          <w:rFonts w:ascii="Times New Roman" w:hAnsi="Times New Roman" w:cs="Times New Roman"/>
          <w:sz w:val="28"/>
          <w:szCs w:val="28"/>
        </w:rPr>
        <w:t xml:space="preserve"> </w:t>
      </w:r>
      <w:r w:rsidR="00D27C81" w:rsidRPr="004568FC">
        <w:rPr>
          <w:rFonts w:ascii="Times New Roman" w:hAnsi="Times New Roman" w:cs="Times New Roman"/>
          <w:b/>
          <w:sz w:val="28"/>
          <w:szCs w:val="28"/>
        </w:rPr>
        <w:t xml:space="preserve">Ienākumu likumības pārbaudei </w:t>
      </w:r>
      <w:r w:rsidR="00784828">
        <w:rPr>
          <w:rFonts w:ascii="Times New Roman" w:hAnsi="Times New Roman" w:cs="Times New Roman"/>
          <w:sz w:val="28"/>
          <w:szCs w:val="28"/>
        </w:rPr>
        <w:t xml:space="preserve">VID nosūtīti arī </w:t>
      </w:r>
      <w:r w:rsidR="00D27C81">
        <w:rPr>
          <w:rFonts w:ascii="Times New Roman" w:hAnsi="Times New Roman" w:cs="Times New Roman"/>
          <w:sz w:val="28"/>
          <w:szCs w:val="28"/>
        </w:rPr>
        <w:t xml:space="preserve">materiāli par divām personām, kuru ienākumi vai viņu radinieku ienākumi </w:t>
      </w:r>
      <w:r w:rsidR="00784828">
        <w:rPr>
          <w:rFonts w:ascii="Times New Roman" w:hAnsi="Times New Roman" w:cs="Times New Roman"/>
          <w:sz w:val="28"/>
          <w:szCs w:val="28"/>
        </w:rPr>
        <w:t>nav bijuši atbilstoši izdevumiem.</w:t>
      </w:r>
    </w:p>
    <w:p w:rsidR="008F32BD" w:rsidRPr="00752EF4" w:rsidRDefault="00752EF4" w:rsidP="00752EF4">
      <w:pPr>
        <w:pStyle w:val="Title"/>
        <w:rPr>
          <w:rFonts w:ascii="Times New Roman" w:hAnsi="Times New Roman"/>
        </w:rPr>
      </w:pPr>
      <w:bookmarkStart w:id="4" w:name="_Toc282617333"/>
      <w:r>
        <w:rPr>
          <w:rFonts w:ascii="Times New Roman" w:hAnsi="Times New Roman"/>
        </w:rPr>
        <w:t xml:space="preserve">2. </w:t>
      </w:r>
      <w:r w:rsidR="008F32BD" w:rsidRPr="00752EF4">
        <w:rPr>
          <w:rFonts w:ascii="Times New Roman" w:hAnsi="Times New Roman"/>
        </w:rPr>
        <w:t>Korupcijas apkarošan</w:t>
      </w:r>
      <w:bookmarkEnd w:id="4"/>
      <w:r w:rsidR="008F32BD" w:rsidRPr="00752EF4">
        <w:rPr>
          <w:rFonts w:ascii="Times New Roman" w:hAnsi="Times New Roman"/>
        </w:rPr>
        <w:t>a</w:t>
      </w:r>
    </w:p>
    <w:p w:rsidR="0085213D" w:rsidRDefault="00AA0E61" w:rsidP="0085213D">
      <w:pPr>
        <w:pStyle w:val="Default"/>
        <w:ind w:firstLine="567"/>
        <w:jc w:val="both"/>
        <w:rPr>
          <w:color w:val="auto"/>
          <w:sz w:val="28"/>
          <w:szCs w:val="28"/>
        </w:rPr>
      </w:pPr>
      <w:r>
        <w:rPr>
          <w:color w:val="auto"/>
          <w:sz w:val="28"/>
          <w:szCs w:val="28"/>
        </w:rPr>
        <w:t xml:space="preserve">2015.gada pirmajā pusgadā </w:t>
      </w:r>
      <w:r w:rsidRPr="00AA0E61">
        <w:rPr>
          <w:color w:val="auto"/>
          <w:sz w:val="28"/>
          <w:szCs w:val="28"/>
        </w:rPr>
        <w:t xml:space="preserve">prokuratūras iestādēm </w:t>
      </w:r>
      <w:r w:rsidRPr="004568FC">
        <w:rPr>
          <w:b/>
          <w:color w:val="auto"/>
          <w:sz w:val="28"/>
          <w:szCs w:val="28"/>
        </w:rPr>
        <w:t xml:space="preserve">kriminālvajāšanas uzsākšanai nosūtīti 6 kriminālprocesi pret </w:t>
      </w:r>
      <w:r w:rsidR="00F5628E" w:rsidRPr="004568FC">
        <w:rPr>
          <w:b/>
          <w:color w:val="auto"/>
          <w:sz w:val="28"/>
          <w:szCs w:val="28"/>
        </w:rPr>
        <w:t>15 aizdomās turētām personām</w:t>
      </w:r>
      <w:r w:rsidR="001902E5">
        <w:rPr>
          <w:color w:val="auto"/>
          <w:sz w:val="28"/>
          <w:szCs w:val="28"/>
        </w:rPr>
        <w:t xml:space="preserve"> (2014.gada pirmajā pusgadā 11 kriminālprocesi pret 32 personām)</w:t>
      </w:r>
      <w:r w:rsidR="00F5628E">
        <w:rPr>
          <w:color w:val="auto"/>
          <w:sz w:val="28"/>
          <w:szCs w:val="28"/>
        </w:rPr>
        <w:t xml:space="preserve">. </w:t>
      </w:r>
      <w:r w:rsidR="003359D7" w:rsidRPr="00611589">
        <w:rPr>
          <w:color w:val="auto"/>
          <w:sz w:val="28"/>
          <w:szCs w:val="28"/>
        </w:rPr>
        <w:t xml:space="preserve">Izmeklējot </w:t>
      </w:r>
      <w:proofErr w:type="spellStart"/>
      <w:r w:rsidR="003359D7" w:rsidRPr="00611589">
        <w:rPr>
          <w:color w:val="auto"/>
          <w:sz w:val="28"/>
          <w:szCs w:val="28"/>
        </w:rPr>
        <w:t>koruptīvus</w:t>
      </w:r>
      <w:proofErr w:type="spellEnd"/>
      <w:r w:rsidR="003359D7" w:rsidRPr="00611589">
        <w:rPr>
          <w:color w:val="auto"/>
          <w:sz w:val="28"/>
          <w:szCs w:val="28"/>
        </w:rPr>
        <w:t xml:space="preserve"> noziedzīgus nodarījumus, pārskata periodā Birojā tika uzsākti</w:t>
      </w:r>
      <w:r w:rsidR="003359D7" w:rsidRPr="00611589">
        <w:rPr>
          <w:b/>
          <w:color w:val="auto"/>
          <w:sz w:val="28"/>
          <w:szCs w:val="28"/>
        </w:rPr>
        <w:t xml:space="preserve"> </w:t>
      </w:r>
      <w:r w:rsidR="00F5628E">
        <w:rPr>
          <w:color w:val="auto"/>
          <w:sz w:val="28"/>
          <w:szCs w:val="28"/>
        </w:rPr>
        <w:t>13</w:t>
      </w:r>
      <w:r w:rsidR="001902E5">
        <w:rPr>
          <w:color w:val="auto"/>
          <w:sz w:val="28"/>
          <w:szCs w:val="28"/>
        </w:rPr>
        <w:t> </w:t>
      </w:r>
      <w:r w:rsidR="003359D7" w:rsidRPr="00611589">
        <w:rPr>
          <w:color w:val="auto"/>
          <w:sz w:val="28"/>
          <w:szCs w:val="28"/>
        </w:rPr>
        <w:t>kriminālprocesi</w:t>
      </w:r>
      <w:r w:rsidR="001902E5">
        <w:rPr>
          <w:color w:val="auto"/>
          <w:sz w:val="28"/>
          <w:szCs w:val="28"/>
        </w:rPr>
        <w:t xml:space="preserve">, kas ir par pieciem kriminālprocesiem mazāk nekā 2014.gada pirmajos sešos mēnešos. </w:t>
      </w:r>
      <w:r w:rsidR="0085213D" w:rsidRPr="0085213D">
        <w:rPr>
          <w:color w:val="auto"/>
          <w:sz w:val="28"/>
          <w:szCs w:val="28"/>
        </w:rPr>
        <w:t xml:space="preserve">Kriminālvajāšanas uzsākšanai nosūtīto kriminālprocesu un Birojā uzsākto kriminālprocesu skaits atspoguļots </w:t>
      </w:r>
      <w:r w:rsidR="00302E33">
        <w:rPr>
          <w:color w:val="auto"/>
          <w:sz w:val="28"/>
          <w:szCs w:val="28"/>
        </w:rPr>
        <w:t>4</w:t>
      </w:r>
      <w:r w:rsidR="0085213D" w:rsidRPr="0085213D">
        <w:rPr>
          <w:color w:val="auto"/>
          <w:sz w:val="28"/>
          <w:szCs w:val="28"/>
        </w:rPr>
        <w:t xml:space="preserve">.attēlā. </w:t>
      </w:r>
    </w:p>
    <w:p w:rsidR="00DF35A5" w:rsidRDefault="00DF35A5" w:rsidP="00DF35A5">
      <w:pPr>
        <w:pStyle w:val="Default"/>
        <w:ind w:firstLine="567"/>
        <w:jc w:val="both"/>
        <w:rPr>
          <w:color w:val="auto"/>
          <w:sz w:val="28"/>
          <w:szCs w:val="28"/>
        </w:rPr>
      </w:pPr>
      <w:r w:rsidRPr="00E67858">
        <w:rPr>
          <w:color w:val="auto"/>
          <w:sz w:val="28"/>
          <w:szCs w:val="28"/>
        </w:rPr>
        <w:t xml:space="preserve">2015.gada </w:t>
      </w:r>
      <w:r>
        <w:rPr>
          <w:color w:val="auto"/>
          <w:sz w:val="28"/>
          <w:szCs w:val="28"/>
        </w:rPr>
        <w:t xml:space="preserve">pirmajos sešos mēnešos Biroja amatpersonas izskatīja </w:t>
      </w:r>
      <w:r w:rsidRPr="00E97290">
        <w:rPr>
          <w:b/>
          <w:color w:val="auto"/>
          <w:sz w:val="28"/>
          <w:szCs w:val="28"/>
        </w:rPr>
        <w:t>74 personu iesniegumus</w:t>
      </w:r>
      <w:r>
        <w:rPr>
          <w:color w:val="auto"/>
          <w:sz w:val="28"/>
          <w:szCs w:val="28"/>
        </w:rPr>
        <w:t xml:space="preserve"> (2014.gada pirmajā pusgadā – 93 personu iesniegumus)</w:t>
      </w:r>
      <w:r w:rsidRPr="00E67858">
        <w:rPr>
          <w:color w:val="auto"/>
          <w:sz w:val="28"/>
          <w:szCs w:val="28"/>
        </w:rPr>
        <w:t xml:space="preserve">, no kuriem 65 gadījumos </w:t>
      </w:r>
      <w:r>
        <w:rPr>
          <w:color w:val="auto"/>
          <w:sz w:val="28"/>
          <w:szCs w:val="28"/>
        </w:rPr>
        <w:t xml:space="preserve">(2014.gada pirmajā pusgadā – 67 gadījumos) </w:t>
      </w:r>
      <w:r w:rsidRPr="00E67858">
        <w:rPr>
          <w:color w:val="auto"/>
          <w:sz w:val="28"/>
          <w:szCs w:val="28"/>
        </w:rPr>
        <w:t xml:space="preserve">veica pārbaudes par iespējamu likuma pārkāpumu, izmantojot </w:t>
      </w:r>
      <w:r>
        <w:rPr>
          <w:color w:val="auto"/>
          <w:sz w:val="28"/>
          <w:szCs w:val="28"/>
        </w:rPr>
        <w:t>Biroja</w:t>
      </w:r>
      <w:r w:rsidRPr="00E67858">
        <w:rPr>
          <w:color w:val="auto"/>
          <w:sz w:val="28"/>
          <w:szCs w:val="28"/>
        </w:rPr>
        <w:t xml:space="preserve"> likumā noteiktās pilnvaras, kas na</w:t>
      </w:r>
      <w:r>
        <w:rPr>
          <w:color w:val="auto"/>
          <w:sz w:val="28"/>
          <w:szCs w:val="28"/>
        </w:rPr>
        <w:t>v kriminālprocesuālās pilnvaras.</w:t>
      </w:r>
      <w:r w:rsidRPr="00E67858">
        <w:rPr>
          <w:color w:val="auto"/>
          <w:sz w:val="28"/>
          <w:szCs w:val="28"/>
        </w:rPr>
        <w:t xml:space="preserve"> </w:t>
      </w:r>
    </w:p>
    <w:p w:rsidR="0085213D" w:rsidRDefault="001902E5" w:rsidP="0085213D">
      <w:pPr>
        <w:pStyle w:val="Default"/>
        <w:ind w:firstLine="567"/>
        <w:jc w:val="both"/>
        <w:rPr>
          <w:color w:val="auto"/>
          <w:sz w:val="28"/>
          <w:szCs w:val="28"/>
        </w:rPr>
      </w:pPr>
      <w:r>
        <w:rPr>
          <w:color w:val="auto"/>
          <w:sz w:val="28"/>
          <w:szCs w:val="28"/>
        </w:rPr>
        <w:t xml:space="preserve">No pārskata periodā </w:t>
      </w:r>
      <w:r w:rsidRPr="0085213D">
        <w:rPr>
          <w:b/>
          <w:color w:val="auto"/>
          <w:sz w:val="28"/>
          <w:szCs w:val="28"/>
        </w:rPr>
        <w:t>uzsāktajiem 13 kriminālprocesiem</w:t>
      </w:r>
      <w:r>
        <w:rPr>
          <w:color w:val="auto"/>
          <w:sz w:val="28"/>
          <w:szCs w:val="28"/>
        </w:rPr>
        <w:t xml:space="preserve"> p</w:t>
      </w:r>
      <w:r w:rsidR="003359D7" w:rsidRPr="00611589">
        <w:rPr>
          <w:color w:val="auto"/>
          <w:sz w:val="28"/>
          <w:szCs w:val="28"/>
        </w:rPr>
        <w:t>ēc iegūtās operatīvās informācijas</w:t>
      </w:r>
      <w:r>
        <w:rPr>
          <w:color w:val="auto"/>
          <w:sz w:val="28"/>
          <w:szCs w:val="28"/>
        </w:rPr>
        <w:t xml:space="preserve"> tika uzsākti</w:t>
      </w:r>
      <w:r w:rsidR="003359D7" w:rsidRPr="00611589">
        <w:rPr>
          <w:color w:val="auto"/>
          <w:sz w:val="28"/>
          <w:szCs w:val="28"/>
        </w:rPr>
        <w:t xml:space="preserve"> </w:t>
      </w:r>
      <w:r w:rsidR="00F5628E">
        <w:rPr>
          <w:color w:val="auto"/>
          <w:sz w:val="28"/>
          <w:szCs w:val="28"/>
        </w:rPr>
        <w:t>septiņi</w:t>
      </w:r>
      <w:r w:rsidR="00E67858">
        <w:rPr>
          <w:color w:val="auto"/>
          <w:sz w:val="28"/>
          <w:szCs w:val="28"/>
        </w:rPr>
        <w:t xml:space="preserve">, </w:t>
      </w:r>
      <w:r w:rsidR="00C90169" w:rsidRPr="00C90169">
        <w:rPr>
          <w:color w:val="auto"/>
          <w:sz w:val="28"/>
          <w:szCs w:val="28"/>
        </w:rPr>
        <w:t>trīs kriminālprocesi izdalīti no lietvedībā esošajiem kriminālprocesiem</w:t>
      </w:r>
      <w:r w:rsidR="00C90169">
        <w:rPr>
          <w:color w:val="auto"/>
          <w:sz w:val="28"/>
          <w:szCs w:val="28"/>
        </w:rPr>
        <w:t xml:space="preserve">, kas iepriekš arī uzsākti pēc iegūtās </w:t>
      </w:r>
      <w:r w:rsidR="00C90169">
        <w:rPr>
          <w:color w:val="auto"/>
          <w:sz w:val="28"/>
          <w:szCs w:val="28"/>
        </w:rPr>
        <w:lastRenderedPageBreak/>
        <w:t xml:space="preserve">operatīvās informācijas, savukārt divi </w:t>
      </w:r>
      <w:r w:rsidR="0085213D">
        <w:rPr>
          <w:color w:val="auto"/>
          <w:sz w:val="28"/>
          <w:szCs w:val="28"/>
        </w:rPr>
        <w:t xml:space="preserve">uzsākti </w:t>
      </w:r>
      <w:r w:rsidR="00C90169">
        <w:rPr>
          <w:color w:val="auto"/>
          <w:sz w:val="28"/>
          <w:szCs w:val="28"/>
        </w:rPr>
        <w:t>pēc priv</w:t>
      </w:r>
      <w:r w:rsidR="0085213D">
        <w:rPr>
          <w:color w:val="auto"/>
          <w:sz w:val="28"/>
          <w:szCs w:val="28"/>
        </w:rPr>
        <w:t>ātpersonu iesniegumiem, bet viens kriminālprocess</w:t>
      </w:r>
      <w:r w:rsidR="00C90169">
        <w:rPr>
          <w:color w:val="auto"/>
          <w:sz w:val="28"/>
          <w:szCs w:val="28"/>
        </w:rPr>
        <w:t xml:space="preserve"> </w:t>
      </w:r>
      <w:r w:rsidR="00C90169" w:rsidRPr="00E67858">
        <w:rPr>
          <w:color w:val="auto"/>
          <w:sz w:val="28"/>
          <w:szCs w:val="28"/>
        </w:rPr>
        <w:t>uzsākts resoriskās pārbaudes rezultātā</w:t>
      </w:r>
      <w:r w:rsidR="00C90169">
        <w:rPr>
          <w:color w:val="auto"/>
          <w:sz w:val="28"/>
          <w:szCs w:val="28"/>
        </w:rPr>
        <w:t xml:space="preserve">. </w:t>
      </w:r>
    </w:p>
    <w:p w:rsidR="0085213D" w:rsidRDefault="00181B25" w:rsidP="00144655">
      <w:pPr>
        <w:pStyle w:val="Default"/>
        <w:ind w:firstLine="567"/>
        <w:jc w:val="both"/>
        <w:rPr>
          <w:color w:val="auto"/>
          <w:sz w:val="28"/>
          <w:szCs w:val="28"/>
        </w:rPr>
      </w:pPr>
      <w:r>
        <w:rPr>
          <w:color w:val="auto"/>
          <w:sz w:val="28"/>
          <w:szCs w:val="28"/>
        </w:rPr>
        <w:t>Kopumā pārskata periodā</w:t>
      </w:r>
      <w:r w:rsidR="00341A95" w:rsidRPr="00341A95">
        <w:rPr>
          <w:color w:val="auto"/>
          <w:sz w:val="28"/>
          <w:szCs w:val="28"/>
        </w:rPr>
        <w:t xml:space="preserve"> </w:t>
      </w:r>
      <w:r>
        <w:rPr>
          <w:color w:val="auto"/>
          <w:sz w:val="28"/>
          <w:szCs w:val="28"/>
        </w:rPr>
        <w:t xml:space="preserve">Biroja </w:t>
      </w:r>
      <w:r w:rsidR="00CE2E30">
        <w:rPr>
          <w:color w:val="auto"/>
          <w:sz w:val="28"/>
          <w:szCs w:val="28"/>
        </w:rPr>
        <w:t>amatpersonas</w:t>
      </w:r>
      <w:r>
        <w:rPr>
          <w:color w:val="auto"/>
          <w:sz w:val="28"/>
          <w:szCs w:val="28"/>
        </w:rPr>
        <w:t xml:space="preserve"> uzsāku</w:t>
      </w:r>
      <w:r w:rsidR="00CE2E30">
        <w:rPr>
          <w:color w:val="auto"/>
          <w:sz w:val="28"/>
          <w:szCs w:val="28"/>
        </w:rPr>
        <w:t>šas</w:t>
      </w:r>
      <w:r>
        <w:rPr>
          <w:color w:val="auto"/>
          <w:sz w:val="28"/>
          <w:szCs w:val="28"/>
        </w:rPr>
        <w:t xml:space="preserve"> </w:t>
      </w:r>
      <w:r w:rsidR="00CE2E30">
        <w:rPr>
          <w:b/>
          <w:color w:val="auto"/>
          <w:sz w:val="28"/>
          <w:szCs w:val="28"/>
        </w:rPr>
        <w:t>133</w:t>
      </w:r>
      <w:r w:rsidRPr="0085213D">
        <w:rPr>
          <w:b/>
          <w:color w:val="auto"/>
          <w:sz w:val="28"/>
          <w:szCs w:val="28"/>
        </w:rPr>
        <w:t xml:space="preserve"> resoriskās pārbaudes</w:t>
      </w:r>
      <w:r>
        <w:rPr>
          <w:color w:val="auto"/>
          <w:sz w:val="28"/>
          <w:szCs w:val="28"/>
        </w:rPr>
        <w:t xml:space="preserve"> un </w:t>
      </w:r>
      <w:r w:rsidR="0085213D">
        <w:rPr>
          <w:color w:val="auto"/>
          <w:sz w:val="28"/>
          <w:szCs w:val="28"/>
        </w:rPr>
        <w:t>pabeigu</w:t>
      </w:r>
      <w:r w:rsidR="00CE2E30">
        <w:rPr>
          <w:color w:val="auto"/>
          <w:sz w:val="28"/>
          <w:szCs w:val="28"/>
        </w:rPr>
        <w:t>šas</w:t>
      </w:r>
      <w:r w:rsidR="0085213D">
        <w:rPr>
          <w:color w:val="auto"/>
          <w:sz w:val="28"/>
          <w:szCs w:val="28"/>
        </w:rPr>
        <w:t xml:space="preserve"> </w:t>
      </w:r>
      <w:r w:rsidR="00CE2E30">
        <w:rPr>
          <w:color w:val="auto"/>
          <w:sz w:val="28"/>
          <w:szCs w:val="28"/>
        </w:rPr>
        <w:t>90</w:t>
      </w:r>
      <w:r w:rsidR="0085213D">
        <w:rPr>
          <w:color w:val="auto"/>
          <w:sz w:val="28"/>
          <w:szCs w:val="28"/>
        </w:rPr>
        <w:t xml:space="preserve"> </w:t>
      </w:r>
      <w:r w:rsidR="00CE2E30">
        <w:rPr>
          <w:color w:val="auto"/>
          <w:sz w:val="28"/>
          <w:szCs w:val="28"/>
        </w:rPr>
        <w:t xml:space="preserve">resoriskās </w:t>
      </w:r>
      <w:r w:rsidR="0085213D">
        <w:rPr>
          <w:color w:val="auto"/>
          <w:sz w:val="28"/>
          <w:szCs w:val="28"/>
        </w:rPr>
        <w:t>pārbaudes</w:t>
      </w:r>
      <w:r w:rsidR="00341A95">
        <w:rPr>
          <w:color w:val="auto"/>
          <w:sz w:val="28"/>
          <w:szCs w:val="28"/>
        </w:rPr>
        <w:t xml:space="preserve">. </w:t>
      </w:r>
      <w:r w:rsidR="0085213D" w:rsidRPr="0085213D">
        <w:rPr>
          <w:color w:val="auto"/>
          <w:sz w:val="28"/>
          <w:szCs w:val="28"/>
        </w:rPr>
        <w:t xml:space="preserve">Uz 2015.gada 30.jūniju </w:t>
      </w:r>
      <w:r w:rsidR="00D6621D">
        <w:rPr>
          <w:color w:val="auto"/>
          <w:sz w:val="28"/>
          <w:szCs w:val="28"/>
        </w:rPr>
        <w:t>Izmeklēšanas nodaļas lietvedība</w:t>
      </w:r>
      <w:r w:rsidR="0085213D" w:rsidRPr="0085213D">
        <w:rPr>
          <w:color w:val="auto"/>
          <w:sz w:val="28"/>
          <w:szCs w:val="28"/>
        </w:rPr>
        <w:t xml:space="preserve"> atradās </w:t>
      </w:r>
      <w:r w:rsidR="0085213D" w:rsidRPr="0085213D">
        <w:rPr>
          <w:b/>
          <w:color w:val="auto"/>
          <w:sz w:val="28"/>
          <w:szCs w:val="28"/>
        </w:rPr>
        <w:t>40 krimināllietas</w:t>
      </w:r>
      <w:r w:rsidR="0085213D" w:rsidRPr="0085213D">
        <w:rPr>
          <w:color w:val="auto"/>
          <w:sz w:val="28"/>
          <w:szCs w:val="28"/>
        </w:rPr>
        <w:t>.</w:t>
      </w:r>
    </w:p>
    <w:p w:rsidR="002C1504" w:rsidRDefault="002C1504" w:rsidP="002C1504">
      <w:pPr>
        <w:pStyle w:val="Default"/>
        <w:ind w:firstLine="567"/>
        <w:jc w:val="both"/>
        <w:rPr>
          <w:color w:val="auto"/>
          <w:sz w:val="28"/>
          <w:szCs w:val="28"/>
        </w:rPr>
      </w:pPr>
      <w:r w:rsidRPr="00FA4D13">
        <w:rPr>
          <w:color w:val="auto"/>
          <w:sz w:val="28"/>
          <w:szCs w:val="28"/>
        </w:rPr>
        <w:t xml:space="preserve">Viens no pārskata periodā nozīmīgākajiem uzsāktajiem kriminālprocesiem ir 2015.gada jūnijā uzsāktais </w:t>
      </w:r>
      <w:r w:rsidRPr="00E97290">
        <w:rPr>
          <w:b/>
          <w:color w:val="auto"/>
          <w:sz w:val="28"/>
          <w:szCs w:val="28"/>
        </w:rPr>
        <w:t xml:space="preserve">kriminālprocess pret Finanšu un ekonomisko noziegumu izmeklēšanas prokuratūras, Valsts policijas kriminālistikas pārvaldes amatpersonām </w:t>
      </w:r>
      <w:r w:rsidRPr="00FA4D13">
        <w:rPr>
          <w:color w:val="auto"/>
          <w:sz w:val="28"/>
          <w:szCs w:val="28"/>
        </w:rPr>
        <w:t>un privātpersonu par dienesta stāvokļa ļaunprātīgu izmantošanu, nelikumīgām darbībām ar fiziskas personas datiem un kukuļa pieprasīšanas mēģinājumu no kādas privātpersonas par lēmuma par aresta uzlikšanu mantai atcelšanu.</w:t>
      </w:r>
    </w:p>
    <w:p w:rsidR="006424B0" w:rsidRDefault="006424B0" w:rsidP="002C1504">
      <w:pPr>
        <w:pStyle w:val="Default"/>
        <w:ind w:firstLine="567"/>
        <w:jc w:val="both"/>
        <w:rPr>
          <w:color w:val="auto"/>
          <w:sz w:val="28"/>
          <w:szCs w:val="28"/>
        </w:rPr>
      </w:pPr>
    </w:p>
    <w:p w:rsidR="006424B0" w:rsidRDefault="006424B0" w:rsidP="002C1504">
      <w:pPr>
        <w:pStyle w:val="Default"/>
        <w:ind w:firstLine="567"/>
        <w:jc w:val="both"/>
        <w:rPr>
          <w:color w:val="auto"/>
          <w:sz w:val="28"/>
          <w:szCs w:val="28"/>
        </w:rPr>
      </w:pPr>
      <w:r>
        <w:rPr>
          <w:noProof/>
          <w:lang w:eastAsia="lv-LV"/>
        </w:rPr>
        <w:drawing>
          <wp:inline distT="0" distB="0" distL="0" distR="0" wp14:anchorId="75742999" wp14:editId="046CDBDB">
            <wp:extent cx="5486400" cy="3467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2EF4" w:rsidRPr="00752EF4" w:rsidRDefault="00302E33" w:rsidP="00752EF4">
      <w:pPr>
        <w:spacing w:after="0" w:line="240" w:lineRule="auto"/>
        <w:rPr>
          <w:rFonts w:ascii="Times New Roman" w:hAnsi="Times New Roman" w:cs="Times New Roman"/>
          <w:b/>
          <w:i/>
          <w:noProof/>
          <w:sz w:val="28"/>
          <w:szCs w:val="28"/>
          <w:lang w:eastAsia="lv-LV"/>
        </w:rPr>
      </w:pPr>
      <w:r>
        <w:rPr>
          <w:rFonts w:ascii="Times New Roman" w:hAnsi="Times New Roman" w:cs="Times New Roman"/>
          <w:i/>
          <w:noProof/>
          <w:sz w:val="28"/>
          <w:szCs w:val="28"/>
          <w:lang w:eastAsia="lv-LV"/>
        </w:rPr>
        <w:t>4</w:t>
      </w:r>
      <w:r w:rsidR="00752EF4" w:rsidRPr="00752EF4">
        <w:rPr>
          <w:rFonts w:ascii="Times New Roman" w:hAnsi="Times New Roman" w:cs="Times New Roman"/>
          <w:i/>
          <w:noProof/>
          <w:sz w:val="28"/>
          <w:szCs w:val="28"/>
          <w:lang w:eastAsia="lv-LV"/>
        </w:rPr>
        <w:t xml:space="preserve">.attēls. Kriminālvajāšanai nosūtīto lietu un personu skaits, </w:t>
      </w:r>
      <w:r w:rsidR="00D14C6E">
        <w:rPr>
          <w:rFonts w:ascii="Times New Roman" w:hAnsi="Times New Roman" w:cs="Times New Roman"/>
          <w:i/>
          <w:noProof/>
          <w:sz w:val="28"/>
          <w:szCs w:val="28"/>
          <w:lang w:eastAsia="lv-LV"/>
        </w:rPr>
        <w:t xml:space="preserve">kā arī uzsāktie kriminālprocesi. </w:t>
      </w:r>
    </w:p>
    <w:p w:rsidR="00752EF4" w:rsidRDefault="00752EF4" w:rsidP="00C1549F">
      <w:pPr>
        <w:pStyle w:val="Default"/>
        <w:ind w:firstLine="567"/>
        <w:jc w:val="both"/>
        <w:rPr>
          <w:color w:val="auto"/>
          <w:sz w:val="28"/>
          <w:szCs w:val="28"/>
        </w:rPr>
      </w:pPr>
    </w:p>
    <w:p w:rsidR="00FA4D13" w:rsidRDefault="00FA4D13" w:rsidP="00C1549F">
      <w:pPr>
        <w:pStyle w:val="Default"/>
        <w:ind w:firstLine="567"/>
        <w:jc w:val="both"/>
        <w:rPr>
          <w:color w:val="auto"/>
          <w:sz w:val="28"/>
          <w:szCs w:val="28"/>
        </w:rPr>
      </w:pPr>
      <w:r w:rsidRPr="00FA4D13">
        <w:rPr>
          <w:color w:val="auto"/>
          <w:sz w:val="28"/>
          <w:szCs w:val="28"/>
        </w:rPr>
        <w:t xml:space="preserve">Birojs arī uzsācis kriminālprocesu pret VSIA „Rīgas Austrumu klīniskā universitātes slimnīca” Diagnostiskās radioloģijas centra stacionāra „Latvijas onkoloģijas centrs” un VSIA „Rīgas Austrumu klīniskā universitātes slimnīca” Diagnostiskās radioloģijas centra stacionāra „Gaiļezers” diagnostisko radioloģijas nodaļu darbiniekiem par prettiesiska labuma pieprasīšanu un pieņemšanu. Kriminālprocesa ietvaros iegūto pierādījumu kopums dod pietiekamu pamatu uzskatīt, ka vairāki </w:t>
      </w:r>
      <w:r w:rsidRPr="00E97290">
        <w:rPr>
          <w:b/>
          <w:color w:val="auto"/>
          <w:sz w:val="28"/>
          <w:szCs w:val="28"/>
        </w:rPr>
        <w:t>medicīnas darbinieki</w:t>
      </w:r>
      <w:r w:rsidRPr="00FA4D13">
        <w:rPr>
          <w:color w:val="auto"/>
          <w:sz w:val="28"/>
          <w:szCs w:val="28"/>
        </w:rPr>
        <w:t xml:space="preserve">, izmantojot savas pilnvaras, personu grupā pēc iepriekšējas vienošanās par magnētiskās rezonanses izmeklējumu nodrošināšanu, apejot noteikto rindas kārtību, </w:t>
      </w:r>
      <w:r w:rsidRPr="00E97290">
        <w:rPr>
          <w:b/>
          <w:color w:val="auto"/>
          <w:sz w:val="28"/>
          <w:szCs w:val="28"/>
        </w:rPr>
        <w:t>pieprasīja un pieņēma prettiesisku labumu no pacientiem</w:t>
      </w:r>
      <w:r w:rsidRPr="00FA4D13">
        <w:rPr>
          <w:color w:val="auto"/>
          <w:sz w:val="28"/>
          <w:szCs w:val="28"/>
        </w:rPr>
        <w:t>.</w:t>
      </w:r>
    </w:p>
    <w:p w:rsidR="00647059" w:rsidRDefault="000D0FDE" w:rsidP="000D0FDE">
      <w:pPr>
        <w:pStyle w:val="Default"/>
        <w:ind w:firstLine="567"/>
        <w:jc w:val="both"/>
        <w:rPr>
          <w:color w:val="auto"/>
          <w:sz w:val="28"/>
          <w:szCs w:val="28"/>
        </w:rPr>
      </w:pPr>
      <w:r>
        <w:rPr>
          <w:color w:val="auto"/>
          <w:sz w:val="28"/>
          <w:szCs w:val="28"/>
        </w:rPr>
        <w:t xml:space="preserve">Pārskata periodā Birojs </w:t>
      </w:r>
      <w:r w:rsidRPr="000D0FDE">
        <w:rPr>
          <w:color w:val="auto"/>
          <w:sz w:val="28"/>
          <w:szCs w:val="28"/>
        </w:rPr>
        <w:t xml:space="preserve">nosūtījis Rīgas tiesas apgabala prokuratūrai  krimināllietas materiālus par divu </w:t>
      </w:r>
      <w:r w:rsidRPr="00E97290">
        <w:rPr>
          <w:b/>
          <w:color w:val="auto"/>
          <w:sz w:val="28"/>
          <w:szCs w:val="28"/>
        </w:rPr>
        <w:t xml:space="preserve">Valsts policijas amatpersonu iespējamiem </w:t>
      </w:r>
      <w:r w:rsidRPr="00E97290">
        <w:rPr>
          <w:b/>
          <w:color w:val="auto"/>
          <w:sz w:val="28"/>
          <w:szCs w:val="28"/>
        </w:rPr>
        <w:lastRenderedPageBreak/>
        <w:t>izdarītajiem noziedzīgiem nodarījumiem</w:t>
      </w:r>
      <w:r>
        <w:rPr>
          <w:color w:val="auto"/>
          <w:sz w:val="28"/>
          <w:szCs w:val="28"/>
        </w:rPr>
        <w:t xml:space="preserve">. </w:t>
      </w:r>
      <w:r w:rsidRPr="000D0FDE">
        <w:rPr>
          <w:color w:val="auto"/>
          <w:sz w:val="28"/>
          <w:szCs w:val="28"/>
        </w:rPr>
        <w:t>Pirmstiesas izmeklēšanas laikā noskaidrots, ka Valsts policijas amatpersona, izmantojot savu dienesta stāvokli, pieprasīja un pieņēma kukuli, pieļaujot bezdarbību kukuļa devēja interesēs, lai neveiktu pārbaudes saistībā ar nelikumīgu akcīzes preču apriti. Turklāt  procesuālo darbību laikā tika konstatēts, ka  amatpersona glabāja traumatisko šaujamieroču munīciju, kura bija derīga šaušanai atbilstoša kalibra ieročos.</w:t>
      </w:r>
    </w:p>
    <w:p w:rsidR="000D0FDE" w:rsidRDefault="000D0FDE" w:rsidP="00C1549F">
      <w:pPr>
        <w:pStyle w:val="Default"/>
        <w:ind w:firstLine="567"/>
        <w:jc w:val="both"/>
        <w:rPr>
          <w:color w:val="auto"/>
          <w:sz w:val="28"/>
          <w:szCs w:val="28"/>
        </w:rPr>
      </w:pPr>
      <w:r>
        <w:rPr>
          <w:color w:val="auto"/>
          <w:sz w:val="28"/>
          <w:szCs w:val="28"/>
        </w:rPr>
        <w:t xml:space="preserve">Birojs </w:t>
      </w:r>
      <w:r w:rsidRPr="000D0FDE">
        <w:rPr>
          <w:color w:val="auto"/>
          <w:sz w:val="28"/>
          <w:szCs w:val="28"/>
        </w:rPr>
        <w:t xml:space="preserve">nosūtījis Ģenerālprokuratūrai 2013.gadā uzsāktā kriminālprocesa materiālus kriminālvajāšanas uzsākšanai </w:t>
      </w:r>
      <w:r w:rsidRPr="00E97290">
        <w:rPr>
          <w:b/>
          <w:color w:val="auto"/>
          <w:sz w:val="28"/>
          <w:szCs w:val="28"/>
        </w:rPr>
        <w:t>pret privātpersonu par uzkūdīšanu uz kukuļdošanu lielā apmērā un kukuļu piesavināšanos</w:t>
      </w:r>
      <w:r>
        <w:rPr>
          <w:color w:val="auto"/>
          <w:sz w:val="28"/>
          <w:szCs w:val="28"/>
        </w:rPr>
        <w:t xml:space="preserve">. Biroja </w:t>
      </w:r>
      <w:r w:rsidRPr="000D0FDE">
        <w:rPr>
          <w:color w:val="auto"/>
          <w:sz w:val="28"/>
          <w:szCs w:val="28"/>
        </w:rPr>
        <w:t>rīcībā esošie pierādījumi liecina, ka privātpersona</w:t>
      </w:r>
      <w:r>
        <w:rPr>
          <w:color w:val="auto"/>
          <w:sz w:val="28"/>
          <w:szCs w:val="28"/>
        </w:rPr>
        <w:t xml:space="preserve"> </w:t>
      </w:r>
      <w:r w:rsidRPr="000D0FDE">
        <w:rPr>
          <w:color w:val="auto"/>
          <w:sz w:val="28"/>
          <w:szCs w:val="28"/>
        </w:rPr>
        <w:t>ilgstošā laika posmā</w:t>
      </w:r>
      <w:r>
        <w:rPr>
          <w:color w:val="auto"/>
          <w:sz w:val="28"/>
          <w:szCs w:val="28"/>
        </w:rPr>
        <w:t xml:space="preserve"> radīja priekšstatu</w:t>
      </w:r>
      <w:r w:rsidRPr="000D0FDE">
        <w:rPr>
          <w:color w:val="auto"/>
          <w:sz w:val="28"/>
          <w:szCs w:val="28"/>
        </w:rPr>
        <w:t xml:space="preserve"> par valsts amatpersonas gatavību </w:t>
      </w:r>
      <w:r>
        <w:rPr>
          <w:color w:val="auto"/>
          <w:sz w:val="28"/>
          <w:szCs w:val="28"/>
        </w:rPr>
        <w:t xml:space="preserve">nodrošināt labvēlīga lēmuma pieņemšanu, saņemot prettiesisku atlīdzību. Privātpersona mudināja </w:t>
      </w:r>
      <w:r w:rsidRPr="000D0FDE">
        <w:rPr>
          <w:color w:val="auto"/>
          <w:sz w:val="28"/>
          <w:szCs w:val="28"/>
        </w:rPr>
        <w:t xml:space="preserve">ar </w:t>
      </w:r>
      <w:r>
        <w:rPr>
          <w:color w:val="auto"/>
          <w:sz w:val="28"/>
          <w:szCs w:val="28"/>
        </w:rPr>
        <w:t xml:space="preserve">tās </w:t>
      </w:r>
      <w:r w:rsidR="00C1549F">
        <w:rPr>
          <w:color w:val="auto"/>
          <w:sz w:val="28"/>
          <w:szCs w:val="28"/>
        </w:rPr>
        <w:t>starpniecību nodot kukuļus minētajai amatpersonai</w:t>
      </w:r>
      <w:r w:rsidRPr="000D0FDE">
        <w:rPr>
          <w:color w:val="auto"/>
          <w:sz w:val="28"/>
          <w:szCs w:val="28"/>
        </w:rPr>
        <w:t xml:space="preserve">, kura ieņēma atbildīgu amatu </w:t>
      </w:r>
      <w:r w:rsidR="00C1549F">
        <w:rPr>
          <w:color w:val="auto"/>
          <w:sz w:val="28"/>
          <w:szCs w:val="28"/>
        </w:rPr>
        <w:t>VID</w:t>
      </w:r>
      <w:r w:rsidRPr="000D0FDE">
        <w:rPr>
          <w:color w:val="auto"/>
          <w:sz w:val="28"/>
          <w:szCs w:val="28"/>
        </w:rPr>
        <w:t>, lai tā, rīkojoties kukuļdevēju interesēs, veiktu prettiesiskas darbības saistībā ar pārmaksātā PVN atmaksu.</w:t>
      </w:r>
      <w:r w:rsidR="00C1549F">
        <w:rPr>
          <w:color w:val="auto"/>
          <w:sz w:val="28"/>
          <w:szCs w:val="28"/>
        </w:rPr>
        <w:t xml:space="preserve"> </w:t>
      </w:r>
      <w:r w:rsidRPr="000D0FDE">
        <w:rPr>
          <w:color w:val="auto"/>
          <w:sz w:val="28"/>
          <w:szCs w:val="28"/>
        </w:rPr>
        <w:t xml:space="preserve">Izmeklēšanas gaitā tika noskaidrots, ka privātpersona pēc kukuļu, kopumā </w:t>
      </w:r>
      <w:r w:rsidR="00017763">
        <w:rPr>
          <w:color w:val="auto"/>
          <w:sz w:val="28"/>
          <w:szCs w:val="28"/>
        </w:rPr>
        <w:t xml:space="preserve">EUR </w:t>
      </w:r>
      <w:r w:rsidRPr="000D0FDE">
        <w:rPr>
          <w:color w:val="auto"/>
          <w:sz w:val="28"/>
          <w:szCs w:val="28"/>
        </w:rPr>
        <w:t>164 626 apmērā, saņemšanas tos piesavinājās un VID amatpersonai nenodeva.</w:t>
      </w:r>
    </w:p>
    <w:p w:rsidR="00C1549F" w:rsidRPr="00C1549F" w:rsidRDefault="00C1549F" w:rsidP="00C1549F">
      <w:pPr>
        <w:pStyle w:val="Default"/>
        <w:ind w:firstLine="567"/>
        <w:jc w:val="both"/>
        <w:rPr>
          <w:color w:val="auto"/>
          <w:sz w:val="28"/>
          <w:szCs w:val="28"/>
        </w:rPr>
      </w:pPr>
      <w:r>
        <w:rPr>
          <w:color w:val="auto"/>
          <w:sz w:val="28"/>
          <w:szCs w:val="28"/>
        </w:rPr>
        <w:t xml:space="preserve">2015.gada pirmajā pusē Birojs </w:t>
      </w:r>
      <w:r w:rsidRPr="00C1549F">
        <w:rPr>
          <w:color w:val="auto"/>
          <w:sz w:val="28"/>
          <w:szCs w:val="28"/>
        </w:rPr>
        <w:t xml:space="preserve">Organizētās noziedzības un citu nozaru specializētajai prokuratūrai nosūtījis 2013.gadā uzsāktā kriminālprocesa materiālus </w:t>
      </w:r>
      <w:r w:rsidRPr="00E97290">
        <w:rPr>
          <w:b/>
          <w:color w:val="auto"/>
          <w:sz w:val="28"/>
          <w:szCs w:val="28"/>
        </w:rPr>
        <w:t xml:space="preserve">kriminālvajāšanas uzsākšanai pret vairākām personām par VID Muitas </w:t>
      </w:r>
      <w:proofErr w:type="spellStart"/>
      <w:r w:rsidRPr="00E97290">
        <w:rPr>
          <w:b/>
          <w:color w:val="auto"/>
          <w:sz w:val="28"/>
          <w:szCs w:val="28"/>
        </w:rPr>
        <w:t>kriminālpārvaldes</w:t>
      </w:r>
      <w:proofErr w:type="spellEnd"/>
      <w:r w:rsidRPr="00C1549F">
        <w:rPr>
          <w:color w:val="auto"/>
          <w:sz w:val="28"/>
          <w:szCs w:val="28"/>
        </w:rPr>
        <w:t xml:space="preserve"> (tagadējā − VID Muitas policijas pā</w:t>
      </w:r>
      <w:r>
        <w:rPr>
          <w:color w:val="auto"/>
          <w:sz w:val="28"/>
          <w:szCs w:val="28"/>
        </w:rPr>
        <w:t xml:space="preserve">rvalde) </w:t>
      </w:r>
      <w:r w:rsidRPr="00E97290">
        <w:rPr>
          <w:b/>
          <w:color w:val="auto"/>
          <w:sz w:val="28"/>
          <w:szCs w:val="28"/>
        </w:rPr>
        <w:t>amatpersonu kukuļošanu</w:t>
      </w:r>
      <w:r>
        <w:rPr>
          <w:color w:val="auto"/>
          <w:sz w:val="28"/>
          <w:szCs w:val="28"/>
        </w:rPr>
        <w:t xml:space="preserve">. </w:t>
      </w:r>
      <w:r w:rsidRPr="00C1549F">
        <w:rPr>
          <w:color w:val="auto"/>
          <w:sz w:val="28"/>
          <w:szCs w:val="28"/>
        </w:rPr>
        <w:t xml:space="preserve">Sākotnēji kriminālprocesa ietvaros par aizdomās turēto kukuļa pieprasīšanā un pieņemšanā atzīta viena VID Muitas </w:t>
      </w:r>
      <w:proofErr w:type="spellStart"/>
      <w:r w:rsidRPr="00C1549F">
        <w:rPr>
          <w:color w:val="auto"/>
          <w:sz w:val="28"/>
          <w:szCs w:val="28"/>
        </w:rPr>
        <w:t>kriminālpārvaldes</w:t>
      </w:r>
      <w:proofErr w:type="spellEnd"/>
      <w:r w:rsidRPr="00C1549F">
        <w:rPr>
          <w:color w:val="auto"/>
          <w:sz w:val="28"/>
          <w:szCs w:val="28"/>
        </w:rPr>
        <w:t xml:space="preserve"> amatpersona, bet otra par kukuļņemšanas atbalstīšanu. Kriminālprocesa materiāli liecina, ka VID amatpersona, iesaistot starpniekus, ir pieprasījusi </w:t>
      </w:r>
      <w:r w:rsidR="00017763">
        <w:rPr>
          <w:color w:val="auto"/>
          <w:sz w:val="28"/>
          <w:szCs w:val="28"/>
        </w:rPr>
        <w:t xml:space="preserve">EUR </w:t>
      </w:r>
      <w:r w:rsidRPr="00C1549F">
        <w:rPr>
          <w:color w:val="auto"/>
          <w:sz w:val="28"/>
          <w:szCs w:val="28"/>
        </w:rPr>
        <w:t xml:space="preserve">4 000 un pieņēmusi kukuli </w:t>
      </w:r>
      <w:r w:rsidR="00017763">
        <w:rPr>
          <w:color w:val="auto"/>
          <w:sz w:val="28"/>
          <w:szCs w:val="28"/>
        </w:rPr>
        <w:t xml:space="preserve">EUR </w:t>
      </w:r>
      <w:r w:rsidRPr="00C1549F">
        <w:rPr>
          <w:color w:val="auto"/>
          <w:sz w:val="28"/>
          <w:szCs w:val="28"/>
        </w:rPr>
        <w:t>3 000 apmērā.</w:t>
      </w:r>
    </w:p>
    <w:p w:rsidR="00C1549F" w:rsidRDefault="00C1549F" w:rsidP="00C1549F">
      <w:pPr>
        <w:pStyle w:val="Default"/>
        <w:ind w:firstLine="567"/>
        <w:jc w:val="both"/>
        <w:rPr>
          <w:color w:val="auto"/>
          <w:sz w:val="28"/>
          <w:szCs w:val="28"/>
        </w:rPr>
      </w:pPr>
      <w:r w:rsidRPr="00C1549F">
        <w:rPr>
          <w:color w:val="auto"/>
          <w:sz w:val="28"/>
          <w:szCs w:val="28"/>
        </w:rPr>
        <w:t xml:space="preserve">Veicot turpmākās izmeklēšanas darbības un iegūstot jaunus pierādījumus, noskaidrots, ka viena no amatpersonām </w:t>
      </w:r>
      <w:r w:rsidR="00FA4D13">
        <w:rPr>
          <w:color w:val="auto"/>
          <w:sz w:val="28"/>
          <w:szCs w:val="28"/>
        </w:rPr>
        <w:t xml:space="preserve">ar divu privātpersonu atbalstu </w:t>
      </w:r>
      <w:r w:rsidRPr="00C1549F">
        <w:rPr>
          <w:color w:val="auto"/>
          <w:sz w:val="28"/>
          <w:szCs w:val="28"/>
        </w:rPr>
        <w:t xml:space="preserve">vēl septiņos gadījumos pieprasīja kukuļus saistībā ar labvēlīga lēmuma pieņemšanu VID Muitas </w:t>
      </w:r>
      <w:proofErr w:type="spellStart"/>
      <w:r w:rsidRPr="00C1549F">
        <w:rPr>
          <w:color w:val="auto"/>
          <w:sz w:val="28"/>
          <w:szCs w:val="28"/>
        </w:rPr>
        <w:t>kriminālpārvaldes</w:t>
      </w:r>
      <w:proofErr w:type="spellEnd"/>
      <w:r w:rsidRPr="00C1549F">
        <w:rPr>
          <w:color w:val="auto"/>
          <w:sz w:val="28"/>
          <w:szCs w:val="28"/>
        </w:rPr>
        <w:t xml:space="preserve"> lietvedībā esošajos kriminālprocesos gan no Latvijas pilsoņiem, gan kaimiņvalstu pilsoņiem, bet tos nav saņēmusi no viņa gribas neatkarīgu iemeslu dēļ. Pieprasīto kukuļu apmērs svārstīj</w:t>
      </w:r>
      <w:r>
        <w:rPr>
          <w:color w:val="auto"/>
          <w:sz w:val="28"/>
          <w:szCs w:val="28"/>
        </w:rPr>
        <w:t xml:space="preserve">ās no </w:t>
      </w:r>
      <w:r w:rsidR="00017763">
        <w:rPr>
          <w:color w:val="auto"/>
          <w:sz w:val="28"/>
          <w:szCs w:val="28"/>
        </w:rPr>
        <w:t xml:space="preserve">EUR </w:t>
      </w:r>
      <w:r>
        <w:rPr>
          <w:color w:val="auto"/>
          <w:sz w:val="28"/>
          <w:szCs w:val="28"/>
        </w:rPr>
        <w:t xml:space="preserve">1400 līdz </w:t>
      </w:r>
      <w:r w:rsidR="00017763">
        <w:rPr>
          <w:color w:val="auto"/>
          <w:sz w:val="28"/>
          <w:szCs w:val="28"/>
        </w:rPr>
        <w:t xml:space="preserve">EUR </w:t>
      </w:r>
      <w:r>
        <w:rPr>
          <w:color w:val="auto"/>
          <w:sz w:val="28"/>
          <w:szCs w:val="28"/>
        </w:rPr>
        <w:t xml:space="preserve">10 000. Biroja </w:t>
      </w:r>
      <w:r w:rsidRPr="00C1549F">
        <w:rPr>
          <w:color w:val="auto"/>
          <w:sz w:val="28"/>
          <w:szCs w:val="28"/>
        </w:rPr>
        <w:t xml:space="preserve">rīcībā esošie pierādījumi liecina, ka amatpersona informāciju par VID Muitas </w:t>
      </w:r>
      <w:proofErr w:type="spellStart"/>
      <w:r w:rsidRPr="00C1549F">
        <w:rPr>
          <w:color w:val="auto"/>
          <w:sz w:val="28"/>
          <w:szCs w:val="28"/>
        </w:rPr>
        <w:t>kriminālpārvaldes</w:t>
      </w:r>
      <w:proofErr w:type="spellEnd"/>
      <w:r w:rsidRPr="00C1549F">
        <w:rPr>
          <w:color w:val="auto"/>
          <w:sz w:val="28"/>
          <w:szCs w:val="28"/>
        </w:rPr>
        <w:t xml:space="preserve"> lietvedībā  esošajiem kriminālprocesiem nodeva starpniekiem, kuri kriminālprocesā iesaistītajām personām piedāvājuši apmaiņā pret prettiesisku labumu nodrošināt labvēlīga lēmuma pieņemšanu kriminālprocesos.</w:t>
      </w:r>
    </w:p>
    <w:p w:rsidR="007D1D25" w:rsidRDefault="00D67782" w:rsidP="008C077B">
      <w:pPr>
        <w:spacing w:after="0" w:line="240" w:lineRule="auto"/>
        <w:ind w:firstLine="720"/>
        <w:jc w:val="both"/>
        <w:rPr>
          <w:rFonts w:ascii="Times New Roman" w:hAnsi="Times New Roman" w:cs="Times New Roman"/>
          <w:sz w:val="28"/>
          <w:szCs w:val="28"/>
        </w:rPr>
      </w:pPr>
      <w:r w:rsidRPr="008C077B">
        <w:rPr>
          <w:rStyle w:val="c5"/>
          <w:rFonts w:ascii="Times New Roman" w:hAnsi="Times New Roman" w:cs="Times New Roman"/>
          <w:sz w:val="28"/>
          <w:szCs w:val="28"/>
        </w:rPr>
        <w:t xml:space="preserve">Lai nodrošinātu pierādījumu iegūšanu un nostiprināšanu Biroja lietvedībā esošajās krimināllietās, </w:t>
      </w:r>
      <w:r w:rsidR="007D1D25" w:rsidRPr="008C077B">
        <w:rPr>
          <w:rStyle w:val="c5"/>
          <w:rFonts w:ascii="Times New Roman" w:hAnsi="Times New Roman" w:cs="Times New Roman"/>
          <w:sz w:val="28"/>
          <w:szCs w:val="28"/>
        </w:rPr>
        <w:t>201</w:t>
      </w:r>
      <w:r w:rsidR="008C077B" w:rsidRPr="008C077B">
        <w:rPr>
          <w:rStyle w:val="c5"/>
          <w:rFonts w:ascii="Times New Roman" w:hAnsi="Times New Roman" w:cs="Times New Roman"/>
          <w:sz w:val="28"/>
          <w:szCs w:val="28"/>
        </w:rPr>
        <w:t>5</w:t>
      </w:r>
      <w:r w:rsidR="007D1D25" w:rsidRPr="008C077B">
        <w:rPr>
          <w:rStyle w:val="c5"/>
          <w:rFonts w:ascii="Times New Roman" w:hAnsi="Times New Roman" w:cs="Times New Roman"/>
          <w:sz w:val="28"/>
          <w:szCs w:val="28"/>
        </w:rPr>
        <w:t>.gad</w:t>
      </w:r>
      <w:r w:rsidR="008C077B" w:rsidRPr="008C077B">
        <w:rPr>
          <w:rStyle w:val="c5"/>
          <w:rFonts w:ascii="Times New Roman" w:hAnsi="Times New Roman" w:cs="Times New Roman"/>
          <w:sz w:val="28"/>
          <w:szCs w:val="28"/>
        </w:rPr>
        <w:t>a pirmajā pusgadā</w:t>
      </w:r>
      <w:r w:rsidR="00E54192" w:rsidRPr="008C077B">
        <w:rPr>
          <w:rStyle w:val="c5"/>
          <w:rFonts w:ascii="Times New Roman" w:hAnsi="Times New Roman" w:cs="Times New Roman"/>
          <w:sz w:val="28"/>
          <w:szCs w:val="28"/>
        </w:rPr>
        <w:t xml:space="preserve"> Birojs</w:t>
      </w:r>
      <w:r w:rsidR="008C077B" w:rsidRPr="008C077B">
        <w:rPr>
          <w:rStyle w:val="c5"/>
          <w:rFonts w:ascii="Times New Roman" w:hAnsi="Times New Roman" w:cs="Times New Roman"/>
          <w:sz w:val="28"/>
          <w:szCs w:val="28"/>
        </w:rPr>
        <w:t xml:space="preserve"> ir</w:t>
      </w:r>
      <w:r w:rsidR="00E54192" w:rsidRPr="008C077B">
        <w:rPr>
          <w:rStyle w:val="c5"/>
          <w:rFonts w:ascii="Times New Roman" w:hAnsi="Times New Roman" w:cs="Times New Roman"/>
          <w:sz w:val="28"/>
          <w:szCs w:val="28"/>
        </w:rPr>
        <w:t xml:space="preserve"> sagatavojis </w:t>
      </w:r>
      <w:r w:rsidR="008C077B" w:rsidRPr="008C077B">
        <w:rPr>
          <w:rStyle w:val="c5"/>
          <w:rFonts w:ascii="Times New Roman" w:hAnsi="Times New Roman" w:cs="Times New Roman"/>
          <w:sz w:val="28"/>
          <w:szCs w:val="28"/>
        </w:rPr>
        <w:t>vienu</w:t>
      </w:r>
      <w:r w:rsidR="00E54192" w:rsidRPr="008C077B">
        <w:rPr>
          <w:rStyle w:val="c5"/>
          <w:rFonts w:ascii="Times New Roman" w:hAnsi="Times New Roman" w:cs="Times New Roman"/>
          <w:sz w:val="28"/>
          <w:szCs w:val="28"/>
        </w:rPr>
        <w:t xml:space="preserve"> </w:t>
      </w:r>
      <w:r w:rsidR="008C077B" w:rsidRPr="00E97290">
        <w:rPr>
          <w:rFonts w:ascii="Times New Roman" w:hAnsi="Times New Roman" w:cs="Times New Roman"/>
          <w:b/>
          <w:sz w:val="28"/>
          <w:szCs w:val="28"/>
        </w:rPr>
        <w:t>tiesiskās palīdzības lūgumu</w:t>
      </w:r>
      <w:r w:rsidR="008C077B" w:rsidRPr="008C077B">
        <w:rPr>
          <w:rFonts w:ascii="Times New Roman" w:hAnsi="Times New Roman" w:cs="Times New Roman"/>
          <w:sz w:val="28"/>
          <w:szCs w:val="28"/>
        </w:rPr>
        <w:t xml:space="preserve">, savukārt izpildīti ir pieci </w:t>
      </w:r>
      <w:r w:rsidR="007D1D25" w:rsidRPr="008C077B">
        <w:rPr>
          <w:rFonts w:ascii="Times New Roman" w:hAnsi="Times New Roman" w:cs="Times New Roman"/>
          <w:sz w:val="28"/>
          <w:szCs w:val="28"/>
        </w:rPr>
        <w:t>ārvalstu tiesiskās palīdzības lūgum</w:t>
      </w:r>
      <w:r w:rsidR="008C077B" w:rsidRPr="008C077B">
        <w:rPr>
          <w:rFonts w:ascii="Times New Roman" w:hAnsi="Times New Roman" w:cs="Times New Roman"/>
          <w:sz w:val="28"/>
          <w:szCs w:val="28"/>
        </w:rPr>
        <w:t>i</w:t>
      </w:r>
      <w:r w:rsidR="007D1D25" w:rsidRPr="008C077B">
        <w:rPr>
          <w:rFonts w:ascii="Times New Roman" w:hAnsi="Times New Roman" w:cs="Times New Roman"/>
          <w:sz w:val="28"/>
          <w:szCs w:val="28"/>
        </w:rPr>
        <w:t xml:space="preserve">. </w:t>
      </w:r>
    </w:p>
    <w:p w:rsidR="00DF35A5" w:rsidRDefault="00DF35A5" w:rsidP="008C077B">
      <w:pPr>
        <w:spacing w:after="0" w:line="240" w:lineRule="auto"/>
        <w:ind w:firstLine="720"/>
        <w:jc w:val="both"/>
        <w:rPr>
          <w:rFonts w:ascii="Times New Roman" w:hAnsi="Times New Roman" w:cs="Times New Roman"/>
          <w:sz w:val="28"/>
          <w:szCs w:val="28"/>
        </w:rPr>
      </w:pPr>
    </w:p>
    <w:p w:rsidR="00765E3A" w:rsidRDefault="00765E3A" w:rsidP="008C077B">
      <w:pPr>
        <w:spacing w:after="0" w:line="240" w:lineRule="auto"/>
        <w:ind w:firstLine="720"/>
        <w:jc w:val="both"/>
        <w:rPr>
          <w:rFonts w:ascii="Times New Roman" w:hAnsi="Times New Roman" w:cs="Times New Roman"/>
          <w:sz w:val="28"/>
          <w:szCs w:val="28"/>
        </w:rPr>
      </w:pPr>
    </w:p>
    <w:p w:rsidR="00765E3A" w:rsidRPr="008C077B" w:rsidRDefault="00765E3A" w:rsidP="008C077B">
      <w:pPr>
        <w:spacing w:after="0" w:line="240" w:lineRule="auto"/>
        <w:ind w:firstLine="720"/>
        <w:jc w:val="both"/>
        <w:rPr>
          <w:rFonts w:ascii="Times New Roman" w:hAnsi="Times New Roman" w:cs="Times New Roman"/>
          <w:sz w:val="28"/>
          <w:szCs w:val="28"/>
        </w:rPr>
      </w:pPr>
    </w:p>
    <w:p w:rsidR="00DD2C19" w:rsidRPr="00752EF4" w:rsidRDefault="00DD2C19" w:rsidP="00752EF4">
      <w:pPr>
        <w:pStyle w:val="Title"/>
        <w:rPr>
          <w:rFonts w:ascii="Times New Roman" w:hAnsi="Times New Roman"/>
        </w:rPr>
      </w:pPr>
      <w:r w:rsidRPr="00752EF4">
        <w:rPr>
          <w:rFonts w:ascii="Times New Roman" w:hAnsi="Times New Roman"/>
        </w:rPr>
        <w:lastRenderedPageBreak/>
        <w:t>3. Politisko partiju un to apvienību</w:t>
      </w:r>
      <w:r w:rsidR="00752EF4" w:rsidRPr="00752EF4">
        <w:rPr>
          <w:rFonts w:ascii="Times New Roman" w:hAnsi="Times New Roman"/>
        </w:rPr>
        <w:t xml:space="preserve"> </w:t>
      </w:r>
      <w:r w:rsidRPr="00752EF4">
        <w:rPr>
          <w:rFonts w:ascii="Times New Roman" w:hAnsi="Times New Roman"/>
        </w:rPr>
        <w:t>finansēšanas noteikumu izpildes kontrole</w:t>
      </w:r>
    </w:p>
    <w:p w:rsidR="002B69CE" w:rsidRPr="00C95A74" w:rsidRDefault="002B69CE" w:rsidP="00C95A74">
      <w:pPr>
        <w:spacing w:after="0" w:line="240" w:lineRule="auto"/>
        <w:ind w:firstLine="567"/>
        <w:jc w:val="both"/>
        <w:rPr>
          <w:rFonts w:ascii="Times New Roman" w:eastAsia="Times New Roman" w:hAnsi="Times New Roman" w:cs="Times New Roman"/>
          <w:sz w:val="28"/>
          <w:szCs w:val="28"/>
          <w:lang w:eastAsia="lv-LV"/>
        </w:rPr>
      </w:pPr>
      <w:r w:rsidRPr="002B69CE">
        <w:rPr>
          <w:rFonts w:ascii="Times New Roman" w:eastAsia="Times New Roman" w:hAnsi="Times New Roman" w:cs="Times New Roman"/>
          <w:sz w:val="28"/>
          <w:szCs w:val="28"/>
          <w:lang w:eastAsia="lv-LV"/>
        </w:rPr>
        <w:t>Politisko partiju un to apvienību finansēšanas noteikumu kontroles mērķis ir nodrošināt partiju finansiālās darbības atklātumu, likumību un atbilstību parlamentārās demokrātijas sistēmai. Veicot likumā noteiktās funkcijas politisko partiju finansēšanas un priekšvēlēšanu aģit</w:t>
      </w:r>
      <w:r>
        <w:rPr>
          <w:rFonts w:ascii="Times New Roman" w:eastAsia="Times New Roman" w:hAnsi="Times New Roman" w:cs="Times New Roman"/>
          <w:sz w:val="28"/>
          <w:szCs w:val="28"/>
          <w:lang w:eastAsia="lv-LV"/>
        </w:rPr>
        <w:t>ācijas kontroles jomā,</w:t>
      </w:r>
      <w:r w:rsidR="00AF7212">
        <w:rPr>
          <w:rFonts w:ascii="Times New Roman" w:eastAsia="Times New Roman" w:hAnsi="Times New Roman" w:cs="Times New Roman"/>
          <w:sz w:val="28"/>
          <w:szCs w:val="28"/>
          <w:lang w:eastAsia="lv-LV"/>
        </w:rPr>
        <w:t xml:space="preserve"> pārskata periodā Biroja amatpersonas ir pabeigušas virkni būtisku uzdevumu, </w:t>
      </w:r>
      <w:r w:rsidR="00AF7212" w:rsidRPr="00E97290">
        <w:rPr>
          <w:rFonts w:ascii="Times New Roman" w:eastAsia="Times New Roman" w:hAnsi="Times New Roman" w:cs="Times New Roman"/>
          <w:b/>
          <w:sz w:val="28"/>
          <w:szCs w:val="28"/>
          <w:lang w:eastAsia="lv-LV"/>
        </w:rPr>
        <w:t>publicējot divus apkopojumus par konstatētajiem politisko partiju pārkāpumiem</w:t>
      </w:r>
      <w:r w:rsidR="00AF7212">
        <w:rPr>
          <w:rFonts w:ascii="Times New Roman" w:eastAsia="Times New Roman" w:hAnsi="Times New Roman" w:cs="Times New Roman"/>
          <w:sz w:val="28"/>
          <w:szCs w:val="28"/>
          <w:lang w:eastAsia="lv-LV"/>
        </w:rPr>
        <w:t>.</w:t>
      </w:r>
      <w:r w:rsidR="00C95A74">
        <w:rPr>
          <w:rFonts w:ascii="Times New Roman" w:eastAsia="Times New Roman" w:hAnsi="Times New Roman" w:cs="Times New Roman"/>
          <w:sz w:val="28"/>
          <w:szCs w:val="28"/>
          <w:lang w:eastAsia="lv-LV"/>
        </w:rPr>
        <w:t xml:space="preserve"> </w:t>
      </w:r>
      <w:r w:rsidR="00AF7212">
        <w:rPr>
          <w:rFonts w:ascii="Times New Roman" w:eastAsia="Times New Roman" w:hAnsi="Times New Roman" w:cs="Times New Roman"/>
          <w:sz w:val="28"/>
          <w:szCs w:val="28"/>
          <w:lang w:eastAsia="lv-LV"/>
        </w:rPr>
        <w:t xml:space="preserve">2015.gada pirmajā pusē Biroja amatpersonas pabeidza </w:t>
      </w:r>
      <w:r>
        <w:rPr>
          <w:rFonts w:ascii="Times New Roman" w:eastAsia="Times New Roman" w:hAnsi="Times New Roman" w:cs="Times New Roman"/>
          <w:sz w:val="28"/>
          <w:szCs w:val="28"/>
          <w:lang w:eastAsia="lv-LV"/>
        </w:rPr>
        <w:t>13</w:t>
      </w:r>
      <w:r w:rsidRPr="002B69CE">
        <w:rPr>
          <w:rFonts w:ascii="Times New Roman" w:eastAsia="Times New Roman" w:hAnsi="Times New Roman" w:cs="Times New Roman"/>
          <w:sz w:val="28"/>
          <w:szCs w:val="28"/>
          <w:lang w:eastAsia="lv-LV"/>
        </w:rPr>
        <w:t xml:space="preserve"> partiju 2014.gada Saeimas vēlēšanu dek</w:t>
      </w:r>
      <w:r>
        <w:rPr>
          <w:rFonts w:ascii="Times New Roman" w:eastAsia="Times New Roman" w:hAnsi="Times New Roman" w:cs="Times New Roman"/>
          <w:sz w:val="28"/>
          <w:szCs w:val="28"/>
          <w:lang w:eastAsia="lv-LV"/>
        </w:rPr>
        <w:t>larāciju pārbaudes</w:t>
      </w:r>
      <w:r w:rsidR="005E0133">
        <w:rPr>
          <w:rFonts w:ascii="Times New Roman" w:eastAsia="Times New Roman" w:hAnsi="Times New Roman" w:cs="Times New Roman"/>
          <w:sz w:val="28"/>
          <w:szCs w:val="28"/>
          <w:lang w:eastAsia="lv-LV"/>
        </w:rPr>
        <w:t xml:space="preserve">, prezentējot </w:t>
      </w:r>
      <w:r w:rsidRPr="002B69CE">
        <w:rPr>
          <w:rFonts w:ascii="Times New Roman" w:eastAsia="Times New Roman" w:hAnsi="Times New Roman" w:cs="Times New Roman"/>
          <w:sz w:val="28"/>
          <w:szCs w:val="28"/>
          <w:lang w:eastAsia="lv-LV"/>
        </w:rPr>
        <w:t>apkopojum</w:t>
      </w:r>
      <w:r>
        <w:rPr>
          <w:rFonts w:ascii="Times New Roman" w:eastAsia="Times New Roman" w:hAnsi="Times New Roman" w:cs="Times New Roman"/>
          <w:sz w:val="28"/>
          <w:szCs w:val="28"/>
          <w:lang w:eastAsia="lv-LV"/>
        </w:rPr>
        <w:t>u</w:t>
      </w:r>
      <w:r w:rsidRPr="002B69CE">
        <w:rPr>
          <w:rFonts w:ascii="Times New Roman" w:eastAsia="Times New Roman" w:hAnsi="Times New Roman" w:cs="Times New Roman"/>
          <w:sz w:val="28"/>
          <w:szCs w:val="28"/>
          <w:lang w:eastAsia="lv-LV"/>
        </w:rPr>
        <w:t xml:space="preserve"> par konstatētajiem </w:t>
      </w:r>
      <w:r>
        <w:rPr>
          <w:rFonts w:ascii="Times New Roman" w:eastAsia="Times New Roman" w:hAnsi="Times New Roman" w:cs="Times New Roman"/>
          <w:sz w:val="28"/>
          <w:szCs w:val="28"/>
          <w:lang w:eastAsia="lv-LV"/>
        </w:rPr>
        <w:t>septiņu</w:t>
      </w:r>
      <w:r w:rsidRPr="002B69CE">
        <w:rPr>
          <w:rFonts w:ascii="Times New Roman" w:eastAsia="Times New Roman" w:hAnsi="Times New Roman" w:cs="Times New Roman"/>
          <w:sz w:val="28"/>
          <w:szCs w:val="28"/>
          <w:lang w:eastAsia="lv-LV"/>
        </w:rPr>
        <w:t xml:space="preserve"> partiju pārkāpumiem, kas saistīti ar nepilnīgu ziņu norādīšanu un citiem pārkāpumiem vēlēšanu ieņēmumu un izdevumu deklarācijās.</w:t>
      </w:r>
      <w:r>
        <w:rPr>
          <w:rStyle w:val="FootnoteReference"/>
          <w:rFonts w:ascii="Times New Roman" w:eastAsia="Times New Roman" w:hAnsi="Times New Roman" w:cs="Times New Roman"/>
          <w:sz w:val="28"/>
          <w:szCs w:val="28"/>
          <w:lang w:eastAsia="lv-LV"/>
        </w:rPr>
        <w:footnoteReference w:id="1"/>
      </w:r>
      <w:r w:rsidR="00C95A74">
        <w:rPr>
          <w:rFonts w:ascii="Times New Roman" w:eastAsia="Times New Roman" w:hAnsi="Times New Roman" w:cs="Times New Roman"/>
          <w:sz w:val="28"/>
          <w:szCs w:val="28"/>
          <w:lang w:eastAsia="lv-LV"/>
        </w:rPr>
        <w:t xml:space="preserve"> Savukārt otrs apkopojums attiecas uz </w:t>
      </w:r>
      <w:r>
        <w:rPr>
          <w:rFonts w:ascii="Times New Roman" w:hAnsi="Times New Roman"/>
          <w:sz w:val="28"/>
          <w:szCs w:val="28"/>
        </w:rPr>
        <w:t xml:space="preserve">partiju </w:t>
      </w:r>
      <w:r w:rsidRPr="000B328C">
        <w:rPr>
          <w:rFonts w:ascii="Times New Roman" w:hAnsi="Times New Roman"/>
          <w:sz w:val="28"/>
          <w:szCs w:val="28"/>
        </w:rPr>
        <w:t>2013.g</w:t>
      </w:r>
      <w:r w:rsidR="00C95A74">
        <w:rPr>
          <w:rFonts w:ascii="Times New Roman" w:hAnsi="Times New Roman"/>
          <w:sz w:val="28"/>
          <w:szCs w:val="28"/>
        </w:rPr>
        <w:t>ada pārskatu patiesuma pārbaudēm</w:t>
      </w:r>
      <w:r w:rsidR="005E0133">
        <w:rPr>
          <w:rFonts w:ascii="Times New Roman" w:hAnsi="Times New Roman"/>
          <w:sz w:val="28"/>
          <w:szCs w:val="28"/>
        </w:rPr>
        <w:t xml:space="preserve">, </w:t>
      </w:r>
      <w:r w:rsidR="00C95A74">
        <w:rPr>
          <w:rFonts w:ascii="Times New Roman" w:hAnsi="Times New Roman"/>
          <w:sz w:val="28"/>
          <w:szCs w:val="28"/>
        </w:rPr>
        <w:t xml:space="preserve">kurā sniegta informācija </w:t>
      </w:r>
      <w:r w:rsidRPr="000B328C">
        <w:rPr>
          <w:rFonts w:ascii="Times New Roman" w:hAnsi="Times New Roman"/>
          <w:sz w:val="28"/>
          <w:szCs w:val="28"/>
        </w:rPr>
        <w:t>par konstatētajiem pārkāpumiem, kas saistīti ar nepilnīgu ziņu norādīšanu gada pārskatos, pretlikumīgu finansējuma pieņemšanu un valsts budžeta finansējuma pretlikumīgu izlietojumu.</w:t>
      </w:r>
      <w:r>
        <w:rPr>
          <w:rStyle w:val="FootnoteReference"/>
          <w:rFonts w:ascii="Times New Roman" w:hAnsi="Times New Roman"/>
          <w:sz w:val="28"/>
          <w:szCs w:val="28"/>
        </w:rPr>
        <w:footnoteReference w:id="2"/>
      </w:r>
    </w:p>
    <w:p w:rsidR="00AF7212" w:rsidRPr="00C3465C" w:rsidRDefault="002B69CE" w:rsidP="005E0133">
      <w:pPr>
        <w:spacing w:after="0" w:line="240" w:lineRule="auto"/>
        <w:ind w:firstLine="567"/>
        <w:jc w:val="both"/>
        <w:rPr>
          <w:rFonts w:ascii="Times New Roman" w:hAnsi="Times New Roman"/>
          <w:sz w:val="28"/>
          <w:szCs w:val="28"/>
        </w:rPr>
      </w:pPr>
      <w:r w:rsidRPr="001C70CC">
        <w:rPr>
          <w:rFonts w:ascii="Times New Roman" w:hAnsi="Times New Roman"/>
          <w:sz w:val="28"/>
          <w:szCs w:val="28"/>
        </w:rPr>
        <w:t xml:space="preserve">No 68 politiskajām organizācijām, kurām ir bijis jāiesniedz 2013.gada pārskati līdz 2015.gada 30.jūnijam </w:t>
      </w:r>
      <w:r w:rsidR="00E97290">
        <w:rPr>
          <w:rFonts w:ascii="Times New Roman" w:hAnsi="Times New Roman"/>
          <w:sz w:val="28"/>
          <w:szCs w:val="28"/>
        </w:rPr>
        <w:t>tos nebija</w:t>
      </w:r>
      <w:r w:rsidR="001C70CC">
        <w:rPr>
          <w:rFonts w:ascii="Times New Roman" w:hAnsi="Times New Roman"/>
          <w:sz w:val="28"/>
          <w:szCs w:val="28"/>
        </w:rPr>
        <w:t xml:space="preserve"> iesniegušas sešas partijas </w:t>
      </w:r>
      <w:r w:rsidRPr="001C70CC">
        <w:rPr>
          <w:rFonts w:ascii="Times New Roman" w:hAnsi="Times New Roman"/>
          <w:sz w:val="28"/>
          <w:szCs w:val="28"/>
        </w:rPr>
        <w:t xml:space="preserve">(A8 partija, Latviešu Zemnieku Savienība, Latvijas kustība Solidaritāte, </w:t>
      </w:r>
      <w:proofErr w:type="spellStart"/>
      <w:r w:rsidRPr="001C70CC">
        <w:rPr>
          <w:rFonts w:ascii="Times New Roman" w:hAnsi="Times New Roman"/>
          <w:sz w:val="28"/>
          <w:szCs w:val="28"/>
        </w:rPr>
        <w:t>Osipova</w:t>
      </w:r>
      <w:proofErr w:type="spellEnd"/>
      <w:r w:rsidRPr="001C70CC">
        <w:rPr>
          <w:rFonts w:ascii="Times New Roman" w:hAnsi="Times New Roman"/>
          <w:sz w:val="28"/>
          <w:szCs w:val="28"/>
        </w:rPr>
        <w:t xml:space="preserve"> partija, Par Labu Latviju, Par Dzimto Valodu!). 2015.gada pirmajā pusgad</w:t>
      </w:r>
      <w:r w:rsidR="005E0133">
        <w:rPr>
          <w:rFonts w:ascii="Times New Roman" w:hAnsi="Times New Roman"/>
          <w:sz w:val="28"/>
          <w:szCs w:val="28"/>
        </w:rPr>
        <w:t>a sākumā</w:t>
      </w:r>
      <w:r w:rsidRPr="001C70CC">
        <w:rPr>
          <w:rFonts w:ascii="Times New Roman" w:hAnsi="Times New Roman"/>
          <w:sz w:val="28"/>
          <w:szCs w:val="28"/>
        </w:rPr>
        <w:t xml:space="preserve"> </w:t>
      </w:r>
      <w:r w:rsidRPr="00E97290">
        <w:rPr>
          <w:rFonts w:ascii="Times New Roman" w:hAnsi="Times New Roman"/>
          <w:b/>
          <w:sz w:val="28"/>
          <w:szCs w:val="28"/>
        </w:rPr>
        <w:t>tiesā iesniegti prasības pieteikumi apturēt trīs partiju</w:t>
      </w:r>
      <w:r w:rsidRPr="001C70CC">
        <w:rPr>
          <w:rFonts w:ascii="Times New Roman" w:hAnsi="Times New Roman"/>
          <w:sz w:val="28"/>
          <w:szCs w:val="28"/>
        </w:rPr>
        <w:t xml:space="preserve"> (A8 partija, Par Dzimto Valodu!, Suverenitāte) darbību par 2</w:t>
      </w:r>
      <w:r w:rsidR="005E0133">
        <w:rPr>
          <w:rFonts w:ascii="Times New Roman" w:hAnsi="Times New Roman"/>
          <w:sz w:val="28"/>
          <w:szCs w:val="28"/>
        </w:rPr>
        <w:t xml:space="preserve">013.gada pārskatu neiesniegšanu, kurus tiesa 2015.gada pirmā pusgada beigās apmierinājusi. Vienlaikus ar tiesas spriedumu apturēta vēl divu </w:t>
      </w:r>
      <w:r w:rsidR="00C3465C">
        <w:rPr>
          <w:rFonts w:ascii="Times New Roman" w:eastAsia="Times New Roman" w:hAnsi="Times New Roman" w:cs="Times New Roman"/>
          <w:sz w:val="28"/>
          <w:szCs w:val="28"/>
          <w:lang w:eastAsia="lv-LV"/>
        </w:rPr>
        <w:t xml:space="preserve">partiju </w:t>
      </w:r>
      <w:r w:rsidR="001C70CC" w:rsidRPr="001C70CC">
        <w:rPr>
          <w:rFonts w:ascii="Times New Roman" w:eastAsia="Times New Roman" w:hAnsi="Times New Roman" w:cs="Times New Roman"/>
          <w:sz w:val="28"/>
          <w:szCs w:val="28"/>
          <w:lang w:eastAsia="lv-LV"/>
        </w:rPr>
        <w:t>darbība (</w:t>
      </w:r>
      <w:r w:rsidR="005E0133">
        <w:rPr>
          <w:rFonts w:ascii="Times New Roman" w:eastAsia="Times New Roman" w:hAnsi="Times New Roman" w:cs="Times New Roman"/>
          <w:sz w:val="28"/>
          <w:szCs w:val="28"/>
          <w:lang w:eastAsia="lv-LV"/>
        </w:rPr>
        <w:t xml:space="preserve">Latvijas kustība Solidaritāte, </w:t>
      </w:r>
      <w:r w:rsidR="001C70CC" w:rsidRPr="001C70CC">
        <w:rPr>
          <w:rFonts w:ascii="Times New Roman" w:eastAsia="Times New Roman" w:hAnsi="Times New Roman" w:cs="Times New Roman"/>
          <w:sz w:val="28"/>
          <w:szCs w:val="28"/>
          <w:lang w:eastAsia="lv-LV"/>
        </w:rPr>
        <w:t xml:space="preserve">Par Labu Latviju), savukārt </w:t>
      </w:r>
      <w:r w:rsidR="00C3465C">
        <w:rPr>
          <w:rFonts w:ascii="Times New Roman" w:eastAsia="Times New Roman" w:hAnsi="Times New Roman" w:cs="Times New Roman"/>
          <w:sz w:val="28"/>
          <w:szCs w:val="28"/>
          <w:lang w:eastAsia="lv-LV"/>
        </w:rPr>
        <w:t>divu</w:t>
      </w:r>
      <w:r w:rsidR="001C70CC" w:rsidRPr="001C70CC">
        <w:rPr>
          <w:rFonts w:ascii="Times New Roman" w:eastAsia="Times New Roman" w:hAnsi="Times New Roman" w:cs="Times New Roman"/>
          <w:sz w:val="28"/>
          <w:szCs w:val="28"/>
          <w:lang w:eastAsia="lv-LV"/>
        </w:rPr>
        <w:t xml:space="preserve"> partiju darbība ir izbeigta (Latviešu Zemnieku Savienība, </w:t>
      </w:r>
      <w:proofErr w:type="spellStart"/>
      <w:r w:rsidR="001C70CC" w:rsidRPr="001C70CC">
        <w:rPr>
          <w:rFonts w:ascii="Times New Roman" w:eastAsia="Times New Roman" w:hAnsi="Times New Roman" w:cs="Times New Roman"/>
          <w:sz w:val="28"/>
          <w:szCs w:val="28"/>
          <w:lang w:eastAsia="lv-LV"/>
        </w:rPr>
        <w:t>Osipova</w:t>
      </w:r>
      <w:proofErr w:type="spellEnd"/>
      <w:r w:rsidR="001C70CC" w:rsidRPr="001C70CC">
        <w:rPr>
          <w:rFonts w:ascii="Times New Roman" w:eastAsia="Times New Roman" w:hAnsi="Times New Roman" w:cs="Times New Roman"/>
          <w:sz w:val="28"/>
          <w:szCs w:val="28"/>
          <w:lang w:eastAsia="lv-LV"/>
        </w:rPr>
        <w:t xml:space="preserve"> partija).</w:t>
      </w:r>
    </w:p>
    <w:p w:rsidR="00AF7212" w:rsidRPr="005E0133" w:rsidRDefault="005E0133" w:rsidP="005E0133">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Birojs savā </w:t>
      </w:r>
      <w:r w:rsidR="00A85869">
        <w:rPr>
          <w:rFonts w:ascii="Times New Roman" w:eastAsia="Times New Roman" w:hAnsi="Times New Roman" w:cs="Times New Roman"/>
          <w:sz w:val="28"/>
          <w:szCs w:val="28"/>
          <w:lang w:eastAsia="lv-LV"/>
        </w:rPr>
        <w:t>tīmekļa vietnē</w:t>
      </w:r>
      <w:r>
        <w:rPr>
          <w:rFonts w:ascii="Times New Roman" w:eastAsia="Times New Roman" w:hAnsi="Times New Roman" w:cs="Times New Roman"/>
          <w:sz w:val="28"/>
          <w:szCs w:val="28"/>
          <w:lang w:eastAsia="lv-LV"/>
        </w:rPr>
        <w:t xml:space="preserve"> ir </w:t>
      </w:r>
      <w:r w:rsidRPr="00E97290">
        <w:rPr>
          <w:rFonts w:ascii="Times New Roman" w:eastAsia="Times New Roman" w:hAnsi="Times New Roman" w:cs="Times New Roman"/>
          <w:b/>
          <w:sz w:val="28"/>
          <w:szCs w:val="28"/>
          <w:lang w:eastAsia="lv-LV"/>
        </w:rPr>
        <w:t xml:space="preserve">publicējis </w:t>
      </w:r>
      <w:r w:rsidR="00AF7212" w:rsidRPr="00E97290">
        <w:rPr>
          <w:rFonts w:ascii="Times New Roman" w:eastAsia="Times New Roman" w:hAnsi="Times New Roman" w:cs="Times New Roman"/>
          <w:b/>
          <w:sz w:val="28"/>
          <w:szCs w:val="28"/>
          <w:lang w:eastAsia="lv-LV"/>
        </w:rPr>
        <w:t>politisko organizāciju</w:t>
      </w:r>
      <w:r w:rsidR="004241D6" w:rsidRPr="00E97290">
        <w:rPr>
          <w:rFonts w:ascii="Times New Roman" w:eastAsia="Times New Roman" w:hAnsi="Times New Roman" w:cs="Times New Roman"/>
          <w:b/>
          <w:sz w:val="28"/>
          <w:szCs w:val="28"/>
          <w:lang w:eastAsia="lv-LV"/>
        </w:rPr>
        <w:t xml:space="preserve"> 2014.gada</w:t>
      </w:r>
      <w:r w:rsidRPr="00E97290">
        <w:rPr>
          <w:rFonts w:ascii="Times New Roman" w:eastAsia="Times New Roman" w:hAnsi="Times New Roman" w:cs="Times New Roman"/>
          <w:b/>
          <w:sz w:val="28"/>
          <w:szCs w:val="28"/>
          <w:lang w:eastAsia="lv-LV"/>
        </w:rPr>
        <w:t xml:space="preserve"> pārskatus</w:t>
      </w:r>
      <w:r w:rsidR="00AF7212">
        <w:rPr>
          <w:rFonts w:ascii="Times New Roman" w:hAnsi="Times New Roman"/>
          <w:sz w:val="28"/>
          <w:szCs w:val="28"/>
        </w:rPr>
        <w:t>. Līdz 2015.gada 30.jūnijam</w:t>
      </w:r>
      <w:r>
        <w:rPr>
          <w:rFonts w:ascii="Times New Roman" w:hAnsi="Times New Roman"/>
          <w:sz w:val="28"/>
          <w:szCs w:val="28"/>
        </w:rPr>
        <w:t xml:space="preserve"> no</w:t>
      </w:r>
      <w:r w:rsidR="00AF7212">
        <w:rPr>
          <w:rFonts w:ascii="Times New Roman" w:hAnsi="Times New Roman"/>
          <w:sz w:val="28"/>
          <w:szCs w:val="28"/>
        </w:rPr>
        <w:t xml:space="preserve"> </w:t>
      </w:r>
      <w:r w:rsidR="00AF7212" w:rsidRPr="000B328C">
        <w:rPr>
          <w:rFonts w:ascii="Times New Roman" w:hAnsi="Times New Roman"/>
          <w:sz w:val="28"/>
          <w:szCs w:val="28"/>
        </w:rPr>
        <w:t xml:space="preserve">72 </w:t>
      </w:r>
      <w:r w:rsidR="00AF7212">
        <w:rPr>
          <w:rFonts w:ascii="Times New Roman" w:hAnsi="Times New Roman"/>
          <w:sz w:val="28"/>
          <w:szCs w:val="28"/>
        </w:rPr>
        <w:t xml:space="preserve">politiskajām organizācijām, minētos </w:t>
      </w:r>
      <w:r w:rsidR="00AF7212" w:rsidRPr="000B328C">
        <w:rPr>
          <w:rFonts w:ascii="Times New Roman" w:hAnsi="Times New Roman"/>
          <w:sz w:val="28"/>
          <w:szCs w:val="28"/>
        </w:rPr>
        <w:t xml:space="preserve">pārskatus nav iesniegušas 12 partijas (A8 partija, Daugavpils-mana pilsēta, Latviešu Zemnieku Savienība, Latvijas kustība Solidaritāte, Mūsu izvēle, </w:t>
      </w:r>
      <w:r w:rsidR="00AF7212">
        <w:rPr>
          <w:rFonts w:ascii="Times New Roman" w:hAnsi="Times New Roman"/>
          <w:sz w:val="28"/>
          <w:szCs w:val="28"/>
        </w:rPr>
        <w:t>Partija </w:t>
      </w:r>
      <w:r w:rsidR="00AF7212" w:rsidRPr="000B328C">
        <w:rPr>
          <w:rFonts w:ascii="Times New Roman" w:hAnsi="Times New Roman"/>
          <w:sz w:val="28"/>
          <w:szCs w:val="28"/>
        </w:rPr>
        <w:t xml:space="preserve">Mūsu zeme, </w:t>
      </w:r>
      <w:proofErr w:type="spellStart"/>
      <w:r w:rsidR="00AF7212" w:rsidRPr="000B328C">
        <w:rPr>
          <w:rFonts w:ascii="Times New Roman" w:hAnsi="Times New Roman"/>
          <w:sz w:val="28"/>
          <w:szCs w:val="28"/>
        </w:rPr>
        <w:t>Osipova</w:t>
      </w:r>
      <w:proofErr w:type="spellEnd"/>
      <w:r w:rsidR="00AF7212" w:rsidRPr="000B328C">
        <w:rPr>
          <w:rFonts w:ascii="Times New Roman" w:hAnsi="Times New Roman"/>
          <w:sz w:val="28"/>
          <w:szCs w:val="28"/>
        </w:rPr>
        <w:t xml:space="preserve"> partija, Par Dzimto Valodu!, Par Labu Latviju, Par Neatkarīgu Latviju!, Sociālā Taisnīguma partija, Tautas kontrole).</w:t>
      </w:r>
      <w:r w:rsidR="00984B27">
        <w:rPr>
          <w:rFonts w:ascii="Times New Roman" w:hAnsi="Times New Roman"/>
          <w:sz w:val="28"/>
          <w:szCs w:val="28"/>
        </w:rPr>
        <w:t xml:space="preserve"> Attiecībā uz deviņām partijām ir </w:t>
      </w:r>
      <w:r w:rsidR="00AF7212" w:rsidRPr="000B328C">
        <w:rPr>
          <w:rFonts w:ascii="Times New Roman" w:hAnsi="Times New Roman"/>
          <w:sz w:val="28"/>
          <w:szCs w:val="28"/>
        </w:rPr>
        <w:t xml:space="preserve">pieņemti lēmumi administratīvā pārkāpuma lietās par gada pārskatu neiesniegšanu vai to savlaicīgu un nepilnīgu iesniegšanu. </w:t>
      </w:r>
      <w:r w:rsidR="00984B27">
        <w:rPr>
          <w:rFonts w:ascii="Times New Roman" w:hAnsi="Times New Roman"/>
          <w:sz w:val="28"/>
          <w:szCs w:val="28"/>
        </w:rPr>
        <w:t xml:space="preserve">Pārskata periodā Birojs ir uzsācis minēto pārskatu </w:t>
      </w:r>
      <w:r w:rsidR="00AF7212" w:rsidRPr="00984B27">
        <w:rPr>
          <w:rFonts w:ascii="Times New Roman" w:hAnsi="Times New Roman"/>
          <w:sz w:val="28"/>
          <w:szCs w:val="28"/>
        </w:rPr>
        <w:t>patiesuma un valsts budžeta finansējuma izlietojuma pārbaudes.</w:t>
      </w:r>
    </w:p>
    <w:p w:rsidR="00984B27" w:rsidRDefault="00C95A74" w:rsidP="00984B27">
      <w:pPr>
        <w:spacing w:after="0" w:line="240" w:lineRule="auto"/>
        <w:ind w:firstLine="567"/>
        <w:jc w:val="both"/>
        <w:rPr>
          <w:rFonts w:ascii="Times New Roman" w:hAnsi="Times New Roman" w:cs="Times New Roman"/>
          <w:sz w:val="28"/>
          <w:szCs w:val="28"/>
        </w:rPr>
      </w:pPr>
      <w:r>
        <w:rPr>
          <w:rFonts w:ascii="Times New Roman" w:hAnsi="Times New Roman"/>
          <w:sz w:val="28"/>
          <w:szCs w:val="28"/>
        </w:rPr>
        <w:t>2015.gada pirmajā pusgadā</w:t>
      </w:r>
      <w:r w:rsidR="00984B27">
        <w:rPr>
          <w:rFonts w:ascii="Times New Roman" w:hAnsi="Times New Roman"/>
          <w:sz w:val="28"/>
          <w:szCs w:val="28"/>
        </w:rPr>
        <w:t xml:space="preserve"> sešiem politiskajiem spēkiem </w:t>
      </w:r>
      <w:r w:rsidR="00984B27" w:rsidRPr="00984B27">
        <w:rPr>
          <w:rFonts w:ascii="Times New Roman" w:hAnsi="Times New Roman" w:cs="Times New Roman"/>
          <w:sz w:val="28"/>
          <w:szCs w:val="28"/>
        </w:rPr>
        <w:t xml:space="preserve">(„Saskaņa” sociāldemokrātiskā partija, Partija „VIENOTĪBA”, Zaļo un Zemnieku savienība, Nacionālā apvienība „Visu Latvijai!”-„Tēvzemei un Brīvībai/LNNK”, No sirds </w:t>
      </w:r>
      <w:r w:rsidR="00984B27" w:rsidRPr="00984B27">
        <w:rPr>
          <w:rFonts w:ascii="Times New Roman" w:hAnsi="Times New Roman" w:cs="Times New Roman"/>
          <w:sz w:val="28"/>
          <w:szCs w:val="28"/>
        </w:rPr>
        <w:lastRenderedPageBreak/>
        <w:t xml:space="preserve">Latvijai, Latvijas Reģionu Apvienība) </w:t>
      </w:r>
      <w:r w:rsidR="00984B27" w:rsidRPr="00E97290">
        <w:rPr>
          <w:rFonts w:ascii="Times New Roman" w:hAnsi="Times New Roman"/>
          <w:b/>
          <w:sz w:val="28"/>
          <w:szCs w:val="28"/>
        </w:rPr>
        <w:t>tika ieskaitīta</w:t>
      </w:r>
      <w:r w:rsidR="00984B27" w:rsidRPr="00E97290">
        <w:rPr>
          <w:rFonts w:ascii="Times New Roman" w:hAnsi="Times New Roman" w:cs="Times New Roman"/>
          <w:b/>
          <w:sz w:val="28"/>
          <w:szCs w:val="28"/>
        </w:rPr>
        <w:t xml:space="preserve"> kārtējā valsts budžeta finansējuma daļa  kopā EUR 306 199 apmērā</w:t>
      </w:r>
      <w:r w:rsidR="00984B27" w:rsidRPr="00984B27">
        <w:rPr>
          <w:rFonts w:ascii="Times New Roman" w:hAnsi="Times New Roman" w:cs="Times New Roman"/>
          <w:sz w:val="28"/>
          <w:szCs w:val="28"/>
        </w:rPr>
        <w:t>.</w:t>
      </w:r>
    </w:p>
    <w:p w:rsidR="00C95A74" w:rsidRDefault="00A50FFB" w:rsidP="00C95A74">
      <w:pPr>
        <w:spacing w:after="0" w:line="240" w:lineRule="auto"/>
        <w:ind w:firstLine="567"/>
        <w:jc w:val="both"/>
        <w:rPr>
          <w:rFonts w:ascii="Times New Roman" w:eastAsia="Times New Roman" w:hAnsi="Times New Roman" w:cs="Times New Roman"/>
          <w:sz w:val="28"/>
          <w:szCs w:val="28"/>
          <w:lang w:eastAsia="lv-LV"/>
        </w:rPr>
      </w:pPr>
      <w:r w:rsidRPr="004279A2">
        <w:rPr>
          <w:rFonts w:ascii="Times New Roman" w:eastAsia="Times New Roman" w:hAnsi="Times New Roman" w:cs="Times New Roman"/>
          <w:sz w:val="28"/>
          <w:szCs w:val="28"/>
          <w:lang w:eastAsia="lv-LV"/>
        </w:rPr>
        <w:t xml:space="preserve">Savukārt attiecībā uz </w:t>
      </w:r>
      <w:r w:rsidR="00C95A74" w:rsidRPr="00C95A74">
        <w:rPr>
          <w:rFonts w:ascii="Times New Roman" w:eastAsia="Times New Roman" w:hAnsi="Times New Roman" w:cs="Times New Roman"/>
          <w:sz w:val="28"/>
          <w:szCs w:val="28"/>
          <w:lang w:eastAsia="lv-LV"/>
        </w:rPr>
        <w:t xml:space="preserve">2013.gadā saņemtā </w:t>
      </w:r>
      <w:r w:rsidRPr="004279A2">
        <w:rPr>
          <w:rFonts w:ascii="Times New Roman" w:eastAsia="Times New Roman" w:hAnsi="Times New Roman" w:cs="Times New Roman"/>
          <w:sz w:val="28"/>
          <w:szCs w:val="28"/>
          <w:lang w:eastAsia="lv-LV"/>
        </w:rPr>
        <w:t>valsts budžeta finansējuma izlietošanu</w:t>
      </w:r>
      <w:r w:rsidR="00C95A74">
        <w:rPr>
          <w:rFonts w:ascii="Times New Roman" w:eastAsia="Times New Roman" w:hAnsi="Times New Roman" w:cs="Times New Roman"/>
          <w:sz w:val="28"/>
          <w:szCs w:val="28"/>
          <w:lang w:eastAsia="lv-LV"/>
        </w:rPr>
        <w:t xml:space="preserve"> pārskata periodā tika pabeigtas piecu partiju pārbaudes</w:t>
      </w:r>
      <w:r w:rsidRPr="004279A2">
        <w:rPr>
          <w:rFonts w:ascii="Times New Roman" w:eastAsia="Times New Roman" w:hAnsi="Times New Roman" w:cs="Times New Roman"/>
          <w:sz w:val="28"/>
          <w:szCs w:val="28"/>
          <w:lang w:eastAsia="lv-LV"/>
        </w:rPr>
        <w:t>, kuru rezultātā attiecībā uz divām partijām pieņemti lēmumi par finanšu līdzekļu atmaksu valsts budžetā, kas ir pārsūdzēti tiesā (Nacionālās VIENOTĪBAS apvienība par kopējo summu EUR 33178 un Nacionālais bloks par kopējo summu  EUR 7919</w:t>
      </w:r>
      <w:r w:rsidR="00C95A74">
        <w:rPr>
          <w:rFonts w:ascii="Times New Roman" w:eastAsia="Times New Roman" w:hAnsi="Times New Roman" w:cs="Times New Roman"/>
          <w:sz w:val="28"/>
          <w:szCs w:val="28"/>
          <w:lang w:eastAsia="lv-LV"/>
        </w:rPr>
        <w:t>).</w:t>
      </w:r>
    </w:p>
    <w:p w:rsidR="00C3465C" w:rsidRDefault="00C95A74" w:rsidP="00C95A74">
      <w:pPr>
        <w:spacing w:after="0" w:line="240" w:lineRule="auto"/>
        <w:ind w:firstLine="567"/>
        <w:jc w:val="both"/>
        <w:rPr>
          <w:rFonts w:ascii="Times New Roman" w:eastAsia="Times New Roman" w:hAnsi="Times New Roman" w:cs="Times New Roman"/>
          <w:sz w:val="28"/>
          <w:szCs w:val="28"/>
          <w:lang w:eastAsia="lv-LV"/>
        </w:rPr>
      </w:pPr>
      <w:r w:rsidRPr="00C95A74">
        <w:rPr>
          <w:rFonts w:ascii="Times New Roman" w:eastAsia="Times New Roman" w:hAnsi="Times New Roman" w:cs="Times New Roman"/>
          <w:sz w:val="28"/>
          <w:szCs w:val="28"/>
          <w:lang w:eastAsia="lv-LV"/>
        </w:rPr>
        <w:t xml:space="preserve">Pamatojoties uz laikrakstā „Latvijas Vēstnesis” publicētajiem paziņojumiem </w:t>
      </w:r>
      <w:r>
        <w:rPr>
          <w:rFonts w:ascii="Times New Roman" w:eastAsia="Times New Roman" w:hAnsi="Times New Roman" w:cs="Times New Roman"/>
          <w:sz w:val="28"/>
          <w:szCs w:val="28"/>
          <w:lang w:eastAsia="lv-LV"/>
        </w:rPr>
        <w:t xml:space="preserve">saistībā ar partiju likvidāciju </w:t>
      </w:r>
      <w:r w:rsidR="00E97290">
        <w:rPr>
          <w:rFonts w:ascii="Times New Roman" w:eastAsia="Times New Roman" w:hAnsi="Times New Roman" w:cs="Times New Roman"/>
          <w:sz w:val="28"/>
          <w:szCs w:val="28"/>
          <w:lang w:eastAsia="lv-LV"/>
        </w:rPr>
        <w:t xml:space="preserve">tika </w:t>
      </w:r>
      <w:r w:rsidRPr="00C95A74">
        <w:rPr>
          <w:rFonts w:ascii="Times New Roman" w:eastAsia="Times New Roman" w:hAnsi="Times New Roman" w:cs="Times New Roman"/>
          <w:sz w:val="28"/>
          <w:szCs w:val="28"/>
          <w:lang w:eastAsia="lv-LV"/>
        </w:rPr>
        <w:t xml:space="preserve">nosūtīti </w:t>
      </w:r>
      <w:r w:rsidRPr="00E97290">
        <w:rPr>
          <w:rFonts w:ascii="Times New Roman" w:eastAsia="Times New Roman" w:hAnsi="Times New Roman" w:cs="Times New Roman"/>
          <w:b/>
          <w:sz w:val="28"/>
          <w:szCs w:val="28"/>
          <w:lang w:eastAsia="lv-LV"/>
        </w:rPr>
        <w:t>kreditora prasījumi divām partijām</w:t>
      </w:r>
      <w:r w:rsidRPr="00C95A74">
        <w:rPr>
          <w:rFonts w:ascii="Times New Roman" w:eastAsia="Times New Roman" w:hAnsi="Times New Roman" w:cs="Times New Roman"/>
          <w:sz w:val="28"/>
          <w:szCs w:val="28"/>
          <w:lang w:eastAsia="lv-LV"/>
        </w:rPr>
        <w:t xml:space="preserve"> (Apvienība Liepājas attīstībai </w:t>
      </w:r>
      <w:r>
        <w:rPr>
          <w:rFonts w:ascii="Times New Roman" w:eastAsia="Times New Roman" w:hAnsi="Times New Roman" w:cs="Times New Roman"/>
          <w:sz w:val="28"/>
          <w:szCs w:val="28"/>
          <w:lang w:eastAsia="lv-LV"/>
        </w:rPr>
        <w:t xml:space="preserve">EUR 356 apmērā un Reformu partija </w:t>
      </w:r>
      <w:r w:rsidR="00E97290">
        <w:rPr>
          <w:rFonts w:ascii="Times New Roman" w:eastAsia="Times New Roman" w:hAnsi="Times New Roman" w:cs="Times New Roman"/>
          <w:sz w:val="28"/>
          <w:szCs w:val="28"/>
          <w:lang w:eastAsia="lv-LV"/>
        </w:rPr>
        <w:t xml:space="preserve">EUR </w:t>
      </w:r>
      <w:r>
        <w:rPr>
          <w:rFonts w:ascii="Times New Roman" w:eastAsia="Times New Roman" w:hAnsi="Times New Roman" w:cs="Times New Roman"/>
          <w:sz w:val="28"/>
          <w:szCs w:val="28"/>
          <w:lang w:eastAsia="lv-LV"/>
        </w:rPr>
        <w:t>77 216</w:t>
      </w:r>
      <w:r w:rsidRPr="00C95A7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apmērā</w:t>
      </w:r>
      <w:r w:rsidRPr="00C95A74">
        <w:rPr>
          <w:rFonts w:ascii="Times New Roman" w:eastAsia="Times New Roman" w:hAnsi="Times New Roman" w:cs="Times New Roman"/>
          <w:sz w:val="28"/>
          <w:szCs w:val="28"/>
          <w:lang w:eastAsia="lv-LV"/>
        </w:rPr>
        <w:t>).</w:t>
      </w:r>
    </w:p>
    <w:p w:rsidR="00C3465C" w:rsidRPr="002039A4" w:rsidRDefault="00782F3E" w:rsidP="002039A4">
      <w:pPr>
        <w:spacing w:after="0" w:line="240" w:lineRule="auto"/>
        <w:ind w:firstLine="567"/>
        <w:rPr>
          <w:rFonts w:ascii="Times New Roman" w:hAnsi="Times New Roman"/>
          <w:sz w:val="28"/>
          <w:szCs w:val="28"/>
        </w:rPr>
      </w:pPr>
      <w:r>
        <w:rPr>
          <w:noProof/>
          <w:lang w:eastAsia="lv-LV"/>
        </w:rPr>
        <w:drawing>
          <wp:inline distT="0" distB="0" distL="0" distR="0" wp14:anchorId="3F556E87" wp14:editId="39FD87D5">
            <wp:extent cx="5096786" cy="3061252"/>
            <wp:effectExtent l="0" t="0" r="889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2EF4" w:rsidRPr="00752EF4" w:rsidRDefault="00302E33" w:rsidP="00752EF4">
      <w:pPr>
        <w:spacing w:after="0" w:line="240" w:lineRule="auto"/>
        <w:ind w:firstLine="720"/>
        <w:jc w:val="both"/>
        <w:rPr>
          <w:rFonts w:ascii="Times New Roman" w:hAnsi="Times New Roman" w:cs="Times New Roman"/>
          <w:b/>
          <w:i/>
          <w:sz w:val="28"/>
          <w:szCs w:val="28"/>
        </w:rPr>
      </w:pPr>
      <w:r>
        <w:rPr>
          <w:rFonts w:ascii="Times New Roman" w:hAnsi="Times New Roman" w:cs="Times New Roman"/>
          <w:i/>
          <w:sz w:val="28"/>
          <w:szCs w:val="28"/>
        </w:rPr>
        <w:t>5</w:t>
      </w:r>
      <w:r w:rsidR="00752EF4" w:rsidRPr="00752EF4">
        <w:rPr>
          <w:rFonts w:ascii="Times New Roman" w:hAnsi="Times New Roman" w:cs="Times New Roman"/>
          <w:i/>
          <w:sz w:val="28"/>
          <w:szCs w:val="28"/>
        </w:rPr>
        <w:t>.attēls.Pieņemto lēmumu skaits un piemērotais naudas sod</w:t>
      </w:r>
      <w:r w:rsidR="00782F3E">
        <w:rPr>
          <w:rFonts w:ascii="Times New Roman" w:hAnsi="Times New Roman" w:cs="Times New Roman"/>
          <w:i/>
          <w:sz w:val="28"/>
          <w:szCs w:val="28"/>
        </w:rPr>
        <w:t xml:space="preserve">u skaits </w:t>
      </w:r>
    </w:p>
    <w:p w:rsidR="00752EF4" w:rsidRDefault="00752EF4" w:rsidP="004279A2">
      <w:pPr>
        <w:spacing w:after="0" w:line="240" w:lineRule="auto"/>
        <w:ind w:firstLine="567"/>
        <w:jc w:val="both"/>
        <w:rPr>
          <w:rFonts w:ascii="Times New Roman" w:hAnsi="Times New Roman"/>
          <w:sz w:val="28"/>
          <w:szCs w:val="28"/>
        </w:rPr>
      </w:pPr>
    </w:p>
    <w:p w:rsidR="0078038C" w:rsidRDefault="004279A2" w:rsidP="004279A2">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Kopumā </w:t>
      </w:r>
      <w:r>
        <w:rPr>
          <w:rFonts w:ascii="Times New Roman" w:hAnsi="Times New Roman" w:cs="Times New Roman"/>
          <w:sz w:val="28"/>
          <w:szCs w:val="28"/>
        </w:rPr>
        <w:t>p</w:t>
      </w:r>
      <w:r w:rsidRPr="00611589">
        <w:rPr>
          <w:rFonts w:ascii="Times New Roman" w:hAnsi="Times New Roman" w:cs="Times New Roman"/>
          <w:sz w:val="28"/>
          <w:szCs w:val="28"/>
        </w:rPr>
        <w:t xml:space="preserve">ar Politisko organizāciju (partiju) finansēšanas likuma un </w:t>
      </w:r>
      <w:r>
        <w:rPr>
          <w:rFonts w:ascii="Times New Roman" w:hAnsi="Times New Roman" w:cs="Times New Roman"/>
          <w:sz w:val="28"/>
          <w:szCs w:val="28"/>
        </w:rPr>
        <w:t>P</w:t>
      </w:r>
      <w:r w:rsidRPr="00611589">
        <w:rPr>
          <w:rFonts w:ascii="Times New Roman" w:hAnsi="Times New Roman" w:cs="Times New Roman"/>
          <w:sz w:val="28"/>
          <w:szCs w:val="28"/>
        </w:rPr>
        <w:t>riekšvēlēšanu aģitācijas likuma normu pārkāpumiem</w:t>
      </w:r>
      <w:r>
        <w:rPr>
          <w:rFonts w:ascii="Times New Roman" w:hAnsi="Times New Roman" w:cs="Times New Roman"/>
          <w:sz w:val="28"/>
          <w:szCs w:val="28"/>
        </w:rPr>
        <w:t>, pārskata periodā Biroja amatpersonas ir uzsākušas 31 administratīvā pārkāpuma lietu</w:t>
      </w:r>
      <w:r w:rsidR="0078038C">
        <w:rPr>
          <w:rFonts w:ascii="Times New Roman" w:hAnsi="Times New Roman" w:cs="Times New Roman"/>
          <w:sz w:val="28"/>
          <w:szCs w:val="28"/>
        </w:rPr>
        <w:t xml:space="preserve">. 2015.gada pirmajos sešos mēnešos ir pieņemti </w:t>
      </w:r>
      <w:r w:rsidR="0078038C" w:rsidRPr="00E97290">
        <w:rPr>
          <w:rFonts w:ascii="Times New Roman" w:hAnsi="Times New Roman" w:cs="Times New Roman"/>
          <w:b/>
          <w:sz w:val="28"/>
          <w:szCs w:val="28"/>
        </w:rPr>
        <w:t>2</w:t>
      </w:r>
      <w:r w:rsidR="004D6568">
        <w:rPr>
          <w:rFonts w:ascii="Times New Roman" w:hAnsi="Times New Roman" w:cs="Times New Roman"/>
          <w:b/>
          <w:sz w:val="28"/>
          <w:szCs w:val="28"/>
        </w:rPr>
        <w:t>9</w:t>
      </w:r>
      <w:r w:rsidR="0078038C" w:rsidRPr="00E97290">
        <w:rPr>
          <w:rFonts w:ascii="Times New Roman" w:hAnsi="Times New Roman" w:cs="Times New Roman"/>
          <w:b/>
          <w:sz w:val="28"/>
          <w:szCs w:val="28"/>
        </w:rPr>
        <w:t xml:space="preserve"> lēmumi admin</w:t>
      </w:r>
      <w:r w:rsidR="004D6568">
        <w:rPr>
          <w:rFonts w:ascii="Times New Roman" w:hAnsi="Times New Roman" w:cs="Times New Roman"/>
          <w:b/>
          <w:sz w:val="28"/>
          <w:szCs w:val="28"/>
        </w:rPr>
        <w:t>istratīvo pārkāpumu lietās, no kuriem 28</w:t>
      </w:r>
      <w:r w:rsidR="0078038C" w:rsidRPr="00E97290">
        <w:rPr>
          <w:rFonts w:ascii="Times New Roman" w:hAnsi="Times New Roman" w:cs="Times New Roman"/>
          <w:b/>
          <w:sz w:val="28"/>
          <w:szCs w:val="28"/>
        </w:rPr>
        <w:t xml:space="preserve"> gadījumos</w:t>
      </w:r>
      <w:r w:rsidR="004D6568">
        <w:rPr>
          <w:rFonts w:ascii="Times New Roman" w:hAnsi="Times New Roman" w:cs="Times New Roman"/>
          <w:b/>
          <w:sz w:val="28"/>
          <w:szCs w:val="28"/>
        </w:rPr>
        <w:t xml:space="preserve"> </w:t>
      </w:r>
      <w:r w:rsidR="0078038C" w:rsidRPr="00E97290">
        <w:rPr>
          <w:rFonts w:ascii="Times New Roman" w:hAnsi="Times New Roman" w:cs="Times New Roman"/>
          <w:b/>
          <w:sz w:val="28"/>
          <w:szCs w:val="28"/>
        </w:rPr>
        <w:t>ir piemērots naudas sods</w:t>
      </w:r>
      <w:r w:rsidR="004D6568">
        <w:rPr>
          <w:rFonts w:ascii="Times New Roman" w:hAnsi="Times New Roman" w:cs="Times New Roman"/>
          <w:b/>
          <w:sz w:val="28"/>
          <w:szCs w:val="28"/>
        </w:rPr>
        <w:t xml:space="preserve"> </w:t>
      </w:r>
      <w:r w:rsidR="004D6568" w:rsidRPr="004D6568">
        <w:rPr>
          <w:rFonts w:ascii="Times New Roman" w:hAnsi="Times New Roman" w:cs="Times New Roman"/>
          <w:sz w:val="28"/>
          <w:szCs w:val="28"/>
        </w:rPr>
        <w:t>(22 gadījumos lēmums par sodu piemērots partijām, bet 6 gadījumos – citām juridiskām un fiziskām personām)</w:t>
      </w:r>
      <w:r w:rsidR="0078038C" w:rsidRPr="004D6568">
        <w:rPr>
          <w:rFonts w:ascii="Times New Roman" w:hAnsi="Times New Roman" w:cs="Times New Roman"/>
          <w:sz w:val="28"/>
          <w:szCs w:val="28"/>
        </w:rPr>
        <w:t>,</w:t>
      </w:r>
      <w:r w:rsidR="0078038C">
        <w:rPr>
          <w:rFonts w:ascii="Times New Roman" w:hAnsi="Times New Roman" w:cs="Times New Roman"/>
          <w:sz w:val="28"/>
          <w:szCs w:val="28"/>
        </w:rPr>
        <w:t xml:space="preserve"> </w:t>
      </w:r>
      <w:r w:rsidR="004D6568">
        <w:rPr>
          <w:rFonts w:ascii="Times New Roman" w:hAnsi="Times New Roman" w:cs="Times New Roman"/>
          <w:sz w:val="28"/>
          <w:szCs w:val="28"/>
        </w:rPr>
        <w:t>savukārt</w:t>
      </w:r>
      <w:r w:rsidR="0078038C">
        <w:rPr>
          <w:rFonts w:ascii="Times New Roman" w:hAnsi="Times New Roman" w:cs="Times New Roman"/>
          <w:sz w:val="28"/>
          <w:szCs w:val="28"/>
        </w:rPr>
        <w:t xml:space="preserve"> vienā gadījumā, pārkāpumu atzīstot par maznozīmīgu, izteikts mutvārdu aizrādījums. Pieņemto lēmumu skaits un piemērotais naudas sods redzams </w:t>
      </w:r>
      <w:r w:rsidR="00302E33">
        <w:rPr>
          <w:rFonts w:ascii="Times New Roman" w:hAnsi="Times New Roman" w:cs="Times New Roman"/>
          <w:sz w:val="28"/>
          <w:szCs w:val="28"/>
        </w:rPr>
        <w:t>5</w:t>
      </w:r>
      <w:r w:rsidR="0078038C">
        <w:rPr>
          <w:rFonts w:ascii="Times New Roman" w:hAnsi="Times New Roman" w:cs="Times New Roman"/>
          <w:sz w:val="28"/>
          <w:szCs w:val="28"/>
        </w:rPr>
        <w:t xml:space="preserve">.attēlā.  </w:t>
      </w:r>
      <w:r w:rsidR="00A50FFB" w:rsidRPr="00E97290">
        <w:rPr>
          <w:rFonts w:ascii="Times New Roman" w:hAnsi="Times New Roman" w:cs="Times New Roman"/>
          <w:b/>
          <w:sz w:val="28"/>
          <w:szCs w:val="28"/>
        </w:rPr>
        <w:t>Biroja priekšnieks ir izskatījis vienu sūdzību</w:t>
      </w:r>
      <w:r w:rsidR="00A50FFB" w:rsidRPr="00A50FFB">
        <w:rPr>
          <w:rFonts w:ascii="Times New Roman" w:hAnsi="Times New Roman" w:cs="Times New Roman"/>
          <w:sz w:val="28"/>
          <w:szCs w:val="28"/>
        </w:rPr>
        <w:t xml:space="preserve"> par Biroja amatpersonas pieņemto lēmumu attiecībā uz Politisko organizāciju (partiju) finansēšanas likuma ierobežojumu pārkāpumu un, izvērtējot minēto sūdzību, atstājis spēkā pieņemto lēmumu administratīvā pārkāpuma lietā.</w:t>
      </w:r>
    </w:p>
    <w:p w:rsidR="00D67B3D" w:rsidRDefault="004279A2" w:rsidP="004279A2">
      <w:pPr>
        <w:spacing w:after="0" w:line="240" w:lineRule="auto"/>
        <w:ind w:firstLine="567"/>
        <w:jc w:val="both"/>
        <w:rPr>
          <w:rFonts w:ascii="Times New Roman" w:eastAsia="Times New Roman" w:hAnsi="Times New Roman" w:cs="Times New Roman"/>
          <w:sz w:val="28"/>
          <w:szCs w:val="28"/>
          <w:lang w:eastAsia="lv-LV"/>
        </w:rPr>
      </w:pPr>
      <w:r w:rsidRPr="004279A2">
        <w:rPr>
          <w:rFonts w:ascii="Times New Roman" w:eastAsia="Times New Roman" w:hAnsi="Times New Roman" w:cs="Times New Roman"/>
          <w:sz w:val="28"/>
          <w:szCs w:val="28"/>
          <w:lang w:eastAsia="lv-LV"/>
        </w:rPr>
        <w:t xml:space="preserve">2015.gada pirmajos sešos mēnešos </w:t>
      </w:r>
      <w:r w:rsidRPr="00E97290">
        <w:rPr>
          <w:rFonts w:ascii="Times New Roman" w:eastAsia="Times New Roman" w:hAnsi="Times New Roman" w:cs="Times New Roman"/>
          <w:b/>
          <w:sz w:val="28"/>
          <w:szCs w:val="28"/>
          <w:lang w:eastAsia="lv-LV"/>
        </w:rPr>
        <w:t xml:space="preserve">Biroja </w:t>
      </w:r>
      <w:r w:rsidR="00A85869">
        <w:rPr>
          <w:rFonts w:ascii="Times New Roman" w:eastAsia="Times New Roman" w:hAnsi="Times New Roman" w:cs="Times New Roman"/>
          <w:b/>
          <w:sz w:val="28"/>
          <w:szCs w:val="28"/>
          <w:lang w:eastAsia="lv-LV"/>
        </w:rPr>
        <w:t>tīmekļa vietnē ir</w:t>
      </w:r>
      <w:r w:rsidRPr="00E97290">
        <w:rPr>
          <w:rFonts w:ascii="Times New Roman" w:eastAsia="Times New Roman" w:hAnsi="Times New Roman" w:cs="Times New Roman"/>
          <w:b/>
          <w:sz w:val="28"/>
          <w:szCs w:val="28"/>
          <w:lang w:eastAsia="lv-LV"/>
        </w:rPr>
        <w:t xml:space="preserve"> publicēt</w:t>
      </w:r>
      <w:r w:rsidR="00A85869">
        <w:rPr>
          <w:rFonts w:ascii="Times New Roman" w:eastAsia="Times New Roman" w:hAnsi="Times New Roman" w:cs="Times New Roman"/>
          <w:b/>
          <w:sz w:val="28"/>
          <w:szCs w:val="28"/>
          <w:lang w:eastAsia="lv-LV"/>
        </w:rPr>
        <w:t>i 214 </w:t>
      </w:r>
      <w:r w:rsidR="004D6568">
        <w:rPr>
          <w:rFonts w:ascii="Times New Roman" w:eastAsia="Times New Roman" w:hAnsi="Times New Roman" w:cs="Times New Roman"/>
          <w:b/>
          <w:sz w:val="28"/>
          <w:szCs w:val="28"/>
          <w:lang w:eastAsia="lv-LV"/>
        </w:rPr>
        <w:t>saraksti</w:t>
      </w:r>
      <w:r w:rsidR="00A50FFB" w:rsidRPr="00E97290">
        <w:rPr>
          <w:rFonts w:ascii="Times New Roman" w:eastAsia="Times New Roman" w:hAnsi="Times New Roman" w:cs="Times New Roman"/>
          <w:b/>
          <w:sz w:val="28"/>
          <w:szCs w:val="28"/>
          <w:lang w:eastAsia="lv-LV"/>
        </w:rPr>
        <w:t xml:space="preserve"> par </w:t>
      </w:r>
      <w:r w:rsidRPr="00E97290">
        <w:rPr>
          <w:rFonts w:ascii="Times New Roman" w:eastAsia="Times New Roman" w:hAnsi="Times New Roman" w:cs="Times New Roman"/>
          <w:b/>
          <w:sz w:val="28"/>
          <w:szCs w:val="28"/>
          <w:lang w:eastAsia="lv-LV"/>
        </w:rPr>
        <w:t>partiju saņemtajiem ziedojumiem un biedru naudām</w:t>
      </w:r>
      <w:r w:rsidRPr="004279A2">
        <w:rPr>
          <w:rFonts w:ascii="Times New Roman" w:eastAsia="Times New Roman" w:hAnsi="Times New Roman" w:cs="Times New Roman"/>
          <w:sz w:val="28"/>
          <w:szCs w:val="28"/>
          <w:lang w:eastAsia="lv-LV"/>
        </w:rPr>
        <w:t xml:space="preserve">. </w:t>
      </w:r>
      <w:r w:rsidRPr="004279A2">
        <w:rPr>
          <w:rFonts w:ascii="Times New Roman" w:eastAsia="Times New Roman" w:hAnsi="Times New Roman" w:cs="Times New Roman"/>
          <w:sz w:val="28"/>
          <w:szCs w:val="28"/>
          <w:lang w:eastAsia="lv-LV"/>
        </w:rPr>
        <w:lastRenderedPageBreak/>
        <w:t>Veicot ziedojumu, biedru un iestāšanās naudu pārbaudes, Biroja amatpersonas pieņēma 10 lēmum</w:t>
      </w:r>
      <w:r w:rsidR="002039A4">
        <w:rPr>
          <w:rFonts w:ascii="Times New Roman" w:eastAsia="Times New Roman" w:hAnsi="Times New Roman" w:cs="Times New Roman"/>
          <w:sz w:val="28"/>
          <w:szCs w:val="28"/>
          <w:lang w:eastAsia="lv-LV"/>
        </w:rPr>
        <w:t>us</w:t>
      </w:r>
      <w:r w:rsidRPr="004279A2">
        <w:rPr>
          <w:rFonts w:ascii="Times New Roman" w:eastAsia="Times New Roman" w:hAnsi="Times New Roman" w:cs="Times New Roman"/>
          <w:sz w:val="28"/>
          <w:szCs w:val="28"/>
          <w:lang w:eastAsia="lv-LV"/>
        </w:rPr>
        <w:t xml:space="preserve"> par 2013.gadā un 2014.gadā saņem</w:t>
      </w:r>
      <w:r w:rsidR="0069707A">
        <w:rPr>
          <w:rFonts w:ascii="Times New Roman" w:eastAsia="Times New Roman" w:hAnsi="Times New Roman" w:cs="Times New Roman"/>
          <w:sz w:val="28"/>
          <w:szCs w:val="28"/>
          <w:lang w:eastAsia="lv-LV"/>
        </w:rPr>
        <w:t xml:space="preserve">tā </w:t>
      </w:r>
      <w:r w:rsidR="0069707A" w:rsidRPr="00E97290">
        <w:rPr>
          <w:rFonts w:ascii="Times New Roman" w:eastAsia="Times New Roman" w:hAnsi="Times New Roman" w:cs="Times New Roman"/>
          <w:b/>
          <w:sz w:val="28"/>
          <w:szCs w:val="28"/>
          <w:lang w:eastAsia="lv-LV"/>
        </w:rPr>
        <w:t>pretlikumīgā finansējuma EUR </w:t>
      </w:r>
      <w:r w:rsidR="00E97290" w:rsidRPr="00E97290">
        <w:rPr>
          <w:rFonts w:ascii="Times New Roman" w:eastAsia="Times New Roman" w:hAnsi="Times New Roman" w:cs="Times New Roman"/>
          <w:b/>
          <w:sz w:val="28"/>
          <w:szCs w:val="28"/>
          <w:lang w:eastAsia="lv-LV"/>
        </w:rPr>
        <w:t xml:space="preserve">30 </w:t>
      </w:r>
      <w:r w:rsidRPr="00E97290">
        <w:rPr>
          <w:rFonts w:ascii="Times New Roman" w:eastAsia="Times New Roman" w:hAnsi="Times New Roman" w:cs="Times New Roman"/>
          <w:b/>
          <w:sz w:val="28"/>
          <w:szCs w:val="28"/>
          <w:lang w:eastAsia="lv-LV"/>
        </w:rPr>
        <w:t>509 ieskaitīšanu valsts budžetā</w:t>
      </w:r>
      <w:r w:rsidRPr="004279A2">
        <w:rPr>
          <w:rFonts w:ascii="Times New Roman" w:eastAsia="Times New Roman" w:hAnsi="Times New Roman" w:cs="Times New Roman"/>
          <w:sz w:val="28"/>
          <w:szCs w:val="28"/>
          <w:lang w:eastAsia="lv-LV"/>
        </w:rPr>
        <w:t>.</w:t>
      </w:r>
      <w:r w:rsidR="00A50FFB">
        <w:rPr>
          <w:rFonts w:ascii="Times New Roman" w:eastAsia="Times New Roman" w:hAnsi="Times New Roman" w:cs="Times New Roman"/>
          <w:sz w:val="28"/>
          <w:szCs w:val="28"/>
          <w:lang w:eastAsia="lv-LV"/>
        </w:rPr>
        <w:t xml:space="preserve"> </w:t>
      </w:r>
      <w:r w:rsidR="0069707A">
        <w:rPr>
          <w:rFonts w:ascii="Times New Roman" w:eastAsia="Times New Roman" w:hAnsi="Times New Roman" w:cs="Times New Roman"/>
          <w:sz w:val="28"/>
          <w:szCs w:val="28"/>
          <w:lang w:eastAsia="lv-LV"/>
        </w:rPr>
        <w:t>P</w:t>
      </w:r>
      <w:r w:rsidR="00A50FFB">
        <w:rPr>
          <w:rFonts w:ascii="Times New Roman" w:eastAsia="Times New Roman" w:hAnsi="Times New Roman" w:cs="Times New Roman"/>
          <w:sz w:val="28"/>
          <w:szCs w:val="28"/>
          <w:lang w:eastAsia="lv-LV"/>
        </w:rPr>
        <w:t xml:space="preserve">ēc iepriekšējā gadā notikušajām Saeimas un Eiropas Parlamenta vēlēšanām </w:t>
      </w:r>
      <w:r w:rsidR="0069707A">
        <w:rPr>
          <w:rFonts w:ascii="Times New Roman" w:eastAsia="Times New Roman" w:hAnsi="Times New Roman" w:cs="Times New Roman"/>
          <w:sz w:val="28"/>
          <w:szCs w:val="28"/>
          <w:lang w:eastAsia="lv-LV"/>
        </w:rPr>
        <w:t xml:space="preserve">2015.gadā </w:t>
      </w:r>
      <w:r w:rsidR="00A50FFB">
        <w:rPr>
          <w:rFonts w:ascii="Times New Roman" w:eastAsia="Times New Roman" w:hAnsi="Times New Roman" w:cs="Times New Roman"/>
          <w:sz w:val="28"/>
          <w:szCs w:val="28"/>
          <w:lang w:eastAsia="lv-LV"/>
        </w:rPr>
        <w:t xml:space="preserve">ziedojumu apmērs </w:t>
      </w:r>
      <w:r w:rsidR="0069707A">
        <w:rPr>
          <w:rFonts w:ascii="Times New Roman" w:eastAsia="Times New Roman" w:hAnsi="Times New Roman" w:cs="Times New Roman"/>
          <w:sz w:val="28"/>
          <w:szCs w:val="28"/>
          <w:lang w:eastAsia="lv-LV"/>
        </w:rPr>
        <w:t>poliskajām</w:t>
      </w:r>
      <w:r w:rsidR="00A50FFB">
        <w:rPr>
          <w:rFonts w:ascii="Times New Roman" w:eastAsia="Times New Roman" w:hAnsi="Times New Roman" w:cs="Times New Roman"/>
          <w:sz w:val="28"/>
          <w:szCs w:val="28"/>
          <w:lang w:eastAsia="lv-LV"/>
        </w:rPr>
        <w:t xml:space="preserve"> partijām un to apvien</w:t>
      </w:r>
      <w:r w:rsidR="004D6568">
        <w:rPr>
          <w:rFonts w:ascii="Times New Roman" w:eastAsia="Times New Roman" w:hAnsi="Times New Roman" w:cs="Times New Roman"/>
          <w:sz w:val="28"/>
          <w:szCs w:val="28"/>
          <w:lang w:eastAsia="lv-LV"/>
        </w:rPr>
        <w:t>ībām ir krietni sarucis</w:t>
      </w:r>
      <w:r w:rsidR="00A50FFB">
        <w:rPr>
          <w:rFonts w:ascii="Times New Roman" w:eastAsia="Times New Roman" w:hAnsi="Times New Roman" w:cs="Times New Roman"/>
          <w:sz w:val="28"/>
          <w:szCs w:val="28"/>
          <w:lang w:eastAsia="lv-LV"/>
        </w:rPr>
        <w:t>. Salīdzinot ar 2014.gada pirmo pusgadu, ka</w:t>
      </w:r>
      <w:r w:rsidR="0069707A">
        <w:rPr>
          <w:rFonts w:ascii="Times New Roman" w:eastAsia="Times New Roman" w:hAnsi="Times New Roman" w:cs="Times New Roman"/>
          <w:sz w:val="28"/>
          <w:szCs w:val="28"/>
          <w:lang w:eastAsia="lv-LV"/>
        </w:rPr>
        <w:t>d politiskajiem spēkiem ziedoto</w:t>
      </w:r>
      <w:r w:rsidR="00A50FFB">
        <w:rPr>
          <w:rFonts w:ascii="Times New Roman" w:eastAsia="Times New Roman" w:hAnsi="Times New Roman" w:cs="Times New Roman"/>
          <w:sz w:val="28"/>
          <w:szCs w:val="28"/>
          <w:lang w:eastAsia="lv-LV"/>
        </w:rPr>
        <w:t xml:space="preserve"> līdzekļu </w:t>
      </w:r>
      <w:r w:rsidR="00A50FFB" w:rsidRPr="00A50FFB">
        <w:rPr>
          <w:rFonts w:ascii="Times New Roman" w:eastAsia="Times New Roman" w:hAnsi="Times New Roman" w:cs="Times New Roman"/>
          <w:sz w:val="28"/>
          <w:szCs w:val="28"/>
          <w:lang w:eastAsia="lv-LV"/>
        </w:rPr>
        <w:t xml:space="preserve">kopējā summa bija EUR 1 775 402, </w:t>
      </w:r>
      <w:r w:rsidR="00DF35A5">
        <w:rPr>
          <w:rFonts w:ascii="Times New Roman" w:eastAsia="Times New Roman" w:hAnsi="Times New Roman" w:cs="Times New Roman"/>
          <w:sz w:val="28"/>
          <w:szCs w:val="28"/>
          <w:lang w:eastAsia="lv-LV"/>
        </w:rPr>
        <w:t xml:space="preserve">savukārt </w:t>
      </w:r>
      <w:r w:rsidR="00A50FFB">
        <w:rPr>
          <w:rFonts w:ascii="Times New Roman" w:eastAsia="Times New Roman" w:hAnsi="Times New Roman" w:cs="Times New Roman"/>
          <w:sz w:val="28"/>
          <w:szCs w:val="28"/>
          <w:lang w:eastAsia="lv-LV"/>
        </w:rPr>
        <w:t xml:space="preserve">2015.gada pirmajā pusgadā tā bija ievērojami mazāka </w:t>
      </w:r>
      <w:r w:rsidR="0069707A">
        <w:rPr>
          <w:rFonts w:ascii="Times New Roman" w:eastAsia="Times New Roman" w:hAnsi="Times New Roman" w:cs="Times New Roman"/>
          <w:sz w:val="28"/>
          <w:szCs w:val="28"/>
          <w:lang w:eastAsia="lv-LV"/>
        </w:rPr>
        <w:t>–</w:t>
      </w:r>
      <w:r w:rsidR="00A50FFB">
        <w:rPr>
          <w:rFonts w:ascii="Times New Roman" w:eastAsia="Times New Roman" w:hAnsi="Times New Roman" w:cs="Times New Roman"/>
          <w:sz w:val="28"/>
          <w:szCs w:val="28"/>
          <w:lang w:eastAsia="lv-LV"/>
        </w:rPr>
        <w:t xml:space="preserve"> </w:t>
      </w:r>
      <w:r w:rsidR="00A50FFB" w:rsidRPr="00A50FFB">
        <w:rPr>
          <w:rFonts w:ascii="Times New Roman" w:eastAsia="Times New Roman" w:hAnsi="Times New Roman" w:cs="Times New Roman"/>
          <w:sz w:val="28"/>
          <w:szCs w:val="28"/>
          <w:lang w:eastAsia="lv-LV"/>
        </w:rPr>
        <w:t>EUR 442</w:t>
      </w:r>
      <w:r w:rsidR="0069707A">
        <w:rPr>
          <w:rFonts w:ascii="Times New Roman" w:eastAsia="Times New Roman" w:hAnsi="Times New Roman" w:cs="Times New Roman"/>
          <w:sz w:val="28"/>
          <w:szCs w:val="28"/>
          <w:lang w:eastAsia="lv-LV"/>
        </w:rPr>
        <w:t> </w:t>
      </w:r>
      <w:r w:rsidR="00A50FFB" w:rsidRPr="00A50FFB">
        <w:rPr>
          <w:rFonts w:ascii="Times New Roman" w:eastAsia="Times New Roman" w:hAnsi="Times New Roman" w:cs="Times New Roman"/>
          <w:sz w:val="28"/>
          <w:szCs w:val="28"/>
          <w:lang w:eastAsia="lv-LV"/>
        </w:rPr>
        <w:t>444</w:t>
      </w:r>
      <w:r w:rsidR="0069707A">
        <w:rPr>
          <w:rFonts w:ascii="Times New Roman" w:eastAsia="Times New Roman" w:hAnsi="Times New Roman" w:cs="Times New Roman"/>
          <w:sz w:val="28"/>
          <w:szCs w:val="28"/>
          <w:lang w:eastAsia="lv-LV"/>
        </w:rPr>
        <w:t xml:space="preserve">, kas uzskatāmi parāda </w:t>
      </w:r>
      <w:r w:rsidR="00D67B3D">
        <w:rPr>
          <w:rFonts w:ascii="Times New Roman" w:eastAsia="Times New Roman" w:hAnsi="Times New Roman" w:cs="Times New Roman"/>
          <w:sz w:val="28"/>
          <w:szCs w:val="28"/>
          <w:lang w:eastAsia="lv-LV"/>
        </w:rPr>
        <w:t xml:space="preserve">to, ka ziedojumu veikšanas prakse nemainās un joprojām lielākie līdzekļi tiek ziedoti īsi pirms vēlēšanu norises, savukārt citā laikā tie ir salīdzinoši minimāli. </w:t>
      </w:r>
    </w:p>
    <w:p w:rsidR="002B69CE" w:rsidRDefault="002B69CE" w:rsidP="00C3465C">
      <w:pPr>
        <w:spacing w:after="0" w:line="240" w:lineRule="auto"/>
        <w:ind w:firstLine="567"/>
        <w:rPr>
          <w:rFonts w:ascii="Times New Roman" w:eastAsia="Times New Roman" w:hAnsi="Times New Roman" w:cs="Times New Roman"/>
          <w:sz w:val="28"/>
          <w:szCs w:val="28"/>
          <w:lang w:eastAsia="lv-LV"/>
        </w:rPr>
      </w:pPr>
    </w:p>
    <w:p w:rsidR="00D14C6E" w:rsidRDefault="00D14C6E" w:rsidP="00C3465C">
      <w:pPr>
        <w:spacing w:after="0" w:line="240" w:lineRule="auto"/>
        <w:ind w:firstLine="567"/>
        <w:rPr>
          <w:rFonts w:ascii="Times New Roman" w:eastAsia="Times New Roman" w:hAnsi="Times New Roman" w:cs="Times New Roman"/>
          <w:sz w:val="28"/>
          <w:szCs w:val="28"/>
          <w:lang w:eastAsia="lv-LV"/>
        </w:rPr>
      </w:pPr>
    </w:p>
    <w:p w:rsidR="00D14C6E" w:rsidRDefault="00D14C6E" w:rsidP="00C3465C">
      <w:pPr>
        <w:spacing w:after="0" w:line="240" w:lineRule="auto"/>
        <w:ind w:firstLine="567"/>
        <w:rPr>
          <w:rFonts w:ascii="Times New Roman" w:eastAsia="Times New Roman" w:hAnsi="Times New Roman" w:cs="Times New Roman"/>
          <w:sz w:val="28"/>
          <w:szCs w:val="28"/>
          <w:lang w:eastAsia="lv-LV"/>
        </w:rPr>
      </w:pPr>
    </w:p>
    <w:p w:rsidR="00D14C6E" w:rsidRDefault="00D14C6E" w:rsidP="00C3465C">
      <w:pPr>
        <w:spacing w:after="0" w:line="240" w:lineRule="auto"/>
        <w:ind w:firstLine="567"/>
        <w:rPr>
          <w:rFonts w:ascii="Times New Roman" w:eastAsia="Times New Roman" w:hAnsi="Times New Roman" w:cs="Times New Roman"/>
          <w:sz w:val="28"/>
          <w:szCs w:val="28"/>
          <w:lang w:eastAsia="lv-LV"/>
        </w:rPr>
      </w:pPr>
    </w:p>
    <w:p w:rsidR="00D14C6E" w:rsidRDefault="00D14C6E" w:rsidP="00C3465C">
      <w:pPr>
        <w:spacing w:after="0" w:line="240" w:lineRule="auto"/>
        <w:ind w:firstLine="567"/>
        <w:rPr>
          <w:rFonts w:ascii="Times New Roman" w:eastAsia="Times New Roman" w:hAnsi="Times New Roman" w:cs="Times New Roman"/>
          <w:sz w:val="28"/>
          <w:szCs w:val="28"/>
          <w:lang w:eastAsia="lv-LV"/>
        </w:rPr>
      </w:pPr>
    </w:p>
    <w:p w:rsidR="00D14C6E" w:rsidRDefault="00D14C6E" w:rsidP="00C3465C">
      <w:pPr>
        <w:spacing w:after="0" w:line="240" w:lineRule="auto"/>
        <w:ind w:firstLine="567"/>
        <w:rPr>
          <w:rFonts w:ascii="Times New Roman" w:eastAsia="Times New Roman" w:hAnsi="Times New Roman" w:cs="Times New Roman"/>
          <w:sz w:val="28"/>
          <w:szCs w:val="28"/>
          <w:lang w:eastAsia="lv-LV"/>
        </w:rPr>
      </w:pPr>
    </w:p>
    <w:p w:rsidR="00D14C6E" w:rsidRDefault="00D14C6E" w:rsidP="00C3465C">
      <w:pPr>
        <w:spacing w:after="0" w:line="240" w:lineRule="auto"/>
        <w:ind w:firstLine="567"/>
        <w:rPr>
          <w:rFonts w:ascii="Times New Roman" w:eastAsia="Times New Roman" w:hAnsi="Times New Roman" w:cs="Times New Roman"/>
          <w:sz w:val="28"/>
          <w:szCs w:val="28"/>
          <w:lang w:eastAsia="lv-LV"/>
        </w:rPr>
      </w:pPr>
    </w:p>
    <w:p w:rsidR="009D0284" w:rsidRDefault="008F32BD" w:rsidP="008F32BD">
      <w:pPr>
        <w:spacing w:after="0" w:line="240" w:lineRule="auto"/>
        <w:jc w:val="both"/>
        <w:rPr>
          <w:rFonts w:ascii="Times New Roman" w:hAnsi="Times New Roman" w:cs="Times New Roman"/>
          <w:color w:val="000000" w:themeColor="text1"/>
          <w:sz w:val="28"/>
          <w:szCs w:val="28"/>
        </w:rPr>
      </w:pPr>
      <w:r w:rsidRPr="00611589">
        <w:rPr>
          <w:rFonts w:ascii="Times New Roman" w:hAnsi="Times New Roman" w:cs="Times New Roman"/>
          <w:color w:val="000000" w:themeColor="text1"/>
          <w:sz w:val="28"/>
          <w:szCs w:val="28"/>
        </w:rPr>
        <w:t>Korupcijas novēršanas un apkarošanas</w:t>
      </w:r>
      <w:r w:rsidR="009D0284">
        <w:rPr>
          <w:rFonts w:ascii="Times New Roman" w:hAnsi="Times New Roman" w:cs="Times New Roman"/>
          <w:color w:val="000000" w:themeColor="text1"/>
          <w:sz w:val="28"/>
          <w:szCs w:val="28"/>
        </w:rPr>
        <w:t xml:space="preserve"> b</w:t>
      </w:r>
      <w:r w:rsidRPr="00611589">
        <w:rPr>
          <w:rFonts w:ascii="Times New Roman" w:hAnsi="Times New Roman" w:cs="Times New Roman"/>
          <w:color w:val="000000" w:themeColor="text1"/>
          <w:sz w:val="28"/>
          <w:szCs w:val="28"/>
        </w:rPr>
        <w:t>iroja</w:t>
      </w:r>
      <w:r w:rsidR="005B2659" w:rsidRPr="00611589">
        <w:rPr>
          <w:rFonts w:ascii="Times New Roman" w:hAnsi="Times New Roman" w:cs="Times New Roman"/>
          <w:color w:val="000000" w:themeColor="text1"/>
          <w:sz w:val="28"/>
          <w:szCs w:val="28"/>
        </w:rPr>
        <w:t xml:space="preserve"> </w:t>
      </w:r>
    </w:p>
    <w:p w:rsidR="008F32BD" w:rsidRPr="00611589" w:rsidRDefault="008F32BD" w:rsidP="008F32BD">
      <w:pPr>
        <w:spacing w:after="0" w:line="240" w:lineRule="auto"/>
        <w:jc w:val="both"/>
        <w:rPr>
          <w:rFonts w:ascii="Times New Roman" w:hAnsi="Times New Roman" w:cs="Times New Roman"/>
          <w:color w:val="000000" w:themeColor="text1"/>
          <w:sz w:val="28"/>
          <w:szCs w:val="28"/>
        </w:rPr>
      </w:pPr>
      <w:r w:rsidRPr="00611589">
        <w:rPr>
          <w:rFonts w:ascii="Times New Roman" w:hAnsi="Times New Roman" w:cs="Times New Roman"/>
          <w:color w:val="000000" w:themeColor="text1"/>
          <w:sz w:val="28"/>
          <w:szCs w:val="28"/>
        </w:rPr>
        <w:t>priekšniek</w:t>
      </w:r>
      <w:r w:rsidR="004D6568">
        <w:rPr>
          <w:rFonts w:ascii="Times New Roman" w:hAnsi="Times New Roman" w:cs="Times New Roman"/>
          <w:color w:val="000000" w:themeColor="text1"/>
          <w:sz w:val="28"/>
          <w:szCs w:val="28"/>
        </w:rPr>
        <w:t>a</w:t>
      </w:r>
      <w:r w:rsidR="00C3465C">
        <w:rPr>
          <w:rFonts w:ascii="Times New Roman" w:hAnsi="Times New Roman" w:cs="Times New Roman"/>
          <w:color w:val="000000" w:themeColor="text1"/>
          <w:sz w:val="28"/>
          <w:szCs w:val="28"/>
        </w:rPr>
        <w:t xml:space="preserve"> </w:t>
      </w:r>
      <w:proofErr w:type="spellStart"/>
      <w:r w:rsidR="00C3465C">
        <w:rPr>
          <w:rFonts w:ascii="Times New Roman" w:hAnsi="Times New Roman" w:cs="Times New Roman"/>
          <w:color w:val="000000" w:themeColor="text1"/>
          <w:sz w:val="28"/>
          <w:szCs w:val="28"/>
        </w:rPr>
        <w:t>p.i</w:t>
      </w:r>
      <w:proofErr w:type="spellEnd"/>
      <w:r w:rsidR="00C3465C">
        <w:rPr>
          <w:rFonts w:ascii="Times New Roman" w:hAnsi="Times New Roman" w:cs="Times New Roman"/>
          <w:color w:val="000000" w:themeColor="text1"/>
          <w:sz w:val="28"/>
          <w:szCs w:val="28"/>
        </w:rPr>
        <w:t>.</w:t>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43273" w:rsidRPr="00611589">
        <w:rPr>
          <w:rFonts w:ascii="Times New Roman" w:hAnsi="Times New Roman" w:cs="Times New Roman"/>
          <w:color w:val="000000" w:themeColor="text1"/>
          <w:sz w:val="28"/>
          <w:szCs w:val="28"/>
        </w:rPr>
        <w:tab/>
      </w:r>
      <w:r w:rsidR="00E04297" w:rsidRPr="00611589">
        <w:rPr>
          <w:rFonts w:ascii="Times New Roman" w:hAnsi="Times New Roman" w:cs="Times New Roman"/>
          <w:color w:val="000000" w:themeColor="text1"/>
          <w:sz w:val="28"/>
          <w:szCs w:val="28"/>
        </w:rPr>
        <w:tab/>
      </w:r>
      <w:r w:rsidR="009D0284">
        <w:rPr>
          <w:rFonts w:ascii="Times New Roman" w:hAnsi="Times New Roman" w:cs="Times New Roman"/>
          <w:color w:val="000000" w:themeColor="text1"/>
          <w:sz w:val="28"/>
          <w:szCs w:val="28"/>
        </w:rPr>
        <w:tab/>
      </w:r>
      <w:r w:rsidR="009D0284">
        <w:rPr>
          <w:rFonts w:ascii="Times New Roman" w:hAnsi="Times New Roman" w:cs="Times New Roman"/>
          <w:color w:val="000000" w:themeColor="text1"/>
          <w:sz w:val="28"/>
          <w:szCs w:val="28"/>
        </w:rPr>
        <w:tab/>
      </w:r>
      <w:r w:rsidR="00E04297" w:rsidRPr="00611589">
        <w:rPr>
          <w:rFonts w:ascii="Times New Roman" w:hAnsi="Times New Roman" w:cs="Times New Roman"/>
          <w:color w:val="000000" w:themeColor="text1"/>
          <w:sz w:val="28"/>
          <w:szCs w:val="28"/>
        </w:rPr>
        <w:tab/>
      </w:r>
      <w:r w:rsidR="0078796E" w:rsidRPr="00611589">
        <w:rPr>
          <w:rFonts w:ascii="Times New Roman" w:hAnsi="Times New Roman" w:cs="Times New Roman"/>
          <w:color w:val="000000" w:themeColor="text1"/>
          <w:sz w:val="28"/>
          <w:szCs w:val="28"/>
        </w:rPr>
        <w:tab/>
      </w:r>
      <w:proofErr w:type="spellStart"/>
      <w:r w:rsidR="00C3465C">
        <w:rPr>
          <w:rFonts w:ascii="Times New Roman" w:hAnsi="Times New Roman" w:cs="Times New Roman"/>
          <w:color w:val="000000" w:themeColor="text1"/>
          <w:sz w:val="28"/>
          <w:szCs w:val="28"/>
        </w:rPr>
        <w:t>I.Jurča</w:t>
      </w:r>
      <w:proofErr w:type="spellEnd"/>
    </w:p>
    <w:p w:rsidR="00FD043A" w:rsidRDefault="00FD043A" w:rsidP="00ED108C">
      <w:pPr>
        <w:spacing w:after="0" w:line="240" w:lineRule="auto"/>
        <w:jc w:val="both"/>
        <w:rPr>
          <w:rFonts w:ascii="Times New Roman" w:hAnsi="Times New Roman" w:cs="Times New Roman"/>
          <w:color w:val="000000" w:themeColor="text1"/>
          <w:sz w:val="20"/>
          <w:szCs w:val="20"/>
        </w:rPr>
      </w:pPr>
    </w:p>
    <w:p w:rsidR="00E97290" w:rsidRDefault="00E97290" w:rsidP="00ED108C">
      <w:pPr>
        <w:spacing w:after="0" w:line="240" w:lineRule="auto"/>
        <w:jc w:val="both"/>
        <w:rPr>
          <w:rFonts w:ascii="Times New Roman" w:hAnsi="Times New Roman" w:cs="Times New Roman"/>
          <w:color w:val="000000" w:themeColor="text1"/>
          <w:sz w:val="20"/>
          <w:szCs w:val="20"/>
        </w:rPr>
      </w:pPr>
    </w:p>
    <w:p w:rsidR="00E97290" w:rsidRDefault="00E97290" w:rsidP="00ED108C">
      <w:pPr>
        <w:spacing w:after="0" w:line="240" w:lineRule="auto"/>
        <w:jc w:val="both"/>
        <w:rPr>
          <w:rFonts w:ascii="Times New Roman" w:hAnsi="Times New Roman" w:cs="Times New Roman"/>
          <w:color w:val="000000" w:themeColor="text1"/>
          <w:sz w:val="20"/>
          <w:szCs w:val="20"/>
        </w:rPr>
      </w:pPr>
    </w:p>
    <w:p w:rsidR="00DF35A5" w:rsidRDefault="00DF35A5" w:rsidP="00ED108C">
      <w:pPr>
        <w:spacing w:after="0" w:line="240" w:lineRule="auto"/>
        <w:jc w:val="both"/>
        <w:rPr>
          <w:rFonts w:ascii="Times New Roman" w:hAnsi="Times New Roman" w:cs="Times New Roman"/>
          <w:color w:val="000000" w:themeColor="text1"/>
          <w:sz w:val="20"/>
          <w:szCs w:val="20"/>
        </w:rPr>
      </w:pPr>
    </w:p>
    <w:p w:rsidR="00DF35A5" w:rsidRDefault="00DF35A5" w:rsidP="00ED108C">
      <w:pPr>
        <w:spacing w:after="0" w:line="240" w:lineRule="auto"/>
        <w:jc w:val="both"/>
        <w:rPr>
          <w:rFonts w:ascii="Times New Roman" w:hAnsi="Times New Roman" w:cs="Times New Roman"/>
          <w:color w:val="000000" w:themeColor="text1"/>
          <w:sz w:val="20"/>
          <w:szCs w:val="20"/>
        </w:rPr>
      </w:pPr>
    </w:p>
    <w:p w:rsidR="00DF35A5" w:rsidRDefault="00DF35A5" w:rsidP="00ED108C">
      <w:pPr>
        <w:spacing w:after="0" w:line="240" w:lineRule="auto"/>
        <w:jc w:val="both"/>
        <w:rPr>
          <w:rFonts w:ascii="Times New Roman" w:hAnsi="Times New Roman" w:cs="Times New Roman"/>
          <w:color w:val="000000" w:themeColor="text1"/>
          <w:sz w:val="20"/>
          <w:szCs w:val="20"/>
        </w:rPr>
      </w:pPr>
    </w:p>
    <w:p w:rsidR="00DF35A5" w:rsidRDefault="00DF35A5" w:rsidP="00ED108C">
      <w:pPr>
        <w:spacing w:after="0" w:line="240" w:lineRule="auto"/>
        <w:jc w:val="both"/>
        <w:rPr>
          <w:rFonts w:ascii="Times New Roman" w:hAnsi="Times New Roman" w:cs="Times New Roman"/>
          <w:color w:val="000000" w:themeColor="text1"/>
          <w:sz w:val="20"/>
          <w:szCs w:val="20"/>
        </w:rPr>
      </w:pPr>
    </w:p>
    <w:p w:rsidR="00E97290" w:rsidRPr="00611589" w:rsidRDefault="00E97290" w:rsidP="00ED108C">
      <w:pPr>
        <w:spacing w:after="0" w:line="240" w:lineRule="auto"/>
        <w:jc w:val="both"/>
        <w:rPr>
          <w:rFonts w:ascii="Times New Roman" w:hAnsi="Times New Roman" w:cs="Times New Roman"/>
          <w:color w:val="000000" w:themeColor="text1"/>
          <w:sz w:val="20"/>
          <w:szCs w:val="20"/>
        </w:rPr>
      </w:pPr>
    </w:p>
    <w:p w:rsidR="00710C3D" w:rsidRPr="00611589" w:rsidRDefault="00765E3A" w:rsidP="00ED108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sidR="00DF35A5">
        <w:rPr>
          <w:rFonts w:ascii="Times New Roman" w:hAnsi="Times New Roman" w:cs="Times New Roman"/>
          <w:color w:val="000000" w:themeColor="text1"/>
          <w:sz w:val="20"/>
          <w:szCs w:val="20"/>
        </w:rPr>
        <w:t>.07</w:t>
      </w:r>
      <w:r w:rsidR="00F61D9A" w:rsidRPr="00611589">
        <w:rPr>
          <w:rFonts w:ascii="Times New Roman" w:hAnsi="Times New Roman" w:cs="Times New Roman"/>
          <w:color w:val="000000" w:themeColor="text1"/>
          <w:sz w:val="20"/>
          <w:szCs w:val="20"/>
        </w:rPr>
        <w:t>.2015.</w:t>
      </w:r>
    </w:p>
    <w:p w:rsidR="00FD043A" w:rsidRPr="00611589" w:rsidRDefault="00DF35A5" w:rsidP="00255F5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83384B">
        <w:rPr>
          <w:rFonts w:ascii="Times New Roman" w:hAnsi="Times New Roman" w:cs="Times New Roman"/>
          <w:color w:val="000000" w:themeColor="text1"/>
          <w:sz w:val="20"/>
          <w:szCs w:val="20"/>
        </w:rPr>
        <w:t>804</w:t>
      </w:r>
    </w:p>
    <w:p w:rsidR="006266AF" w:rsidRPr="00611589" w:rsidRDefault="00CE5AF5" w:rsidP="00255F5C">
      <w:pPr>
        <w:spacing w:after="0" w:line="240" w:lineRule="auto"/>
        <w:jc w:val="both"/>
        <w:rPr>
          <w:rFonts w:ascii="Times New Roman" w:hAnsi="Times New Roman" w:cs="Times New Roman"/>
          <w:color w:val="000000" w:themeColor="text1"/>
          <w:sz w:val="20"/>
          <w:szCs w:val="20"/>
        </w:rPr>
      </w:pPr>
      <w:r w:rsidRPr="00611589">
        <w:rPr>
          <w:rFonts w:ascii="Times New Roman" w:hAnsi="Times New Roman" w:cs="Times New Roman"/>
          <w:color w:val="000000" w:themeColor="text1"/>
          <w:sz w:val="20"/>
          <w:szCs w:val="20"/>
        </w:rPr>
        <w:fldChar w:fldCharType="begin"/>
      </w:r>
      <w:r w:rsidR="00710C3D" w:rsidRPr="00611589">
        <w:rPr>
          <w:rFonts w:ascii="Times New Roman" w:hAnsi="Times New Roman" w:cs="Times New Roman"/>
          <w:color w:val="000000" w:themeColor="text1"/>
          <w:sz w:val="20"/>
          <w:szCs w:val="20"/>
        </w:rPr>
        <w:instrText xml:space="preserve"> COMMENTS   \* MERGEFORMAT </w:instrText>
      </w:r>
      <w:r w:rsidRPr="00611589">
        <w:rPr>
          <w:rFonts w:ascii="Times New Roman" w:hAnsi="Times New Roman" w:cs="Times New Roman"/>
          <w:color w:val="000000" w:themeColor="text1"/>
          <w:sz w:val="20"/>
          <w:szCs w:val="20"/>
        </w:rPr>
        <w:fldChar w:fldCharType="separate"/>
      </w:r>
      <w:proofErr w:type="spellStart"/>
      <w:r w:rsidR="00F61D9A" w:rsidRPr="00611589">
        <w:rPr>
          <w:rFonts w:ascii="Times New Roman" w:hAnsi="Times New Roman" w:cs="Times New Roman"/>
          <w:color w:val="000000" w:themeColor="text1"/>
          <w:sz w:val="20"/>
          <w:szCs w:val="20"/>
        </w:rPr>
        <w:t>S.Helviga</w:t>
      </w:r>
      <w:proofErr w:type="spellEnd"/>
      <w:r w:rsidR="006266AF" w:rsidRPr="00611589">
        <w:rPr>
          <w:rFonts w:ascii="Times New Roman" w:hAnsi="Times New Roman" w:cs="Times New Roman"/>
          <w:color w:val="000000" w:themeColor="text1"/>
          <w:sz w:val="20"/>
          <w:szCs w:val="20"/>
        </w:rPr>
        <w:t>, 6735616</w:t>
      </w:r>
      <w:r w:rsidR="00F61D9A" w:rsidRPr="00611589">
        <w:rPr>
          <w:rFonts w:ascii="Times New Roman" w:hAnsi="Times New Roman" w:cs="Times New Roman"/>
          <w:color w:val="000000" w:themeColor="text1"/>
          <w:sz w:val="20"/>
          <w:szCs w:val="20"/>
        </w:rPr>
        <w:t>8</w:t>
      </w:r>
    </w:p>
    <w:p w:rsidR="00C3465C" w:rsidRPr="00611589" w:rsidRDefault="00F61D9A" w:rsidP="00255F5C">
      <w:pPr>
        <w:spacing w:after="0" w:line="240" w:lineRule="auto"/>
        <w:jc w:val="both"/>
        <w:rPr>
          <w:rFonts w:ascii="Times New Roman" w:hAnsi="Times New Roman" w:cs="Times New Roman"/>
          <w:color w:val="000000" w:themeColor="text1"/>
          <w:sz w:val="20"/>
          <w:szCs w:val="20"/>
        </w:rPr>
      </w:pPr>
      <w:r w:rsidRPr="00611589">
        <w:rPr>
          <w:rFonts w:ascii="Times New Roman" w:hAnsi="Times New Roman" w:cs="Times New Roman"/>
          <w:color w:val="000000" w:themeColor="text1"/>
          <w:sz w:val="20"/>
          <w:szCs w:val="20"/>
        </w:rPr>
        <w:t>sintija.helviga</w:t>
      </w:r>
      <w:r w:rsidR="006266AF" w:rsidRPr="00611589">
        <w:rPr>
          <w:rFonts w:ascii="Times New Roman" w:hAnsi="Times New Roman" w:cs="Times New Roman"/>
          <w:color w:val="000000" w:themeColor="text1"/>
          <w:sz w:val="20"/>
          <w:szCs w:val="20"/>
        </w:rPr>
        <w:t>@knab.gov.lv</w:t>
      </w:r>
      <w:r w:rsidR="00CE5AF5" w:rsidRPr="00611589">
        <w:rPr>
          <w:rFonts w:ascii="Times New Roman" w:hAnsi="Times New Roman" w:cs="Times New Roman"/>
          <w:color w:val="000000" w:themeColor="text1"/>
          <w:sz w:val="20"/>
          <w:szCs w:val="20"/>
        </w:rPr>
        <w:fldChar w:fldCharType="end"/>
      </w:r>
      <w:r w:rsidR="00C3465C">
        <w:rPr>
          <w:rFonts w:ascii="Times New Roman" w:hAnsi="Times New Roman" w:cs="Times New Roman"/>
          <w:color w:val="000000" w:themeColor="text1"/>
          <w:sz w:val="20"/>
          <w:szCs w:val="20"/>
        </w:rPr>
        <w:t xml:space="preserve"> </w:t>
      </w:r>
    </w:p>
    <w:sectPr w:rsidR="00C3465C" w:rsidRPr="00611589" w:rsidSect="00FD043A">
      <w:headerReference w:type="default" r:id="rId15"/>
      <w:footerReference w:type="default" r:id="rId16"/>
      <w:headerReference w:type="first" r:id="rId17"/>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C0" w:rsidRDefault="008150C0" w:rsidP="008F32BD">
      <w:pPr>
        <w:spacing w:after="0" w:line="240" w:lineRule="auto"/>
      </w:pPr>
      <w:r>
        <w:separator/>
      </w:r>
    </w:p>
  </w:endnote>
  <w:endnote w:type="continuationSeparator" w:id="0">
    <w:p w:rsidR="008150C0" w:rsidRDefault="008150C0" w:rsidP="008F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0D" w:rsidRPr="001B40C3" w:rsidRDefault="0074740D">
    <w:pPr>
      <w:pStyle w:val="Footer"/>
      <w:rPr>
        <w:rFonts w:ascii="Times New Roman" w:hAnsi="Times New Roman" w:cs="Times New Roman"/>
      </w:rPr>
    </w:pPr>
    <w:r w:rsidRPr="001B40C3">
      <w:rPr>
        <w:rFonts w:ascii="Times New Roman" w:hAnsi="Times New Roman" w:cs="Times New Roman"/>
      </w:rPr>
      <w:t>KNABzino</w:t>
    </w:r>
    <w:r w:rsidR="009D5350">
      <w:rPr>
        <w:rFonts w:ascii="Times New Roman" w:hAnsi="Times New Roman" w:cs="Times New Roman"/>
      </w:rPr>
      <w:t>_</w:t>
    </w:r>
    <w:r w:rsidR="00765E3A">
      <w:rPr>
        <w:rFonts w:ascii="Times New Roman" w:hAnsi="Times New Roman" w:cs="Times New Roman"/>
      </w:rPr>
      <w:t>31</w:t>
    </w:r>
    <w:r>
      <w:rPr>
        <w:rFonts w:ascii="Times New Roman" w:hAnsi="Times New Roman" w:cs="Times New Roman"/>
      </w:rPr>
      <w:t>072015</w:t>
    </w:r>
    <w:r w:rsidRPr="001B40C3">
      <w:rPr>
        <w:rFonts w:ascii="Times New Roman" w:hAnsi="Times New Roman" w:cs="Times New Roman"/>
      </w:rPr>
      <w:t>.docx; Informatīvais ziņojums "Par Korupcijas novēršanas un apkarošanas biroja darbību no 201</w:t>
    </w:r>
    <w:r>
      <w:rPr>
        <w:rFonts w:ascii="Times New Roman" w:hAnsi="Times New Roman" w:cs="Times New Roman"/>
      </w:rPr>
      <w:t>5</w:t>
    </w:r>
    <w:r w:rsidRPr="001B40C3">
      <w:rPr>
        <w:rFonts w:ascii="Times New Roman" w:hAnsi="Times New Roman" w:cs="Times New Roman"/>
      </w:rPr>
      <w:t>.gada 1.</w:t>
    </w:r>
    <w:r>
      <w:rPr>
        <w:rFonts w:ascii="Times New Roman" w:hAnsi="Times New Roman" w:cs="Times New Roman"/>
      </w:rPr>
      <w:t>janvāra</w:t>
    </w:r>
    <w:r w:rsidRPr="001B40C3">
      <w:rPr>
        <w:rFonts w:ascii="Times New Roman" w:hAnsi="Times New Roman" w:cs="Times New Roman"/>
      </w:rPr>
      <w:t xml:space="preserve"> līdz </w:t>
    </w:r>
    <w:r>
      <w:rPr>
        <w:rFonts w:ascii="Times New Roman" w:hAnsi="Times New Roman" w:cs="Times New Roman"/>
      </w:rPr>
      <w:t>30.jūnijam</w:t>
    </w:r>
    <w:r w:rsidRPr="001B40C3">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C0" w:rsidRDefault="008150C0" w:rsidP="008F32BD">
      <w:pPr>
        <w:spacing w:after="0" w:line="240" w:lineRule="auto"/>
      </w:pPr>
      <w:r>
        <w:separator/>
      </w:r>
    </w:p>
  </w:footnote>
  <w:footnote w:type="continuationSeparator" w:id="0">
    <w:p w:rsidR="008150C0" w:rsidRDefault="008150C0" w:rsidP="008F32BD">
      <w:pPr>
        <w:spacing w:after="0" w:line="240" w:lineRule="auto"/>
      </w:pPr>
      <w:r>
        <w:continuationSeparator/>
      </w:r>
    </w:p>
  </w:footnote>
  <w:footnote w:id="1">
    <w:p w:rsidR="002B69CE" w:rsidRPr="002B69CE" w:rsidRDefault="002B69CE">
      <w:pPr>
        <w:pStyle w:val="FootnoteText"/>
        <w:rPr>
          <w:rFonts w:ascii="Times New Roman" w:hAnsi="Times New Roman" w:cs="Times New Roman"/>
        </w:rPr>
      </w:pPr>
      <w:r>
        <w:rPr>
          <w:rStyle w:val="FootnoteReference"/>
        </w:rPr>
        <w:footnoteRef/>
      </w:r>
      <w:r>
        <w:t xml:space="preserve"> </w:t>
      </w:r>
      <w:hyperlink r:id="rId1" w:history="1">
        <w:r w:rsidRPr="002B69CE">
          <w:rPr>
            <w:rStyle w:val="Hyperlink"/>
            <w:rFonts w:ascii="Times New Roman" w:hAnsi="Times New Roman" w:cs="Times New Roman"/>
          </w:rPr>
          <w:t>http://www.knab.gov.lv/lv/knab/press/article.php?id=487940</w:t>
        </w:r>
      </w:hyperlink>
      <w:r w:rsidRPr="002B69CE">
        <w:rPr>
          <w:rFonts w:ascii="Times New Roman" w:hAnsi="Times New Roman" w:cs="Times New Roman"/>
        </w:rPr>
        <w:t xml:space="preserve"> </w:t>
      </w:r>
    </w:p>
  </w:footnote>
  <w:footnote w:id="2">
    <w:p w:rsidR="002B69CE" w:rsidRPr="002B69CE" w:rsidRDefault="002B69CE">
      <w:pPr>
        <w:pStyle w:val="FootnoteText"/>
        <w:rPr>
          <w:b/>
        </w:rPr>
      </w:pPr>
      <w:r w:rsidRPr="002B69CE">
        <w:rPr>
          <w:rStyle w:val="FootnoteReference"/>
          <w:rFonts w:ascii="Times New Roman" w:hAnsi="Times New Roman" w:cs="Times New Roman"/>
        </w:rPr>
        <w:footnoteRef/>
      </w:r>
      <w:r w:rsidRPr="002B69CE">
        <w:rPr>
          <w:rFonts w:ascii="Times New Roman" w:hAnsi="Times New Roman" w:cs="Times New Roman"/>
        </w:rPr>
        <w:t xml:space="preserve"> </w:t>
      </w:r>
      <w:hyperlink r:id="rId2" w:history="1">
        <w:r w:rsidRPr="001D4D77">
          <w:rPr>
            <w:rStyle w:val="Hyperlink"/>
            <w:rFonts w:ascii="Times New Roman" w:hAnsi="Times New Roman" w:cs="Times New Roman"/>
          </w:rPr>
          <w:t>http://www.knab.gov.lv/lv/finances/control/offences/article.php?id=480970</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34224395"/>
      <w:docPartObj>
        <w:docPartGallery w:val="Page Numbers (Top of Page)"/>
        <w:docPartUnique/>
      </w:docPartObj>
    </w:sdtPr>
    <w:sdtEndPr>
      <w:rPr>
        <w:noProof/>
      </w:rPr>
    </w:sdtEndPr>
    <w:sdtContent>
      <w:p w:rsidR="0074740D" w:rsidRPr="0017538A" w:rsidRDefault="0074740D" w:rsidP="0017538A">
        <w:pPr>
          <w:pStyle w:val="Header"/>
          <w:jc w:val="center"/>
          <w:rPr>
            <w:rFonts w:ascii="Times New Roman" w:hAnsi="Times New Roman" w:cs="Times New Roman"/>
            <w:sz w:val="24"/>
            <w:szCs w:val="24"/>
          </w:rPr>
        </w:pPr>
        <w:r w:rsidRPr="0017538A">
          <w:rPr>
            <w:rFonts w:ascii="Times New Roman" w:hAnsi="Times New Roman" w:cs="Times New Roman"/>
            <w:sz w:val="24"/>
            <w:szCs w:val="24"/>
          </w:rPr>
          <w:fldChar w:fldCharType="begin"/>
        </w:r>
        <w:r w:rsidRPr="0017538A">
          <w:rPr>
            <w:rFonts w:ascii="Times New Roman" w:hAnsi="Times New Roman" w:cs="Times New Roman"/>
            <w:sz w:val="24"/>
            <w:szCs w:val="24"/>
          </w:rPr>
          <w:instrText xml:space="preserve"> PAGE   \* MERGEFORMAT </w:instrText>
        </w:r>
        <w:r w:rsidRPr="0017538A">
          <w:rPr>
            <w:rFonts w:ascii="Times New Roman" w:hAnsi="Times New Roman" w:cs="Times New Roman"/>
            <w:sz w:val="24"/>
            <w:szCs w:val="24"/>
          </w:rPr>
          <w:fldChar w:fldCharType="separate"/>
        </w:r>
        <w:r w:rsidR="00FA0BAE">
          <w:rPr>
            <w:rFonts w:ascii="Times New Roman" w:hAnsi="Times New Roman" w:cs="Times New Roman"/>
            <w:noProof/>
            <w:sz w:val="24"/>
            <w:szCs w:val="24"/>
          </w:rPr>
          <w:t>15</w:t>
        </w:r>
        <w:r w:rsidRPr="0017538A">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0D" w:rsidRPr="0017538A" w:rsidRDefault="0074740D" w:rsidP="001753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3D64"/>
    <w:multiLevelType w:val="hybridMultilevel"/>
    <w:tmpl w:val="A5E6D1AE"/>
    <w:lvl w:ilvl="0" w:tplc="04260001">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0DFD435E"/>
    <w:multiLevelType w:val="hybridMultilevel"/>
    <w:tmpl w:val="D43CB6E6"/>
    <w:lvl w:ilvl="0" w:tplc="30105E54">
      <w:start w:val="1"/>
      <w:numFmt w:val="decimal"/>
      <w:lvlText w:val="%1)"/>
      <w:lvlJc w:val="left"/>
      <w:pPr>
        <w:ind w:left="720" w:hanging="360"/>
      </w:pPr>
      <w:rPr>
        <w:rFonts w:ascii="Times New Roman" w:eastAsiaTheme="minorHAnsi"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4E4310"/>
    <w:multiLevelType w:val="hybridMultilevel"/>
    <w:tmpl w:val="05E45A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F96151C"/>
    <w:multiLevelType w:val="multilevel"/>
    <w:tmpl w:val="B0EE1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C80C85"/>
    <w:multiLevelType w:val="hybridMultilevel"/>
    <w:tmpl w:val="D428A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DA2C53"/>
    <w:multiLevelType w:val="hybridMultilevel"/>
    <w:tmpl w:val="37F635FA"/>
    <w:lvl w:ilvl="0" w:tplc="2A405432">
      <w:start w:val="1"/>
      <w:numFmt w:val="decimal"/>
      <w:lvlText w:val="%1."/>
      <w:lvlJc w:val="left"/>
      <w:pPr>
        <w:ind w:left="1778" w:hanging="360"/>
      </w:pPr>
      <w:rPr>
        <w:rFonts w:ascii="Times New Roman" w:hAnsi="Times New Roman" w:cs="Times New Roman" w:hint="default"/>
        <w:sz w:val="28"/>
        <w:szCs w:val="28"/>
      </w:rPr>
    </w:lvl>
    <w:lvl w:ilvl="1" w:tplc="04260019">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6">
    <w:nsid w:val="16FC7B5A"/>
    <w:multiLevelType w:val="hybridMultilevel"/>
    <w:tmpl w:val="09183F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AA56CAC"/>
    <w:multiLevelType w:val="hybridMultilevel"/>
    <w:tmpl w:val="0DF25EAE"/>
    <w:lvl w:ilvl="0" w:tplc="1F80CAFE">
      <w:start w:val="201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DFE41D9"/>
    <w:multiLevelType w:val="hybridMultilevel"/>
    <w:tmpl w:val="89B20692"/>
    <w:lvl w:ilvl="0" w:tplc="DC6A564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9">
    <w:nsid w:val="210200CE"/>
    <w:multiLevelType w:val="multilevel"/>
    <w:tmpl w:val="284A0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BF4232"/>
    <w:multiLevelType w:val="hybridMultilevel"/>
    <w:tmpl w:val="748EE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E391E"/>
    <w:multiLevelType w:val="hybridMultilevel"/>
    <w:tmpl w:val="76AE7AAC"/>
    <w:lvl w:ilvl="0" w:tplc="201670D0">
      <w:start w:val="1"/>
      <w:numFmt w:val="decimal"/>
      <w:lvlText w:val="%1."/>
      <w:lvlJc w:val="left"/>
      <w:pPr>
        <w:ind w:left="1707" w:hanging="11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29EA3796"/>
    <w:multiLevelType w:val="hybridMultilevel"/>
    <w:tmpl w:val="8C643B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AE600F1"/>
    <w:multiLevelType w:val="hybridMultilevel"/>
    <w:tmpl w:val="8ADC88B4"/>
    <w:lvl w:ilvl="0" w:tplc="A7E81A36">
      <w:numFmt w:val="bullet"/>
      <w:lvlText w:val=""/>
      <w:lvlJc w:val="left"/>
      <w:pPr>
        <w:ind w:left="720" w:hanging="360"/>
      </w:pPr>
      <w:rPr>
        <w:rFonts w:ascii="Symbol" w:eastAsiaTheme="minorHAnsi"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BA1527"/>
    <w:multiLevelType w:val="hybridMultilevel"/>
    <w:tmpl w:val="3FEEF9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D70506C"/>
    <w:multiLevelType w:val="hybridMultilevel"/>
    <w:tmpl w:val="77628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7D82085"/>
    <w:multiLevelType w:val="hybridMultilevel"/>
    <w:tmpl w:val="9DC4D32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82B0D93"/>
    <w:multiLevelType w:val="hybridMultilevel"/>
    <w:tmpl w:val="03E0E6DE"/>
    <w:lvl w:ilvl="0" w:tplc="30105E54">
      <w:start w:val="1"/>
      <w:numFmt w:val="decimal"/>
      <w:lvlText w:val="%1)"/>
      <w:lvlJc w:val="left"/>
      <w:pPr>
        <w:ind w:left="720" w:hanging="360"/>
      </w:pPr>
      <w:rPr>
        <w:rFonts w:ascii="Times New Roman" w:eastAsiaTheme="minorHAnsi"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777BAC"/>
    <w:multiLevelType w:val="hybridMultilevel"/>
    <w:tmpl w:val="B5D0767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nsid w:val="44616DDA"/>
    <w:multiLevelType w:val="hybridMultilevel"/>
    <w:tmpl w:val="42EE28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1A26EA1"/>
    <w:multiLevelType w:val="hybridMultilevel"/>
    <w:tmpl w:val="D02247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BCA1AE9"/>
    <w:multiLevelType w:val="hybridMultilevel"/>
    <w:tmpl w:val="7A2ED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C3D5D67"/>
    <w:multiLevelType w:val="hybridMultilevel"/>
    <w:tmpl w:val="896EDD30"/>
    <w:lvl w:ilvl="0" w:tplc="7E90F78E">
      <w:start w:val="1"/>
      <w:numFmt w:val="bullet"/>
      <w:lvlText w:val="-"/>
      <w:lvlJc w:val="left"/>
      <w:pPr>
        <w:ind w:left="720" w:hanging="360"/>
      </w:pPr>
      <w:rPr>
        <w:rFonts w:ascii="Times New Roman" w:eastAsia="Times New Roman"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7C37C25"/>
    <w:multiLevelType w:val="multilevel"/>
    <w:tmpl w:val="DEC004E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EB318AD"/>
    <w:multiLevelType w:val="hybridMultilevel"/>
    <w:tmpl w:val="96780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9353523"/>
    <w:multiLevelType w:val="hybridMultilevel"/>
    <w:tmpl w:val="69E87BAC"/>
    <w:lvl w:ilvl="0" w:tplc="A7E81A36">
      <w:numFmt w:val="bullet"/>
      <w:lvlText w:val=""/>
      <w:lvlJc w:val="left"/>
      <w:pPr>
        <w:ind w:left="1287" w:hanging="360"/>
      </w:pPr>
      <w:rPr>
        <w:rFonts w:ascii="Symbol" w:eastAsiaTheme="minorHAnsi" w:hAnsi="Symbol" w:cs="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nsid w:val="7F6D5DC6"/>
    <w:multiLevelType w:val="hybridMultilevel"/>
    <w:tmpl w:val="E05CE370"/>
    <w:lvl w:ilvl="0" w:tplc="A7E81A36">
      <w:numFmt w:val="bullet"/>
      <w:lvlText w:val=""/>
      <w:lvlJc w:val="left"/>
      <w:pPr>
        <w:ind w:left="720" w:hanging="360"/>
      </w:pPr>
      <w:rPr>
        <w:rFonts w:ascii="Symbol" w:eastAsiaTheme="minorHAnsi"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FBC1CC4"/>
    <w:multiLevelType w:val="hybridMultilevel"/>
    <w:tmpl w:val="72A8037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4"/>
  </w:num>
  <w:num w:numId="4">
    <w:abstractNumId w:val="10"/>
  </w:num>
  <w:num w:numId="5">
    <w:abstractNumId w:val="21"/>
  </w:num>
  <w:num w:numId="6">
    <w:abstractNumId w:val="24"/>
  </w:num>
  <w:num w:numId="7">
    <w:abstractNumId w:val="12"/>
  </w:num>
  <w:num w:numId="8">
    <w:abstractNumId w:val="11"/>
  </w:num>
  <w:num w:numId="9">
    <w:abstractNumId w:val="5"/>
  </w:num>
  <w:num w:numId="10">
    <w:abstractNumId w:val="22"/>
  </w:num>
  <w:num w:numId="11">
    <w:abstractNumId w:val="27"/>
  </w:num>
  <w:num w:numId="12">
    <w:abstractNumId w:val="6"/>
  </w:num>
  <w:num w:numId="13">
    <w:abstractNumId w:val="26"/>
  </w:num>
  <w:num w:numId="14">
    <w:abstractNumId w:val="1"/>
  </w:num>
  <w:num w:numId="15">
    <w:abstractNumId w:val="25"/>
  </w:num>
  <w:num w:numId="16">
    <w:abstractNumId w:val="17"/>
  </w:num>
  <w:num w:numId="17">
    <w:abstractNumId w:val="13"/>
  </w:num>
  <w:num w:numId="18">
    <w:abstractNumId w:val="19"/>
  </w:num>
  <w:num w:numId="19">
    <w:abstractNumId w:val="14"/>
  </w:num>
  <w:num w:numId="20">
    <w:abstractNumId w:val="16"/>
  </w:num>
  <w:num w:numId="21">
    <w:abstractNumId w:val="3"/>
  </w:num>
  <w:num w:numId="22">
    <w:abstractNumId w:val="2"/>
  </w:num>
  <w:num w:numId="23">
    <w:abstractNumId w:val="20"/>
  </w:num>
  <w:num w:numId="24">
    <w:abstractNumId w:val="8"/>
  </w:num>
  <w:num w:numId="25">
    <w:abstractNumId w:val="7"/>
  </w:num>
  <w:num w:numId="26">
    <w:abstractNumId w:val="18"/>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BD"/>
    <w:rsid w:val="000006BE"/>
    <w:rsid w:val="000021AD"/>
    <w:rsid w:val="00002253"/>
    <w:rsid w:val="0000652B"/>
    <w:rsid w:val="00006C02"/>
    <w:rsid w:val="00014762"/>
    <w:rsid w:val="00017763"/>
    <w:rsid w:val="00017E03"/>
    <w:rsid w:val="000206F1"/>
    <w:rsid w:val="00020F40"/>
    <w:rsid w:val="00023A8D"/>
    <w:rsid w:val="00023B2F"/>
    <w:rsid w:val="00024ABB"/>
    <w:rsid w:val="000313F2"/>
    <w:rsid w:val="00034040"/>
    <w:rsid w:val="0003540E"/>
    <w:rsid w:val="0004079C"/>
    <w:rsid w:val="000428CF"/>
    <w:rsid w:val="000438B3"/>
    <w:rsid w:val="00047562"/>
    <w:rsid w:val="00055991"/>
    <w:rsid w:val="00055F09"/>
    <w:rsid w:val="00056AF6"/>
    <w:rsid w:val="00056BF4"/>
    <w:rsid w:val="000703F7"/>
    <w:rsid w:val="00070DFE"/>
    <w:rsid w:val="00073788"/>
    <w:rsid w:val="00073B9D"/>
    <w:rsid w:val="0007426A"/>
    <w:rsid w:val="000773E9"/>
    <w:rsid w:val="000775FF"/>
    <w:rsid w:val="00080D3E"/>
    <w:rsid w:val="00081C07"/>
    <w:rsid w:val="000825F0"/>
    <w:rsid w:val="00091D6D"/>
    <w:rsid w:val="00093551"/>
    <w:rsid w:val="00093ED5"/>
    <w:rsid w:val="000961B4"/>
    <w:rsid w:val="000963D1"/>
    <w:rsid w:val="000968B7"/>
    <w:rsid w:val="00097D81"/>
    <w:rsid w:val="000A083B"/>
    <w:rsid w:val="000A5B81"/>
    <w:rsid w:val="000A782B"/>
    <w:rsid w:val="000B5C53"/>
    <w:rsid w:val="000B791F"/>
    <w:rsid w:val="000C1ED2"/>
    <w:rsid w:val="000C619E"/>
    <w:rsid w:val="000C7983"/>
    <w:rsid w:val="000D04ED"/>
    <w:rsid w:val="000D0FDE"/>
    <w:rsid w:val="000E0ABD"/>
    <w:rsid w:val="000E12C7"/>
    <w:rsid w:val="000E693D"/>
    <w:rsid w:val="000E7B20"/>
    <w:rsid w:val="000F1000"/>
    <w:rsid w:val="000F17BD"/>
    <w:rsid w:val="000F2584"/>
    <w:rsid w:val="00104879"/>
    <w:rsid w:val="00111CF9"/>
    <w:rsid w:val="00113355"/>
    <w:rsid w:val="001141AA"/>
    <w:rsid w:val="001142AD"/>
    <w:rsid w:val="001205CE"/>
    <w:rsid w:val="001208B0"/>
    <w:rsid w:val="001220D3"/>
    <w:rsid w:val="00122F9A"/>
    <w:rsid w:val="001267D2"/>
    <w:rsid w:val="00127513"/>
    <w:rsid w:val="00127BE0"/>
    <w:rsid w:val="00131EB4"/>
    <w:rsid w:val="00136070"/>
    <w:rsid w:val="00140028"/>
    <w:rsid w:val="001416DC"/>
    <w:rsid w:val="00143AD5"/>
    <w:rsid w:val="00144655"/>
    <w:rsid w:val="00151C08"/>
    <w:rsid w:val="001522D5"/>
    <w:rsid w:val="00152AFA"/>
    <w:rsid w:val="00152B00"/>
    <w:rsid w:val="0016357F"/>
    <w:rsid w:val="001659BC"/>
    <w:rsid w:val="00172B64"/>
    <w:rsid w:val="00174549"/>
    <w:rsid w:val="0017538A"/>
    <w:rsid w:val="001809DB"/>
    <w:rsid w:val="00181B25"/>
    <w:rsid w:val="00182A58"/>
    <w:rsid w:val="00184116"/>
    <w:rsid w:val="0018564A"/>
    <w:rsid w:val="001857F5"/>
    <w:rsid w:val="00186827"/>
    <w:rsid w:val="00186933"/>
    <w:rsid w:val="001902E5"/>
    <w:rsid w:val="001967C4"/>
    <w:rsid w:val="001969B9"/>
    <w:rsid w:val="001972B4"/>
    <w:rsid w:val="001A0029"/>
    <w:rsid w:val="001A1761"/>
    <w:rsid w:val="001A3122"/>
    <w:rsid w:val="001A32B0"/>
    <w:rsid w:val="001A6817"/>
    <w:rsid w:val="001A7EE6"/>
    <w:rsid w:val="001B0CF4"/>
    <w:rsid w:val="001B0E8A"/>
    <w:rsid w:val="001B22D9"/>
    <w:rsid w:val="001B25B7"/>
    <w:rsid w:val="001B40C3"/>
    <w:rsid w:val="001C0577"/>
    <w:rsid w:val="001C08BB"/>
    <w:rsid w:val="001C2160"/>
    <w:rsid w:val="001C44D9"/>
    <w:rsid w:val="001C5C79"/>
    <w:rsid w:val="001C70CC"/>
    <w:rsid w:val="001D2A5F"/>
    <w:rsid w:val="001D44A0"/>
    <w:rsid w:val="001D5281"/>
    <w:rsid w:val="001D5FA8"/>
    <w:rsid w:val="001E11E2"/>
    <w:rsid w:val="001E5D33"/>
    <w:rsid w:val="001F1123"/>
    <w:rsid w:val="001F42A1"/>
    <w:rsid w:val="001F4434"/>
    <w:rsid w:val="001F79AF"/>
    <w:rsid w:val="00200373"/>
    <w:rsid w:val="00202EB1"/>
    <w:rsid w:val="002039A4"/>
    <w:rsid w:val="0020489C"/>
    <w:rsid w:val="00204F5E"/>
    <w:rsid w:val="00213C45"/>
    <w:rsid w:val="0021422D"/>
    <w:rsid w:val="00215B60"/>
    <w:rsid w:val="00220289"/>
    <w:rsid w:val="00227DF2"/>
    <w:rsid w:val="00234067"/>
    <w:rsid w:val="002340A6"/>
    <w:rsid w:val="002348E8"/>
    <w:rsid w:val="00235BFF"/>
    <w:rsid w:val="0023653B"/>
    <w:rsid w:val="00236AC5"/>
    <w:rsid w:val="002458EE"/>
    <w:rsid w:val="0024696F"/>
    <w:rsid w:val="002512FB"/>
    <w:rsid w:val="00252934"/>
    <w:rsid w:val="00254D0E"/>
    <w:rsid w:val="00254F23"/>
    <w:rsid w:val="0025528A"/>
    <w:rsid w:val="00255F5C"/>
    <w:rsid w:val="00265179"/>
    <w:rsid w:val="00265BFA"/>
    <w:rsid w:val="002667C6"/>
    <w:rsid w:val="00267E9D"/>
    <w:rsid w:val="00274B62"/>
    <w:rsid w:val="00275C29"/>
    <w:rsid w:val="00277F49"/>
    <w:rsid w:val="002820B1"/>
    <w:rsid w:val="002825E2"/>
    <w:rsid w:val="00285CD4"/>
    <w:rsid w:val="002863B6"/>
    <w:rsid w:val="00290138"/>
    <w:rsid w:val="00290CCD"/>
    <w:rsid w:val="002952ED"/>
    <w:rsid w:val="00295475"/>
    <w:rsid w:val="00295CFE"/>
    <w:rsid w:val="002965A6"/>
    <w:rsid w:val="002A38E4"/>
    <w:rsid w:val="002B0B4D"/>
    <w:rsid w:val="002B2E0B"/>
    <w:rsid w:val="002B3FCB"/>
    <w:rsid w:val="002B6772"/>
    <w:rsid w:val="002B69CE"/>
    <w:rsid w:val="002C1348"/>
    <w:rsid w:val="002C1504"/>
    <w:rsid w:val="002C2106"/>
    <w:rsid w:val="002C6A15"/>
    <w:rsid w:val="002D0885"/>
    <w:rsid w:val="002D2604"/>
    <w:rsid w:val="002D2CBC"/>
    <w:rsid w:val="002E568E"/>
    <w:rsid w:val="002E5E7E"/>
    <w:rsid w:val="002E7BDA"/>
    <w:rsid w:val="002E7DB7"/>
    <w:rsid w:val="002F3BDD"/>
    <w:rsid w:val="002F71C9"/>
    <w:rsid w:val="003022CD"/>
    <w:rsid w:val="00302E33"/>
    <w:rsid w:val="003119D3"/>
    <w:rsid w:val="003134C5"/>
    <w:rsid w:val="00315BCD"/>
    <w:rsid w:val="003160B5"/>
    <w:rsid w:val="003206EC"/>
    <w:rsid w:val="0032461E"/>
    <w:rsid w:val="00325B0A"/>
    <w:rsid w:val="0032648A"/>
    <w:rsid w:val="003267A6"/>
    <w:rsid w:val="00332A36"/>
    <w:rsid w:val="00334502"/>
    <w:rsid w:val="003359D7"/>
    <w:rsid w:val="00335A0D"/>
    <w:rsid w:val="0033652C"/>
    <w:rsid w:val="0033679D"/>
    <w:rsid w:val="00341A95"/>
    <w:rsid w:val="00344BC7"/>
    <w:rsid w:val="00350E97"/>
    <w:rsid w:val="003520F9"/>
    <w:rsid w:val="0035360F"/>
    <w:rsid w:val="003543C7"/>
    <w:rsid w:val="003563CA"/>
    <w:rsid w:val="00361F7B"/>
    <w:rsid w:val="00362B7B"/>
    <w:rsid w:val="00362F80"/>
    <w:rsid w:val="0037685A"/>
    <w:rsid w:val="003810E8"/>
    <w:rsid w:val="0038294F"/>
    <w:rsid w:val="00384F45"/>
    <w:rsid w:val="00385E8D"/>
    <w:rsid w:val="00387476"/>
    <w:rsid w:val="00392F0C"/>
    <w:rsid w:val="00394F70"/>
    <w:rsid w:val="003961D1"/>
    <w:rsid w:val="00397D17"/>
    <w:rsid w:val="003A20D0"/>
    <w:rsid w:val="003A257E"/>
    <w:rsid w:val="003A2F77"/>
    <w:rsid w:val="003A42A6"/>
    <w:rsid w:val="003A47C0"/>
    <w:rsid w:val="003B35C8"/>
    <w:rsid w:val="003B44B6"/>
    <w:rsid w:val="003C046E"/>
    <w:rsid w:val="003C0DA6"/>
    <w:rsid w:val="003C2032"/>
    <w:rsid w:val="003C4093"/>
    <w:rsid w:val="003C60ED"/>
    <w:rsid w:val="003C69FB"/>
    <w:rsid w:val="003C7F63"/>
    <w:rsid w:val="003D1893"/>
    <w:rsid w:val="003D2843"/>
    <w:rsid w:val="003D447D"/>
    <w:rsid w:val="003D6E55"/>
    <w:rsid w:val="003D70F1"/>
    <w:rsid w:val="003E17D9"/>
    <w:rsid w:val="003E440D"/>
    <w:rsid w:val="003F0A43"/>
    <w:rsid w:val="003F1422"/>
    <w:rsid w:val="003F2964"/>
    <w:rsid w:val="003F6788"/>
    <w:rsid w:val="0040203D"/>
    <w:rsid w:val="0040308F"/>
    <w:rsid w:val="0040333C"/>
    <w:rsid w:val="004069B4"/>
    <w:rsid w:val="004102ED"/>
    <w:rsid w:val="00411898"/>
    <w:rsid w:val="004121B9"/>
    <w:rsid w:val="00412BC7"/>
    <w:rsid w:val="00413C5A"/>
    <w:rsid w:val="004143A8"/>
    <w:rsid w:val="004167F2"/>
    <w:rsid w:val="00416DB6"/>
    <w:rsid w:val="004202C9"/>
    <w:rsid w:val="004241D6"/>
    <w:rsid w:val="00425D41"/>
    <w:rsid w:val="0042773C"/>
    <w:rsid w:val="004279A2"/>
    <w:rsid w:val="00430865"/>
    <w:rsid w:val="0043547C"/>
    <w:rsid w:val="004361CE"/>
    <w:rsid w:val="00436EC2"/>
    <w:rsid w:val="00437842"/>
    <w:rsid w:val="00443273"/>
    <w:rsid w:val="00443FA9"/>
    <w:rsid w:val="00444543"/>
    <w:rsid w:val="004448D4"/>
    <w:rsid w:val="00445BE8"/>
    <w:rsid w:val="00447F86"/>
    <w:rsid w:val="00451A10"/>
    <w:rsid w:val="004532B3"/>
    <w:rsid w:val="004568FC"/>
    <w:rsid w:val="0045694A"/>
    <w:rsid w:val="004629AA"/>
    <w:rsid w:val="004632C3"/>
    <w:rsid w:val="0046551C"/>
    <w:rsid w:val="00465948"/>
    <w:rsid w:val="00467699"/>
    <w:rsid w:val="00473B76"/>
    <w:rsid w:val="00476C4C"/>
    <w:rsid w:val="00484568"/>
    <w:rsid w:val="00484DA5"/>
    <w:rsid w:val="00486491"/>
    <w:rsid w:val="00490B34"/>
    <w:rsid w:val="00491C05"/>
    <w:rsid w:val="00492B80"/>
    <w:rsid w:val="004949DF"/>
    <w:rsid w:val="00496C85"/>
    <w:rsid w:val="004A1320"/>
    <w:rsid w:val="004A1747"/>
    <w:rsid w:val="004A43D9"/>
    <w:rsid w:val="004A6700"/>
    <w:rsid w:val="004A6756"/>
    <w:rsid w:val="004B1216"/>
    <w:rsid w:val="004B376E"/>
    <w:rsid w:val="004C086F"/>
    <w:rsid w:val="004C168A"/>
    <w:rsid w:val="004C1E3E"/>
    <w:rsid w:val="004C26AA"/>
    <w:rsid w:val="004C3609"/>
    <w:rsid w:val="004C5072"/>
    <w:rsid w:val="004D1509"/>
    <w:rsid w:val="004D2552"/>
    <w:rsid w:val="004D6438"/>
    <w:rsid w:val="004D6568"/>
    <w:rsid w:val="004D6798"/>
    <w:rsid w:val="004E0745"/>
    <w:rsid w:val="004E0AC5"/>
    <w:rsid w:val="004E4070"/>
    <w:rsid w:val="004F02FB"/>
    <w:rsid w:val="004F2627"/>
    <w:rsid w:val="004F7B23"/>
    <w:rsid w:val="005054E6"/>
    <w:rsid w:val="005148E8"/>
    <w:rsid w:val="00521516"/>
    <w:rsid w:val="00523498"/>
    <w:rsid w:val="0052727D"/>
    <w:rsid w:val="00530A31"/>
    <w:rsid w:val="005328E7"/>
    <w:rsid w:val="00532995"/>
    <w:rsid w:val="00535EA4"/>
    <w:rsid w:val="0053780F"/>
    <w:rsid w:val="0054008F"/>
    <w:rsid w:val="00542325"/>
    <w:rsid w:val="00542375"/>
    <w:rsid w:val="00544F64"/>
    <w:rsid w:val="00550161"/>
    <w:rsid w:val="0055186B"/>
    <w:rsid w:val="00553139"/>
    <w:rsid w:val="005533BD"/>
    <w:rsid w:val="00556588"/>
    <w:rsid w:val="00556B03"/>
    <w:rsid w:val="00560186"/>
    <w:rsid w:val="005621A3"/>
    <w:rsid w:val="00565321"/>
    <w:rsid w:val="005704A1"/>
    <w:rsid w:val="00570A70"/>
    <w:rsid w:val="00574AA9"/>
    <w:rsid w:val="00576300"/>
    <w:rsid w:val="00577546"/>
    <w:rsid w:val="00580B09"/>
    <w:rsid w:val="00583C21"/>
    <w:rsid w:val="00584C98"/>
    <w:rsid w:val="00596922"/>
    <w:rsid w:val="005A37AC"/>
    <w:rsid w:val="005A4726"/>
    <w:rsid w:val="005A479A"/>
    <w:rsid w:val="005A47AC"/>
    <w:rsid w:val="005B2659"/>
    <w:rsid w:val="005B4234"/>
    <w:rsid w:val="005B44EE"/>
    <w:rsid w:val="005B56A8"/>
    <w:rsid w:val="005B7077"/>
    <w:rsid w:val="005C06DF"/>
    <w:rsid w:val="005C142D"/>
    <w:rsid w:val="005D0706"/>
    <w:rsid w:val="005D18BD"/>
    <w:rsid w:val="005D37FC"/>
    <w:rsid w:val="005D5A51"/>
    <w:rsid w:val="005D5CA2"/>
    <w:rsid w:val="005E0133"/>
    <w:rsid w:val="005E0A47"/>
    <w:rsid w:val="005E1545"/>
    <w:rsid w:val="005E1C0F"/>
    <w:rsid w:val="005E3E1D"/>
    <w:rsid w:val="005E6E7E"/>
    <w:rsid w:val="005F1599"/>
    <w:rsid w:val="005F39F2"/>
    <w:rsid w:val="005F586F"/>
    <w:rsid w:val="005F68E9"/>
    <w:rsid w:val="0060321D"/>
    <w:rsid w:val="00606292"/>
    <w:rsid w:val="00610C07"/>
    <w:rsid w:val="00611589"/>
    <w:rsid w:val="00612CE0"/>
    <w:rsid w:val="0061343C"/>
    <w:rsid w:val="00615921"/>
    <w:rsid w:val="00617021"/>
    <w:rsid w:val="00621AE7"/>
    <w:rsid w:val="0062357C"/>
    <w:rsid w:val="006238F4"/>
    <w:rsid w:val="00623F57"/>
    <w:rsid w:val="0062466D"/>
    <w:rsid w:val="006266AF"/>
    <w:rsid w:val="00627B1B"/>
    <w:rsid w:val="006301A1"/>
    <w:rsid w:val="006321FF"/>
    <w:rsid w:val="006412AE"/>
    <w:rsid w:val="006424B0"/>
    <w:rsid w:val="006456F5"/>
    <w:rsid w:val="0064581D"/>
    <w:rsid w:val="00646E37"/>
    <w:rsid w:val="00646F45"/>
    <w:rsid w:val="00647059"/>
    <w:rsid w:val="00652C89"/>
    <w:rsid w:val="00653F55"/>
    <w:rsid w:val="00654393"/>
    <w:rsid w:val="0065791C"/>
    <w:rsid w:val="00657E57"/>
    <w:rsid w:val="00661904"/>
    <w:rsid w:val="00665DD9"/>
    <w:rsid w:val="00667582"/>
    <w:rsid w:val="006677C1"/>
    <w:rsid w:val="006703AA"/>
    <w:rsid w:val="006709CC"/>
    <w:rsid w:val="00672EA0"/>
    <w:rsid w:val="0067590A"/>
    <w:rsid w:val="006812D3"/>
    <w:rsid w:val="00683019"/>
    <w:rsid w:val="00685ABF"/>
    <w:rsid w:val="006871FB"/>
    <w:rsid w:val="006919FE"/>
    <w:rsid w:val="00691A07"/>
    <w:rsid w:val="006927FB"/>
    <w:rsid w:val="00694AF4"/>
    <w:rsid w:val="0069707A"/>
    <w:rsid w:val="00697A81"/>
    <w:rsid w:val="006A2249"/>
    <w:rsid w:val="006A2FF8"/>
    <w:rsid w:val="006A357D"/>
    <w:rsid w:val="006A41B1"/>
    <w:rsid w:val="006A4302"/>
    <w:rsid w:val="006A761F"/>
    <w:rsid w:val="006A79B2"/>
    <w:rsid w:val="006B1A41"/>
    <w:rsid w:val="006B3E5E"/>
    <w:rsid w:val="006B44ED"/>
    <w:rsid w:val="006B7144"/>
    <w:rsid w:val="006C1384"/>
    <w:rsid w:val="006C16BE"/>
    <w:rsid w:val="006C16FB"/>
    <w:rsid w:val="006C23E8"/>
    <w:rsid w:val="006C7179"/>
    <w:rsid w:val="006D145A"/>
    <w:rsid w:val="006D33F4"/>
    <w:rsid w:val="006D59C4"/>
    <w:rsid w:val="006D5D8A"/>
    <w:rsid w:val="006E0DF3"/>
    <w:rsid w:val="006E3349"/>
    <w:rsid w:val="006E36A4"/>
    <w:rsid w:val="006E6851"/>
    <w:rsid w:val="006F21B6"/>
    <w:rsid w:val="006F5A5F"/>
    <w:rsid w:val="006F5C84"/>
    <w:rsid w:val="00701649"/>
    <w:rsid w:val="00701AE9"/>
    <w:rsid w:val="00702914"/>
    <w:rsid w:val="00703440"/>
    <w:rsid w:val="00706C2B"/>
    <w:rsid w:val="007074E5"/>
    <w:rsid w:val="00710C3D"/>
    <w:rsid w:val="007129FC"/>
    <w:rsid w:val="007149DF"/>
    <w:rsid w:val="00723F3C"/>
    <w:rsid w:val="00734F61"/>
    <w:rsid w:val="0074005F"/>
    <w:rsid w:val="00740C8A"/>
    <w:rsid w:val="00741D32"/>
    <w:rsid w:val="00742B5C"/>
    <w:rsid w:val="0074409C"/>
    <w:rsid w:val="0074740D"/>
    <w:rsid w:val="00752EF4"/>
    <w:rsid w:val="00757649"/>
    <w:rsid w:val="00757A20"/>
    <w:rsid w:val="0076048A"/>
    <w:rsid w:val="00761130"/>
    <w:rsid w:val="00764F49"/>
    <w:rsid w:val="007657D8"/>
    <w:rsid w:val="00765E3A"/>
    <w:rsid w:val="00767690"/>
    <w:rsid w:val="00772E12"/>
    <w:rsid w:val="0078038C"/>
    <w:rsid w:val="00782F3E"/>
    <w:rsid w:val="00784828"/>
    <w:rsid w:val="0078796E"/>
    <w:rsid w:val="007949D4"/>
    <w:rsid w:val="007A34EE"/>
    <w:rsid w:val="007A72C3"/>
    <w:rsid w:val="007A7542"/>
    <w:rsid w:val="007A7C0C"/>
    <w:rsid w:val="007B0689"/>
    <w:rsid w:val="007B2699"/>
    <w:rsid w:val="007B5CCF"/>
    <w:rsid w:val="007B634F"/>
    <w:rsid w:val="007C1B07"/>
    <w:rsid w:val="007C1C5A"/>
    <w:rsid w:val="007C1E23"/>
    <w:rsid w:val="007C21A3"/>
    <w:rsid w:val="007C60B8"/>
    <w:rsid w:val="007C66BE"/>
    <w:rsid w:val="007C782E"/>
    <w:rsid w:val="007D160A"/>
    <w:rsid w:val="007D1D25"/>
    <w:rsid w:val="007D2091"/>
    <w:rsid w:val="007D3BA5"/>
    <w:rsid w:val="007D40A9"/>
    <w:rsid w:val="007D59D6"/>
    <w:rsid w:val="007E0ED5"/>
    <w:rsid w:val="007E16F7"/>
    <w:rsid w:val="007E2D44"/>
    <w:rsid w:val="007E4582"/>
    <w:rsid w:val="007F01CD"/>
    <w:rsid w:val="007F2275"/>
    <w:rsid w:val="007F4BB0"/>
    <w:rsid w:val="007F5E16"/>
    <w:rsid w:val="007F69A6"/>
    <w:rsid w:val="00802EE1"/>
    <w:rsid w:val="008071BC"/>
    <w:rsid w:val="00813A93"/>
    <w:rsid w:val="008150C0"/>
    <w:rsid w:val="008158B0"/>
    <w:rsid w:val="00816427"/>
    <w:rsid w:val="0081653E"/>
    <w:rsid w:val="008166C2"/>
    <w:rsid w:val="00816FA7"/>
    <w:rsid w:val="0081779C"/>
    <w:rsid w:val="00820B5A"/>
    <w:rsid w:val="00824EB3"/>
    <w:rsid w:val="0082545F"/>
    <w:rsid w:val="0082587B"/>
    <w:rsid w:val="00827DB0"/>
    <w:rsid w:val="00831FCF"/>
    <w:rsid w:val="008327CE"/>
    <w:rsid w:val="0083384B"/>
    <w:rsid w:val="00833BD6"/>
    <w:rsid w:val="00834849"/>
    <w:rsid w:val="00835399"/>
    <w:rsid w:val="008373C7"/>
    <w:rsid w:val="00842976"/>
    <w:rsid w:val="00842A43"/>
    <w:rsid w:val="008434EB"/>
    <w:rsid w:val="00844998"/>
    <w:rsid w:val="00850CAC"/>
    <w:rsid w:val="00851BC1"/>
    <w:rsid w:val="0085213D"/>
    <w:rsid w:val="00853512"/>
    <w:rsid w:val="008537EC"/>
    <w:rsid w:val="008554DC"/>
    <w:rsid w:val="00860D49"/>
    <w:rsid w:val="00860D6A"/>
    <w:rsid w:val="00862479"/>
    <w:rsid w:val="0086328A"/>
    <w:rsid w:val="0086438F"/>
    <w:rsid w:val="008645F1"/>
    <w:rsid w:val="00865B94"/>
    <w:rsid w:val="008727F1"/>
    <w:rsid w:val="00872F4F"/>
    <w:rsid w:val="008760D6"/>
    <w:rsid w:val="00877BCF"/>
    <w:rsid w:val="00883CA0"/>
    <w:rsid w:val="00886BF1"/>
    <w:rsid w:val="00891368"/>
    <w:rsid w:val="00891FA1"/>
    <w:rsid w:val="00894211"/>
    <w:rsid w:val="008946ED"/>
    <w:rsid w:val="00895DCF"/>
    <w:rsid w:val="008A0572"/>
    <w:rsid w:val="008A1B77"/>
    <w:rsid w:val="008A3E38"/>
    <w:rsid w:val="008A4C05"/>
    <w:rsid w:val="008A5574"/>
    <w:rsid w:val="008B3D2B"/>
    <w:rsid w:val="008B4A69"/>
    <w:rsid w:val="008B65AD"/>
    <w:rsid w:val="008C077B"/>
    <w:rsid w:val="008C49CB"/>
    <w:rsid w:val="008C4C7F"/>
    <w:rsid w:val="008D3030"/>
    <w:rsid w:val="008D3645"/>
    <w:rsid w:val="008D3EEE"/>
    <w:rsid w:val="008D76B2"/>
    <w:rsid w:val="008E0316"/>
    <w:rsid w:val="008E13F3"/>
    <w:rsid w:val="008E458A"/>
    <w:rsid w:val="008F106C"/>
    <w:rsid w:val="008F18EB"/>
    <w:rsid w:val="008F2280"/>
    <w:rsid w:val="008F30BD"/>
    <w:rsid w:val="008F32BD"/>
    <w:rsid w:val="008F4073"/>
    <w:rsid w:val="00900CC6"/>
    <w:rsid w:val="0090134C"/>
    <w:rsid w:val="00904031"/>
    <w:rsid w:val="0090562B"/>
    <w:rsid w:val="0090700D"/>
    <w:rsid w:val="00907372"/>
    <w:rsid w:val="0091055F"/>
    <w:rsid w:val="009129F8"/>
    <w:rsid w:val="009148D4"/>
    <w:rsid w:val="00923397"/>
    <w:rsid w:val="00924706"/>
    <w:rsid w:val="009250C6"/>
    <w:rsid w:val="0092658C"/>
    <w:rsid w:val="00930E31"/>
    <w:rsid w:val="00931A25"/>
    <w:rsid w:val="00934A34"/>
    <w:rsid w:val="00935734"/>
    <w:rsid w:val="009412D1"/>
    <w:rsid w:val="00950730"/>
    <w:rsid w:val="0095218C"/>
    <w:rsid w:val="00952BAD"/>
    <w:rsid w:val="009530F9"/>
    <w:rsid w:val="009553FC"/>
    <w:rsid w:val="009579A0"/>
    <w:rsid w:val="009606DA"/>
    <w:rsid w:val="00961F1D"/>
    <w:rsid w:val="00965A63"/>
    <w:rsid w:val="00970CB0"/>
    <w:rsid w:val="00970D9D"/>
    <w:rsid w:val="0097171A"/>
    <w:rsid w:val="00973777"/>
    <w:rsid w:val="00973B96"/>
    <w:rsid w:val="00973C5B"/>
    <w:rsid w:val="0097537A"/>
    <w:rsid w:val="00975C31"/>
    <w:rsid w:val="00975F68"/>
    <w:rsid w:val="00981728"/>
    <w:rsid w:val="00984B27"/>
    <w:rsid w:val="0098713B"/>
    <w:rsid w:val="00993348"/>
    <w:rsid w:val="009971D1"/>
    <w:rsid w:val="0099740F"/>
    <w:rsid w:val="00997D9E"/>
    <w:rsid w:val="009A7936"/>
    <w:rsid w:val="009B13ED"/>
    <w:rsid w:val="009B2D55"/>
    <w:rsid w:val="009B3962"/>
    <w:rsid w:val="009C48E8"/>
    <w:rsid w:val="009C574F"/>
    <w:rsid w:val="009D0284"/>
    <w:rsid w:val="009D2EC6"/>
    <w:rsid w:val="009D420F"/>
    <w:rsid w:val="009D5209"/>
    <w:rsid w:val="009D5350"/>
    <w:rsid w:val="009D69E9"/>
    <w:rsid w:val="009D715E"/>
    <w:rsid w:val="009E0473"/>
    <w:rsid w:val="009E4508"/>
    <w:rsid w:val="009E4EC3"/>
    <w:rsid w:val="009E4FBF"/>
    <w:rsid w:val="009E584C"/>
    <w:rsid w:val="009F068A"/>
    <w:rsid w:val="009F0D63"/>
    <w:rsid w:val="009F1185"/>
    <w:rsid w:val="009F1712"/>
    <w:rsid w:val="009F4ED7"/>
    <w:rsid w:val="009F7253"/>
    <w:rsid w:val="009F7FB1"/>
    <w:rsid w:val="00A007CE"/>
    <w:rsid w:val="00A0559F"/>
    <w:rsid w:val="00A065AA"/>
    <w:rsid w:val="00A06AE0"/>
    <w:rsid w:val="00A11AED"/>
    <w:rsid w:val="00A11BB5"/>
    <w:rsid w:val="00A131E8"/>
    <w:rsid w:val="00A15E1B"/>
    <w:rsid w:val="00A16C45"/>
    <w:rsid w:val="00A215B4"/>
    <w:rsid w:val="00A43C9C"/>
    <w:rsid w:val="00A4710F"/>
    <w:rsid w:val="00A50FFB"/>
    <w:rsid w:val="00A549FA"/>
    <w:rsid w:val="00A54DA0"/>
    <w:rsid w:val="00A57AF5"/>
    <w:rsid w:val="00A61981"/>
    <w:rsid w:val="00A620D5"/>
    <w:rsid w:val="00A70A58"/>
    <w:rsid w:val="00A717F6"/>
    <w:rsid w:val="00A71FAA"/>
    <w:rsid w:val="00A727A2"/>
    <w:rsid w:val="00A74C40"/>
    <w:rsid w:val="00A777EB"/>
    <w:rsid w:val="00A82AC0"/>
    <w:rsid w:val="00A82FB3"/>
    <w:rsid w:val="00A833D4"/>
    <w:rsid w:val="00A85869"/>
    <w:rsid w:val="00A91FF8"/>
    <w:rsid w:val="00A924A8"/>
    <w:rsid w:val="00A926FE"/>
    <w:rsid w:val="00A93CEC"/>
    <w:rsid w:val="00A96B95"/>
    <w:rsid w:val="00AA0E61"/>
    <w:rsid w:val="00AA35DF"/>
    <w:rsid w:val="00AA5073"/>
    <w:rsid w:val="00AA6E74"/>
    <w:rsid w:val="00AA7648"/>
    <w:rsid w:val="00AA7F9B"/>
    <w:rsid w:val="00AB0443"/>
    <w:rsid w:val="00AB18D8"/>
    <w:rsid w:val="00AB230B"/>
    <w:rsid w:val="00AB25DC"/>
    <w:rsid w:val="00AB5904"/>
    <w:rsid w:val="00AB5F48"/>
    <w:rsid w:val="00AB6AE8"/>
    <w:rsid w:val="00AC08FF"/>
    <w:rsid w:val="00AC0B4B"/>
    <w:rsid w:val="00AC3608"/>
    <w:rsid w:val="00AC6A59"/>
    <w:rsid w:val="00AC781F"/>
    <w:rsid w:val="00AC7F81"/>
    <w:rsid w:val="00AD1002"/>
    <w:rsid w:val="00AD23F7"/>
    <w:rsid w:val="00AD4047"/>
    <w:rsid w:val="00AD6421"/>
    <w:rsid w:val="00AD6593"/>
    <w:rsid w:val="00AE1BE5"/>
    <w:rsid w:val="00AF327B"/>
    <w:rsid w:val="00AF356F"/>
    <w:rsid w:val="00AF38F1"/>
    <w:rsid w:val="00AF414E"/>
    <w:rsid w:val="00AF4AB3"/>
    <w:rsid w:val="00AF697F"/>
    <w:rsid w:val="00AF7212"/>
    <w:rsid w:val="00B0069E"/>
    <w:rsid w:val="00B102EE"/>
    <w:rsid w:val="00B11E2B"/>
    <w:rsid w:val="00B141D2"/>
    <w:rsid w:val="00B14AE1"/>
    <w:rsid w:val="00B2203C"/>
    <w:rsid w:val="00B220A9"/>
    <w:rsid w:val="00B238C7"/>
    <w:rsid w:val="00B31527"/>
    <w:rsid w:val="00B34758"/>
    <w:rsid w:val="00B3641D"/>
    <w:rsid w:val="00B41229"/>
    <w:rsid w:val="00B41CAF"/>
    <w:rsid w:val="00B46CCE"/>
    <w:rsid w:val="00B50B8A"/>
    <w:rsid w:val="00B53A72"/>
    <w:rsid w:val="00B54102"/>
    <w:rsid w:val="00B6098B"/>
    <w:rsid w:val="00B61DD0"/>
    <w:rsid w:val="00B66C55"/>
    <w:rsid w:val="00B67448"/>
    <w:rsid w:val="00B710EC"/>
    <w:rsid w:val="00B726A4"/>
    <w:rsid w:val="00B76215"/>
    <w:rsid w:val="00B7644F"/>
    <w:rsid w:val="00B80C54"/>
    <w:rsid w:val="00B81BD3"/>
    <w:rsid w:val="00B84650"/>
    <w:rsid w:val="00B86BC6"/>
    <w:rsid w:val="00B876E6"/>
    <w:rsid w:val="00B95C99"/>
    <w:rsid w:val="00B970EB"/>
    <w:rsid w:val="00B97C12"/>
    <w:rsid w:val="00BA1D6A"/>
    <w:rsid w:val="00BA48BD"/>
    <w:rsid w:val="00BA5EEA"/>
    <w:rsid w:val="00BA690A"/>
    <w:rsid w:val="00BB0A6F"/>
    <w:rsid w:val="00BB0A74"/>
    <w:rsid w:val="00BB2836"/>
    <w:rsid w:val="00BB3E6B"/>
    <w:rsid w:val="00BB68AF"/>
    <w:rsid w:val="00BB694D"/>
    <w:rsid w:val="00BB74F8"/>
    <w:rsid w:val="00BC04E1"/>
    <w:rsid w:val="00BC0C06"/>
    <w:rsid w:val="00BC1B09"/>
    <w:rsid w:val="00BC3C50"/>
    <w:rsid w:val="00BC7741"/>
    <w:rsid w:val="00BC79F6"/>
    <w:rsid w:val="00BD30F0"/>
    <w:rsid w:val="00BE13B3"/>
    <w:rsid w:val="00BE18F6"/>
    <w:rsid w:val="00BE20A5"/>
    <w:rsid w:val="00BE2AF1"/>
    <w:rsid w:val="00BE77F7"/>
    <w:rsid w:val="00BF1952"/>
    <w:rsid w:val="00BF24F9"/>
    <w:rsid w:val="00BF3C97"/>
    <w:rsid w:val="00C02520"/>
    <w:rsid w:val="00C0331F"/>
    <w:rsid w:val="00C04902"/>
    <w:rsid w:val="00C05C60"/>
    <w:rsid w:val="00C10996"/>
    <w:rsid w:val="00C1549F"/>
    <w:rsid w:val="00C15DDF"/>
    <w:rsid w:val="00C1735E"/>
    <w:rsid w:val="00C17CE5"/>
    <w:rsid w:val="00C2103E"/>
    <w:rsid w:val="00C22F21"/>
    <w:rsid w:val="00C2413A"/>
    <w:rsid w:val="00C245B4"/>
    <w:rsid w:val="00C2714D"/>
    <w:rsid w:val="00C330FC"/>
    <w:rsid w:val="00C3465C"/>
    <w:rsid w:val="00C359AA"/>
    <w:rsid w:val="00C4779E"/>
    <w:rsid w:val="00C47CEF"/>
    <w:rsid w:val="00C54A76"/>
    <w:rsid w:val="00C555AB"/>
    <w:rsid w:val="00C60AE9"/>
    <w:rsid w:val="00C61AC7"/>
    <w:rsid w:val="00C64C64"/>
    <w:rsid w:val="00C664C0"/>
    <w:rsid w:val="00C6763D"/>
    <w:rsid w:val="00C70D72"/>
    <w:rsid w:val="00C7183E"/>
    <w:rsid w:val="00C74420"/>
    <w:rsid w:val="00C81292"/>
    <w:rsid w:val="00C8174E"/>
    <w:rsid w:val="00C81B0C"/>
    <w:rsid w:val="00C8453F"/>
    <w:rsid w:val="00C860C5"/>
    <w:rsid w:val="00C90169"/>
    <w:rsid w:val="00C9332F"/>
    <w:rsid w:val="00C95A74"/>
    <w:rsid w:val="00C95C12"/>
    <w:rsid w:val="00C9665A"/>
    <w:rsid w:val="00C96D94"/>
    <w:rsid w:val="00C97824"/>
    <w:rsid w:val="00C978D8"/>
    <w:rsid w:val="00CA2A70"/>
    <w:rsid w:val="00CA43C7"/>
    <w:rsid w:val="00CA451C"/>
    <w:rsid w:val="00CA488A"/>
    <w:rsid w:val="00CA5D0B"/>
    <w:rsid w:val="00CB58D2"/>
    <w:rsid w:val="00CB5B97"/>
    <w:rsid w:val="00CB6E77"/>
    <w:rsid w:val="00CC4B28"/>
    <w:rsid w:val="00CD092A"/>
    <w:rsid w:val="00CD0C04"/>
    <w:rsid w:val="00CD0E43"/>
    <w:rsid w:val="00CD3A4D"/>
    <w:rsid w:val="00CD4A93"/>
    <w:rsid w:val="00CD5E2E"/>
    <w:rsid w:val="00CD6180"/>
    <w:rsid w:val="00CD742E"/>
    <w:rsid w:val="00CE13B2"/>
    <w:rsid w:val="00CE2E30"/>
    <w:rsid w:val="00CE5AF5"/>
    <w:rsid w:val="00CF0F74"/>
    <w:rsid w:val="00CF58AC"/>
    <w:rsid w:val="00CF65DA"/>
    <w:rsid w:val="00CF6A59"/>
    <w:rsid w:val="00D019A4"/>
    <w:rsid w:val="00D05088"/>
    <w:rsid w:val="00D10254"/>
    <w:rsid w:val="00D103C1"/>
    <w:rsid w:val="00D10BD6"/>
    <w:rsid w:val="00D112C6"/>
    <w:rsid w:val="00D113AA"/>
    <w:rsid w:val="00D113BE"/>
    <w:rsid w:val="00D12F92"/>
    <w:rsid w:val="00D14BFB"/>
    <w:rsid w:val="00D14C6E"/>
    <w:rsid w:val="00D22D92"/>
    <w:rsid w:val="00D24D94"/>
    <w:rsid w:val="00D27C81"/>
    <w:rsid w:val="00D313DB"/>
    <w:rsid w:val="00D33F6C"/>
    <w:rsid w:val="00D34D23"/>
    <w:rsid w:val="00D41F52"/>
    <w:rsid w:val="00D437AA"/>
    <w:rsid w:val="00D43C7E"/>
    <w:rsid w:val="00D4624D"/>
    <w:rsid w:val="00D50B18"/>
    <w:rsid w:val="00D5121C"/>
    <w:rsid w:val="00D643BB"/>
    <w:rsid w:val="00D6621D"/>
    <w:rsid w:val="00D67782"/>
    <w:rsid w:val="00D67B3D"/>
    <w:rsid w:val="00D67F95"/>
    <w:rsid w:val="00D72724"/>
    <w:rsid w:val="00D7345C"/>
    <w:rsid w:val="00D748AD"/>
    <w:rsid w:val="00D74E56"/>
    <w:rsid w:val="00D752A9"/>
    <w:rsid w:val="00D75C40"/>
    <w:rsid w:val="00D761A4"/>
    <w:rsid w:val="00D7718A"/>
    <w:rsid w:val="00D77B06"/>
    <w:rsid w:val="00D77F4A"/>
    <w:rsid w:val="00D83BE3"/>
    <w:rsid w:val="00D857AD"/>
    <w:rsid w:val="00D86315"/>
    <w:rsid w:val="00D86A43"/>
    <w:rsid w:val="00D86CEE"/>
    <w:rsid w:val="00D87ABA"/>
    <w:rsid w:val="00D91E78"/>
    <w:rsid w:val="00D92133"/>
    <w:rsid w:val="00D94BFF"/>
    <w:rsid w:val="00D97800"/>
    <w:rsid w:val="00DA0B70"/>
    <w:rsid w:val="00DA1DCA"/>
    <w:rsid w:val="00DA7797"/>
    <w:rsid w:val="00DA7969"/>
    <w:rsid w:val="00DB51B5"/>
    <w:rsid w:val="00DB579F"/>
    <w:rsid w:val="00DB734B"/>
    <w:rsid w:val="00DC03C2"/>
    <w:rsid w:val="00DC0885"/>
    <w:rsid w:val="00DC25E1"/>
    <w:rsid w:val="00DC4F53"/>
    <w:rsid w:val="00DD144D"/>
    <w:rsid w:val="00DD1D8E"/>
    <w:rsid w:val="00DD24D5"/>
    <w:rsid w:val="00DD2C19"/>
    <w:rsid w:val="00DD503F"/>
    <w:rsid w:val="00DD6A91"/>
    <w:rsid w:val="00DD7808"/>
    <w:rsid w:val="00DE31D9"/>
    <w:rsid w:val="00DE3BC8"/>
    <w:rsid w:val="00DE79B5"/>
    <w:rsid w:val="00DF04D6"/>
    <w:rsid w:val="00DF10B4"/>
    <w:rsid w:val="00DF35A5"/>
    <w:rsid w:val="00E00F5A"/>
    <w:rsid w:val="00E020B6"/>
    <w:rsid w:val="00E0374E"/>
    <w:rsid w:val="00E04297"/>
    <w:rsid w:val="00E07915"/>
    <w:rsid w:val="00E10A1B"/>
    <w:rsid w:val="00E14379"/>
    <w:rsid w:val="00E14B18"/>
    <w:rsid w:val="00E15709"/>
    <w:rsid w:val="00E215FD"/>
    <w:rsid w:val="00E2398F"/>
    <w:rsid w:val="00E23B95"/>
    <w:rsid w:val="00E26589"/>
    <w:rsid w:val="00E347B5"/>
    <w:rsid w:val="00E37D9E"/>
    <w:rsid w:val="00E422EB"/>
    <w:rsid w:val="00E5013C"/>
    <w:rsid w:val="00E50236"/>
    <w:rsid w:val="00E52869"/>
    <w:rsid w:val="00E529DD"/>
    <w:rsid w:val="00E52DAA"/>
    <w:rsid w:val="00E53E05"/>
    <w:rsid w:val="00E54192"/>
    <w:rsid w:val="00E56CB9"/>
    <w:rsid w:val="00E6390C"/>
    <w:rsid w:val="00E63AD9"/>
    <w:rsid w:val="00E67858"/>
    <w:rsid w:val="00E703BE"/>
    <w:rsid w:val="00E70D10"/>
    <w:rsid w:val="00E71705"/>
    <w:rsid w:val="00E76714"/>
    <w:rsid w:val="00E80DB6"/>
    <w:rsid w:val="00E81CCB"/>
    <w:rsid w:val="00E84A0A"/>
    <w:rsid w:val="00E8544B"/>
    <w:rsid w:val="00E87128"/>
    <w:rsid w:val="00E9119B"/>
    <w:rsid w:val="00E92A21"/>
    <w:rsid w:val="00E97290"/>
    <w:rsid w:val="00EA0A83"/>
    <w:rsid w:val="00EA5675"/>
    <w:rsid w:val="00EA5805"/>
    <w:rsid w:val="00EA75EE"/>
    <w:rsid w:val="00EB01FE"/>
    <w:rsid w:val="00EB0A63"/>
    <w:rsid w:val="00EB36E7"/>
    <w:rsid w:val="00EB412D"/>
    <w:rsid w:val="00EB571F"/>
    <w:rsid w:val="00EB5CF0"/>
    <w:rsid w:val="00EB70BF"/>
    <w:rsid w:val="00EB70D6"/>
    <w:rsid w:val="00EB79DF"/>
    <w:rsid w:val="00EB7CA8"/>
    <w:rsid w:val="00EC3687"/>
    <w:rsid w:val="00EC4355"/>
    <w:rsid w:val="00EC4A85"/>
    <w:rsid w:val="00EC4CAB"/>
    <w:rsid w:val="00ED108C"/>
    <w:rsid w:val="00ED28FC"/>
    <w:rsid w:val="00ED379E"/>
    <w:rsid w:val="00ED67E0"/>
    <w:rsid w:val="00EE0617"/>
    <w:rsid w:val="00EE2806"/>
    <w:rsid w:val="00EE33F5"/>
    <w:rsid w:val="00EE5D40"/>
    <w:rsid w:val="00EE76AB"/>
    <w:rsid w:val="00EF1EA2"/>
    <w:rsid w:val="00EF4276"/>
    <w:rsid w:val="00EF42F7"/>
    <w:rsid w:val="00EF53FB"/>
    <w:rsid w:val="00F01782"/>
    <w:rsid w:val="00F03B6B"/>
    <w:rsid w:val="00F05227"/>
    <w:rsid w:val="00F05D0D"/>
    <w:rsid w:val="00F10ECE"/>
    <w:rsid w:val="00F14F45"/>
    <w:rsid w:val="00F16992"/>
    <w:rsid w:val="00F23F70"/>
    <w:rsid w:val="00F24D81"/>
    <w:rsid w:val="00F26444"/>
    <w:rsid w:val="00F32054"/>
    <w:rsid w:val="00F35950"/>
    <w:rsid w:val="00F37194"/>
    <w:rsid w:val="00F37AFA"/>
    <w:rsid w:val="00F40947"/>
    <w:rsid w:val="00F417F3"/>
    <w:rsid w:val="00F4438D"/>
    <w:rsid w:val="00F44F4D"/>
    <w:rsid w:val="00F46FA2"/>
    <w:rsid w:val="00F51FDA"/>
    <w:rsid w:val="00F52F02"/>
    <w:rsid w:val="00F552A7"/>
    <w:rsid w:val="00F5628E"/>
    <w:rsid w:val="00F61D9A"/>
    <w:rsid w:val="00F6405C"/>
    <w:rsid w:val="00F71317"/>
    <w:rsid w:val="00F742F9"/>
    <w:rsid w:val="00F746D7"/>
    <w:rsid w:val="00F74D7B"/>
    <w:rsid w:val="00F758F0"/>
    <w:rsid w:val="00F75A9D"/>
    <w:rsid w:val="00F75E50"/>
    <w:rsid w:val="00F76217"/>
    <w:rsid w:val="00F762CE"/>
    <w:rsid w:val="00F81E5E"/>
    <w:rsid w:val="00F83B2C"/>
    <w:rsid w:val="00F85D08"/>
    <w:rsid w:val="00F90051"/>
    <w:rsid w:val="00F91A1E"/>
    <w:rsid w:val="00F95AF9"/>
    <w:rsid w:val="00FA0BAE"/>
    <w:rsid w:val="00FA147E"/>
    <w:rsid w:val="00FA28D3"/>
    <w:rsid w:val="00FA303A"/>
    <w:rsid w:val="00FA30C0"/>
    <w:rsid w:val="00FA3A44"/>
    <w:rsid w:val="00FA4D13"/>
    <w:rsid w:val="00FB0F58"/>
    <w:rsid w:val="00FB5FC6"/>
    <w:rsid w:val="00FC1917"/>
    <w:rsid w:val="00FC31AB"/>
    <w:rsid w:val="00FC32A8"/>
    <w:rsid w:val="00FC5303"/>
    <w:rsid w:val="00FD043A"/>
    <w:rsid w:val="00FD11C9"/>
    <w:rsid w:val="00FD2B53"/>
    <w:rsid w:val="00FD683D"/>
    <w:rsid w:val="00FD74A9"/>
    <w:rsid w:val="00FE032A"/>
    <w:rsid w:val="00FE4036"/>
    <w:rsid w:val="00FE600F"/>
    <w:rsid w:val="00FE62A7"/>
    <w:rsid w:val="00FF01BD"/>
    <w:rsid w:val="00FF5ED0"/>
    <w:rsid w:val="00FF6ACC"/>
    <w:rsid w:val="00FF7225"/>
    <w:rsid w:val="00FF7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BD"/>
  </w:style>
  <w:style w:type="paragraph" w:styleId="Heading3">
    <w:name w:val="heading 3"/>
    <w:basedOn w:val="Normal"/>
    <w:next w:val="Normal"/>
    <w:link w:val="Heading3Char"/>
    <w:unhideWhenUsed/>
    <w:qFormat/>
    <w:rsid w:val="006E334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2B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F32BD"/>
    <w:pPr>
      <w:spacing w:after="0" w:line="240" w:lineRule="auto"/>
    </w:pPr>
  </w:style>
  <w:style w:type="character" w:customStyle="1" w:styleId="NoSpacingChar">
    <w:name w:val="No Spacing Char"/>
    <w:basedOn w:val="DefaultParagraphFont"/>
    <w:link w:val="NoSpacing"/>
    <w:uiPriority w:val="1"/>
    <w:rsid w:val="008F32BD"/>
  </w:style>
  <w:style w:type="character" w:styleId="Hyperlink">
    <w:name w:val="Hyperlink"/>
    <w:basedOn w:val="DefaultParagraphFont"/>
    <w:uiPriority w:val="99"/>
    <w:unhideWhenUsed/>
    <w:rsid w:val="008F32BD"/>
    <w:rPr>
      <w:color w:val="0000FF" w:themeColor="hyperlink"/>
      <w:u w:val="single"/>
    </w:rPr>
  </w:style>
  <w:style w:type="paragraph" w:styleId="NormalWeb">
    <w:name w:val="Normal (Web)"/>
    <w:basedOn w:val="Normal"/>
    <w:uiPriority w:val="99"/>
    <w:rsid w:val="008F32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5">
    <w:name w:val="c5"/>
    <w:basedOn w:val="DefaultParagraphFont"/>
    <w:rsid w:val="008F32BD"/>
  </w:style>
  <w:style w:type="paragraph" w:styleId="ListParagraph">
    <w:name w:val="List Paragraph"/>
    <w:basedOn w:val="Normal"/>
    <w:uiPriority w:val="34"/>
    <w:qFormat/>
    <w:rsid w:val="008F32BD"/>
    <w:pPr>
      <w:ind w:left="720"/>
      <w:contextualSpacing/>
    </w:pPr>
  </w:style>
  <w:style w:type="paragraph" w:styleId="Header">
    <w:name w:val="header"/>
    <w:basedOn w:val="Normal"/>
    <w:link w:val="HeaderChar"/>
    <w:uiPriority w:val="99"/>
    <w:unhideWhenUsed/>
    <w:rsid w:val="008F3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2BD"/>
  </w:style>
  <w:style w:type="paragraph" w:styleId="Footer">
    <w:name w:val="footer"/>
    <w:basedOn w:val="Normal"/>
    <w:link w:val="FooterChar"/>
    <w:uiPriority w:val="99"/>
    <w:unhideWhenUsed/>
    <w:rsid w:val="008F3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2BD"/>
  </w:style>
  <w:style w:type="paragraph" w:styleId="FootnoteText">
    <w:name w:val="footnote text"/>
    <w:basedOn w:val="Normal"/>
    <w:link w:val="FootnoteTextChar"/>
    <w:uiPriority w:val="99"/>
    <w:semiHidden/>
    <w:unhideWhenUsed/>
    <w:rsid w:val="008F3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2BD"/>
    <w:rPr>
      <w:sz w:val="20"/>
      <w:szCs w:val="20"/>
    </w:rPr>
  </w:style>
  <w:style w:type="character" w:styleId="FootnoteReference">
    <w:name w:val="footnote reference"/>
    <w:basedOn w:val="DefaultParagraphFont"/>
    <w:uiPriority w:val="99"/>
    <w:semiHidden/>
    <w:unhideWhenUsed/>
    <w:rsid w:val="008F32BD"/>
    <w:rPr>
      <w:vertAlign w:val="superscript"/>
    </w:rPr>
  </w:style>
  <w:style w:type="paragraph" w:styleId="BalloonText">
    <w:name w:val="Balloon Text"/>
    <w:basedOn w:val="Normal"/>
    <w:link w:val="BalloonTextChar"/>
    <w:uiPriority w:val="99"/>
    <w:semiHidden/>
    <w:unhideWhenUsed/>
    <w:rsid w:val="008F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BD"/>
    <w:rPr>
      <w:rFonts w:ascii="Tahoma" w:hAnsi="Tahoma" w:cs="Tahoma"/>
      <w:sz w:val="16"/>
      <w:szCs w:val="16"/>
    </w:rPr>
  </w:style>
  <w:style w:type="character" w:styleId="CommentReference">
    <w:name w:val="annotation reference"/>
    <w:basedOn w:val="DefaultParagraphFont"/>
    <w:uiPriority w:val="99"/>
    <w:semiHidden/>
    <w:unhideWhenUsed/>
    <w:rsid w:val="00A215B4"/>
    <w:rPr>
      <w:sz w:val="16"/>
      <w:szCs w:val="16"/>
    </w:rPr>
  </w:style>
  <w:style w:type="paragraph" w:styleId="CommentText">
    <w:name w:val="annotation text"/>
    <w:basedOn w:val="Normal"/>
    <w:link w:val="CommentTextChar"/>
    <w:uiPriority w:val="99"/>
    <w:unhideWhenUsed/>
    <w:rsid w:val="00A215B4"/>
    <w:pPr>
      <w:spacing w:line="240" w:lineRule="auto"/>
    </w:pPr>
    <w:rPr>
      <w:sz w:val="20"/>
      <w:szCs w:val="20"/>
    </w:rPr>
  </w:style>
  <w:style w:type="character" w:customStyle="1" w:styleId="CommentTextChar">
    <w:name w:val="Comment Text Char"/>
    <w:basedOn w:val="DefaultParagraphFont"/>
    <w:link w:val="CommentText"/>
    <w:uiPriority w:val="99"/>
    <w:rsid w:val="00A215B4"/>
    <w:rPr>
      <w:sz w:val="20"/>
      <w:szCs w:val="20"/>
    </w:rPr>
  </w:style>
  <w:style w:type="paragraph" w:styleId="CommentSubject">
    <w:name w:val="annotation subject"/>
    <w:basedOn w:val="CommentText"/>
    <w:next w:val="CommentText"/>
    <w:link w:val="CommentSubjectChar"/>
    <w:uiPriority w:val="99"/>
    <w:semiHidden/>
    <w:unhideWhenUsed/>
    <w:rsid w:val="00A215B4"/>
    <w:rPr>
      <w:b/>
      <w:bCs/>
    </w:rPr>
  </w:style>
  <w:style w:type="character" w:customStyle="1" w:styleId="CommentSubjectChar">
    <w:name w:val="Comment Subject Char"/>
    <w:basedOn w:val="CommentTextChar"/>
    <w:link w:val="CommentSubject"/>
    <w:uiPriority w:val="99"/>
    <w:semiHidden/>
    <w:rsid w:val="00A215B4"/>
    <w:rPr>
      <w:b/>
      <w:bCs/>
      <w:sz w:val="20"/>
      <w:szCs w:val="20"/>
    </w:rPr>
  </w:style>
  <w:style w:type="paragraph" w:styleId="Title">
    <w:name w:val="Title"/>
    <w:basedOn w:val="Normal"/>
    <w:next w:val="Normal"/>
    <w:link w:val="TitleChar"/>
    <w:uiPriority w:val="10"/>
    <w:qFormat/>
    <w:rsid w:val="00FC32A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C32A8"/>
    <w:rPr>
      <w:rFonts w:ascii="Cambria" w:eastAsia="Times New Roman" w:hAnsi="Cambria" w:cs="Times New Roman"/>
      <w:b/>
      <w:bCs/>
      <w:kern w:val="28"/>
      <w:sz w:val="32"/>
      <w:szCs w:val="32"/>
    </w:rPr>
  </w:style>
  <w:style w:type="character" w:customStyle="1" w:styleId="Heading3Char">
    <w:name w:val="Heading 3 Char"/>
    <w:basedOn w:val="DefaultParagraphFont"/>
    <w:link w:val="Heading3"/>
    <w:rsid w:val="006E3349"/>
    <w:rPr>
      <w:rFonts w:ascii="Cambria" w:eastAsia="Times New Roman" w:hAnsi="Cambria" w:cs="Times New Roman"/>
      <w:b/>
      <w:bCs/>
      <w:sz w:val="26"/>
      <w:szCs w:val="26"/>
    </w:rPr>
  </w:style>
  <w:style w:type="character" w:styleId="Strong">
    <w:name w:val="Strong"/>
    <w:basedOn w:val="DefaultParagraphFont"/>
    <w:uiPriority w:val="22"/>
    <w:qFormat/>
    <w:rsid w:val="00C54A76"/>
    <w:rPr>
      <w:b/>
      <w:bCs/>
    </w:rPr>
  </w:style>
  <w:style w:type="character" w:styleId="PlaceholderText">
    <w:name w:val="Placeholder Text"/>
    <w:basedOn w:val="DefaultParagraphFont"/>
    <w:uiPriority w:val="99"/>
    <w:semiHidden/>
    <w:rsid w:val="008727F1"/>
    <w:rPr>
      <w:color w:val="808080"/>
    </w:rPr>
  </w:style>
  <w:style w:type="character" w:styleId="FollowedHyperlink">
    <w:name w:val="FollowedHyperlink"/>
    <w:basedOn w:val="DefaultParagraphFont"/>
    <w:uiPriority w:val="99"/>
    <w:semiHidden/>
    <w:unhideWhenUsed/>
    <w:rsid w:val="009250C6"/>
    <w:rPr>
      <w:color w:val="800080" w:themeColor="followedHyperlink"/>
      <w:u w:val="single"/>
    </w:rPr>
  </w:style>
  <w:style w:type="paragraph" w:customStyle="1" w:styleId="Date1">
    <w:name w:val="Date1"/>
    <w:basedOn w:val="Normal"/>
    <w:rsid w:val="006301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2">
    <w:name w:val="Date2"/>
    <w:basedOn w:val="Normal"/>
    <w:rsid w:val="006E0D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3">
    <w:name w:val="Date3"/>
    <w:basedOn w:val="Normal"/>
    <w:rsid w:val="004277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277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BD"/>
  </w:style>
  <w:style w:type="paragraph" w:styleId="Heading3">
    <w:name w:val="heading 3"/>
    <w:basedOn w:val="Normal"/>
    <w:next w:val="Normal"/>
    <w:link w:val="Heading3Char"/>
    <w:unhideWhenUsed/>
    <w:qFormat/>
    <w:rsid w:val="006E334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2B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F32BD"/>
    <w:pPr>
      <w:spacing w:after="0" w:line="240" w:lineRule="auto"/>
    </w:pPr>
  </w:style>
  <w:style w:type="character" w:customStyle="1" w:styleId="NoSpacingChar">
    <w:name w:val="No Spacing Char"/>
    <w:basedOn w:val="DefaultParagraphFont"/>
    <w:link w:val="NoSpacing"/>
    <w:uiPriority w:val="1"/>
    <w:rsid w:val="008F32BD"/>
  </w:style>
  <w:style w:type="character" w:styleId="Hyperlink">
    <w:name w:val="Hyperlink"/>
    <w:basedOn w:val="DefaultParagraphFont"/>
    <w:uiPriority w:val="99"/>
    <w:unhideWhenUsed/>
    <w:rsid w:val="008F32BD"/>
    <w:rPr>
      <w:color w:val="0000FF" w:themeColor="hyperlink"/>
      <w:u w:val="single"/>
    </w:rPr>
  </w:style>
  <w:style w:type="paragraph" w:styleId="NormalWeb">
    <w:name w:val="Normal (Web)"/>
    <w:basedOn w:val="Normal"/>
    <w:uiPriority w:val="99"/>
    <w:rsid w:val="008F32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5">
    <w:name w:val="c5"/>
    <w:basedOn w:val="DefaultParagraphFont"/>
    <w:rsid w:val="008F32BD"/>
  </w:style>
  <w:style w:type="paragraph" w:styleId="ListParagraph">
    <w:name w:val="List Paragraph"/>
    <w:basedOn w:val="Normal"/>
    <w:uiPriority w:val="34"/>
    <w:qFormat/>
    <w:rsid w:val="008F32BD"/>
    <w:pPr>
      <w:ind w:left="720"/>
      <w:contextualSpacing/>
    </w:pPr>
  </w:style>
  <w:style w:type="paragraph" w:styleId="Header">
    <w:name w:val="header"/>
    <w:basedOn w:val="Normal"/>
    <w:link w:val="HeaderChar"/>
    <w:uiPriority w:val="99"/>
    <w:unhideWhenUsed/>
    <w:rsid w:val="008F3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2BD"/>
  </w:style>
  <w:style w:type="paragraph" w:styleId="Footer">
    <w:name w:val="footer"/>
    <w:basedOn w:val="Normal"/>
    <w:link w:val="FooterChar"/>
    <w:uiPriority w:val="99"/>
    <w:unhideWhenUsed/>
    <w:rsid w:val="008F3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2BD"/>
  </w:style>
  <w:style w:type="paragraph" w:styleId="FootnoteText">
    <w:name w:val="footnote text"/>
    <w:basedOn w:val="Normal"/>
    <w:link w:val="FootnoteTextChar"/>
    <w:uiPriority w:val="99"/>
    <w:semiHidden/>
    <w:unhideWhenUsed/>
    <w:rsid w:val="008F3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2BD"/>
    <w:rPr>
      <w:sz w:val="20"/>
      <w:szCs w:val="20"/>
    </w:rPr>
  </w:style>
  <w:style w:type="character" w:styleId="FootnoteReference">
    <w:name w:val="footnote reference"/>
    <w:basedOn w:val="DefaultParagraphFont"/>
    <w:uiPriority w:val="99"/>
    <w:semiHidden/>
    <w:unhideWhenUsed/>
    <w:rsid w:val="008F32BD"/>
    <w:rPr>
      <w:vertAlign w:val="superscript"/>
    </w:rPr>
  </w:style>
  <w:style w:type="paragraph" w:styleId="BalloonText">
    <w:name w:val="Balloon Text"/>
    <w:basedOn w:val="Normal"/>
    <w:link w:val="BalloonTextChar"/>
    <w:uiPriority w:val="99"/>
    <w:semiHidden/>
    <w:unhideWhenUsed/>
    <w:rsid w:val="008F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BD"/>
    <w:rPr>
      <w:rFonts w:ascii="Tahoma" w:hAnsi="Tahoma" w:cs="Tahoma"/>
      <w:sz w:val="16"/>
      <w:szCs w:val="16"/>
    </w:rPr>
  </w:style>
  <w:style w:type="character" w:styleId="CommentReference">
    <w:name w:val="annotation reference"/>
    <w:basedOn w:val="DefaultParagraphFont"/>
    <w:uiPriority w:val="99"/>
    <w:semiHidden/>
    <w:unhideWhenUsed/>
    <w:rsid w:val="00A215B4"/>
    <w:rPr>
      <w:sz w:val="16"/>
      <w:szCs w:val="16"/>
    </w:rPr>
  </w:style>
  <w:style w:type="paragraph" w:styleId="CommentText">
    <w:name w:val="annotation text"/>
    <w:basedOn w:val="Normal"/>
    <w:link w:val="CommentTextChar"/>
    <w:uiPriority w:val="99"/>
    <w:unhideWhenUsed/>
    <w:rsid w:val="00A215B4"/>
    <w:pPr>
      <w:spacing w:line="240" w:lineRule="auto"/>
    </w:pPr>
    <w:rPr>
      <w:sz w:val="20"/>
      <w:szCs w:val="20"/>
    </w:rPr>
  </w:style>
  <w:style w:type="character" w:customStyle="1" w:styleId="CommentTextChar">
    <w:name w:val="Comment Text Char"/>
    <w:basedOn w:val="DefaultParagraphFont"/>
    <w:link w:val="CommentText"/>
    <w:uiPriority w:val="99"/>
    <w:rsid w:val="00A215B4"/>
    <w:rPr>
      <w:sz w:val="20"/>
      <w:szCs w:val="20"/>
    </w:rPr>
  </w:style>
  <w:style w:type="paragraph" w:styleId="CommentSubject">
    <w:name w:val="annotation subject"/>
    <w:basedOn w:val="CommentText"/>
    <w:next w:val="CommentText"/>
    <w:link w:val="CommentSubjectChar"/>
    <w:uiPriority w:val="99"/>
    <w:semiHidden/>
    <w:unhideWhenUsed/>
    <w:rsid w:val="00A215B4"/>
    <w:rPr>
      <w:b/>
      <w:bCs/>
    </w:rPr>
  </w:style>
  <w:style w:type="character" w:customStyle="1" w:styleId="CommentSubjectChar">
    <w:name w:val="Comment Subject Char"/>
    <w:basedOn w:val="CommentTextChar"/>
    <w:link w:val="CommentSubject"/>
    <w:uiPriority w:val="99"/>
    <w:semiHidden/>
    <w:rsid w:val="00A215B4"/>
    <w:rPr>
      <w:b/>
      <w:bCs/>
      <w:sz w:val="20"/>
      <w:szCs w:val="20"/>
    </w:rPr>
  </w:style>
  <w:style w:type="paragraph" w:styleId="Title">
    <w:name w:val="Title"/>
    <w:basedOn w:val="Normal"/>
    <w:next w:val="Normal"/>
    <w:link w:val="TitleChar"/>
    <w:uiPriority w:val="10"/>
    <w:qFormat/>
    <w:rsid w:val="00FC32A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C32A8"/>
    <w:rPr>
      <w:rFonts w:ascii="Cambria" w:eastAsia="Times New Roman" w:hAnsi="Cambria" w:cs="Times New Roman"/>
      <w:b/>
      <w:bCs/>
      <w:kern w:val="28"/>
      <w:sz w:val="32"/>
      <w:szCs w:val="32"/>
    </w:rPr>
  </w:style>
  <w:style w:type="character" w:customStyle="1" w:styleId="Heading3Char">
    <w:name w:val="Heading 3 Char"/>
    <w:basedOn w:val="DefaultParagraphFont"/>
    <w:link w:val="Heading3"/>
    <w:rsid w:val="006E3349"/>
    <w:rPr>
      <w:rFonts w:ascii="Cambria" w:eastAsia="Times New Roman" w:hAnsi="Cambria" w:cs="Times New Roman"/>
      <w:b/>
      <w:bCs/>
      <w:sz w:val="26"/>
      <w:szCs w:val="26"/>
    </w:rPr>
  </w:style>
  <w:style w:type="character" w:styleId="Strong">
    <w:name w:val="Strong"/>
    <w:basedOn w:val="DefaultParagraphFont"/>
    <w:uiPriority w:val="22"/>
    <w:qFormat/>
    <w:rsid w:val="00C54A76"/>
    <w:rPr>
      <w:b/>
      <w:bCs/>
    </w:rPr>
  </w:style>
  <w:style w:type="character" w:styleId="PlaceholderText">
    <w:name w:val="Placeholder Text"/>
    <w:basedOn w:val="DefaultParagraphFont"/>
    <w:uiPriority w:val="99"/>
    <w:semiHidden/>
    <w:rsid w:val="008727F1"/>
    <w:rPr>
      <w:color w:val="808080"/>
    </w:rPr>
  </w:style>
  <w:style w:type="character" w:styleId="FollowedHyperlink">
    <w:name w:val="FollowedHyperlink"/>
    <w:basedOn w:val="DefaultParagraphFont"/>
    <w:uiPriority w:val="99"/>
    <w:semiHidden/>
    <w:unhideWhenUsed/>
    <w:rsid w:val="009250C6"/>
    <w:rPr>
      <w:color w:val="800080" w:themeColor="followedHyperlink"/>
      <w:u w:val="single"/>
    </w:rPr>
  </w:style>
  <w:style w:type="paragraph" w:customStyle="1" w:styleId="Date1">
    <w:name w:val="Date1"/>
    <w:basedOn w:val="Normal"/>
    <w:rsid w:val="006301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2">
    <w:name w:val="Date2"/>
    <w:basedOn w:val="Normal"/>
    <w:rsid w:val="006E0D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3">
    <w:name w:val="Date3"/>
    <w:basedOn w:val="Normal"/>
    <w:rsid w:val="004277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27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1484">
      <w:bodyDiv w:val="1"/>
      <w:marLeft w:val="0"/>
      <w:marRight w:val="0"/>
      <w:marTop w:val="0"/>
      <w:marBottom w:val="0"/>
      <w:divBdr>
        <w:top w:val="none" w:sz="0" w:space="0" w:color="auto"/>
        <w:left w:val="none" w:sz="0" w:space="0" w:color="auto"/>
        <w:bottom w:val="none" w:sz="0" w:space="0" w:color="auto"/>
        <w:right w:val="none" w:sz="0" w:space="0" w:color="auto"/>
      </w:divBdr>
    </w:div>
    <w:div w:id="226261111">
      <w:bodyDiv w:val="1"/>
      <w:marLeft w:val="0"/>
      <w:marRight w:val="0"/>
      <w:marTop w:val="0"/>
      <w:marBottom w:val="0"/>
      <w:divBdr>
        <w:top w:val="none" w:sz="0" w:space="0" w:color="auto"/>
        <w:left w:val="none" w:sz="0" w:space="0" w:color="auto"/>
        <w:bottom w:val="none" w:sz="0" w:space="0" w:color="auto"/>
        <w:right w:val="none" w:sz="0" w:space="0" w:color="auto"/>
      </w:divBdr>
    </w:div>
    <w:div w:id="466243176">
      <w:bodyDiv w:val="1"/>
      <w:marLeft w:val="0"/>
      <w:marRight w:val="0"/>
      <w:marTop w:val="0"/>
      <w:marBottom w:val="0"/>
      <w:divBdr>
        <w:top w:val="none" w:sz="0" w:space="0" w:color="auto"/>
        <w:left w:val="none" w:sz="0" w:space="0" w:color="auto"/>
        <w:bottom w:val="none" w:sz="0" w:space="0" w:color="auto"/>
        <w:right w:val="none" w:sz="0" w:space="0" w:color="auto"/>
      </w:divBdr>
    </w:div>
    <w:div w:id="568882530">
      <w:bodyDiv w:val="1"/>
      <w:marLeft w:val="0"/>
      <w:marRight w:val="0"/>
      <w:marTop w:val="0"/>
      <w:marBottom w:val="0"/>
      <w:divBdr>
        <w:top w:val="none" w:sz="0" w:space="0" w:color="auto"/>
        <w:left w:val="none" w:sz="0" w:space="0" w:color="auto"/>
        <w:bottom w:val="none" w:sz="0" w:space="0" w:color="auto"/>
        <w:right w:val="none" w:sz="0" w:space="0" w:color="auto"/>
      </w:divBdr>
    </w:div>
    <w:div w:id="584655436">
      <w:bodyDiv w:val="1"/>
      <w:marLeft w:val="0"/>
      <w:marRight w:val="0"/>
      <w:marTop w:val="0"/>
      <w:marBottom w:val="0"/>
      <w:divBdr>
        <w:top w:val="none" w:sz="0" w:space="0" w:color="auto"/>
        <w:left w:val="none" w:sz="0" w:space="0" w:color="auto"/>
        <w:bottom w:val="none" w:sz="0" w:space="0" w:color="auto"/>
        <w:right w:val="none" w:sz="0" w:space="0" w:color="auto"/>
      </w:divBdr>
      <w:divsChild>
        <w:div w:id="629943657">
          <w:marLeft w:val="0"/>
          <w:marRight w:val="0"/>
          <w:marTop w:val="0"/>
          <w:marBottom w:val="0"/>
          <w:divBdr>
            <w:top w:val="none" w:sz="0" w:space="0" w:color="auto"/>
            <w:left w:val="none" w:sz="0" w:space="0" w:color="auto"/>
            <w:bottom w:val="none" w:sz="0" w:space="0" w:color="auto"/>
            <w:right w:val="none" w:sz="0" w:space="0" w:color="auto"/>
          </w:divBdr>
        </w:div>
      </w:divsChild>
    </w:div>
    <w:div w:id="610287241">
      <w:bodyDiv w:val="1"/>
      <w:marLeft w:val="0"/>
      <w:marRight w:val="0"/>
      <w:marTop w:val="0"/>
      <w:marBottom w:val="0"/>
      <w:divBdr>
        <w:top w:val="none" w:sz="0" w:space="0" w:color="auto"/>
        <w:left w:val="none" w:sz="0" w:space="0" w:color="auto"/>
        <w:bottom w:val="none" w:sz="0" w:space="0" w:color="auto"/>
        <w:right w:val="none" w:sz="0" w:space="0" w:color="auto"/>
      </w:divBdr>
    </w:div>
    <w:div w:id="629748786">
      <w:bodyDiv w:val="1"/>
      <w:marLeft w:val="0"/>
      <w:marRight w:val="0"/>
      <w:marTop w:val="0"/>
      <w:marBottom w:val="0"/>
      <w:divBdr>
        <w:top w:val="none" w:sz="0" w:space="0" w:color="auto"/>
        <w:left w:val="none" w:sz="0" w:space="0" w:color="auto"/>
        <w:bottom w:val="none" w:sz="0" w:space="0" w:color="auto"/>
        <w:right w:val="none" w:sz="0" w:space="0" w:color="auto"/>
      </w:divBdr>
    </w:div>
    <w:div w:id="738094933">
      <w:bodyDiv w:val="1"/>
      <w:marLeft w:val="0"/>
      <w:marRight w:val="0"/>
      <w:marTop w:val="0"/>
      <w:marBottom w:val="0"/>
      <w:divBdr>
        <w:top w:val="none" w:sz="0" w:space="0" w:color="auto"/>
        <w:left w:val="none" w:sz="0" w:space="0" w:color="auto"/>
        <w:bottom w:val="none" w:sz="0" w:space="0" w:color="auto"/>
        <w:right w:val="none" w:sz="0" w:space="0" w:color="auto"/>
      </w:divBdr>
    </w:div>
    <w:div w:id="805002989">
      <w:bodyDiv w:val="1"/>
      <w:marLeft w:val="0"/>
      <w:marRight w:val="0"/>
      <w:marTop w:val="0"/>
      <w:marBottom w:val="0"/>
      <w:divBdr>
        <w:top w:val="none" w:sz="0" w:space="0" w:color="auto"/>
        <w:left w:val="none" w:sz="0" w:space="0" w:color="auto"/>
        <w:bottom w:val="none" w:sz="0" w:space="0" w:color="auto"/>
        <w:right w:val="none" w:sz="0" w:space="0" w:color="auto"/>
      </w:divBdr>
      <w:divsChild>
        <w:div w:id="997074873">
          <w:marLeft w:val="0"/>
          <w:marRight w:val="0"/>
          <w:marTop w:val="0"/>
          <w:marBottom w:val="0"/>
          <w:divBdr>
            <w:top w:val="none" w:sz="0" w:space="0" w:color="auto"/>
            <w:left w:val="none" w:sz="0" w:space="0" w:color="auto"/>
            <w:bottom w:val="none" w:sz="0" w:space="0" w:color="auto"/>
            <w:right w:val="none" w:sz="0" w:space="0" w:color="auto"/>
          </w:divBdr>
        </w:div>
        <w:div w:id="1750036641">
          <w:marLeft w:val="0"/>
          <w:marRight w:val="0"/>
          <w:marTop w:val="0"/>
          <w:marBottom w:val="0"/>
          <w:divBdr>
            <w:top w:val="none" w:sz="0" w:space="0" w:color="auto"/>
            <w:left w:val="none" w:sz="0" w:space="0" w:color="auto"/>
            <w:bottom w:val="none" w:sz="0" w:space="0" w:color="auto"/>
            <w:right w:val="none" w:sz="0" w:space="0" w:color="auto"/>
          </w:divBdr>
        </w:div>
        <w:div w:id="53285771">
          <w:marLeft w:val="0"/>
          <w:marRight w:val="0"/>
          <w:marTop w:val="0"/>
          <w:marBottom w:val="0"/>
          <w:divBdr>
            <w:top w:val="none" w:sz="0" w:space="0" w:color="auto"/>
            <w:left w:val="none" w:sz="0" w:space="0" w:color="auto"/>
            <w:bottom w:val="none" w:sz="0" w:space="0" w:color="auto"/>
            <w:right w:val="none" w:sz="0" w:space="0" w:color="auto"/>
          </w:divBdr>
        </w:div>
        <w:div w:id="1474059990">
          <w:marLeft w:val="0"/>
          <w:marRight w:val="0"/>
          <w:marTop w:val="0"/>
          <w:marBottom w:val="0"/>
          <w:divBdr>
            <w:top w:val="none" w:sz="0" w:space="0" w:color="auto"/>
            <w:left w:val="none" w:sz="0" w:space="0" w:color="auto"/>
            <w:bottom w:val="none" w:sz="0" w:space="0" w:color="auto"/>
            <w:right w:val="none" w:sz="0" w:space="0" w:color="auto"/>
          </w:divBdr>
        </w:div>
        <w:div w:id="1836148905">
          <w:marLeft w:val="0"/>
          <w:marRight w:val="0"/>
          <w:marTop w:val="0"/>
          <w:marBottom w:val="0"/>
          <w:divBdr>
            <w:top w:val="none" w:sz="0" w:space="0" w:color="auto"/>
            <w:left w:val="none" w:sz="0" w:space="0" w:color="auto"/>
            <w:bottom w:val="none" w:sz="0" w:space="0" w:color="auto"/>
            <w:right w:val="none" w:sz="0" w:space="0" w:color="auto"/>
          </w:divBdr>
        </w:div>
        <w:div w:id="1391731215">
          <w:marLeft w:val="0"/>
          <w:marRight w:val="0"/>
          <w:marTop w:val="0"/>
          <w:marBottom w:val="0"/>
          <w:divBdr>
            <w:top w:val="none" w:sz="0" w:space="0" w:color="auto"/>
            <w:left w:val="none" w:sz="0" w:space="0" w:color="auto"/>
            <w:bottom w:val="none" w:sz="0" w:space="0" w:color="auto"/>
            <w:right w:val="none" w:sz="0" w:space="0" w:color="auto"/>
          </w:divBdr>
        </w:div>
        <w:div w:id="914824207">
          <w:marLeft w:val="0"/>
          <w:marRight w:val="0"/>
          <w:marTop w:val="0"/>
          <w:marBottom w:val="0"/>
          <w:divBdr>
            <w:top w:val="none" w:sz="0" w:space="0" w:color="auto"/>
            <w:left w:val="none" w:sz="0" w:space="0" w:color="auto"/>
            <w:bottom w:val="none" w:sz="0" w:space="0" w:color="auto"/>
            <w:right w:val="none" w:sz="0" w:space="0" w:color="auto"/>
          </w:divBdr>
        </w:div>
        <w:div w:id="1949661514">
          <w:marLeft w:val="0"/>
          <w:marRight w:val="0"/>
          <w:marTop w:val="0"/>
          <w:marBottom w:val="0"/>
          <w:divBdr>
            <w:top w:val="none" w:sz="0" w:space="0" w:color="auto"/>
            <w:left w:val="none" w:sz="0" w:space="0" w:color="auto"/>
            <w:bottom w:val="none" w:sz="0" w:space="0" w:color="auto"/>
            <w:right w:val="none" w:sz="0" w:space="0" w:color="auto"/>
          </w:divBdr>
        </w:div>
        <w:div w:id="920412639">
          <w:marLeft w:val="0"/>
          <w:marRight w:val="0"/>
          <w:marTop w:val="0"/>
          <w:marBottom w:val="0"/>
          <w:divBdr>
            <w:top w:val="none" w:sz="0" w:space="0" w:color="auto"/>
            <w:left w:val="none" w:sz="0" w:space="0" w:color="auto"/>
            <w:bottom w:val="none" w:sz="0" w:space="0" w:color="auto"/>
            <w:right w:val="none" w:sz="0" w:space="0" w:color="auto"/>
          </w:divBdr>
        </w:div>
        <w:div w:id="1466313906">
          <w:marLeft w:val="0"/>
          <w:marRight w:val="0"/>
          <w:marTop w:val="0"/>
          <w:marBottom w:val="0"/>
          <w:divBdr>
            <w:top w:val="none" w:sz="0" w:space="0" w:color="auto"/>
            <w:left w:val="none" w:sz="0" w:space="0" w:color="auto"/>
            <w:bottom w:val="none" w:sz="0" w:space="0" w:color="auto"/>
            <w:right w:val="none" w:sz="0" w:space="0" w:color="auto"/>
          </w:divBdr>
        </w:div>
        <w:div w:id="1235823907">
          <w:marLeft w:val="0"/>
          <w:marRight w:val="0"/>
          <w:marTop w:val="0"/>
          <w:marBottom w:val="0"/>
          <w:divBdr>
            <w:top w:val="none" w:sz="0" w:space="0" w:color="auto"/>
            <w:left w:val="none" w:sz="0" w:space="0" w:color="auto"/>
            <w:bottom w:val="none" w:sz="0" w:space="0" w:color="auto"/>
            <w:right w:val="none" w:sz="0" w:space="0" w:color="auto"/>
          </w:divBdr>
        </w:div>
      </w:divsChild>
    </w:div>
    <w:div w:id="813184350">
      <w:bodyDiv w:val="1"/>
      <w:marLeft w:val="0"/>
      <w:marRight w:val="0"/>
      <w:marTop w:val="0"/>
      <w:marBottom w:val="0"/>
      <w:divBdr>
        <w:top w:val="none" w:sz="0" w:space="0" w:color="auto"/>
        <w:left w:val="none" w:sz="0" w:space="0" w:color="auto"/>
        <w:bottom w:val="none" w:sz="0" w:space="0" w:color="auto"/>
        <w:right w:val="none" w:sz="0" w:space="0" w:color="auto"/>
      </w:divBdr>
    </w:div>
    <w:div w:id="879433688">
      <w:bodyDiv w:val="1"/>
      <w:marLeft w:val="0"/>
      <w:marRight w:val="0"/>
      <w:marTop w:val="0"/>
      <w:marBottom w:val="0"/>
      <w:divBdr>
        <w:top w:val="none" w:sz="0" w:space="0" w:color="auto"/>
        <w:left w:val="none" w:sz="0" w:space="0" w:color="auto"/>
        <w:bottom w:val="none" w:sz="0" w:space="0" w:color="auto"/>
        <w:right w:val="none" w:sz="0" w:space="0" w:color="auto"/>
      </w:divBdr>
      <w:divsChild>
        <w:div w:id="1292901215">
          <w:marLeft w:val="0"/>
          <w:marRight w:val="0"/>
          <w:marTop w:val="0"/>
          <w:marBottom w:val="0"/>
          <w:divBdr>
            <w:top w:val="none" w:sz="0" w:space="0" w:color="auto"/>
            <w:left w:val="none" w:sz="0" w:space="0" w:color="auto"/>
            <w:bottom w:val="none" w:sz="0" w:space="0" w:color="auto"/>
            <w:right w:val="none" w:sz="0" w:space="0" w:color="auto"/>
          </w:divBdr>
        </w:div>
        <w:div w:id="566109170">
          <w:marLeft w:val="0"/>
          <w:marRight w:val="0"/>
          <w:marTop w:val="0"/>
          <w:marBottom w:val="0"/>
          <w:divBdr>
            <w:top w:val="none" w:sz="0" w:space="0" w:color="auto"/>
            <w:left w:val="none" w:sz="0" w:space="0" w:color="auto"/>
            <w:bottom w:val="none" w:sz="0" w:space="0" w:color="auto"/>
            <w:right w:val="none" w:sz="0" w:space="0" w:color="auto"/>
          </w:divBdr>
        </w:div>
        <w:div w:id="57747290">
          <w:marLeft w:val="0"/>
          <w:marRight w:val="0"/>
          <w:marTop w:val="0"/>
          <w:marBottom w:val="0"/>
          <w:divBdr>
            <w:top w:val="none" w:sz="0" w:space="0" w:color="auto"/>
            <w:left w:val="none" w:sz="0" w:space="0" w:color="auto"/>
            <w:bottom w:val="none" w:sz="0" w:space="0" w:color="auto"/>
            <w:right w:val="none" w:sz="0" w:space="0" w:color="auto"/>
          </w:divBdr>
        </w:div>
      </w:divsChild>
    </w:div>
    <w:div w:id="933631850">
      <w:bodyDiv w:val="1"/>
      <w:marLeft w:val="0"/>
      <w:marRight w:val="0"/>
      <w:marTop w:val="0"/>
      <w:marBottom w:val="0"/>
      <w:divBdr>
        <w:top w:val="none" w:sz="0" w:space="0" w:color="auto"/>
        <w:left w:val="none" w:sz="0" w:space="0" w:color="auto"/>
        <w:bottom w:val="none" w:sz="0" w:space="0" w:color="auto"/>
        <w:right w:val="none" w:sz="0" w:space="0" w:color="auto"/>
      </w:divBdr>
    </w:div>
    <w:div w:id="1030305628">
      <w:bodyDiv w:val="1"/>
      <w:marLeft w:val="0"/>
      <w:marRight w:val="0"/>
      <w:marTop w:val="0"/>
      <w:marBottom w:val="0"/>
      <w:divBdr>
        <w:top w:val="none" w:sz="0" w:space="0" w:color="auto"/>
        <w:left w:val="none" w:sz="0" w:space="0" w:color="auto"/>
        <w:bottom w:val="none" w:sz="0" w:space="0" w:color="auto"/>
        <w:right w:val="none" w:sz="0" w:space="0" w:color="auto"/>
      </w:divBdr>
      <w:divsChild>
        <w:div w:id="141045348">
          <w:marLeft w:val="0"/>
          <w:marRight w:val="0"/>
          <w:marTop w:val="0"/>
          <w:marBottom w:val="0"/>
          <w:divBdr>
            <w:top w:val="none" w:sz="0" w:space="0" w:color="auto"/>
            <w:left w:val="none" w:sz="0" w:space="0" w:color="auto"/>
            <w:bottom w:val="none" w:sz="0" w:space="0" w:color="auto"/>
            <w:right w:val="none" w:sz="0" w:space="0" w:color="auto"/>
          </w:divBdr>
        </w:div>
      </w:divsChild>
    </w:div>
    <w:div w:id="1048189705">
      <w:bodyDiv w:val="1"/>
      <w:marLeft w:val="0"/>
      <w:marRight w:val="0"/>
      <w:marTop w:val="0"/>
      <w:marBottom w:val="0"/>
      <w:divBdr>
        <w:top w:val="none" w:sz="0" w:space="0" w:color="auto"/>
        <w:left w:val="none" w:sz="0" w:space="0" w:color="auto"/>
        <w:bottom w:val="none" w:sz="0" w:space="0" w:color="auto"/>
        <w:right w:val="none" w:sz="0" w:space="0" w:color="auto"/>
      </w:divBdr>
    </w:div>
    <w:div w:id="1055276893">
      <w:bodyDiv w:val="1"/>
      <w:marLeft w:val="0"/>
      <w:marRight w:val="0"/>
      <w:marTop w:val="0"/>
      <w:marBottom w:val="0"/>
      <w:divBdr>
        <w:top w:val="none" w:sz="0" w:space="0" w:color="auto"/>
        <w:left w:val="none" w:sz="0" w:space="0" w:color="auto"/>
        <w:bottom w:val="none" w:sz="0" w:space="0" w:color="auto"/>
        <w:right w:val="none" w:sz="0" w:space="0" w:color="auto"/>
      </w:divBdr>
      <w:divsChild>
        <w:div w:id="1837502153">
          <w:marLeft w:val="0"/>
          <w:marRight w:val="0"/>
          <w:marTop w:val="0"/>
          <w:marBottom w:val="0"/>
          <w:divBdr>
            <w:top w:val="none" w:sz="0" w:space="0" w:color="auto"/>
            <w:left w:val="none" w:sz="0" w:space="0" w:color="auto"/>
            <w:bottom w:val="none" w:sz="0" w:space="0" w:color="auto"/>
            <w:right w:val="none" w:sz="0" w:space="0" w:color="auto"/>
          </w:divBdr>
        </w:div>
      </w:divsChild>
    </w:div>
    <w:div w:id="1105075777">
      <w:bodyDiv w:val="1"/>
      <w:marLeft w:val="0"/>
      <w:marRight w:val="0"/>
      <w:marTop w:val="0"/>
      <w:marBottom w:val="0"/>
      <w:divBdr>
        <w:top w:val="none" w:sz="0" w:space="0" w:color="auto"/>
        <w:left w:val="none" w:sz="0" w:space="0" w:color="auto"/>
        <w:bottom w:val="none" w:sz="0" w:space="0" w:color="auto"/>
        <w:right w:val="none" w:sz="0" w:space="0" w:color="auto"/>
      </w:divBdr>
      <w:divsChild>
        <w:div w:id="1602295491">
          <w:marLeft w:val="0"/>
          <w:marRight w:val="0"/>
          <w:marTop w:val="0"/>
          <w:marBottom w:val="0"/>
          <w:divBdr>
            <w:top w:val="none" w:sz="0" w:space="0" w:color="auto"/>
            <w:left w:val="none" w:sz="0" w:space="0" w:color="auto"/>
            <w:bottom w:val="none" w:sz="0" w:space="0" w:color="auto"/>
            <w:right w:val="none" w:sz="0" w:space="0" w:color="auto"/>
          </w:divBdr>
        </w:div>
      </w:divsChild>
    </w:div>
    <w:div w:id="1206143175">
      <w:bodyDiv w:val="1"/>
      <w:marLeft w:val="0"/>
      <w:marRight w:val="0"/>
      <w:marTop w:val="0"/>
      <w:marBottom w:val="0"/>
      <w:divBdr>
        <w:top w:val="none" w:sz="0" w:space="0" w:color="auto"/>
        <w:left w:val="none" w:sz="0" w:space="0" w:color="auto"/>
        <w:bottom w:val="none" w:sz="0" w:space="0" w:color="auto"/>
        <w:right w:val="none" w:sz="0" w:space="0" w:color="auto"/>
      </w:divBdr>
      <w:divsChild>
        <w:div w:id="643388801">
          <w:marLeft w:val="0"/>
          <w:marRight w:val="0"/>
          <w:marTop w:val="0"/>
          <w:marBottom w:val="0"/>
          <w:divBdr>
            <w:top w:val="none" w:sz="0" w:space="0" w:color="auto"/>
            <w:left w:val="none" w:sz="0" w:space="0" w:color="auto"/>
            <w:bottom w:val="none" w:sz="0" w:space="0" w:color="auto"/>
            <w:right w:val="none" w:sz="0" w:space="0" w:color="auto"/>
          </w:divBdr>
        </w:div>
      </w:divsChild>
    </w:div>
    <w:div w:id="1253977251">
      <w:bodyDiv w:val="1"/>
      <w:marLeft w:val="0"/>
      <w:marRight w:val="0"/>
      <w:marTop w:val="0"/>
      <w:marBottom w:val="0"/>
      <w:divBdr>
        <w:top w:val="none" w:sz="0" w:space="0" w:color="auto"/>
        <w:left w:val="none" w:sz="0" w:space="0" w:color="auto"/>
        <w:bottom w:val="none" w:sz="0" w:space="0" w:color="auto"/>
        <w:right w:val="none" w:sz="0" w:space="0" w:color="auto"/>
      </w:divBdr>
    </w:div>
    <w:div w:id="1313559941">
      <w:bodyDiv w:val="1"/>
      <w:marLeft w:val="0"/>
      <w:marRight w:val="0"/>
      <w:marTop w:val="0"/>
      <w:marBottom w:val="0"/>
      <w:divBdr>
        <w:top w:val="none" w:sz="0" w:space="0" w:color="auto"/>
        <w:left w:val="none" w:sz="0" w:space="0" w:color="auto"/>
        <w:bottom w:val="none" w:sz="0" w:space="0" w:color="auto"/>
        <w:right w:val="none" w:sz="0" w:space="0" w:color="auto"/>
      </w:divBdr>
      <w:divsChild>
        <w:div w:id="780994693">
          <w:marLeft w:val="0"/>
          <w:marRight w:val="0"/>
          <w:marTop w:val="0"/>
          <w:marBottom w:val="0"/>
          <w:divBdr>
            <w:top w:val="none" w:sz="0" w:space="0" w:color="auto"/>
            <w:left w:val="none" w:sz="0" w:space="0" w:color="auto"/>
            <w:bottom w:val="none" w:sz="0" w:space="0" w:color="auto"/>
            <w:right w:val="none" w:sz="0" w:space="0" w:color="auto"/>
          </w:divBdr>
        </w:div>
      </w:divsChild>
    </w:div>
    <w:div w:id="1321041352">
      <w:bodyDiv w:val="1"/>
      <w:marLeft w:val="0"/>
      <w:marRight w:val="0"/>
      <w:marTop w:val="0"/>
      <w:marBottom w:val="0"/>
      <w:divBdr>
        <w:top w:val="none" w:sz="0" w:space="0" w:color="auto"/>
        <w:left w:val="none" w:sz="0" w:space="0" w:color="auto"/>
        <w:bottom w:val="none" w:sz="0" w:space="0" w:color="auto"/>
        <w:right w:val="none" w:sz="0" w:space="0" w:color="auto"/>
      </w:divBdr>
      <w:divsChild>
        <w:div w:id="1348407482">
          <w:marLeft w:val="0"/>
          <w:marRight w:val="0"/>
          <w:marTop w:val="0"/>
          <w:marBottom w:val="0"/>
          <w:divBdr>
            <w:top w:val="none" w:sz="0" w:space="0" w:color="auto"/>
            <w:left w:val="none" w:sz="0" w:space="0" w:color="auto"/>
            <w:bottom w:val="none" w:sz="0" w:space="0" w:color="auto"/>
            <w:right w:val="none" w:sz="0" w:space="0" w:color="auto"/>
          </w:divBdr>
        </w:div>
      </w:divsChild>
    </w:div>
    <w:div w:id="1353074117">
      <w:bodyDiv w:val="1"/>
      <w:marLeft w:val="0"/>
      <w:marRight w:val="0"/>
      <w:marTop w:val="0"/>
      <w:marBottom w:val="0"/>
      <w:divBdr>
        <w:top w:val="none" w:sz="0" w:space="0" w:color="auto"/>
        <w:left w:val="none" w:sz="0" w:space="0" w:color="auto"/>
        <w:bottom w:val="none" w:sz="0" w:space="0" w:color="auto"/>
        <w:right w:val="none" w:sz="0" w:space="0" w:color="auto"/>
      </w:divBdr>
    </w:div>
    <w:div w:id="1404789918">
      <w:bodyDiv w:val="1"/>
      <w:marLeft w:val="0"/>
      <w:marRight w:val="0"/>
      <w:marTop w:val="0"/>
      <w:marBottom w:val="0"/>
      <w:divBdr>
        <w:top w:val="none" w:sz="0" w:space="0" w:color="auto"/>
        <w:left w:val="none" w:sz="0" w:space="0" w:color="auto"/>
        <w:bottom w:val="none" w:sz="0" w:space="0" w:color="auto"/>
        <w:right w:val="none" w:sz="0" w:space="0" w:color="auto"/>
      </w:divBdr>
      <w:divsChild>
        <w:div w:id="939219659">
          <w:marLeft w:val="0"/>
          <w:marRight w:val="0"/>
          <w:marTop w:val="0"/>
          <w:marBottom w:val="0"/>
          <w:divBdr>
            <w:top w:val="none" w:sz="0" w:space="0" w:color="auto"/>
            <w:left w:val="none" w:sz="0" w:space="0" w:color="auto"/>
            <w:bottom w:val="none" w:sz="0" w:space="0" w:color="auto"/>
            <w:right w:val="none" w:sz="0" w:space="0" w:color="auto"/>
          </w:divBdr>
        </w:div>
      </w:divsChild>
    </w:div>
    <w:div w:id="1420179581">
      <w:bodyDiv w:val="1"/>
      <w:marLeft w:val="0"/>
      <w:marRight w:val="0"/>
      <w:marTop w:val="0"/>
      <w:marBottom w:val="0"/>
      <w:divBdr>
        <w:top w:val="none" w:sz="0" w:space="0" w:color="auto"/>
        <w:left w:val="none" w:sz="0" w:space="0" w:color="auto"/>
        <w:bottom w:val="none" w:sz="0" w:space="0" w:color="auto"/>
        <w:right w:val="none" w:sz="0" w:space="0" w:color="auto"/>
      </w:divBdr>
    </w:div>
    <w:div w:id="1546985200">
      <w:bodyDiv w:val="1"/>
      <w:marLeft w:val="0"/>
      <w:marRight w:val="0"/>
      <w:marTop w:val="0"/>
      <w:marBottom w:val="0"/>
      <w:divBdr>
        <w:top w:val="none" w:sz="0" w:space="0" w:color="auto"/>
        <w:left w:val="none" w:sz="0" w:space="0" w:color="auto"/>
        <w:bottom w:val="none" w:sz="0" w:space="0" w:color="auto"/>
        <w:right w:val="none" w:sz="0" w:space="0" w:color="auto"/>
      </w:divBdr>
    </w:div>
    <w:div w:id="1558083738">
      <w:bodyDiv w:val="1"/>
      <w:marLeft w:val="0"/>
      <w:marRight w:val="0"/>
      <w:marTop w:val="0"/>
      <w:marBottom w:val="0"/>
      <w:divBdr>
        <w:top w:val="none" w:sz="0" w:space="0" w:color="auto"/>
        <w:left w:val="none" w:sz="0" w:space="0" w:color="auto"/>
        <w:bottom w:val="none" w:sz="0" w:space="0" w:color="auto"/>
        <w:right w:val="none" w:sz="0" w:space="0" w:color="auto"/>
      </w:divBdr>
    </w:div>
    <w:div w:id="1558972927">
      <w:bodyDiv w:val="1"/>
      <w:marLeft w:val="0"/>
      <w:marRight w:val="0"/>
      <w:marTop w:val="0"/>
      <w:marBottom w:val="0"/>
      <w:divBdr>
        <w:top w:val="none" w:sz="0" w:space="0" w:color="auto"/>
        <w:left w:val="none" w:sz="0" w:space="0" w:color="auto"/>
        <w:bottom w:val="none" w:sz="0" w:space="0" w:color="auto"/>
        <w:right w:val="none" w:sz="0" w:space="0" w:color="auto"/>
      </w:divBdr>
      <w:divsChild>
        <w:div w:id="1180050423">
          <w:marLeft w:val="0"/>
          <w:marRight w:val="0"/>
          <w:marTop w:val="0"/>
          <w:marBottom w:val="0"/>
          <w:divBdr>
            <w:top w:val="none" w:sz="0" w:space="0" w:color="auto"/>
            <w:left w:val="none" w:sz="0" w:space="0" w:color="auto"/>
            <w:bottom w:val="none" w:sz="0" w:space="0" w:color="auto"/>
            <w:right w:val="none" w:sz="0" w:space="0" w:color="auto"/>
          </w:divBdr>
        </w:div>
        <w:div w:id="999891958">
          <w:marLeft w:val="0"/>
          <w:marRight w:val="0"/>
          <w:marTop w:val="0"/>
          <w:marBottom w:val="0"/>
          <w:divBdr>
            <w:top w:val="none" w:sz="0" w:space="0" w:color="auto"/>
            <w:left w:val="none" w:sz="0" w:space="0" w:color="auto"/>
            <w:bottom w:val="none" w:sz="0" w:space="0" w:color="auto"/>
            <w:right w:val="none" w:sz="0" w:space="0" w:color="auto"/>
          </w:divBdr>
        </w:div>
        <w:div w:id="692616152">
          <w:marLeft w:val="0"/>
          <w:marRight w:val="0"/>
          <w:marTop w:val="0"/>
          <w:marBottom w:val="0"/>
          <w:divBdr>
            <w:top w:val="none" w:sz="0" w:space="0" w:color="auto"/>
            <w:left w:val="none" w:sz="0" w:space="0" w:color="auto"/>
            <w:bottom w:val="none" w:sz="0" w:space="0" w:color="auto"/>
            <w:right w:val="none" w:sz="0" w:space="0" w:color="auto"/>
          </w:divBdr>
        </w:div>
        <w:div w:id="1029379393">
          <w:marLeft w:val="0"/>
          <w:marRight w:val="0"/>
          <w:marTop w:val="0"/>
          <w:marBottom w:val="0"/>
          <w:divBdr>
            <w:top w:val="none" w:sz="0" w:space="0" w:color="auto"/>
            <w:left w:val="none" w:sz="0" w:space="0" w:color="auto"/>
            <w:bottom w:val="none" w:sz="0" w:space="0" w:color="auto"/>
            <w:right w:val="none" w:sz="0" w:space="0" w:color="auto"/>
          </w:divBdr>
        </w:div>
        <w:div w:id="1689016086">
          <w:marLeft w:val="0"/>
          <w:marRight w:val="0"/>
          <w:marTop w:val="0"/>
          <w:marBottom w:val="0"/>
          <w:divBdr>
            <w:top w:val="none" w:sz="0" w:space="0" w:color="auto"/>
            <w:left w:val="none" w:sz="0" w:space="0" w:color="auto"/>
            <w:bottom w:val="none" w:sz="0" w:space="0" w:color="auto"/>
            <w:right w:val="none" w:sz="0" w:space="0" w:color="auto"/>
          </w:divBdr>
        </w:div>
        <w:div w:id="2006130935">
          <w:marLeft w:val="0"/>
          <w:marRight w:val="0"/>
          <w:marTop w:val="0"/>
          <w:marBottom w:val="0"/>
          <w:divBdr>
            <w:top w:val="none" w:sz="0" w:space="0" w:color="auto"/>
            <w:left w:val="none" w:sz="0" w:space="0" w:color="auto"/>
            <w:bottom w:val="none" w:sz="0" w:space="0" w:color="auto"/>
            <w:right w:val="none" w:sz="0" w:space="0" w:color="auto"/>
          </w:divBdr>
        </w:div>
        <w:div w:id="1129128868">
          <w:marLeft w:val="0"/>
          <w:marRight w:val="0"/>
          <w:marTop w:val="0"/>
          <w:marBottom w:val="0"/>
          <w:divBdr>
            <w:top w:val="none" w:sz="0" w:space="0" w:color="auto"/>
            <w:left w:val="none" w:sz="0" w:space="0" w:color="auto"/>
            <w:bottom w:val="none" w:sz="0" w:space="0" w:color="auto"/>
            <w:right w:val="none" w:sz="0" w:space="0" w:color="auto"/>
          </w:divBdr>
        </w:div>
        <w:div w:id="1289237640">
          <w:marLeft w:val="0"/>
          <w:marRight w:val="0"/>
          <w:marTop w:val="0"/>
          <w:marBottom w:val="0"/>
          <w:divBdr>
            <w:top w:val="none" w:sz="0" w:space="0" w:color="auto"/>
            <w:left w:val="none" w:sz="0" w:space="0" w:color="auto"/>
            <w:bottom w:val="none" w:sz="0" w:space="0" w:color="auto"/>
            <w:right w:val="none" w:sz="0" w:space="0" w:color="auto"/>
          </w:divBdr>
        </w:div>
      </w:divsChild>
    </w:div>
    <w:div w:id="1571385046">
      <w:bodyDiv w:val="1"/>
      <w:marLeft w:val="0"/>
      <w:marRight w:val="0"/>
      <w:marTop w:val="0"/>
      <w:marBottom w:val="0"/>
      <w:divBdr>
        <w:top w:val="none" w:sz="0" w:space="0" w:color="auto"/>
        <w:left w:val="none" w:sz="0" w:space="0" w:color="auto"/>
        <w:bottom w:val="none" w:sz="0" w:space="0" w:color="auto"/>
        <w:right w:val="none" w:sz="0" w:space="0" w:color="auto"/>
      </w:divBdr>
    </w:div>
    <w:div w:id="1610044612">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sChild>
        <w:div w:id="2136680850">
          <w:marLeft w:val="0"/>
          <w:marRight w:val="0"/>
          <w:marTop w:val="0"/>
          <w:marBottom w:val="0"/>
          <w:divBdr>
            <w:top w:val="none" w:sz="0" w:space="0" w:color="auto"/>
            <w:left w:val="none" w:sz="0" w:space="0" w:color="auto"/>
            <w:bottom w:val="none" w:sz="0" w:space="0" w:color="auto"/>
            <w:right w:val="none" w:sz="0" w:space="0" w:color="auto"/>
          </w:divBdr>
        </w:div>
      </w:divsChild>
    </w:div>
    <w:div w:id="1654946737">
      <w:bodyDiv w:val="1"/>
      <w:marLeft w:val="0"/>
      <w:marRight w:val="0"/>
      <w:marTop w:val="0"/>
      <w:marBottom w:val="0"/>
      <w:divBdr>
        <w:top w:val="none" w:sz="0" w:space="0" w:color="auto"/>
        <w:left w:val="none" w:sz="0" w:space="0" w:color="auto"/>
        <w:bottom w:val="none" w:sz="0" w:space="0" w:color="auto"/>
        <w:right w:val="none" w:sz="0" w:space="0" w:color="auto"/>
      </w:divBdr>
    </w:div>
    <w:div w:id="1655597735">
      <w:bodyDiv w:val="1"/>
      <w:marLeft w:val="0"/>
      <w:marRight w:val="0"/>
      <w:marTop w:val="0"/>
      <w:marBottom w:val="0"/>
      <w:divBdr>
        <w:top w:val="none" w:sz="0" w:space="0" w:color="auto"/>
        <w:left w:val="none" w:sz="0" w:space="0" w:color="auto"/>
        <w:bottom w:val="none" w:sz="0" w:space="0" w:color="auto"/>
        <w:right w:val="none" w:sz="0" w:space="0" w:color="auto"/>
      </w:divBdr>
    </w:div>
    <w:div w:id="1875190385">
      <w:bodyDiv w:val="1"/>
      <w:marLeft w:val="0"/>
      <w:marRight w:val="0"/>
      <w:marTop w:val="0"/>
      <w:marBottom w:val="0"/>
      <w:divBdr>
        <w:top w:val="none" w:sz="0" w:space="0" w:color="auto"/>
        <w:left w:val="none" w:sz="0" w:space="0" w:color="auto"/>
        <w:bottom w:val="none" w:sz="0" w:space="0" w:color="auto"/>
        <w:right w:val="none" w:sz="0" w:space="0" w:color="auto"/>
      </w:divBdr>
    </w:div>
    <w:div w:id="1919824429">
      <w:bodyDiv w:val="1"/>
      <w:marLeft w:val="0"/>
      <w:marRight w:val="0"/>
      <w:marTop w:val="0"/>
      <w:marBottom w:val="0"/>
      <w:divBdr>
        <w:top w:val="none" w:sz="0" w:space="0" w:color="auto"/>
        <w:left w:val="none" w:sz="0" w:space="0" w:color="auto"/>
        <w:bottom w:val="none" w:sz="0" w:space="0" w:color="auto"/>
        <w:right w:val="none" w:sz="0" w:space="0" w:color="auto"/>
      </w:divBdr>
      <w:divsChild>
        <w:div w:id="1380474052">
          <w:marLeft w:val="0"/>
          <w:marRight w:val="0"/>
          <w:marTop w:val="0"/>
          <w:marBottom w:val="0"/>
          <w:divBdr>
            <w:top w:val="none" w:sz="0" w:space="0" w:color="auto"/>
            <w:left w:val="none" w:sz="0" w:space="0" w:color="auto"/>
            <w:bottom w:val="none" w:sz="0" w:space="0" w:color="auto"/>
            <w:right w:val="none" w:sz="0" w:space="0" w:color="auto"/>
          </w:divBdr>
        </w:div>
      </w:divsChild>
    </w:div>
    <w:div w:id="1982299008">
      <w:bodyDiv w:val="1"/>
      <w:marLeft w:val="0"/>
      <w:marRight w:val="0"/>
      <w:marTop w:val="0"/>
      <w:marBottom w:val="0"/>
      <w:divBdr>
        <w:top w:val="none" w:sz="0" w:space="0" w:color="auto"/>
        <w:left w:val="none" w:sz="0" w:space="0" w:color="auto"/>
        <w:bottom w:val="none" w:sz="0" w:space="0" w:color="auto"/>
        <w:right w:val="none" w:sz="0" w:space="0" w:color="auto"/>
      </w:divBdr>
      <w:divsChild>
        <w:div w:id="1354259228">
          <w:marLeft w:val="0"/>
          <w:marRight w:val="0"/>
          <w:marTop w:val="0"/>
          <w:marBottom w:val="0"/>
          <w:divBdr>
            <w:top w:val="none" w:sz="0" w:space="0" w:color="auto"/>
            <w:left w:val="none" w:sz="0" w:space="0" w:color="auto"/>
            <w:bottom w:val="none" w:sz="0" w:space="0" w:color="auto"/>
            <w:right w:val="none" w:sz="0" w:space="0" w:color="auto"/>
          </w:divBdr>
        </w:div>
      </w:divsChild>
    </w:div>
    <w:div w:id="1995911194">
      <w:bodyDiv w:val="1"/>
      <w:marLeft w:val="0"/>
      <w:marRight w:val="0"/>
      <w:marTop w:val="0"/>
      <w:marBottom w:val="0"/>
      <w:divBdr>
        <w:top w:val="none" w:sz="0" w:space="0" w:color="auto"/>
        <w:left w:val="none" w:sz="0" w:space="0" w:color="auto"/>
        <w:bottom w:val="none" w:sz="0" w:space="0" w:color="auto"/>
        <w:right w:val="none" w:sz="0" w:space="0" w:color="auto"/>
      </w:divBdr>
    </w:div>
    <w:div w:id="2054690527">
      <w:bodyDiv w:val="1"/>
      <w:marLeft w:val="0"/>
      <w:marRight w:val="0"/>
      <w:marTop w:val="0"/>
      <w:marBottom w:val="0"/>
      <w:divBdr>
        <w:top w:val="none" w:sz="0" w:space="0" w:color="auto"/>
        <w:left w:val="none" w:sz="0" w:space="0" w:color="auto"/>
        <w:bottom w:val="none" w:sz="0" w:space="0" w:color="auto"/>
        <w:right w:val="none" w:sz="0" w:space="0" w:color="auto"/>
      </w:divBdr>
      <w:divsChild>
        <w:div w:id="1150557505">
          <w:marLeft w:val="0"/>
          <w:marRight w:val="0"/>
          <w:marTop w:val="0"/>
          <w:marBottom w:val="0"/>
          <w:divBdr>
            <w:top w:val="none" w:sz="0" w:space="0" w:color="auto"/>
            <w:left w:val="none" w:sz="0" w:space="0" w:color="auto"/>
            <w:bottom w:val="none" w:sz="0" w:space="0" w:color="auto"/>
            <w:right w:val="none" w:sz="0" w:space="0" w:color="auto"/>
          </w:divBdr>
        </w:div>
        <w:div w:id="1582983121">
          <w:marLeft w:val="0"/>
          <w:marRight w:val="0"/>
          <w:marTop w:val="0"/>
          <w:marBottom w:val="0"/>
          <w:divBdr>
            <w:top w:val="none" w:sz="0" w:space="0" w:color="auto"/>
            <w:left w:val="none" w:sz="0" w:space="0" w:color="auto"/>
            <w:bottom w:val="none" w:sz="0" w:space="0" w:color="auto"/>
            <w:right w:val="none" w:sz="0" w:space="0" w:color="auto"/>
          </w:divBdr>
        </w:div>
        <w:div w:id="1468937167">
          <w:marLeft w:val="0"/>
          <w:marRight w:val="0"/>
          <w:marTop w:val="0"/>
          <w:marBottom w:val="0"/>
          <w:divBdr>
            <w:top w:val="none" w:sz="0" w:space="0" w:color="auto"/>
            <w:left w:val="none" w:sz="0" w:space="0" w:color="auto"/>
            <w:bottom w:val="none" w:sz="0" w:space="0" w:color="auto"/>
            <w:right w:val="none" w:sz="0" w:space="0" w:color="auto"/>
          </w:divBdr>
        </w:div>
        <w:div w:id="631523620">
          <w:marLeft w:val="0"/>
          <w:marRight w:val="0"/>
          <w:marTop w:val="0"/>
          <w:marBottom w:val="0"/>
          <w:divBdr>
            <w:top w:val="none" w:sz="0" w:space="0" w:color="auto"/>
            <w:left w:val="none" w:sz="0" w:space="0" w:color="auto"/>
            <w:bottom w:val="none" w:sz="0" w:space="0" w:color="auto"/>
            <w:right w:val="none" w:sz="0" w:space="0" w:color="auto"/>
          </w:divBdr>
        </w:div>
        <w:div w:id="73361441">
          <w:marLeft w:val="0"/>
          <w:marRight w:val="0"/>
          <w:marTop w:val="0"/>
          <w:marBottom w:val="0"/>
          <w:divBdr>
            <w:top w:val="none" w:sz="0" w:space="0" w:color="auto"/>
            <w:left w:val="none" w:sz="0" w:space="0" w:color="auto"/>
            <w:bottom w:val="none" w:sz="0" w:space="0" w:color="auto"/>
            <w:right w:val="none" w:sz="0" w:space="0" w:color="auto"/>
          </w:divBdr>
        </w:div>
        <w:div w:id="1456099703">
          <w:marLeft w:val="0"/>
          <w:marRight w:val="0"/>
          <w:marTop w:val="0"/>
          <w:marBottom w:val="0"/>
          <w:divBdr>
            <w:top w:val="none" w:sz="0" w:space="0" w:color="auto"/>
            <w:left w:val="none" w:sz="0" w:space="0" w:color="auto"/>
            <w:bottom w:val="none" w:sz="0" w:space="0" w:color="auto"/>
            <w:right w:val="none" w:sz="0" w:space="0" w:color="auto"/>
          </w:divBdr>
        </w:div>
        <w:div w:id="1369337447">
          <w:marLeft w:val="0"/>
          <w:marRight w:val="0"/>
          <w:marTop w:val="0"/>
          <w:marBottom w:val="0"/>
          <w:divBdr>
            <w:top w:val="none" w:sz="0" w:space="0" w:color="auto"/>
            <w:left w:val="none" w:sz="0" w:space="0" w:color="auto"/>
            <w:bottom w:val="none" w:sz="0" w:space="0" w:color="auto"/>
            <w:right w:val="none" w:sz="0" w:space="0" w:color="auto"/>
          </w:divBdr>
        </w:div>
        <w:div w:id="167139142">
          <w:marLeft w:val="0"/>
          <w:marRight w:val="0"/>
          <w:marTop w:val="0"/>
          <w:marBottom w:val="0"/>
          <w:divBdr>
            <w:top w:val="none" w:sz="0" w:space="0" w:color="auto"/>
            <w:left w:val="none" w:sz="0" w:space="0" w:color="auto"/>
            <w:bottom w:val="none" w:sz="0" w:space="0" w:color="auto"/>
            <w:right w:val="none" w:sz="0" w:space="0" w:color="auto"/>
          </w:divBdr>
        </w:div>
        <w:div w:id="1124926320">
          <w:marLeft w:val="0"/>
          <w:marRight w:val="0"/>
          <w:marTop w:val="0"/>
          <w:marBottom w:val="0"/>
          <w:divBdr>
            <w:top w:val="none" w:sz="0" w:space="0" w:color="auto"/>
            <w:left w:val="none" w:sz="0" w:space="0" w:color="auto"/>
            <w:bottom w:val="none" w:sz="0" w:space="0" w:color="auto"/>
            <w:right w:val="none" w:sz="0" w:space="0" w:color="auto"/>
          </w:divBdr>
        </w:div>
        <w:div w:id="1602906585">
          <w:marLeft w:val="0"/>
          <w:marRight w:val="0"/>
          <w:marTop w:val="0"/>
          <w:marBottom w:val="0"/>
          <w:divBdr>
            <w:top w:val="none" w:sz="0" w:space="0" w:color="auto"/>
            <w:left w:val="none" w:sz="0" w:space="0" w:color="auto"/>
            <w:bottom w:val="none" w:sz="0" w:space="0" w:color="auto"/>
            <w:right w:val="none" w:sz="0" w:space="0" w:color="auto"/>
          </w:divBdr>
        </w:div>
        <w:div w:id="1161195362">
          <w:marLeft w:val="0"/>
          <w:marRight w:val="0"/>
          <w:marTop w:val="0"/>
          <w:marBottom w:val="0"/>
          <w:divBdr>
            <w:top w:val="none" w:sz="0" w:space="0" w:color="auto"/>
            <w:left w:val="none" w:sz="0" w:space="0" w:color="auto"/>
            <w:bottom w:val="none" w:sz="0" w:space="0" w:color="auto"/>
            <w:right w:val="none" w:sz="0" w:space="0" w:color="auto"/>
          </w:divBdr>
        </w:div>
        <w:div w:id="521625876">
          <w:marLeft w:val="0"/>
          <w:marRight w:val="0"/>
          <w:marTop w:val="0"/>
          <w:marBottom w:val="0"/>
          <w:divBdr>
            <w:top w:val="none" w:sz="0" w:space="0" w:color="auto"/>
            <w:left w:val="none" w:sz="0" w:space="0" w:color="auto"/>
            <w:bottom w:val="none" w:sz="0" w:space="0" w:color="auto"/>
            <w:right w:val="none" w:sz="0" w:space="0" w:color="auto"/>
          </w:divBdr>
        </w:div>
        <w:div w:id="1349992074">
          <w:marLeft w:val="0"/>
          <w:marRight w:val="0"/>
          <w:marTop w:val="0"/>
          <w:marBottom w:val="0"/>
          <w:divBdr>
            <w:top w:val="none" w:sz="0" w:space="0" w:color="auto"/>
            <w:left w:val="none" w:sz="0" w:space="0" w:color="auto"/>
            <w:bottom w:val="none" w:sz="0" w:space="0" w:color="auto"/>
            <w:right w:val="none" w:sz="0" w:space="0" w:color="auto"/>
          </w:divBdr>
        </w:div>
        <w:div w:id="1381594908">
          <w:marLeft w:val="0"/>
          <w:marRight w:val="0"/>
          <w:marTop w:val="0"/>
          <w:marBottom w:val="0"/>
          <w:divBdr>
            <w:top w:val="none" w:sz="0" w:space="0" w:color="auto"/>
            <w:left w:val="none" w:sz="0" w:space="0" w:color="auto"/>
            <w:bottom w:val="none" w:sz="0" w:space="0" w:color="auto"/>
            <w:right w:val="none" w:sz="0" w:space="0" w:color="auto"/>
          </w:divBdr>
        </w:div>
        <w:div w:id="456147821">
          <w:marLeft w:val="0"/>
          <w:marRight w:val="0"/>
          <w:marTop w:val="0"/>
          <w:marBottom w:val="0"/>
          <w:divBdr>
            <w:top w:val="none" w:sz="0" w:space="0" w:color="auto"/>
            <w:left w:val="none" w:sz="0" w:space="0" w:color="auto"/>
            <w:bottom w:val="none" w:sz="0" w:space="0" w:color="auto"/>
            <w:right w:val="none" w:sz="0" w:space="0" w:color="auto"/>
          </w:divBdr>
        </w:div>
        <w:div w:id="1513304798">
          <w:marLeft w:val="0"/>
          <w:marRight w:val="0"/>
          <w:marTop w:val="0"/>
          <w:marBottom w:val="0"/>
          <w:divBdr>
            <w:top w:val="none" w:sz="0" w:space="0" w:color="auto"/>
            <w:left w:val="none" w:sz="0" w:space="0" w:color="auto"/>
            <w:bottom w:val="none" w:sz="0" w:space="0" w:color="auto"/>
            <w:right w:val="none" w:sz="0" w:space="0" w:color="auto"/>
          </w:divBdr>
        </w:div>
        <w:div w:id="194078628">
          <w:marLeft w:val="0"/>
          <w:marRight w:val="0"/>
          <w:marTop w:val="0"/>
          <w:marBottom w:val="0"/>
          <w:divBdr>
            <w:top w:val="none" w:sz="0" w:space="0" w:color="auto"/>
            <w:left w:val="none" w:sz="0" w:space="0" w:color="auto"/>
            <w:bottom w:val="none" w:sz="0" w:space="0" w:color="auto"/>
            <w:right w:val="none" w:sz="0" w:space="0" w:color="auto"/>
          </w:divBdr>
        </w:div>
        <w:div w:id="823207340">
          <w:marLeft w:val="0"/>
          <w:marRight w:val="0"/>
          <w:marTop w:val="0"/>
          <w:marBottom w:val="0"/>
          <w:divBdr>
            <w:top w:val="none" w:sz="0" w:space="0" w:color="auto"/>
            <w:left w:val="none" w:sz="0" w:space="0" w:color="auto"/>
            <w:bottom w:val="none" w:sz="0" w:space="0" w:color="auto"/>
            <w:right w:val="none" w:sz="0" w:space="0" w:color="auto"/>
          </w:divBdr>
        </w:div>
        <w:div w:id="1411276024">
          <w:marLeft w:val="0"/>
          <w:marRight w:val="0"/>
          <w:marTop w:val="0"/>
          <w:marBottom w:val="0"/>
          <w:divBdr>
            <w:top w:val="none" w:sz="0" w:space="0" w:color="auto"/>
            <w:left w:val="none" w:sz="0" w:space="0" w:color="auto"/>
            <w:bottom w:val="none" w:sz="0" w:space="0" w:color="auto"/>
            <w:right w:val="none" w:sz="0" w:space="0" w:color="auto"/>
          </w:divBdr>
        </w:div>
        <w:div w:id="904536926">
          <w:marLeft w:val="0"/>
          <w:marRight w:val="0"/>
          <w:marTop w:val="0"/>
          <w:marBottom w:val="0"/>
          <w:divBdr>
            <w:top w:val="none" w:sz="0" w:space="0" w:color="auto"/>
            <w:left w:val="none" w:sz="0" w:space="0" w:color="auto"/>
            <w:bottom w:val="none" w:sz="0" w:space="0" w:color="auto"/>
            <w:right w:val="none" w:sz="0" w:space="0" w:color="auto"/>
          </w:divBdr>
        </w:div>
        <w:div w:id="1654261361">
          <w:marLeft w:val="0"/>
          <w:marRight w:val="0"/>
          <w:marTop w:val="0"/>
          <w:marBottom w:val="0"/>
          <w:divBdr>
            <w:top w:val="none" w:sz="0" w:space="0" w:color="auto"/>
            <w:left w:val="none" w:sz="0" w:space="0" w:color="auto"/>
            <w:bottom w:val="none" w:sz="0" w:space="0" w:color="auto"/>
            <w:right w:val="none" w:sz="0" w:space="0" w:color="auto"/>
          </w:divBdr>
        </w:div>
        <w:div w:id="345787228">
          <w:marLeft w:val="0"/>
          <w:marRight w:val="0"/>
          <w:marTop w:val="0"/>
          <w:marBottom w:val="0"/>
          <w:divBdr>
            <w:top w:val="none" w:sz="0" w:space="0" w:color="auto"/>
            <w:left w:val="none" w:sz="0" w:space="0" w:color="auto"/>
            <w:bottom w:val="none" w:sz="0" w:space="0" w:color="auto"/>
            <w:right w:val="none" w:sz="0" w:space="0" w:color="auto"/>
          </w:divBdr>
        </w:div>
        <w:div w:id="664473886">
          <w:marLeft w:val="0"/>
          <w:marRight w:val="0"/>
          <w:marTop w:val="0"/>
          <w:marBottom w:val="0"/>
          <w:divBdr>
            <w:top w:val="none" w:sz="0" w:space="0" w:color="auto"/>
            <w:left w:val="none" w:sz="0" w:space="0" w:color="auto"/>
            <w:bottom w:val="none" w:sz="0" w:space="0" w:color="auto"/>
            <w:right w:val="none" w:sz="0" w:space="0" w:color="auto"/>
          </w:divBdr>
        </w:div>
        <w:div w:id="1274483259">
          <w:marLeft w:val="0"/>
          <w:marRight w:val="0"/>
          <w:marTop w:val="0"/>
          <w:marBottom w:val="0"/>
          <w:divBdr>
            <w:top w:val="none" w:sz="0" w:space="0" w:color="auto"/>
            <w:left w:val="none" w:sz="0" w:space="0" w:color="auto"/>
            <w:bottom w:val="none" w:sz="0" w:space="0" w:color="auto"/>
            <w:right w:val="none" w:sz="0" w:space="0" w:color="auto"/>
          </w:divBdr>
        </w:div>
        <w:div w:id="1573736077">
          <w:marLeft w:val="0"/>
          <w:marRight w:val="0"/>
          <w:marTop w:val="0"/>
          <w:marBottom w:val="0"/>
          <w:divBdr>
            <w:top w:val="none" w:sz="0" w:space="0" w:color="auto"/>
            <w:left w:val="none" w:sz="0" w:space="0" w:color="auto"/>
            <w:bottom w:val="none" w:sz="0" w:space="0" w:color="auto"/>
            <w:right w:val="none" w:sz="0" w:space="0" w:color="auto"/>
          </w:divBdr>
        </w:div>
        <w:div w:id="261693078">
          <w:marLeft w:val="0"/>
          <w:marRight w:val="0"/>
          <w:marTop w:val="0"/>
          <w:marBottom w:val="0"/>
          <w:divBdr>
            <w:top w:val="none" w:sz="0" w:space="0" w:color="auto"/>
            <w:left w:val="none" w:sz="0" w:space="0" w:color="auto"/>
            <w:bottom w:val="none" w:sz="0" w:space="0" w:color="auto"/>
            <w:right w:val="none" w:sz="0" w:space="0" w:color="auto"/>
          </w:divBdr>
        </w:div>
      </w:divsChild>
    </w:div>
    <w:div w:id="2075465843">
      <w:bodyDiv w:val="1"/>
      <w:marLeft w:val="0"/>
      <w:marRight w:val="0"/>
      <w:marTop w:val="0"/>
      <w:marBottom w:val="0"/>
      <w:divBdr>
        <w:top w:val="none" w:sz="0" w:space="0" w:color="auto"/>
        <w:left w:val="none" w:sz="0" w:space="0" w:color="auto"/>
        <w:bottom w:val="none" w:sz="0" w:space="0" w:color="auto"/>
        <w:right w:val="none" w:sz="0" w:space="0" w:color="auto"/>
      </w:divBdr>
      <w:divsChild>
        <w:div w:id="1607228794">
          <w:marLeft w:val="0"/>
          <w:marRight w:val="0"/>
          <w:marTop w:val="0"/>
          <w:marBottom w:val="0"/>
          <w:divBdr>
            <w:top w:val="none" w:sz="0" w:space="0" w:color="auto"/>
            <w:left w:val="none" w:sz="0" w:space="0" w:color="auto"/>
            <w:bottom w:val="none" w:sz="0" w:space="0" w:color="auto"/>
            <w:right w:val="none" w:sz="0" w:space="0" w:color="auto"/>
          </w:divBdr>
        </w:div>
        <w:div w:id="1136795136">
          <w:marLeft w:val="0"/>
          <w:marRight w:val="0"/>
          <w:marTop w:val="0"/>
          <w:marBottom w:val="0"/>
          <w:divBdr>
            <w:top w:val="none" w:sz="0" w:space="0" w:color="auto"/>
            <w:left w:val="none" w:sz="0" w:space="0" w:color="auto"/>
            <w:bottom w:val="none" w:sz="0" w:space="0" w:color="auto"/>
            <w:right w:val="none" w:sz="0" w:space="0" w:color="auto"/>
          </w:divBdr>
        </w:div>
        <w:div w:id="1800106210">
          <w:marLeft w:val="0"/>
          <w:marRight w:val="0"/>
          <w:marTop w:val="0"/>
          <w:marBottom w:val="0"/>
          <w:divBdr>
            <w:top w:val="none" w:sz="0" w:space="0" w:color="auto"/>
            <w:left w:val="none" w:sz="0" w:space="0" w:color="auto"/>
            <w:bottom w:val="none" w:sz="0" w:space="0" w:color="auto"/>
            <w:right w:val="none" w:sz="0" w:space="0" w:color="auto"/>
          </w:divBdr>
        </w:div>
        <w:div w:id="732850707">
          <w:marLeft w:val="0"/>
          <w:marRight w:val="0"/>
          <w:marTop w:val="0"/>
          <w:marBottom w:val="0"/>
          <w:divBdr>
            <w:top w:val="none" w:sz="0" w:space="0" w:color="auto"/>
            <w:left w:val="none" w:sz="0" w:space="0" w:color="auto"/>
            <w:bottom w:val="none" w:sz="0" w:space="0" w:color="auto"/>
            <w:right w:val="none" w:sz="0" w:space="0" w:color="auto"/>
          </w:divBdr>
        </w:div>
        <w:div w:id="216203488">
          <w:marLeft w:val="0"/>
          <w:marRight w:val="0"/>
          <w:marTop w:val="0"/>
          <w:marBottom w:val="0"/>
          <w:divBdr>
            <w:top w:val="none" w:sz="0" w:space="0" w:color="auto"/>
            <w:left w:val="none" w:sz="0" w:space="0" w:color="auto"/>
            <w:bottom w:val="none" w:sz="0" w:space="0" w:color="auto"/>
            <w:right w:val="none" w:sz="0" w:space="0" w:color="auto"/>
          </w:divBdr>
        </w:div>
        <w:div w:id="216548248">
          <w:marLeft w:val="0"/>
          <w:marRight w:val="0"/>
          <w:marTop w:val="0"/>
          <w:marBottom w:val="0"/>
          <w:divBdr>
            <w:top w:val="none" w:sz="0" w:space="0" w:color="auto"/>
            <w:left w:val="none" w:sz="0" w:space="0" w:color="auto"/>
            <w:bottom w:val="none" w:sz="0" w:space="0" w:color="auto"/>
            <w:right w:val="none" w:sz="0" w:space="0" w:color="auto"/>
          </w:divBdr>
        </w:div>
        <w:div w:id="1071732622">
          <w:marLeft w:val="0"/>
          <w:marRight w:val="0"/>
          <w:marTop w:val="0"/>
          <w:marBottom w:val="0"/>
          <w:divBdr>
            <w:top w:val="none" w:sz="0" w:space="0" w:color="auto"/>
            <w:left w:val="none" w:sz="0" w:space="0" w:color="auto"/>
            <w:bottom w:val="none" w:sz="0" w:space="0" w:color="auto"/>
            <w:right w:val="none" w:sz="0" w:space="0" w:color="auto"/>
          </w:divBdr>
        </w:div>
        <w:div w:id="376928147">
          <w:marLeft w:val="0"/>
          <w:marRight w:val="0"/>
          <w:marTop w:val="0"/>
          <w:marBottom w:val="0"/>
          <w:divBdr>
            <w:top w:val="none" w:sz="0" w:space="0" w:color="auto"/>
            <w:left w:val="none" w:sz="0" w:space="0" w:color="auto"/>
            <w:bottom w:val="none" w:sz="0" w:space="0" w:color="auto"/>
            <w:right w:val="none" w:sz="0" w:space="0" w:color="auto"/>
          </w:divBdr>
        </w:div>
        <w:div w:id="1981957518">
          <w:marLeft w:val="0"/>
          <w:marRight w:val="0"/>
          <w:marTop w:val="0"/>
          <w:marBottom w:val="0"/>
          <w:divBdr>
            <w:top w:val="none" w:sz="0" w:space="0" w:color="auto"/>
            <w:left w:val="none" w:sz="0" w:space="0" w:color="auto"/>
            <w:bottom w:val="none" w:sz="0" w:space="0" w:color="auto"/>
            <w:right w:val="none" w:sz="0" w:space="0" w:color="auto"/>
          </w:divBdr>
        </w:div>
        <w:div w:id="1974171142">
          <w:marLeft w:val="0"/>
          <w:marRight w:val="0"/>
          <w:marTop w:val="0"/>
          <w:marBottom w:val="0"/>
          <w:divBdr>
            <w:top w:val="none" w:sz="0" w:space="0" w:color="auto"/>
            <w:left w:val="none" w:sz="0" w:space="0" w:color="auto"/>
            <w:bottom w:val="none" w:sz="0" w:space="0" w:color="auto"/>
            <w:right w:val="none" w:sz="0" w:space="0" w:color="auto"/>
          </w:divBdr>
        </w:div>
      </w:divsChild>
    </w:div>
    <w:div w:id="2079591720">
      <w:bodyDiv w:val="1"/>
      <w:marLeft w:val="0"/>
      <w:marRight w:val="0"/>
      <w:marTop w:val="0"/>
      <w:marBottom w:val="0"/>
      <w:divBdr>
        <w:top w:val="none" w:sz="0" w:space="0" w:color="auto"/>
        <w:left w:val="none" w:sz="0" w:space="0" w:color="auto"/>
        <w:bottom w:val="none" w:sz="0" w:space="0" w:color="auto"/>
        <w:right w:val="none" w:sz="0" w:space="0" w:color="auto"/>
      </w:divBdr>
    </w:div>
    <w:div w:id="2106999292">
      <w:bodyDiv w:val="1"/>
      <w:marLeft w:val="0"/>
      <w:marRight w:val="0"/>
      <w:marTop w:val="0"/>
      <w:marBottom w:val="0"/>
      <w:divBdr>
        <w:top w:val="none" w:sz="0" w:space="0" w:color="auto"/>
        <w:left w:val="none" w:sz="0" w:space="0" w:color="auto"/>
        <w:bottom w:val="none" w:sz="0" w:space="0" w:color="auto"/>
        <w:right w:val="none" w:sz="0" w:space="0" w:color="auto"/>
      </w:divBdr>
      <w:divsChild>
        <w:div w:id="1939025820">
          <w:marLeft w:val="0"/>
          <w:marRight w:val="0"/>
          <w:marTop w:val="0"/>
          <w:marBottom w:val="0"/>
          <w:divBdr>
            <w:top w:val="none" w:sz="0" w:space="0" w:color="auto"/>
            <w:left w:val="none" w:sz="0" w:space="0" w:color="auto"/>
            <w:bottom w:val="none" w:sz="0" w:space="0" w:color="auto"/>
            <w:right w:val="none" w:sz="0" w:space="0" w:color="auto"/>
          </w:divBdr>
        </w:div>
      </w:divsChild>
    </w:div>
    <w:div w:id="2129662793">
      <w:bodyDiv w:val="1"/>
      <w:marLeft w:val="0"/>
      <w:marRight w:val="0"/>
      <w:marTop w:val="0"/>
      <w:marBottom w:val="0"/>
      <w:divBdr>
        <w:top w:val="none" w:sz="0" w:space="0" w:color="auto"/>
        <w:left w:val="none" w:sz="0" w:space="0" w:color="auto"/>
        <w:bottom w:val="none" w:sz="0" w:space="0" w:color="auto"/>
        <w:right w:val="none" w:sz="0" w:space="0" w:color="auto"/>
      </w:divBdr>
      <w:divsChild>
        <w:div w:id="2138259430">
          <w:marLeft w:val="0"/>
          <w:marRight w:val="0"/>
          <w:marTop w:val="0"/>
          <w:marBottom w:val="0"/>
          <w:divBdr>
            <w:top w:val="none" w:sz="0" w:space="0" w:color="auto"/>
            <w:left w:val="none" w:sz="0" w:space="0" w:color="auto"/>
            <w:bottom w:val="none" w:sz="0" w:space="0" w:color="auto"/>
            <w:right w:val="none" w:sz="0" w:space="0" w:color="auto"/>
          </w:divBdr>
        </w:div>
      </w:divsChild>
    </w:div>
    <w:div w:id="2144420603">
      <w:bodyDiv w:val="1"/>
      <w:marLeft w:val="0"/>
      <w:marRight w:val="0"/>
      <w:marTop w:val="0"/>
      <w:marBottom w:val="0"/>
      <w:divBdr>
        <w:top w:val="none" w:sz="0" w:space="0" w:color="auto"/>
        <w:left w:val="none" w:sz="0" w:space="0" w:color="auto"/>
        <w:bottom w:val="none" w:sz="0" w:space="0" w:color="auto"/>
        <w:right w:val="none" w:sz="0" w:space="0" w:color="auto"/>
      </w:divBdr>
      <w:divsChild>
        <w:div w:id="8959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www.knab.gov.lv/lv/finances/control/offences/article.php?id=480970" TargetMode="External"/><Relationship Id="rId1" Type="http://schemas.openxmlformats.org/officeDocument/2006/relationships/hyperlink" Target="http://www.knab.gov.lv/lv/knab/press/article.php?id=48794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ZINOJUMI!$A$3</c:f>
              <c:strCache>
                <c:ptCount val="1"/>
                <c:pt idx="0">
                  <c:v>Saņemtie iesniegumi </c:v>
                </c:pt>
              </c:strCache>
            </c:strRef>
          </c:tx>
          <c:spPr>
            <a:solidFill>
              <a:schemeClr val="accent3">
                <a:lumMod val="75000"/>
              </a:schemeClr>
            </a:solidFill>
            <a:scene3d>
              <a:camera prst="orthographicFront"/>
              <a:lightRig rig="threePt" dir="t"/>
            </a:scene3d>
            <a:sp3d>
              <a:bevelT/>
            </a:sp3d>
          </c:spPr>
          <c:invertIfNegative val="0"/>
          <c:dLbls>
            <c:showLegendKey val="0"/>
            <c:showVal val="1"/>
            <c:showCatName val="0"/>
            <c:showSerName val="0"/>
            <c:showPercent val="0"/>
            <c:showBubbleSize val="0"/>
            <c:showLeaderLines val="0"/>
          </c:dLbls>
          <c:cat>
            <c:strRef>
              <c:f>ZINOJUMI!$B$2:$H$2</c:f>
              <c:strCache>
                <c:ptCount val="7"/>
                <c:pt idx="0">
                  <c:v>2012 I</c:v>
                </c:pt>
                <c:pt idx="1">
                  <c:v>2012 II</c:v>
                </c:pt>
                <c:pt idx="2">
                  <c:v>2013 I</c:v>
                </c:pt>
                <c:pt idx="3">
                  <c:v>2013 II</c:v>
                </c:pt>
                <c:pt idx="4">
                  <c:v>2014 I</c:v>
                </c:pt>
                <c:pt idx="5">
                  <c:v>2014 II</c:v>
                </c:pt>
                <c:pt idx="6">
                  <c:v>2015 I</c:v>
                </c:pt>
              </c:strCache>
            </c:strRef>
          </c:cat>
          <c:val>
            <c:numRef>
              <c:f>ZINOJUMI!$B$3:$H$3</c:f>
              <c:numCache>
                <c:formatCode>General</c:formatCode>
                <c:ptCount val="7"/>
                <c:pt idx="0">
                  <c:v>492</c:v>
                </c:pt>
                <c:pt idx="1">
                  <c:v>343</c:v>
                </c:pt>
                <c:pt idx="2">
                  <c:v>588</c:v>
                </c:pt>
                <c:pt idx="3">
                  <c:v>477</c:v>
                </c:pt>
                <c:pt idx="4">
                  <c:v>587</c:v>
                </c:pt>
                <c:pt idx="5">
                  <c:v>412</c:v>
                </c:pt>
                <c:pt idx="6">
                  <c:v>593</c:v>
                </c:pt>
              </c:numCache>
            </c:numRef>
          </c:val>
        </c:ser>
        <c:dLbls>
          <c:showLegendKey val="0"/>
          <c:showVal val="0"/>
          <c:showCatName val="0"/>
          <c:showSerName val="0"/>
          <c:showPercent val="0"/>
          <c:showBubbleSize val="0"/>
        </c:dLbls>
        <c:gapWidth val="150"/>
        <c:axId val="84266368"/>
        <c:axId val="104191488"/>
      </c:barChart>
      <c:lineChart>
        <c:grouping val="standard"/>
        <c:varyColors val="0"/>
        <c:ser>
          <c:idx val="1"/>
          <c:order val="1"/>
          <c:tx>
            <c:strRef>
              <c:f>ZINOJUMI!$A$4</c:f>
              <c:strCache>
                <c:ptCount val="1"/>
                <c:pt idx="0">
                  <c:v>Pieņemtie apmeklētāji </c:v>
                </c:pt>
              </c:strCache>
            </c:strRef>
          </c:tx>
          <c:marker>
            <c:symbol val="diamond"/>
            <c:size val="5"/>
            <c:spPr>
              <a:scene3d>
                <a:camera prst="orthographicFront"/>
                <a:lightRig rig="threePt" dir="t"/>
              </a:scene3d>
              <a:sp3d>
                <a:bevelT/>
              </a:sp3d>
            </c:spPr>
          </c:marker>
          <c:dLbls>
            <c:dLbl>
              <c:idx val="0"/>
              <c:layout>
                <c:manualLayout>
                  <c:x val="-3.1604938271604939E-2"/>
                  <c:y val="-3.4307987989993953E-2"/>
                </c:manualLayout>
              </c:layout>
              <c:showLegendKey val="0"/>
              <c:showVal val="1"/>
              <c:showCatName val="0"/>
              <c:showSerName val="0"/>
              <c:showPercent val="0"/>
              <c:showBubbleSize val="0"/>
            </c:dLbl>
            <c:dLbl>
              <c:idx val="1"/>
              <c:layout>
                <c:manualLayout>
                  <c:x val="-2.7654320987654284E-2"/>
                  <c:y val="-3.1189079990903593E-2"/>
                </c:manualLayout>
              </c:layout>
              <c:showLegendKey val="0"/>
              <c:showVal val="1"/>
              <c:showCatName val="0"/>
              <c:showSerName val="0"/>
              <c:showPercent val="0"/>
              <c:showBubbleSize val="0"/>
            </c:dLbl>
            <c:dLbl>
              <c:idx val="2"/>
              <c:layout>
                <c:manualLayout>
                  <c:x val="-2.9629629629629631E-2"/>
                  <c:y val="-4.0545803988174672E-2"/>
                </c:manualLayout>
              </c:layout>
              <c:showLegendKey val="0"/>
              <c:showVal val="1"/>
              <c:showCatName val="0"/>
              <c:showSerName val="0"/>
              <c:showPercent val="0"/>
              <c:showBubbleSize val="0"/>
            </c:dLbl>
            <c:dLbl>
              <c:idx val="3"/>
              <c:layout>
                <c:manualLayout>
                  <c:x val="-2.370370370370363E-2"/>
                  <c:y val="-3.7426895989084316E-2"/>
                </c:manualLayout>
              </c:layout>
              <c:showLegendKey val="0"/>
              <c:showVal val="1"/>
              <c:showCatName val="0"/>
              <c:showSerName val="0"/>
              <c:showPercent val="0"/>
              <c:showBubbleSize val="0"/>
            </c:dLbl>
            <c:dLbl>
              <c:idx val="4"/>
              <c:layout>
                <c:manualLayout>
                  <c:x val="-2.9629629629629558E-2"/>
                  <c:y val="-3.7426895989084316E-2"/>
                </c:manualLayout>
              </c:layout>
              <c:showLegendKey val="0"/>
              <c:showVal val="1"/>
              <c:showCatName val="0"/>
              <c:showSerName val="0"/>
              <c:showPercent val="0"/>
              <c:showBubbleSize val="0"/>
            </c:dLbl>
            <c:dLbl>
              <c:idx val="5"/>
              <c:layout>
                <c:manualLayout>
                  <c:x val="-2.7654320987654323E-2"/>
                  <c:y val="-4.3664711987265035E-2"/>
                </c:manualLayout>
              </c:layout>
              <c:showLegendKey val="0"/>
              <c:showVal val="1"/>
              <c:showCatName val="0"/>
              <c:showSerName val="0"/>
              <c:showPercent val="0"/>
              <c:showBubbleSize val="0"/>
            </c:dLbl>
            <c:dLbl>
              <c:idx val="6"/>
              <c:layout>
                <c:manualLayout>
                  <c:x val="-2.3703703703703703E-2"/>
                  <c:y val="-3.11890799909035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ZINOJUMI!$B$2:$H$2</c:f>
              <c:strCache>
                <c:ptCount val="7"/>
                <c:pt idx="0">
                  <c:v>2012 I</c:v>
                </c:pt>
                <c:pt idx="1">
                  <c:v>2012 II</c:v>
                </c:pt>
                <c:pt idx="2">
                  <c:v>2013 I</c:v>
                </c:pt>
                <c:pt idx="3">
                  <c:v>2013 II</c:v>
                </c:pt>
                <c:pt idx="4">
                  <c:v>2014 I</c:v>
                </c:pt>
                <c:pt idx="5">
                  <c:v>2014 II</c:v>
                </c:pt>
                <c:pt idx="6">
                  <c:v>2015 I</c:v>
                </c:pt>
              </c:strCache>
            </c:strRef>
          </c:cat>
          <c:val>
            <c:numRef>
              <c:f>ZINOJUMI!$B$4:$H$4</c:f>
              <c:numCache>
                <c:formatCode>General</c:formatCode>
                <c:ptCount val="7"/>
                <c:pt idx="0">
                  <c:v>67</c:v>
                </c:pt>
                <c:pt idx="1">
                  <c:v>133</c:v>
                </c:pt>
                <c:pt idx="2">
                  <c:v>90</c:v>
                </c:pt>
                <c:pt idx="3">
                  <c:v>80</c:v>
                </c:pt>
                <c:pt idx="4">
                  <c:v>70</c:v>
                </c:pt>
                <c:pt idx="5">
                  <c:v>36</c:v>
                </c:pt>
                <c:pt idx="6">
                  <c:v>55</c:v>
                </c:pt>
              </c:numCache>
            </c:numRef>
          </c:val>
          <c:smooth val="0"/>
        </c:ser>
        <c:dLbls>
          <c:showLegendKey val="0"/>
          <c:showVal val="0"/>
          <c:showCatName val="0"/>
          <c:showSerName val="0"/>
          <c:showPercent val="0"/>
          <c:showBubbleSize val="0"/>
        </c:dLbls>
        <c:marker val="1"/>
        <c:smooth val="0"/>
        <c:axId val="84266368"/>
        <c:axId val="104191488"/>
      </c:lineChart>
      <c:catAx>
        <c:axId val="84266368"/>
        <c:scaling>
          <c:orientation val="minMax"/>
        </c:scaling>
        <c:delete val="0"/>
        <c:axPos val="b"/>
        <c:majorTickMark val="out"/>
        <c:minorTickMark val="none"/>
        <c:tickLblPos val="nextTo"/>
        <c:crossAx val="104191488"/>
        <c:crosses val="autoZero"/>
        <c:auto val="1"/>
        <c:lblAlgn val="ctr"/>
        <c:lblOffset val="100"/>
        <c:noMultiLvlLbl val="0"/>
      </c:catAx>
      <c:valAx>
        <c:axId val="104191488"/>
        <c:scaling>
          <c:orientation val="minMax"/>
        </c:scaling>
        <c:delete val="0"/>
        <c:axPos val="l"/>
        <c:majorGridlines/>
        <c:numFmt formatCode="General" sourceLinked="1"/>
        <c:majorTickMark val="out"/>
        <c:minorTickMark val="none"/>
        <c:tickLblPos val="nextTo"/>
        <c:crossAx val="842663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IZGLITOSANA!$B$2</c:f>
              <c:strCache>
                <c:ptCount val="1"/>
                <c:pt idx="0">
                  <c:v>Semināru skaits</c:v>
                </c:pt>
              </c:strCache>
            </c:strRef>
          </c:tx>
          <c:spPr>
            <a:solidFill>
              <a:schemeClr val="accent3">
                <a:lumMod val="60000"/>
                <a:lumOff val="40000"/>
              </a:schemeClr>
            </a:solidFill>
            <a:ln>
              <a:solidFill>
                <a:schemeClr val="accent3">
                  <a:lumMod val="50000"/>
                </a:schemeClr>
              </a:solidFill>
            </a:ln>
            <a:effectLst/>
            <a:scene3d>
              <a:camera prst="orthographicFront"/>
              <a:lightRig rig="threePt" dir="t"/>
            </a:scene3d>
            <a:sp3d>
              <a:bevelT/>
            </a:sp3d>
          </c:spPr>
          <c:invertIfNegative val="0"/>
          <c:dLbls>
            <c:dLbl>
              <c:idx val="0"/>
              <c:layout>
                <c:manualLayout>
                  <c:x val="-5.5555555555555558E-3"/>
                  <c:y val="0.2222222222222222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546296296296295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925337632079971E-17"/>
                  <c:y val="0.263888888888888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0.2870370370370370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185067526415994E-16"/>
                  <c:y val="0.342592592592592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4379004105785278E-17"/>
                  <c:y val="0.21851286351899385"/>
                </c:manualLayout>
              </c:layout>
              <c:showLegendKey val="0"/>
              <c:showVal val="1"/>
              <c:showCatName val="0"/>
              <c:showSerName val="0"/>
              <c:showPercent val="0"/>
              <c:showBubbleSize val="0"/>
            </c:dLbl>
            <c:dLbl>
              <c:idx val="6"/>
              <c:layout>
                <c:manualLayout>
                  <c:x val="-5.1480051480051478E-3"/>
                  <c:y val="0.31562969174965777"/>
                </c:manualLayout>
              </c:layout>
              <c:showLegendKey val="0"/>
              <c:showVal val="1"/>
              <c:showCatName val="0"/>
              <c:showSerName val="0"/>
              <c:showPercent val="0"/>
              <c:showBubbleSize val="0"/>
            </c:dLbl>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IZGLITOSANA!$A$3:$A$9</c:f>
              <c:strCache>
                <c:ptCount val="7"/>
                <c:pt idx="0">
                  <c:v>2012 I</c:v>
                </c:pt>
                <c:pt idx="1">
                  <c:v>2012 II</c:v>
                </c:pt>
                <c:pt idx="2">
                  <c:v>2013 I</c:v>
                </c:pt>
                <c:pt idx="3">
                  <c:v>2013 II</c:v>
                </c:pt>
                <c:pt idx="4">
                  <c:v>2014 I</c:v>
                </c:pt>
                <c:pt idx="5">
                  <c:v>2014 II</c:v>
                </c:pt>
                <c:pt idx="6">
                  <c:v>2015 I</c:v>
                </c:pt>
              </c:strCache>
            </c:strRef>
          </c:cat>
          <c:val>
            <c:numRef>
              <c:f>IZGLITOSANA!$B$3:$B$9</c:f>
              <c:numCache>
                <c:formatCode>General</c:formatCode>
                <c:ptCount val="7"/>
                <c:pt idx="0">
                  <c:v>33</c:v>
                </c:pt>
                <c:pt idx="1">
                  <c:v>43</c:v>
                </c:pt>
                <c:pt idx="2">
                  <c:v>44</c:v>
                </c:pt>
                <c:pt idx="3">
                  <c:v>47</c:v>
                </c:pt>
                <c:pt idx="4">
                  <c:v>62</c:v>
                </c:pt>
                <c:pt idx="5">
                  <c:v>53</c:v>
                </c:pt>
                <c:pt idx="6">
                  <c:v>61</c:v>
                </c:pt>
              </c:numCache>
            </c:numRef>
          </c:val>
        </c:ser>
        <c:dLbls>
          <c:showLegendKey val="0"/>
          <c:showVal val="0"/>
          <c:showCatName val="0"/>
          <c:showSerName val="0"/>
          <c:showPercent val="0"/>
          <c:showBubbleSize val="0"/>
        </c:dLbls>
        <c:gapWidth val="219"/>
        <c:overlap val="-27"/>
        <c:axId val="93897472"/>
        <c:axId val="93899008"/>
      </c:barChart>
      <c:lineChart>
        <c:grouping val="stacked"/>
        <c:varyColors val="0"/>
        <c:ser>
          <c:idx val="1"/>
          <c:order val="1"/>
          <c:tx>
            <c:strRef>
              <c:f>IZGLITOSANA!$C$2</c:f>
              <c:strCache>
                <c:ptCount val="1"/>
                <c:pt idx="0">
                  <c:v>Dalībnieku skaits</c:v>
                </c:pt>
              </c:strCache>
            </c:strRef>
          </c:tx>
          <c:spPr>
            <a:ln w="28575" cap="rnd">
              <a:solidFill>
                <a:schemeClr val="accent3">
                  <a:lumMod val="50000"/>
                </a:schemeClr>
              </a:solidFill>
              <a:round/>
            </a:ln>
            <a:effectLst/>
          </c:spPr>
          <c:marker>
            <c:symbol val="diamond"/>
            <c:size val="5"/>
            <c:spPr>
              <a:scene3d>
                <a:camera prst="orthographicFront"/>
                <a:lightRig rig="threePt" dir="t"/>
              </a:scene3d>
              <a:sp3d>
                <a:bevelT/>
              </a:sp3d>
            </c:spPr>
          </c:marker>
          <c:dLbls>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IZGLITOSANA!$A$3:$A$9</c:f>
              <c:strCache>
                <c:ptCount val="7"/>
                <c:pt idx="0">
                  <c:v>2012 I</c:v>
                </c:pt>
                <c:pt idx="1">
                  <c:v>2012 II</c:v>
                </c:pt>
                <c:pt idx="2">
                  <c:v>2013 I</c:v>
                </c:pt>
                <c:pt idx="3">
                  <c:v>2013 II</c:v>
                </c:pt>
                <c:pt idx="4">
                  <c:v>2014 I</c:v>
                </c:pt>
                <c:pt idx="5">
                  <c:v>2014 II</c:v>
                </c:pt>
                <c:pt idx="6">
                  <c:v>2015 I</c:v>
                </c:pt>
              </c:strCache>
            </c:strRef>
          </c:cat>
          <c:val>
            <c:numRef>
              <c:f>IZGLITOSANA!$C$3:$C$9</c:f>
              <c:numCache>
                <c:formatCode>General</c:formatCode>
                <c:ptCount val="7"/>
                <c:pt idx="0">
                  <c:v>1226</c:v>
                </c:pt>
                <c:pt idx="1">
                  <c:v>2160</c:v>
                </c:pt>
                <c:pt idx="2">
                  <c:v>1780</c:v>
                </c:pt>
                <c:pt idx="3">
                  <c:v>1358</c:v>
                </c:pt>
                <c:pt idx="4">
                  <c:v>2076</c:v>
                </c:pt>
                <c:pt idx="5">
                  <c:v>1730</c:v>
                </c:pt>
                <c:pt idx="6">
                  <c:v>1891</c:v>
                </c:pt>
              </c:numCache>
            </c:numRef>
          </c:val>
          <c:smooth val="0"/>
        </c:ser>
        <c:dLbls>
          <c:showLegendKey val="0"/>
          <c:showVal val="0"/>
          <c:showCatName val="0"/>
          <c:showSerName val="0"/>
          <c:showPercent val="0"/>
          <c:showBubbleSize val="0"/>
        </c:dLbls>
        <c:marker val="1"/>
        <c:smooth val="0"/>
        <c:axId val="98969088"/>
        <c:axId val="98967552"/>
      </c:lineChart>
      <c:catAx>
        <c:axId val="9389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93899008"/>
        <c:crosses val="autoZero"/>
        <c:auto val="1"/>
        <c:lblAlgn val="ctr"/>
        <c:lblOffset val="100"/>
        <c:noMultiLvlLbl val="0"/>
      </c:catAx>
      <c:valAx>
        <c:axId val="93899008"/>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lv-LV"/>
          </a:p>
        </c:txPr>
        <c:crossAx val="93897472"/>
        <c:crosses val="autoZero"/>
        <c:crossBetween val="between"/>
      </c:valAx>
      <c:valAx>
        <c:axId val="98967552"/>
        <c:scaling>
          <c:orientation val="minMax"/>
        </c:scaling>
        <c:delete val="0"/>
        <c:axPos val="r"/>
        <c:numFmt formatCode="General" sourceLinked="1"/>
        <c:majorTickMark val="out"/>
        <c:minorTickMark val="none"/>
        <c:tickLblPos val="nextTo"/>
        <c:spPr>
          <a:noFill/>
          <a:ln>
            <a:noFill/>
          </a:ln>
          <a:effectLst/>
        </c:spPr>
        <c:txPr>
          <a:bodyPr rot="-60000000" vert="horz"/>
          <a:lstStyle/>
          <a:p>
            <a:pPr>
              <a:defRPr/>
            </a:pPr>
            <a:endParaRPr lang="lv-LV"/>
          </a:p>
        </c:txPr>
        <c:crossAx val="98969088"/>
        <c:crosses val="max"/>
        <c:crossBetween val="between"/>
      </c:valAx>
      <c:catAx>
        <c:axId val="98969088"/>
        <c:scaling>
          <c:orientation val="minMax"/>
        </c:scaling>
        <c:delete val="1"/>
        <c:axPos val="b"/>
        <c:numFmt formatCode="General" sourceLinked="1"/>
        <c:majorTickMark val="out"/>
        <c:minorTickMark val="none"/>
        <c:tickLblPos val="nextTo"/>
        <c:crossAx val="98967552"/>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'APK-AMATPERSONAS'!$A$3</c:f>
              <c:strCache>
                <c:ptCount val="1"/>
                <c:pt idx="0">
                  <c:v>Lēmumu skaits</c:v>
                </c:pt>
              </c:strCache>
            </c:strRef>
          </c:tx>
          <c:spPr>
            <a:solidFill>
              <a:schemeClr val="accent3">
                <a:lumMod val="60000"/>
                <a:lumOff val="40000"/>
              </a:schemeClr>
            </a:solidFill>
            <a:scene3d>
              <a:camera prst="orthographicFront"/>
              <a:lightRig rig="threePt" dir="t"/>
            </a:scene3d>
            <a:sp3d>
              <a:bevelT/>
            </a:sp3d>
          </c:spPr>
          <c:invertIfNegative val="0"/>
          <c:dLbls>
            <c:dLbl>
              <c:idx val="1"/>
              <c:layout>
                <c:manualLayout>
                  <c:x val="0"/>
                  <c:y val="2.14414331929439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'APK-AMATPERSONAS'!$B$2:$H$2</c:f>
              <c:strCache>
                <c:ptCount val="7"/>
                <c:pt idx="0">
                  <c:v>2012 I</c:v>
                </c:pt>
                <c:pt idx="1">
                  <c:v>2012 II</c:v>
                </c:pt>
                <c:pt idx="2">
                  <c:v>2013 I</c:v>
                </c:pt>
                <c:pt idx="3">
                  <c:v>2013 II</c:v>
                </c:pt>
                <c:pt idx="4">
                  <c:v>2014 I</c:v>
                </c:pt>
                <c:pt idx="5">
                  <c:v>2014 II</c:v>
                </c:pt>
                <c:pt idx="6">
                  <c:v>2015 I</c:v>
                </c:pt>
              </c:strCache>
            </c:strRef>
          </c:cat>
          <c:val>
            <c:numRef>
              <c:f>'APK-AMATPERSONAS'!$B$3:$H$3</c:f>
              <c:numCache>
                <c:formatCode>General</c:formatCode>
                <c:ptCount val="7"/>
                <c:pt idx="0">
                  <c:v>89</c:v>
                </c:pt>
                <c:pt idx="1">
                  <c:v>47</c:v>
                </c:pt>
                <c:pt idx="2">
                  <c:v>59</c:v>
                </c:pt>
                <c:pt idx="3">
                  <c:v>58</c:v>
                </c:pt>
                <c:pt idx="4">
                  <c:v>100</c:v>
                </c:pt>
                <c:pt idx="5">
                  <c:v>100</c:v>
                </c:pt>
                <c:pt idx="6">
                  <c:v>104</c:v>
                </c:pt>
              </c:numCache>
            </c:numRef>
          </c:val>
        </c:ser>
        <c:ser>
          <c:idx val="2"/>
          <c:order val="1"/>
          <c:tx>
            <c:strRef>
              <c:f>'APK-AMATPERSONAS'!$A$4</c:f>
              <c:strCache>
                <c:ptCount val="1"/>
                <c:pt idx="0">
                  <c:v>Naudas sodi</c:v>
                </c:pt>
              </c:strCache>
            </c:strRef>
          </c:tx>
          <c:spPr>
            <a:solidFill>
              <a:schemeClr val="accent3">
                <a:lumMod val="20000"/>
                <a:lumOff val="80000"/>
              </a:schemeClr>
            </a:solidFill>
            <a:scene3d>
              <a:camera prst="orthographicFront"/>
              <a:lightRig rig="threePt" dir="t"/>
            </a:scene3d>
            <a:sp3d>
              <a:bevelT/>
            </a:sp3d>
          </c:spPr>
          <c:invertIfNegative val="0"/>
          <c:dLbls>
            <c:dLbl>
              <c:idx val="0"/>
              <c:layout>
                <c:manualLayout>
                  <c:x val="6.9444444444444441E-3"/>
                  <c:y val="0"/>
                </c:manualLayout>
              </c:layout>
              <c:showLegendKey val="0"/>
              <c:showVal val="1"/>
              <c:showCatName val="0"/>
              <c:showSerName val="0"/>
              <c:showPercent val="0"/>
              <c:showBubbleSize val="0"/>
            </c:dLbl>
            <c:dLbl>
              <c:idx val="1"/>
              <c:layout>
                <c:manualLayout>
                  <c:x val="2.3148148148148147E-3"/>
                  <c:y val="0"/>
                </c:manualLayout>
              </c:layout>
              <c:showLegendKey val="0"/>
              <c:showVal val="1"/>
              <c:showCatName val="0"/>
              <c:showSerName val="0"/>
              <c:showPercent val="0"/>
              <c:showBubbleSize val="0"/>
            </c:dLbl>
            <c:dLbl>
              <c:idx val="2"/>
              <c:layout>
                <c:manualLayout>
                  <c:x val="6.6777974976312219E-3"/>
                  <c:y val="1.20704388695599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777974976312219E-3"/>
                  <c:y val="-3.875968992248062E-3"/>
                </c:manualLayout>
              </c:layout>
              <c:showLegendKey val="0"/>
              <c:showVal val="1"/>
              <c:showCatName val="0"/>
              <c:showSerName val="0"/>
              <c:showPercent val="0"/>
              <c:showBubbleSize val="0"/>
            </c:dLbl>
            <c:dLbl>
              <c:idx val="4"/>
              <c:layout>
                <c:manualLayout>
                  <c:x val="1.1129662496052036E-2"/>
                  <c:y val="1.643685527681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4518649984208146E-3"/>
                  <c:y val="0"/>
                </c:manualLayout>
              </c:layout>
              <c:showLegendKey val="0"/>
              <c:showVal val="1"/>
              <c:showCatName val="0"/>
              <c:showSerName val="0"/>
              <c:showPercent val="0"/>
              <c:showBubbleSize val="0"/>
            </c:dLbl>
            <c:dLbl>
              <c:idx val="6"/>
              <c:layout>
                <c:manualLayout>
                  <c:x val="6.6777974976312219E-3"/>
                  <c:y val="0"/>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'APK-AMATPERSONAS'!$B$2:$H$2</c:f>
              <c:strCache>
                <c:ptCount val="7"/>
                <c:pt idx="0">
                  <c:v>2012 I</c:v>
                </c:pt>
                <c:pt idx="1">
                  <c:v>2012 II</c:v>
                </c:pt>
                <c:pt idx="2">
                  <c:v>2013 I</c:v>
                </c:pt>
                <c:pt idx="3">
                  <c:v>2013 II</c:v>
                </c:pt>
                <c:pt idx="4">
                  <c:v>2014 I</c:v>
                </c:pt>
                <c:pt idx="5">
                  <c:v>2014 II</c:v>
                </c:pt>
                <c:pt idx="6">
                  <c:v>2015 I</c:v>
                </c:pt>
              </c:strCache>
            </c:strRef>
          </c:cat>
          <c:val>
            <c:numRef>
              <c:f>'APK-AMATPERSONAS'!$B$4:$H$4</c:f>
              <c:numCache>
                <c:formatCode>General</c:formatCode>
                <c:ptCount val="7"/>
                <c:pt idx="0">
                  <c:v>20</c:v>
                </c:pt>
                <c:pt idx="1">
                  <c:v>26</c:v>
                </c:pt>
                <c:pt idx="2">
                  <c:v>43</c:v>
                </c:pt>
                <c:pt idx="3">
                  <c:v>34</c:v>
                </c:pt>
                <c:pt idx="4">
                  <c:v>61</c:v>
                </c:pt>
                <c:pt idx="5">
                  <c:v>39</c:v>
                </c:pt>
                <c:pt idx="6">
                  <c:v>56</c:v>
                </c:pt>
              </c:numCache>
            </c:numRef>
          </c:val>
        </c:ser>
        <c:dLbls>
          <c:showLegendKey val="0"/>
          <c:showVal val="0"/>
          <c:showCatName val="0"/>
          <c:showSerName val="0"/>
          <c:showPercent val="0"/>
          <c:showBubbleSize val="0"/>
        </c:dLbls>
        <c:gapWidth val="400"/>
        <c:axId val="99827712"/>
        <c:axId val="99829248"/>
      </c:barChart>
      <c:lineChart>
        <c:grouping val="standard"/>
        <c:varyColors val="0"/>
        <c:ser>
          <c:idx val="3"/>
          <c:order val="2"/>
          <c:tx>
            <c:strRef>
              <c:f>'APK-AMATPERSONAS'!$A$5</c:f>
              <c:strCache>
                <c:ptCount val="1"/>
                <c:pt idx="0">
                  <c:v>Sodu apmērs (EUR)</c:v>
                </c:pt>
              </c:strCache>
            </c:strRef>
          </c:tx>
          <c:spPr>
            <a:ln w="25400">
              <a:solidFill>
                <a:schemeClr val="accent2">
                  <a:lumMod val="75000"/>
                </a:schemeClr>
              </a:solidFill>
            </a:ln>
          </c:spPr>
          <c:marker>
            <c:symbol val="triangle"/>
            <c:size val="4"/>
            <c:spPr>
              <a:solidFill>
                <a:schemeClr val="accent2">
                  <a:lumMod val="75000"/>
                </a:schemeClr>
              </a:solidFill>
              <a:scene3d>
                <a:camera prst="orthographicFront"/>
                <a:lightRig rig="threePt" dir="t"/>
              </a:scene3d>
              <a:sp3d>
                <a:bevelT/>
              </a:sp3d>
            </c:spPr>
          </c:marker>
          <c:dLbls>
            <c:dLbl>
              <c:idx val="0"/>
              <c:layout>
                <c:manualLayout>
                  <c:x val="-9.4302419045288795E-3"/>
                  <c:y val="3.02655191356894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215573534670566E-2"/>
                  <c:y val="-4.14716109161867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616488305791906E-2"/>
                  <c:y val="-1.83760605505707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695538057742782E-2"/>
                  <c:y val="5.93645564558360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129662496052036E-2"/>
                  <c:y val="-3.0519440883843005E-7"/>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'APK-AMATPERSONAS'!$B$5:$H$5</c:f>
              <c:numCache>
                <c:formatCode>0</c:formatCode>
                <c:ptCount val="7"/>
                <c:pt idx="0">
                  <c:v>2447.3395142884788</c:v>
                </c:pt>
                <c:pt idx="1">
                  <c:v>4176.1287642073748</c:v>
                </c:pt>
                <c:pt idx="2">
                  <c:v>4190.3574823137033</c:v>
                </c:pt>
                <c:pt idx="3">
                  <c:v>4154.7856870478827</c:v>
                </c:pt>
                <c:pt idx="4" formatCode="General">
                  <c:v>5755</c:v>
                </c:pt>
                <c:pt idx="5" formatCode="General">
                  <c:v>4360</c:v>
                </c:pt>
                <c:pt idx="6" formatCode="General">
                  <c:v>5500</c:v>
                </c:pt>
              </c:numCache>
            </c:numRef>
          </c:val>
          <c:smooth val="0"/>
        </c:ser>
        <c:dLbls>
          <c:showLegendKey val="0"/>
          <c:showVal val="0"/>
          <c:showCatName val="0"/>
          <c:showSerName val="0"/>
          <c:showPercent val="0"/>
          <c:showBubbleSize val="0"/>
        </c:dLbls>
        <c:marker val="1"/>
        <c:smooth val="0"/>
        <c:axId val="99836672"/>
        <c:axId val="99830784"/>
      </c:lineChart>
      <c:catAx>
        <c:axId val="99827712"/>
        <c:scaling>
          <c:orientation val="minMax"/>
        </c:scaling>
        <c:delete val="0"/>
        <c:axPos val="b"/>
        <c:numFmt formatCode="General" sourceLinked="0"/>
        <c:majorTickMark val="out"/>
        <c:minorTickMark val="none"/>
        <c:tickLblPos val="nextTo"/>
        <c:crossAx val="99829248"/>
        <c:crosses val="autoZero"/>
        <c:auto val="1"/>
        <c:lblAlgn val="ctr"/>
        <c:lblOffset val="100"/>
        <c:noMultiLvlLbl val="0"/>
      </c:catAx>
      <c:valAx>
        <c:axId val="99829248"/>
        <c:scaling>
          <c:orientation val="minMax"/>
          <c:max val="150"/>
        </c:scaling>
        <c:delete val="0"/>
        <c:axPos val="l"/>
        <c:majorGridlines>
          <c:spPr>
            <a:ln>
              <a:noFill/>
            </a:ln>
          </c:spPr>
        </c:majorGridlines>
        <c:numFmt formatCode="General" sourceLinked="1"/>
        <c:majorTickMark val="out"/>
        <c:minorTickMark val="none"/>
        <c:tickLblPos val="nextTo"/>
        <c:crossAx val="99827712"/>
        <c:crosses val="autoZero"/>
        <c:crossBetween val="between"/>
        <c:majorUnit val="50"/>
      </c:valAx>
      <c:valAx>
        <c:axId val="99830784"/>
        <c:scaling>
          <c:orientation val="minMax"/>
          <c:max val="10000"/>
        </c:scaling>
        <c:delete val="0"/>
        <c:axPos val="r"/>
        <c:numFmt formatCode="0" sourceLinked="1"/>
        <c:majorTickMark val="out"/>
        <c:minorTickMark val="none"/>
        <c:tickLblPos val="nextTo"/>
        <c:crossAx val="99836672"/>
        <c:crosses val="max"/>
        <c:crossBetween val="between"/>
        <c:majorUnit val="3000"/>
      </c:valAx>
      <c:catAx>
        <c:axId val="99836672"/>
        <c:scaling>
          <c:orientation val="minMax"/>
        </c:scaling>
        <c:delete val="1"/>
        <c:axPos val="b"/>
        <c:majorTickMark val="out"/>
        <c:minorTickMark val="none"/>
        <c:tickLblPos val="nextTo"/>
        <c:crossAx val="99830784"/>
        <c:crosses val="autoZero"/>
        <c:auto val="1"/>
        <c:lblAlgn val="ctr"/>
        <c:lblOffset val="100"/>
        <c:noMultiLvlLbl val="0"/>
      </c:catAx>
    </c:plotArea>
    <c:legend>
      <c:legendPos val="b"/>
      <c:overlay val="0"/>
    </c:legend>
    <c:plotVisOnly val="1"/>
    <c:dispBlanksAs val="gap"/>
    <c:showDLblsOverMax val="0"/>
  </c:chart>
  <c:spPr>
    <a:ln>
      <a:solidFill>
        <a:schemeClr val="bg2"/>
      </a:solidFill>
    </a:ln>
  </c:spPr>
  <c:txPr>
    <a:bodyPr/>
    <a:lstStyle/>
    <a:p>
      <a:pPr>
        <a:defRPr sz="105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604507280303244E-2"/>
          <c:y val="3.4267036064936328E-2"/>
          <c:w val="0.94819162880785612"/>
          <c:h val="0.68545655477275869"/>
        </c:manualLayout>
      </c:layout>
      <c:barChart>
        <c:barDir val="col"/>
        <c:grouping val="clustered"/>
        <c:varyColors val="0"/>
        <c:ser>
          <c:idx val="0"/>
          <c:order val="0"/>
          <c:tx>
            <c:strRef>
              <c:f>APKAROSANA!$A$3</c:f>
              <c:strCache>
                <c:ptCount val="1"/>
                <c:pt idx="0">
                  <c:v>Kriminālvajāšanas uzsākšanai nosūtīto lietu skaits</c:v>
                </c:pt>
              </c:strCache>
            </c:strRef>
          </c:tx>
          <c:spPr>
            <a:solidFill>
              <a:schemeClr val="accent3">
                <a:lumMod val="75000"/>
              </a:schemeClr>
            </a:solidFill>
            <a:ln>
              <a:solidFill>
                <a:schemeClr val="accent3">
                  <a:lumMod val="75000"/>
                </a:schemeClr>
              </a:solidFill>
            </a:ln>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APKAROSANA!$B$2:$H$2</c:f>
              <c:strCache>
                <c:ptCount val="7"/>
                <c:pt idx="0">
                  <c:v>2010 I</c:v>
                </c:pt>
                <c:pt idx="1">
                  <c:v>2011 I</c:v>
                </c:pt>
                <c:pt idx="2">
                  <c:v>2012 I</c:v>
                </c:pt>
                <c:pt idx="3">
                  <c:v>2013 I</c:v>
                </c:pt>
                <c:pt idx="4">
                  <c:v>2014 I</c:v>
                </c:pt>
                <c:pt idx="5">
                  <c:v>2014 II</c:v>
                </c:pt>
                <c:pt idx="6">
                  <c:v>2015 I</c:v>
                </c:pt>
              </c:strCache>
            </c:strRef>
          </c:cat>
          <c:val>
            <c:numRef>
              <c:f>APKAROSANA!$B$3:$H$3</c:f>
              <c:numCache>
                <c:formatCode>General</c:formatCode>
                <c:ptCount val="7"/>
                <c:pt idx="0">
                  <c:v>9</c:v>
                </c:pt>
                <c:pt idx="1">
                  <c:v>10</c:v>
                </c:pt>
                <c:pt idx="2">
                  <c:v>6</c:v>
                </c:pt>
                <c:pt idx="3">
                  <c:v>11</c:v>
                </c:pt>
                <c:pt idx="4">
                  <c:v>11</c:v>
                </c:pt>
                <c:pt idx="5">
                  <c:v>16</c:v>
                </c:pt>
                <c:pt idx="6">
                  <c:v>6</c:v>
                </c:pt>
              </c:numCache>
            </c:numRef>
          </c:val>
        </c:ser>
        <c:ser>
          <c:idx val="1"/>
          <c:order val="1"/>
          <c:tx>
            <c:strRef>
              <c:f>APKAROSANA!$A$4</c:f>
              <c:strCache>
                <c:ptCount val="1"/>
                <c:pt idx="0">
                  <c:v>Personu skaits</c:v>
                </c:pt>
              </c:strCache>
            </c:strRef>
          </c:tx>
          <c:spPr>
            <a:solidFill>
              <a:schemeClr val="accent3">
                <a:lumMod val="60000"/>
                <a:lumOff val="40000"/>
              </a:schemeClr>
            </a:solidFill>
            <a:ln>
              <a:solidFill>
                <a:schemeClr val="accent3">
                  <a:lumMod val="60000"/>
                  <a:lumOff val="40000"/>
                </a:schemeClr>
              </a:solidFill>
            </a:ln>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APKAROSANA!$B$2:$H$2</c:f>
              <c:strCache>
                <c:ptCount val="7"/>
                <c:pt idx="0">
                  <c:v>2010 I</c:v>
                </c:pt>
                <c:pt idx="1">
                  <c:v>2011 I</c:v>
                </c:pt>
                <c:pt idx="2">
                  <c:v>2012 I</c:v>
                </c:pt>
                <c:pt idx="3">
                  <c:v>2013 I</c:v>
                </c:pt>
                <c:pt idx="4">
                  <c:v>2014 I</c:v>
                </c:pt>
                <c:pt idx="5">
                  <c:v>2014 II</c:v>
                </c:pt>
                <c:pt idx="6">
                  <c:v>2015 I</c:v>
                </c:pt>
              </c:strCache>
            </c:strRef>
          </c:cat>
          <c:val>
            <c:numRef>
              <c:f>APKAROSANA!$B$4:$H$4</c:f>
              <c:numCache>
                <c:formatCode>General</c:formatCode>
                <c:ptCount val="7"/>
                <c:pt idx="0">
                  <c:v>15</c:v>
                </c:pt>
                <c:pt idx="1">
                  <c:v>24</c:v>
                </c:pt>
                <c:pt idx="2">
                  <c:v>31</c:v>
                </c:pt>
                <c:pt idx="3">
                  <c:v>38</c:v>
                </c:pt>
                <c:pt idx="4">
                  <c:v>32</c:v>
                </c:pt>
                <c:pt idx="5">
                  <c:v>40</c:v>
                </c:pt>
                <c:pt idx="6">
                  <c:v>15</c:v>
                </c:pt>
              </c:numCache>
            </c:numRef>
          </c:val>
        </c:ser>
        <c:dLbls>
          <c:showLegendKey val="0"/>
          <c:showVal val="0"/>
          <c:showCatName val="0"/>
          <c:showSerName val="0"/>
          <c:showPercent val="0"/>
          <c:showBubbleSize val="0"/>
        </c:dLbls>
        <c:gapWidth val="150"/>
        <c:axId val="93328512"/>
        <c:axId val="93330048"/>
      </c:barChart>
      <c:lineChart>
        <c:grouping val="standard"/>
        <c:varyColors val="0"/>
        <c:ser>
          <c:idx val="2"/>
          <c:order val="2"/>
          <c:tx>
            <c:strRef>
              <c:f>APKAROSANA!$A$5</c:f>
              <c:strCache>
                <c:ptCount val="1"/>
                <c:pt idx="0">
                  <c:v>Uzsāktie kriminālprocesi</c:v>
                </c:pt>
              </c:strCache>
            </c:strRef>
          </c:tx>
          <c:spPr>
            <a:ln>
              <a:solidFill>
                <a:schemeClr val="accent2">
                  <a:lumMod val="75000"/>
                </a:schemeClr>
              </a:solidFill>
            </a:ln>
          </c:spPr>
          <c:marker>
            <c:symbol val="triangle"/>
            <c:size val="5"/>
            <c:spPr>
              <a:solidFill>
                <a:schemeClr val="accent2">
                  <a:lumMod val="75000"/>
                </a:schemeClr>
              </a:solidFill>
            </c:spPr>
          </c:marker>
          <c:dPt>
            <c:idx val="4"/>
            <c:marker>
              <c:spPr>
                <a:solidFill>
                  <a:schemeClr val="accent2">
                    <a:lumMod val="75000"/>
                  </a:schemeClr>
                </a:solidFill>
                <a:ln>
                  <a:solidFill>
                    <a:schemeClr val="accent2">
                      <a:lumMod val="75000"/>
                    </a:schemeClr>
                  </a:solidFill>
                </a:ln>
              </c:spPr>
            </c:marker>
            <c:bubble3D val="0"/>
          </c:dPt>
          <c:dLbls>
            <c:dLbl>
              <c:idx val="0"/>
              <c:layout>
                <c:manualLayout>
                  <c:x val="-5.3240740740740748E-2"/>
                  <c:y val="-2.1980120394522969E-2"/>
                </c:manualLayout>
              </c:layout>
              <c:showLegendKey val="0"/>
              <c:showVal val="1"/>
              <c:showCatName val="0"/>
              <c:showSerName val="0"/>
              <c:showPercent val="0"/>
              <c:showBubbleSize val="0"/>
            </c:dLbl>
            <c:dLbl>
              <c:idx val="1"/>
              <c:layout>
                <c:manualLayout>
                  <c:x val="-1.3888888888888888E-2"/>
                  <c:y val="-4.029919501414711E-2"/>
                </c:manualLayout>
              </c:layout>
              <c:showLegendKey val="0"/>
              <c:showVal val="1"/>
              <c:showCatName val="0"/>
              <c:showSerName val="0"/>
              <c:showPercent val="0"/>
              <c:showBubbleSize val="0"/>
            </c:dLbl>
            <c:dLbl>
              <c:idx val="2"/>
              <c:layout>
                <c:manualLayout>
                  <c:x val="-2.7777777777777776E-2"/>
                  <c:y val="-4.0296887389958777E-2"/>
                </c:manualLayout>
              </c:layout>
              <c:showLegendKey val="0"/>
              <c:showVal val="1"/>
              <c:showCatName val="0"/>
              <c:showSerName val="0"/>
              <c:showPercent val="0"/>
              <c:showBubbleSize val="0"/>
            </c:dLbl>
            <c:dLbl>
              <c:idx val="3"/>
              <c:layout>
                <c:manualLayout>
                  <c:x val="-1.3888888888888888E-2"/>
                  <c:y val="-3.6633533990871617E-2"/>
                </c:manualLayout>
              </c:layout>
              <c:showLegendKey val="0"/>
              <c:showVal val="1"/>
              <c:showCatName val="0"/>
              <c:showSerName val="0"/>
              <c:showPercent val="0"/>
              <c:showBubbleSize val="0"/>
            </c:dLbl>
            <c:dLbl>
              <c:idx val="4"/>
              <c:layout>
                <c:manualLayout>
                  <c:x val="-2.3148148148148064E-2"/>
                  <c:y val="0"/>
                </c:manualLayout>
              </c:layout>
              <c:showLegendKey val="0"/>
              <c:showVal val="1"/>
              <c:showCatName val="0"/>
              <c:showSerName val="0"/>
              <c:showPercent val="0"/>
              <c:showBubbleSize val="0"/>
            </c:dLbl>
            <c:dLbl>
              <c:idx val="5"/>
              <c:layout>
                <c:manualLayout>
                  <c:x val="-9.2592592592592587E-3"/>
                  <c:y val="-2.9306827192697293E-2"/>
                </c:manualLayout>
              </c:layout>
              <c:showLegendKey val="0"/>
              <c:showVal val="1"/>
              <c:showCatName val="0"/>
              <c:showSerName val="0"/>
              <c:showPercent val="0"/>
              <c:showBubbleSize val="0"/>
            </c:dLbl>
            <c:dLbl>
              <c:idx val="6"/>
              <c:layout>
                <c:manualLayout>
                  <c:x val="-2.7777777777777776E-2"/>
                  <c:y val="-1.46534135963487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APKAROSANA!$B$2:$G$2</c:f>
              <c:strCache>
                <c:ptCount val="6"/>
                <c:pt idx="0">
                  <c:v>2010 I</c:v>
                </c:pt>
                <c:pt idx="1">
                  <c:v>2011 I</c:v>
                </c:pt>
                <c:pt idx="2">
                  <c:v>2012 I</c:v>
                </c:pt>
                <c:pt idx="3">
                  <c:v>2013 I</c:v>
                </c:pt>
                <c:pt idx="4">
                  <c:v>2014 I</c:v>
                </c:pt>
                <c:pt idx="5">
                  <c:v>2014 II</c:v>
                </c:pt>
              </c:strCache>
            </c:strRef>
          </c:cat>
          <c:val>
            <c:numRef>
              <c:f>APKAROSANA!$B$5:$H$5</c:f>
              <c:numCache>
                <c:formatCode>General</c:formatCode>
                <c:ptCount val="7"/>
                <c:pt idx="0">
                  <c:v>14</c:v>
                </c:pt>
                <c:pt idx="1">
                  <c:v>12</c:v>
                </c:pt>
                <c:pt idx="2">
                  <c:v>15</c:v>
                </c:pt>
                <c:pt idx="3">
                  <c:v>25</c:v>
                </c:pt>
                <c:pt idx="4">
                  <c:v>18</c:v>
                </c:pt>
                <c:pt idx="5">
                  <c:v>7</c:v>
                </c:pt>
                <c:pt idx="6">
                  <c:v>13</c:v>
                </c:pt>
              </c:numCache>
            </c:numRef>
          </c:val>
          <c:smooth val="0"/>
        </c:ser>
        <c:dLbls>
          <c:showLegendKey val="0"/>
          <c:showVal val="0"/>
          <c:showCatName val="0"/>
          <c:showSerName val="0"/>
          <c:showPercent val="0"/>
          <c:showBubbleSize val="0"/>
        </c:dLbls>
        <c:marker val="1"/>
        <c:smooth val="0"/>
        <c:axId val="93328512"/>
        <c:axId val="93330048"/>
      </c:lineChart>
      <c:catAx>
        <c:axId val="93328512"/>
        <c:scaling>
          <c:orientation val="minMax"/>
        </c:scaling>
        <c:delete val="0"/>
        <c:axPos val="b"/>
        <c:numFmt formatCode="General" sourceLinked="0"/>
        <c:majorTickMark val="out"/>
        <c:minorTickMark val="none"/>
        <c:tickLblPos val="nextTo"/>
        <c:crossAx val="93330048"/>
        <c:crosses val="autoZero"/>
        <c:auto val="1"/>
        <c:lblAlgn val="ctr"/>
        <c:lblOffset val="100"/>
        <c:noMultiLvlLbl val="0"/>
      </c:catAx>
      <c:valAx>
        <c:axId val="93330048"/>
        <c:scaling>
          <c:orientation val="minMax"/>
        </c:scaling>
        <c:delete val="0"/>
        <c:axPos val="l"/>
        <c:numFmt formatCode="General" sourceLinked="1"/>
        <c:majorTickMark val="out"/>
        <c:minorTickMark val="none"/>
        <c:tickLblPos val="nextTo"/>
        <c:crossAx val="93328512"/>
        <c:crosses val="autoZero"/>
        <c:crossBetween val="between"/>
      </c:valAx>
    </c:plotArea>
    <c:legend>
      <c:legendPos val="r"/>
      <c:layout>
        <c:manualLayout>
          <c:xMode val="edge"/>
          <c:yMode val="edge"/>
          <c:x val="7.2227393432460194E-2"/>
          <c:y val="0.81679845282497587"/>
          <c:w val="0.83020149655206144"/>
          <c:h val="0.18320154717502418"/>
        </c:manualLayout>
      </c:layout>
      <c:overlay val="0"/>
    </c:legend>
    <c:plotVisOnly val="1"/>
    <c:dispBlanksAs val="gap"/>
    <c:showDLblsOverMax val="0"/>
  </c:chart>
  <c:spPr>
    <a:ln>
      <a:solidFill>
        <a:schemeClr val="bg2"/>
      </a:solidFill>
    </a:ln>
  </c:spPr>
  <c:txPr>
    <a:bodyPr/>
    <a:lstStyle/>
    <a:p>
      <a:pPr>
        <a:defRPr sz="105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'APK-PARTIJAS'!$A$3</c:f>
              <c:strCache>
                <c:ptCount val="1"/>
                <c:pt idx="0">
                  <c:v>Lēmumu skaits</c:v>
                </c:pt>
              </c:strCache>
            </c:strRef>
          </c:tx>
          <c:spPr>
            <a:solidFill>
              <a:schemeClr val="accent3">
                <a:lumMod val="75000"/>
              </a:schemeClr>
            </a:solidFill>
            <a:scene3d>
              <a:camera prst="orthographicFront"/>
              <a:lightRig rig="threePt" dir="t"/>
            </a:scene3d>
            <a:sp3d>
              <a:bevelT/>
            </a:sp3d>
          </c:spPr>
          <c:invertIfNegative val="0"/>
          <c:dLbls>
            <c:showLegendKey val="0"/>
            <c:showVal val="1"/>
            <c:showCatName val="0"/>
            <c:showSerName val="0"/>
            <c:showPercent val="0"/>
            <c:showBubbleSize val="0"/>
            <c:showLeaderLines val="0"/>
          </c:dLbls>
          <c:cat>
            <c:strRef>
              <c:f>'APK-PARTIJAS'!$B$2:$H$2</c:f>
              <c:strCache>
                <c:ptCount val="7"/>
                <c:pt idx="0">
                  <c:v>2012 I</c:v>
                </c:pt>
                <c:pt idx="1">
                  <c:v>2012 II</c:v>
                </c:pt>
                <c:pt idx="2">
                  <c:v>2013 I</c:v>
                </c:pt>
                <c:pt idx="3">
                  <c:v>2013 II</c:v>
                </c:pt>
                <c:pt idx="4">
                  <c:v>2014 I</c:v>
                </c:pt>
                <c:pt idx="5">
                  <c:v>2014 II</c:v>
                </c:pt>
                <c:pt idx="6">
                  <c:v>2015 I</c:v>
                </c:pt>
              </c:strCache>
            </c:strRef>
          </c:cat>
          <c:val>
            <c:numRef>
              <c:f>'APK-PARTIJAS'!$B$3:$H$3</c:f>
              <c:numCache>
                <c:formatCode>General</c:formatCode>
                <c:ptCount val="7"/>
                <c:pt idx="0">
                  <c:v>37</c:v>
                </c:pt>
                <c:pt idx="1">
                  <c:v>8</c:v>
                </c:pt>
                <c:pt idx="2">
                  <c:v>6</c:v>
                </c:pt>
                <c:pt idx="3">
                  <c:v>37</c:v>
                </c:pt>
                <c:pt idx="4">
                  <c:v>28</c:v>
                </c:pt>
                <c:pt idx="5">
                  <c:v>18</c:v>
                </c:pt>
                <c:pt idx="6">
                  <c:v>29</c:v>
                </c:pt>
              </c:numCache>
            </c:numRef>
          </c:val>
        </c:ser>
        <c:ser>
          <c:idx val="1"/>
          <c:order val="1"/>
          <c:tx>
            <c:strRef>
              <c:f>'APK-PARTIJAS'!$A$4</c:f>
              <c:strCache>
                <c:ptCount val="1"/>
                <c:pt idx="0">
                  <c:v>Naudas sodi</c:v>
                </c:pt>
              </c:strCache>
            </c:strRef>
          </c:tx>
          <c:spPr>
            <a:solidFill>
              <a:schemeClr val="accent3">
                <a:lumMod val="40000"/>
                <a:lumOff val="60000"/>
              </a:schemeClr>
            </a:solidFill>
            <a:scene3d>
              <a:camera prst="orthographicFront"/>
              <a:lightRig rig="threePt" dir="t"/>
            </a:scene3d>
            <a:sp3d>
              <a:bevelT/>
              <a:bevelB/>
            </a:sp3d>
          </c:spPr>
          <c:invertIfNegative val="0"/>
          <c:dLbls>
            <c:showLegendKey val="0"/>
            <c:showVal val="1"/>
            <c:showCatName val="0"/>
            <c:showSerName val="0"/>
            <c:showPercent val="0"/>
            <c:showBubbleSize val="0"/>
            <c:showLeaderLines val="0"/>
          </c:dLbls>
          <c:cat>
            <c:strRef>
              <c:f>'APK-PARTIJAS'!$B$2:$H$2</c:f>
              <c:strCache>
                <c:ptCount val="7"/>
                <c:pt idx="0">
                  <c:v>2012 I</c:v>
                </c:pt>
                <c:pt idx="1">
                  <c:v>2012 II</c:v>
                </c:pt>
                <c:pt idx="2">
                  <c:v>2013 I</c:v>
                </c:pt>
                <c:pt idx="3">
                  <c:v>2013 II</c:v>
                </c:pt>
                <c:pt idx="4">
                  <c:v>2014 I</c:v>
                </c:pt>
                <c:pt idx="5">
                  <c:v>2014 II</c:v>
                </c:pt>
                <c:pt idx="6">
                  <c:v>2015 I</c:v>
                </c:pt>
              </c:strCache>
            </c:strRef>
          </c:cat>
          <c:val>
            <c:numRef>
              <c:f>'APK-PARTIJAS'!$B$4:$H$4</c:f>
              <c:numCache>
                <c:formatCode>General</c:formatCode>
                <c:ptCount val="7"/>
                <c:pt idx="0">
                  <c:v>21</c:v>
                </c:pt>
                <c:pt idx="1">
                  <c:v>3</c:v>
                </c:pt>
                <c:pt idx="2">
                  <c:v>2</c:v>
                </c:pt>
                <c:pt idx="3">
                  <c:v>26</c:v>
                </c:pt>
                <c:pt idx="4">
                  <c:v>26</c:v>
                </c:pt>
                <c:pt idx="5">
                  <c:v>13</c:v>
                </c:pt>
                <c:pt idx="6">
                  <c:v>28</c:v>
                </c:pt>
              </c:numCache>
            </c:numRef>
          </c:val>
        </c:ser>
        <c:dLbls>
          <c:showLegendKey val="0"/>
          <c:showVal val="0"/>
          <c:showCatName val="0"/>
          <c:showSerName val="0"/>
          <c:showPercent val="0"/>
          <c:showBubbleSize val="0"/>
        </c:dLbls>
        <c:gapWidth val="150"/>
        <c:axId val="99913088"/>
        <c:axId val="99918976"/>
      </c:barChart>
      <c:catAx>
        <c:axId val="99913088"/>
        <c:scaling>
          <c:orientation val="minMax"/>
        </c:scaling>
        <c:delete val="0"/>
        <c:axPos val="b"/>
        <c:majorTickMark val="out"/>
        <c:minorTickMark val="none"/>
        <c:tickLblPos val="nextTo"/>
        <c:crossAx val="99918976"/>
        <c:crosses val="autoZero"/>
        <c:auto val="1"/>
        <c:lblAlgn val="ctr"/>
        <c:lblOffset val="100"/>
        <c:noMultiLvlLbl val="0"/>
      </c:catAx>
      <c:valAx>
        <c:axId val="99918976"/>
        <c:scaling>
          <c:orientation val="minMax"/>
        </c:scaling>
        <c:delete val="0"/>
        <c:axPos val="l"/>
        <c:majorGridlines>
          <c:spPr>
            <a:ln>
              <a:noFill/>
            </a:ln>
          </c:spPr>
        </c:majorGridlines>
        <c:numFmt formatCode="General" sourceLinked="1"/>
        <c:majorTickMark val="out"/>
        <c:minorTickMark val="none"/>
        <c:tickLblPos val="nextTo"/>
        <c:crossAx val="99913088"/>
        <c:crosses val="autoZero"/>
        <c:crossBetween val="between"/>
      </c:valAx>
    </c:plotArea>
    <c:legend>
      <c:legendPos val="b"/>
      <c:layout>
        <c:manualLayout>
          <c:xMode val="edge"/>
          <c:yMode val="edge"/>
          <c:x val="0.26665593938728949"/>
          <c:y val="0.92275501344250421"/>
          <c:w val="0.45411797443325463"/>
          <c:h val="7.7244986557495829E-2"/>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B51B-176E-4797-A954-202E1328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20538</Words>
  <Characters>11708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"Par Korupcijas novēršanas un apkarošanas biroja darbību no 2013.gada 1.jūlija līdz 31.decembrim"</vt:lpstr>
    </vt:vector>
  </TitlesOfParts>
  <Company>KNAB</Company>
  <LinksUpToDate>false</LinksUpToDate>
  <CharactersWithSpaces>32182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Korupcijas novēršanas un apkarošanas biroja darbību no 2013.gada 1.jūlija līdz 31.decembrim"</dc:title>
  <dc:subject>Informatīvais ziņojums</dc:subject>
  <dc:creator>KNAB</dc:creator>
  <dc:description>Vitenburgs, 67356165-306_x000d_
andris.vitenburgs@knab.gov.lv</dc:description>
  <cp:lastModifiedBy>Sintija Helviga</cp:lastModifiedBy>
  <cp:revision>4</cp:revision>
  <cp:lastPrinted>2015-08-03T11:23:00Z</cp:lastPrinted>
  <dcterms:created xsi:type="dcterms:W3CDTF">2015-07-31T11:04:00Z</dcterms:created>
  <dcterms:modified xsi:type="dcterms:W3CDTF">2015-08-03T11:24:00Z</dcterms:modified>
</cp:coreProperties>
</file>