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65" w:rsidRPr="007F5123" w:rsidRDefault="00EA02AF" w:rsidP="003360A2">
      <w:pPr>
        <w:jc w:val="center"/>
        <w:rPr>
          <w:b/>
          <w:color w:val="000000" w:themeColor="text1"/>
        </w:rPr>
      </w:pPr>
      <w:r w:rsidRPr="007F5123">
        <w:rPr>
          <w:b/>
          <w:color w:val="000000" w:themeColor="text1"/>
        </w:rPr>
        <w:t>Noteikumu</w:t>
      </w:r>
      <w:r w:rsidR="00E826C5" w:rsidRPr="007F5123">
        <w:rPr>
          <w:b/>
          <w:color w:val="000000" w:themeColor="text1"/>
        </w:rPr>
        <w:t xml:space="preserve"> projekta </w:t>
      </w:r>
    </w:p>
    <w:p w:rsidR="00C17165" w:rsidRPr="007F5123" w:rsidRDefault="00E826C5" w:rsidP="003360A2">
      <w:pPr>
        <w:jc w:val="center"/>
        <w:rPr>
          <w:b/>
          <w:color w:val="000000" w:themeColor="text1"/>
        </w:rPr>
      </w:pPr>
      <w:r w:rsidRPr="007F5123">
        <w:rPr>
          <w:b/>
          <w:bCs/>
          <w:color w:val="000000" w:themeColor="text1"/>
        </w:rPr>
        <w:t>„</w:t>
      </w:r>
      <w:r w:rsidR="007D7236" w:rsidRPr="007F5123">
        <w:rPr>
          <w:b/>
          <w:bCs/>
          <w:color w:val="000000" w:themeColor="text1"/>
        </w:rPr>
        <w:t>Noteikumi par publiskas personas kapitālsabiedrību un publiski privāto kapitālsabiedrību valdes un padomes locekļu maksimālo mēneša atlīdzības apmēru</w:t>
      </w:r>
      <w:r w:rsidRPr="007F5123">
        <w:rPr>
          <w:b/>
          <w:color w:val="000000" w:themeColor="text1"/>
        </w:rPr>
        <w:t>”</w:t>
      </w:r>
    </w:p>
    <w:p w:rsidR="00E826C5" w:rsidRPr="007F5123" w:rsidRDefault="00E826C5" w:rsidP="003360A2">
      <w:pPr>
        <w:jc w:val="center"/>
        <w:rPr>
          <w:b/>
          <w:color w:val="000000" w:themeColor="text1"/>
        </w:rPr>
      </w:pPr>
      <w:r w:rsidRPr="007F5123">
        <w:rPr>
          <w:b/>
          <w:color w:val="000000" w:themeColor="text1"/>
        </w:rPr>
        <w:t xml:space="preserve"> sākotnējās ietekmes novērtējuma ziņojums (anotācija)</w:t>
      </w:r>
    </w:p>
    <w:tbl>
      <w:tblPr>
        <w:tblpPr w:leftFromText="180" w:rightFromText="180" w:vertAnchor="text" w:horzAnchor="margin" w:tblpXSpec="center" w:tblpY="14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44"/>
        <w:gridCol w:w="2005"/>
        <w:gridCol w:w="7514"/>
      </w:tblGrid>
      <w:tr w:rsidR="00D37C89" w:rsidRPr="007F5123" w:rsidTr="00574612">
        <w:tc>
          <w:tcPr>
            <w:tcW w:w="10263" w:type="dxa"/>
            <w:gridSpan w:val="3"/>
            <w:vAlign w:val="center"/>
          </w:tcPr>
          <w:p w:rsidR="00852042" w:rsidRPr="007F5123" w:rsidRDefault="00852042" w:rsidP="003360A2">
            <w:pPr>
              <w:pStyle w:val="naisnod"/>
              <w:spacing w:before="0" w:after="0"/>
              <w:rPr>
                <w:color w:val="000000" w:themeColor="text1"/>
              </w:rPr>
            </w:pPr>
            <w:r w:rsidRPr="007F5123">
              <w:rPr>
                <w:color w:val="000000" w:themeColor="text1"/>
              </w:rPr>
              <w:t>I</w:t>
            </w:r>
            <w:r w:rsidR="000941C5" w:rsidRPr="007F5123">
              <w:rPr>
                <w:color w:val="000000" w:themeColor="text1"/>
              </w:rPr>
              <w:t>.</w:t>
            </w:r>
            <w:r w:rsidRPr="007F5123">
              <w:rPr>
                <w:color w:val="000000" w:themeColor="text1"/>
              </w:rPr>
              <w:t xml:space="preserve"> Tiesību akta </w:t>
            </w:r>
            <w:r w:rsidR="002E3FF4" w:rsidRPr="007F5123">
              <w:rPr>
                <w:color w:val="000000" w:themeColor="text1"/>
              </w:rPr>
              <w:t xml:space="preserve">projekta </w:t>
            </w:r>
            <w:r w:rsidRPr="007F5123">
              <w:rPr>
                <w:color w:val="000000" w:themeColor="text1"/>
              </w:rPr>
              <w:t>izstrādes nepieciešamība</w:t>
            </w:r>
          </w:p>
        </w:tc>
      </w:tr>
      <w:tr w:rsidR="00D37C89" w:rsidRPr="007F5123" w:rsidTr="00574612">
        <w:trPr>
          <w:trHeight w:val="267"/>
        </w:trPr>
        <w:tc>
          <w:tcPr>
            <w:tcW w:w="744" w:type="dxa"/>
          </w:tcPr>
          <w:p w:rsidR="00262E2B" w:rsidRPr="007F5123" w:rsidRDefault="00262E2B" w:rsidP="003360A2">
            <w:pPr>
              <w:pStyle w:val="naiskr"/>
              <w:spacing w:before="0" w:after="0"/>
              <w:jc w:val="center"/>
              <w:rPr>
                <w:color w:val="000000" w:themeColor="text1"/>
              </w:rPr>
            </w:pPr>
            <w:r w:rsidRPr="007F5123">
              <w:rPr>
                <w:color w:val="000000" w:themeColor="text1"/>
              </w:rPr>
              <w:t>1.</w:t>
            </w:r>
          </w:p>
        </w:tc>
        <w:tc>
          <w:tcPr>
            <w:tcW w:w="2005" w:type="dxa"/>
          </w:tcPr>
          <w:p w:rsidR="00262E2B" w:rsidRPr="007F5123" w:rsidRDefault="002D7F54" w:rsidP="003360A2">
            <w:pPr>
              <w:pStyle w:val="naiskr"/>
              <w:spacing w:before="0" w:after="0"/>
              <w:rPr>
                <w:color w:val="000000" w:themeColor="text1"/>
              </w:rPr>
            </w:pPr>
            <w:r w:rsidRPr="007F5123">
              <w:rPr>
                <w:color w:val="000000" w:themeColor="text1"/>
              </w:rPr>
              <w:t>Pamatojums</w:t>
            </w:r>
          </w:p>
        </w:tc>
        <w:tc>
          <w:tcPr>
            <w:tcW w:w="7514" w:type="dxa"/>
          </w:tcPr>
          <w:p w:rsidR="004B3215" w:rsidRPr="007F5123" w:rsidRDefault="00151100" w:rsidP="007D7236">
            <w:pPr>
              <w:ind w:left="-28"/>
              <w:jc w:val="both"/>
              <w:rPr>
                <w:bCs/>
                <w:color w:val="000000" w:themeColor="text1"/>
              </w:rPr>
            </w:pPr>
            <w:r w:rsidRPr="007F5123">
              <w:rPr>
                <w:bCs/>
                <w:color w:val="000000" w:themeColor="text1"/>
              </w:rPr>
              <w:t>Publiskas personas kapitāla daļu un kapitālsabiedrību pārvaldības likuma</w:t>
            </w:r>
            <w:r w:rsidRPr="007F5123">
              <w:rPr>
                <w:color w:val="000000" w:themeColor="text1"/>
              </w:rPr>
              <w:t xml:space="preserve"> </w:t>
            </w:r>
            <w:proofErr w:type="gramStart"/>
            <w:r w:rsidR="007D7236" w:rsidRPr="007F5123">
              <w:rPr>
                <w:color w:val="000000" w:themeColor="text1"/>
              </w:rPr>
              <w:t>79</w:t>
            </w:r>
            <w:r w:rsidRPr="007F5123">
              <w:rPr>
                <w:color w:val="000000" w:themeColor="text1"/>
              </w:rPr>
              <w:t>.panta</w:t>
            </w:r>
            <w:proofErr w:type="gramEnd"/>
            <w:r w:rsidRPr="007F5123">
              <w:rPr>
                <w:color w:val="000000" w:themeColor="text1"/>
              </w:rPr>
              <w:t> </w:t>
            </w:r>
            <w:r w:rsidR="007D7236" w:rsidRPr="007F5123">
              <w:rPr>
                <w:color w:val="000000" w:themeColor="text1"/>
              </w:rPr>
              <w:t xml:space="preserve">ceturtā </w:t>
            </w:r>
            <w:r w:rsidRPr="007F5123">
              <w:rPr>
                <w:color w:val="000000" w:themeColor="text1"/>
              </w:rPr>
              <w:t>daļa</w:t>
            </w:r>
            <w:r w:rsidR="007D7236" w:rsidRPr="007F5123">
              <w:rPr>
                <w:color w:val="000000" w:themeColor="text1"/>
              </w:rPr>
              <w:t>, 112.panta pirmā daļa un 117.panta pirmā daļa</w:t>
            </w:r>
          </w:p>
        </w:tc>
      </w:tr>
      <w:tr w:rsidR="00D37C89" w:rsidRPr="007F5123" w:rsidTr="00574612">
        <w:trPr>
          <w:trHeight w:val="472"/>
        </w:trPr>
        <w:tc>
          <w:tcPr>
            <w:tcW w:w="744" w:type="dxa"/>
          </w:tcPr>
          <w:p w:rsidR="00E826C5" w:rsidRPr="007F5123" w:rsidRDefault="00E826C5" w:rsidP="003360A2">
            <w:pPr>
              <w:pStyle w:val="naiskr"/>
              <w:spacing w:before="0" w:after="0"/>
              <w:jc w:val="center"/>
              <w:rPr>
                <w:color w:val="000000" w:themeColor="text1"/>
              </w:rPr>
            </w:pPr>
            <w:r w:rsidRPr="007F5123">
              <w:rPr>
                <w:color w:val="000000" w:themeColor="text1"/>
              </w:rPr>
              <w:t>2.</w:t>
            </w:r>
          </w:p>
        </w:tc>
        <w:tc>
          <w:tcPr>
            <w:tcW w:w="2005" w:type="dxa"/>
          </w:tcPr>
          <w:p w:rsidR="00E826C5" w:rsidRPr="007F5123" w:rsidRDefault="00E826C5" w:rsidP="003360A2">
            <w:pPr>
              <w:pStyle w:val="naiskr"/>
              <w:spacing w:before="0" w:after="0"/>
              <w:rPr>
                <w:color w:val="000000" w:themeColor="text1"/>
              </w:rPr>
            </w:pPr>
            <w:r w:rsidRPr="007F5123">
              <w:rPr>
                <w:color w:val="000000" w:themeColor="text1"/>
              </w:rPr>
              <w:t>Pašreizējā situācija un problēmas, kuru risināšanai tiesību akta projekts izstrādāts, tiesiskā regulējuma mērķis un būtība</w:t>
            </w:r>
          </w:p>
        </w:tc>
        <w:tc>
          <w:tcPr>
            <w:tcW w:w="7514" w:type="dxa"/>
          </w:tcPr>
          <w:p w:rsidR="00AA208B" w:rsidRPr="007F5123" w:rsidRDefault="009A6B0C" w:rsidP="003360A2">
            <w:pPr>
              <w:pStyle w:val="NormalWeb"/>
              <w:spacing w:before="0" w:beforeAutospacing="0" w:after="0" w:afterAutospacing="0"/>
              <w:jc w:val="both"/>
              <w:rPr>
                <w:rFonts w:ascii="Times New Roman" w:hAnsi="Times New Roman" w:cs="Times New Roman"/>
                <w:color w:val="000000" w:themeColor="text1"/>
                <w:lang w:val="lv-LV"/>
              </w:rPr>
            </w:pPr>
            <w:proofErr w:type="gramStart"/>
            <w:r w:rsidRPr="007F5123">
              <w:rPr>
                <w:rFonts w:ascii="Times New Roman" w:hAnsi="Times New Roman" w:cs="Times New Roman"/>
                <w:color w:val="000000" w:themeColor="text1"/>
                <w:lang w:val="lv-LV"/>
              </w:rPr>
              <w:t>2015.gada</w:t>
            </w:r>
            <w:proofErr w:type="gramEnd"/>
            <w:r w:rsidRPr="007F5123">
              <w:rPr>
                <w:rFonts w:ascii="Times New Roman" w:hAnsi="Times New Roman" w:cs="Times New Roman"/>
                <w:color w:val="000000" w:themeColor="text1"/>
                <w:lang w:val="lv-LV"/>
              </w:rPr>
              <w:t xml:space="preserve"> 1.janvārī ir stājies spēkā Publiskas personas kapitāla daļu un kapitālsabiedrību pārvaldības likums (turpmāk</w:t>
            </w:r>
            <w:r w:rsidR="00763580" w:rsidRPr="007F5123">
              <w:rPr>
                <w:rFonts w:ascii="Times New Roman" w:hAnsi="Times New Roman" w:cs="Times New Roman"/>
                <w:color w:val="000000" w:themeColor="text1"/>
                <w:lang w:val="lv-LV"/>
              </w:rPr>
              <w:t xml:space="preserve"> –</w:t>
            </w:r>
            <w:r w:rsidR="00C50F3D" w:rsidRPr="007F5123">
              <w:rPr>
                <w:rFonts w:ascii="Times New Roman" w:hAnsi="Times New Roman" w:cs="Times New Roman"/>
                <w:color w:val="000000" w:themeColor="text1"/>
                <w:lang w:val="lv-LV"/>
              </w:rPr>
              <w:t xml:space="preserve"> </w:t>
            </w:r>
            <w:r w:rsidRPr="007F5123">
              <w:rPr>
                <w:rFonts w:ascii="Times New Roman" w:hAnsi="Times New Roman" w:cs="Times New Roman"/>
                <w:color w:val="000000" w:themeColor="text1"/>
                <w:lang w:val="lv-LV"/>
              </w:rPr>
              <w:t>likums)</w:t>
            </w:r>
            <w:r w:rsidR="0073580F" w:rsidRPr="007F5123">
              <w:rPr>
                <w:rFonts w:ascii="Times New Roman" w:hAnsi="Times New Roman" w:cs="Times New Roman"/>
                <w:color w:val="000000" w:themeColor="text1"/>
                <w:lang w:val="lv-LV"/>
              </w:rPr>
              <w:t>,</w:t>
            </w:r>
            <w:r w:rsidR="00741B65" w:rsidRPr="007F5123">
              <w:rPr>
                <w:rFonts w:ascii="Times New Roman" w:hAnsi="Times New Roman" w:cs="Times New Roman"/>
                <w:color w:val="000000" w:themeColor="text1"/>
                <w:lang w:val="lv-LV"/>
              </w:rPr>
              <w:t xml:space="preserve"> ar kura spēkā stāšanos spēku zaudēja likums „Par valsts un pašvaldību kapitāla daļām un kapitālsabiedrībām”</w:t>
            </w:r>
            <w:r w:rsidRPr="007F5123">
              <w:rPr>
                <w:rFonts w:ascii="Times New Roman" w:hAnsi="Times New Roman" w:cs="Times New Roman"/>
                <w:color w:val="000000" w:themeColor="text1"/>
                <w:lang w:val="lv-LV"/>
              </w:rPr>
              <w:t xml:space="preserve">. </w:t>
            </w:r>
          </w:p>
          <w:p w:rsidR="007D7236" w:rsidRDefault="008B5611" w:rsidP="003360A2">
            <w:pPr>
              <w:pStyle w:val="NormalWeb"/>
              <w:spacing w:before="0" w:beforeAutospacing="0" w:after="0" w:afterAutospacing="0"/>
              <w:jc w:val="both"/>
              <w:rPr>
                <w:rFonts w:ascii="Times New Roman" w:hAnsi="Times New Roman" w:cs="Times New Roman"/>
                <w:color w:val="000000" w:themeColor="text1"/>
                <w:lang w:val="lv-LV"/>
              </w:rPr>
            </w:pPr>
            <w:r w:rsidRPr="007F5123">
              <w:rPr>
                <w:rFonts w:ascii="Times New Roman" w:hAnsi="Times New Roman" w:cs="Times New Roman"/>
                <w:color w:val="000000" w:themeColor="text1"/>
                <w:lang w:val="lv-LV"/>
              </w:rPr>
              <w:t xml:space="preserve">Atbilstoši likuma </w:t>
            </w:r>
            <w:r w:rsidR="002452B9" w:rsidRPr="007F5123">
              <w:rPr>
                <w:rFonts w:ascii="Times New Roman" w:hAnsi="Times New Roman" w:cs="Times New Roman"/>
                <w:color w:val="000000" w:themeColor="text1"/>
                <w:lang w:val="lv-LV"/>
              </w:rPr>
              <w:t>p</w:t>
            </w:r>
            <w:r w:rsidRPr="007F5123">
              <w:rPr>
                <w:rFonts w:ascii="Times New Roman" w:hAnsi="Times New Roman" w:cs="Times New Roman"/>
                <w:color w:val="000000" w:themeColor="text1"/>
                <w:lang w:val="lv-LV"/>
              </w:rPr>
              <w:t>ārejas noteiku</w:t>
            </w:r>
            <w:r w:rsidR="007D7236" w:rsidRPr="007F5123">
              <w:rPr>
                <w:rFonts w:ascii="Times New Roman" w:hAnsi="Times New Roman" w:cs="Times New Roman"/>
                <w:color w:val="000000" w:themeColor="text1"/>
                <w:lang w:val="lv-LV"/>
              </w:rPr>
              <w:t>mu 3.punktam</w:t>
            </w:r>
            <w:r w:rsidR="00C42CE5">
              <w:rPr>
                <w:rFonts w:ascii="Times New Roman" w:hAnsi="Times New Roman" w:cs="Times New Roman"/>
                <w:color w:val="000000" w:themeColor="text1"/>
                <w:lang w:val="lv-LV"/>
              </w:rPr>
              <w:t>,</w:t>
            </w:r>
            <w:r w:rsidR="007D7236" w:rsidRPr="007F5123">
              <w:rPr>
                <w:rFonts w:ascii="Times New Roman" w:hAnsi="Times New Roman" w:cs="Times New Roman"/>
                <w:color w:val="000000" w:themeColor="text1"/>
                <w:lang w:val="lv-LV"/>
              </w:rPr>
              <w:t xml:space="preserve"> Ministru kabinets līdz </w:t>
            </w:r>
            <w:proofErr w:type="gramStart"/>
            <w:r w:rsidR="007D7236" w:rsidRPr="007F5123">
              <w:rPr>
                <w:rFonts w:ascii="Times New Roman" w:hAnsi="Times New Roman" w:cs="Times New Roman"/>
                <w:color w:val="000000" w:themeColor="text1"/>
                <w:lang w:val="lv-LV"/>
              </w:rPr>
              <w:t>2016.gada</w:t>
            </w:r>
            <w:proofErr w:type="gramEnd"/>
            <w:r w:rsidR="007D7236" w:rsidRPr="007F5123">
              <w:rPr>
                <w:rFonts w:ascii="Times New Roman" w:hAnsi="Times New Roman" w:cs="Times New Roman"/>
                <w:color w:val="000000" w:themeColor="text1"/>
                <w:lang w:val="lv-LV"/>
              </w:rPr>
              <w:t xml:space="preserve"> 1.janvārim izdod noteikumus par maksimālo mēneša atlīdzības apmēru valdes un padomes loceklim, ņemot vērā vidējo atalgojuma apmēru</w:t>
            </w:r>
            <w:r w:rsidR="00970D77" w:rsidRPr="007F5123">
              <w:rPr>
                <w:rFonts w:ascii="Times New Roman" w:hAnsi="Times New Roman" w:cs="Times New Roman"/>
                <w:color w:val="000000" w:themeColor="text1"/>
                <w:lang w:val="lv-LV"/>
              </w:rPr>
              <w:t xml:space="preserve"> vadībai līdzīga lieluma (neto apgrozījums, bilances kopsumma, darbinieku skaits) kapitālsabiedrībās privātajā sektorā vai – atsevišķos gadījumos – nozarē, kurā attiecīgā kapitālsabiedrība darbojas</w:t>
            </w:r>
            <w:r w:rsidR="007F5123" w:rsidRPr="007F5123">
              <w:rPr>
                <w:rFonts w:ascii="Times New Roman" w:hAnsi="Times New Roman" w:cs="Times New Roman"/>
                <w:color w:val="000000" w:themeColor="text1"/>
                <w:lang w:val="lv-LV"/>
              </w:rPr>
              <w:t xml:space="preserve"> (šā likuma 79.panta ceturtā daļa, 112.panta pirmā daļa, 117.panta pirmā daļa). </w:t>
            </w:r>
            <w:r w:rsidR="00970D77" w:rsidRPr="007F5123">
              <w:rPr>
                <w:rFonts w:ascii="Times New Roman" w:hAnsi="Times New Roman" w:cs="Times New Roman"/>
                <w:color w:val="000000" w:themeColor="text1"/>
                <w:lang w:val="lv-LV"/>
              </w:rPr>
              <w:t xml:space="preserve"> </w:t>
            </w:r>
            <w:r w:rsidR="007D7236" w:rsidRPr="007F5123">
              <w:rPr>
                <w:rFonts w:ascii="Times New Roman" w:hAnsi="Times New Roman" w:cs="Times New Roman"/>
                <w:color w:val="000000" w:themeColor="text1"/>
                <w:lang w:val="lv-LV"/>
              </w:rPr>
              <w:t xml:space="preserve">   </w:t>
            </w:r>
          </w:p>
          <w:p w:rsidR="00D75A99" w:rsidRDefault="00D75A99" w:rsidP="00D75A99">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bCs/>
                <w:color w:val="000000" w:themeColor="text1"/>
                <w:lang w:val="lv-LV"/>
              </w:rPr>
              <w:t>L</w:t>
            </w:r>
            <w:r w:rsidRPr="00D75A99">
              <w:rPr>
                <w:rFonts w:ascii="Times New Roman" w:hAnsi="Times New Roman" w:cs="Times New Roman"/>
                <w:bCs/>
                <w:color w:val="000000" w:themeColor="text1"/>
                <w:lang w:val="lv-LV"/>
              </w:rPr>
              <w:t>ikuma</w:t>
            </w:r>
            <w:r w:rsidRPr="00D75A99">
              <w:rPr>
                <w:rFonts w:ascii="Times New Roman" w:hAnsi="Times New Roman" w:cs="Times New Roman"/>
                <w:color w:val="000000" w:themeColor="text1"/>
                <w:lang w:val="lv-LV"/>
              </w:rPr>
              <w:t xml:space="preserve"> </w:t>
            </w:r>
            <w:proofErr w:type="gramStart"/>
            <w:r w:rsidRPr="00D75A99">
              <w:rPr>
                <w:rFonts w:ascii="Times New Roman" w:hAnsi="Times New Roman" w:cs="Times New Roman"/>
                <w:color w:val="000000" w:themeColor="text1"/>
                <w:lang w:val="lv-LV"/>
              </w:rPr>
              <w:t>79.panta</w:t>
            </w:r>
            <w:proofErr w:type="gramEnd"/>
            <w:r w:rsidRPr="00D75A99">
              <w:rPr>
                <w:rFonts w:ascii="Times New Roman" w:hAnsi="Times New Roman" w:cs="Times New Roman"/>
                <w:color w:val="000000" w:themeColor="text1"/>
                <w:lang w:val="lv-LV"/>
              </w:rPr>
              <w:t> ceturt</w:t>
            </w:r>
            <w:r w:rsidR="00B2037C">
              <w:rPr>
                <w:rFonts w:ascii="Times New Roman" w:hAnsi="Times New Roman" w:cs="Times New Roman"/>
                <w:color w:val="000000" w:themeColor="text1"/>
                <w:lang w:val="lv-LV"/>
              </w:rPr>
              <w:t>aj</w:t>
            </w:r>
            <w:r w:rsidRPr="00D75A99">
              <w:rPr>
                <w:rFonts w:ascii="Times New Roman" w:hAnsi="Times New Roman" w:cs="Times New Roman"/>
                <w:color w:val="000000" w:themeColor="text1"/>
                <w:lang w:val="lv-LV"/>
              </w:rPr>
              <w:t>ā daļ</w:t>
            </w:r>
            <w:r>
              <w:rPr>
                <w:rFonts w:ascii="Times New Roman" w:hAnsi="Times New Roman" w:cs="Times New Roman"/>
                <w:color w:val="000000" w:themeColor="text1"/>
                <w:lang w:val="lv-LV"/>
              </w:rPr>
              <w:t>ā</w:t>
            </w:r>
            <w:r w:rsidRPr="00D75A99">
              <w:rPr>
                <w:rFonts w:ascii="Times New Roman" w:hAnsi="Times New Roman" w:cs="Times New Roman"/>
                <w:color w:val="000000" w:themeColor="text1"/>
                <w:lang w:val="lv-LV"/>
              </w:rPr>
              <w:t>, 112.panta pirm</w:t>
            </w:r>
            <w:r w:rsidR="00B2037C">
              <w:rPr>
                <w:rFonts w:ascii="Times New Roman" w:hAnsi="Times New Roman" w:cs="Times New Roman"/>
                <w:color w:val="000000" w:themeColor="text1"/>
                <w:lang w:val="lv-LV"/>
              </w:rPr>
              <w:t>aj</w:t>
            </w:r>
            <w:r w:rsidRPr="00D75A99">
              <w:rPr>
                <w:rFonts w:ascii="Times New Roman" w:hAnsi="Times New Roman" w:cs="Times New Roman"/>
                <w:color w:val="000000" w:themeColor="text1"/>
                <w:lang w:val="lv-LV"/>
              </w:rPr>
              <w:t>ā daļ</w:t>
            </w:r>
            <w:r>
              <w:rPr>
                <w:rFonts w:ascii="Times New Roman" w:hAnsi="Times New Roman" w:cs="Times New Roman"/>
                <w:color w:val="000000" w:themeColor="text1"/>
                <w:lang w:val="lv-LV"/>
              </w:rPr>
              <w:t xml:space="preserve">ā </w:t>
            </w:r>
            <w:r w:rsidRPr="00D75A99">
              <w:rPr>
                <w:rFonts w:ascii="Times New Roman" w:hAnsi="Times New Roman" w:cs="Times New Roman"/>
                <w:color w:val="000000" w:themeColor="text1"/>
                <w:lang w:val="lv-LV"/>
              </w:rPr>
              <w:t>un 117.panta pirm</w:t>
            </w:r>
            <w:r w:rsidR="00B2037C">
              <w:rPr>
                <w:rFonts w:ascii="Times New Roman" w:hAnsi="Times New Roman" w:cs="Times New Roman"/>
                <w:color w:val="000000" w:themeColor="text1"/>
                <w:lang w:val="lv-LV"/>
              </w:rPr>
              <w:t>aj</w:t>
            </w:r>
            <w:r w:rsidRPr="00D75A99">
              <w:rPr>
                <w:rFonts w:ascii="Times New Roman" w:hAnsi="Times New Roman" w:cs="Times New Roman"/>
                <w:color w:val="000000" w:themeColor="text1"/>
                <w:lang w:val="lv-LV"/>
              </w:rPr>
              <w:t>ā daļ</w:t>
            </w:r>
            <w:r>
              <w:rPr>
                <w:rFonts w:ascii="Times New Roman" w:hAnsi="Times New Roman" w:cs="Times New Roman"/>
                <w:color w:val="000000" w:themeColor="text1"/>
                <w:lang w:val="lv-LV"/>
              </w:rPr>
              <w:t xml:space="preserve">ā </w:t>
            </w:r>
            <w:r w:rsidR="00B2037C">
              <w:rPr>
                <w:rFonts w:ascii="Times New Roman" w:hAnsi="Times New Roman" w:cs="Times New Roman"/>
                <w:color w:val="000000" w:themeColor="text1"/>
                <w:lang w:val="lv-LV"/>
              </w:rPr>
              <w:t xml:space="preserve">ir ietverts deleģējums </w:t>
            </w:r>
            <w:r>
              <w:rPr>
                <w:rFonts w:ascii="Times New Roman" w:hAnsi="Times New Roman" w:cs="Times New Roman"/>
                <w:color w:val="000000" w:themeColor="text1"/>
                <w:lang w:val="lv-LV"/>
              </w:rPr>
              <w:t xml:space="preserve">Ministru kabinetam </w:t>
            </w:r>
            <w:r w:rsidRPr="007F5123">
              <w:rPr>
                <w:rFonts w:ascii="Times New Roman" w:hAnsi="Times New Roman" w:cs="Times New Roman"/>
                <w:color w:val="000000" w:themeColor="text1"/>
                <w:lang w:val="lv-LV"/>
              </w:rPr>
              <w:t xml:space="preserve"> </w:t>
            </w:r>
            <w:r w:rsidR="00B2037C">
              <w:rPr>
                <w:rFonts w:ascii="Times New Roman" w:hAnsi="Times New Roman" w:cs="Times New Roman"/>
                <w:color w:val="000000" w:themeColor="text1"/>
                <w:lang w:val="lv-LV"/>
              </w:rPr>
              <w:t xml:space="preserve">noteikt kapitālsabiedrības </w:t>
            </w:r>
            <w:r w:rsidR="007F5123" w:rsidRPr="00D75A99">
              <w:rPr>
                <w:rFonts w:ascii="Times New Roman" w:hAnsi="Times New Roman" w:cs="Times New Roman"/>
                <w:color w:val="000000" w:themeColor="text1"/>
                <w:lang w:val="lv-LV"/>
              </w:rPr>
              <w:t xml:space="preserve">valdes </w:t>
            </w:r>
            <w:r w:rsidRPr="00D75A99">
              <w:rPr>
                <w:rFonts w:ascii="Times New Roman" w:hAnsi="Times New Roman" w:cs="Times New Roman"/>
                <w:color w:val="000000" w:themeColor="text1"/>
                <w:lang w:val="lv-LV"/>
              </w:rPr>
              <w:t xml:space="preserve">un padomes </w:t>
            </w:r>
            <w:r w:rsidR="007F5123" w:rsidRPr="00D75A99">
              <w:rPr>
                <w:rFonts w:ascii="Times New Roman" w:hAnsi="Times New Roman" w:cs="Times New Roman"/>
                <w:color w:val="000000" w:themeColor="text1"/>
                <w:lang w:val="lv-LV"/>
              </w:rPr>
              <w:t xml:space="preserve">locekļa mēneša atlīdzības maksimālo apmēru, ņemot vērā vidējo atlīdzību vadībai līdzīga lieluma (neto apgrozījums, bilances kopsumma, darbinieku skaits) kapitālsabiedrībās privātajā sektorā vai — atsevišķos gadījumos — nozarē, kurā attiecīgā kapitālsabiedrība darbojas. Valdes </w:t>
            </w:r>
            <w:r w:rsidRPr="00D75A99">
              <w:rPr>
                <w:rFonts w:ascii="Times New Roman" w:hAnsi="Times New Roman" w:cs="Times New Roman"/>
                <w:color w:val="000000" w:themeColor="text1"/>
                <w:lang w:val="lv-LV"/>
              </w:rPr>
              <w:t xml:space="preserve">un padomes </w:t>
            </w:r>
            <w:r w:rsidR="007F5123" w:rsidRPr="00D75A99">
              <w:rPr>
                <w:rFonts w:ascii="Times New Roman" w:hAnsi="Times New Roman" w:cs="Times New Roman"/>
                <w:color w:val="000000" w:themeColor="text1"/>
                <w:lang w:val="lv-LV"/>
              </w:rPr>
              <w:t xml:space="preserve">locekļa mēneša atlīdzības maksimālais apmērs nekādā gadījumā nedrīkst pārsniegt Centrālās statistikas pārvaldes oficiālajā statistikas paziņojumā publicēto valstī strādājošo iepriekšējā gada mēneša vidējās darba samaksas apmēru, kas </w:t>
            </w:r>
            <w:proofErr w:type="gramStart"/>
            <w:r w:rsidR="007F5123" w:rsidRPr="00D75A99">
              <w:rPr>
                <w:rFonts w:ascii="Times New Roman" w:hAnsi="Times New Roman" w:cs="Times New Roman"/>
                <w:color w:val="000000" w:themeColor="text1"/>
                <w:lang w:val="lv-LV"/>
              </w:rPr>
              <w:t>noapaļots pilnos</w:t>
            </w:r>
            <w:proofErr w:type="gramEnd"/>
            <w:r w:rsidR="007F5123" w:rsidRPr="00D75A99">
              <w:rPr>
                <w:rFonts w:ascii="Times New Roman" w:hAnsi="Times New Roman" w:cs="Times New Roman"/>
                <w:color w:val="000000" w:themeColor="text1"/>
                <w:lang w:val="lv-LV"/>
              </w:rPr>
              <w:t xml:space="preserve"> </w:t>
            </w:r>
            <w:proofErr w:type="spellStart"/>
            <w:r w:rsidR="007F5123" w:rsidRPr="00D75A99">
              <w:rPr>
                <w:rFonts w:ascii="Times New Roman" w:hAnsi="Times New Roman" w:cs="Times New Roman"/>
                <w:iCs/>
                <w:color w:val="000000" w:themeColor="text1"/>
                <w:lang w:val="lv-LV"/>
              </w:rPr>
              <w:t>euro</w:t>
            </w:r>
            <w:proofErr w:type="spellEnd"/>
            <w:r w:rsidR="007F5123" w:rsidRPr="00D75A99">
              <w:rPr>
                <w:rFonts w:ascii="Times New Roman" w:hAnsi="Times New Roman" w:cs="Times New Roman"/>
                <w:color w:val="000000" w:themeColor="text1"/>
                <w:lang w:val="lv-LV"/>
              </w:rPr>
              <w:t xml:space="preserve"> un kam piemērots koeficients 10. </w:t>
            </w:r>
          </w:p>
          <w:p w:rsidR="00574574" w:rsidRDefault="00574574" w:rsidP="003D6E7D">
            <w:pPr>
              <w:pStyle w:val="NormalWeb"/>
              <w:spacing w:before="0" w:beforeAutospacing="0" w:after="0" w:afterAutospacing="0"/>
              <w:jc w:val="both"/>
              <w:rPr>
                <w:rFonts w:ascii="Times New Roman" w:hAnsi="Times New Roman" w:cs="Times New Roman"/>
                <w:color w:val="000000" w:themeColor="text1"/>
                <w:lang w:val="lv-LV"/>
              </w:rPr>
            </w:pPr>
          </w:p>
          <w:p w:rsidR="003D6E7D" w:rsidRDefault="003D6E7D" w:rsidP="003D6E7D">
            <w:pPr>
              <w:pStyle w:val="NormalWeb"/>
              <w:spacing w:before="0" w:beforeAutospacing="0" w:after="0" w:afterAutospacing="0"/>
              <w:jc w:val="both"/>
              <w:rPr>
                <w:rFonts w:ascii="Times New Roman" w:hAnsi="Times New Roman" w:cs="Times New Roman"/>
                <w:color w:val="000000" w:themeColor="text1"/>
                <w:lang w:val="lv-LV"/>
              </w:rPr>
            </w:pPr>
            <w:r w:rsidRPr="007F5123">
              <w:rPr>
                <w:rFonts w:ascii="Times New Roman" w:hAnsi="Times New Roman" w:cs="Times New Roman"/>
                <w:color w:val="000000" w:themeColor="text1"/>
                <w:lang w:val="lv-LV"/>
              </w:rPr>
              <w:t xml:space="preserve">Ievērojot minēto, un pamatojoties uz likuma </w:t>
            </w:r>
            <w:proofErr w:type="gramStart"/>
            <w:r w:rsidRPr="007F5123">
              <w:rPr>
                <w:rFonts w:ascii="Times New Roman" w:hAnsi="Times New Roman" w:cs="Times New Roman"/>
                <w:color w:val="000000" w:themeColor="text1"/>
                <w:lang w:val="lv-LV"/>
              </w:rPr>
              <w:t>22.panta</w:t>
            </w:r>
            <w:proofErr w:type="gramEnd"/>
            <w:r w:rsidRPr="007F5123">
              <w:rPr>
                <w:rFonts w:ascii="Times New Roman" w:hAnsi="Times New Roman" w:cs="Times New Roman"/>
                <w:color w:val="000000" w:themeColor="text1"/>
                <w:lang w:val="lv-LV"/>
              </w:rPr>
              <w:t xml:space="preserve"> otrās daļas 7.punktu, ir izstrādāts Ministru kabineta noteikumu projekts</w:t>
            </w:r>
            <w:r w:rsidR="00AB3E9E">
              <w:rPr>
                <w:rFonts w:ascii="Times New Roman" w:hAnsi="Times New Roman" w:cs="Times New Roman"/>
                <w:color w:val="000000" w:themeColor="text1"/>
                <w:lang w:val="lv-LV"/>
              </w:rPr>
              <w:t xml:space="preserve"> “Noteikumi par publiskas personas kapitālsabiedrību un publiski privāto kapitālsabiedrību valdes un padomes locekļu maksimālo mēneša atlīdzības apmēru” (tu</w:t>
            </w:r>
            <w:r w:rsidR="00B2037C">
              <w:rPr>
                <w:rFonts w:ascii="Times New Roman" w:hAnsi="Times New Roman" w:cs="Times New Roman"/>
                <w:color w:val="000000" w:themeColor="text1"/>
                <w:lang w:val="lv-LV"/>
              </w:rPr>
              <w:t>r</w:t>
            </w:r>
            <w:r w:rsidR="00AB3E9E">
              <w:rPr>
                <w:rFonts w:ascii="Times New Roman" w:hAnsi="Times New Roman" w:cs="Times New Roman"/>
                <w:color w:val="000000" w:themeColor="text1"/>
                <w:lang w:val="lv-LV"/>
              </w:rPr>
              <w:t>pmāk</w:t>
            </w:r>
            <w:r w:rsidR="004803BC">
              <w:rPr>
                <w:rFonts w:ascii="Times New Roman" w:hAnsi="Times New Roman" w:cs="Times New Roman"/>
                <w:color w:val="000000" w:themeColor="text1"/>
                <w:lang w:val="lv-LV"/>
              </w:rPr>
              <w:t xml:space="preserve"> – </w:t>
            </w:r>
            <w:r w:rsidR="00AB3E9E">
              <w:rPr>
                <w:rFonts w:ascii="Times New Roman" w:hAnsi="Times New Roman" w:cs="Times New Roman"/>
                <w:color w:val="000000" w:themeColor="text1"/>
                <w:lang w:val="lv-LV"/>
              </w:rPr>
              <w:t>noteikumu projekts).</w:t>
            </w:r>
          </w:p>
          <w:p w:rsidR="00504EA5" w:rsidRDefault="00504EA5" w:rsidP="007214EF">
            <w:pPr>
              <w:jc w:val="both"/>
              <w:rPr>
                <w:color w:val="000000" w:themeColor="text1"/>
              </w:rPr>
            </w:pPr>
          </w:p>
          <w:p w:rsidR="007214EF" w:rsidRDefault="00A3416C" w:rsidP="007214EF">
            <w:pPr>
              <w:jc w:val="both"/>
              <w:rPr>
                <w:color w:val="000000" w:themeColor="text1"/>
              </w:rPr>
            </w:pPr>
            <w:r>
              <w:rPr>
                <w:color w:val="000000" w:themeColor="text1"/>
              </w:rPr>
              <w:t xml:space="preserve">Atbilstoši Ministru kabineta </w:t>
            </w:r>
            <w:proofErr w:type="gramStart"/>
            <w:r>
              <w:rPr>
                <w:color w:val="000000" w:themeColor="text1"/>
              </w:rPr>
              <w:t>2015.gada</w:t>
            </w:r>
            <w:proofErr w:type="gramEnd"/>
            <w:r>
              <w:rPr>
                <w:color w:val="000000" w:themeColor="text1"/>
              </w:rPr>
              <w:t xml:space="preserve"> 8.septembra lēmumam (protokols Nr.45, </w:t>
            </w:r>
            <w:bookmarkStart w:id="0" w:name="89"/>
            <w:r w:rsidRPr="00A3416C">
              <w:t>89</w:t>
            </w:r>
            <w:bookmarkEnd w:id="0"/>
            <w:r w:rsidRPr="00A3416C">
              <w:t>.§</w:t>
            </w:r>
            <w:r>
              <w:t xml:space="preserve">, </w:t>
            </w:r>
            <w:r w:rsidRPr="00A3416C">
              <w:rPr>
                <w:color w:val="000000" w:themeColor="text1"/>
              </w:rPr>
              <w:t>TA-1927, 3.punkts)</w:t>
            </w:r>
            <w:r>
              <w:rPr>
                <w:color w:val="000000" w:themeColor="text1"/>
              </w:rPr>
              <w:t>, noteikumu projekts līdz 2015.gada 1.decembrim jāiesniedz izskatīšanai Ministru kabinetā.</w:t>
            </w:r>
          </w:p>
          <w:p w:rsidR="00574574" w:rsidRDefault="00574574" w:rsidP="007214EF">
            <w:pPr>
              <w:jc w:val="both"/>
              <w:rPr>
                <w:color w:val="000000" w:themeColor="text1"/>
              </w:rPr>
            </w:pPr>
          </w:p>
          <w:p w:rsidR="00E4490E" w:rsidRDefault="00AB3E9E" w:rsidP="00574574">
            <w:pPr>
              <w:jc w:val="both"/>
              <w:rPr>
                <w:color w:val="000000" w:themeColor="text1"/>
              </w:rPr>
            </w:pPr>
            <w:r>
              <w:rPr>
                <w:color w:val="000000" w:themeColor="text1"/>
              </w:rPr>
              <w:t xml:space="preserve">Saskaņā ar </w:t>
            </w:r>
            <w:r w:rsidR="00410149">
              <w:rPr>
                <w:color w:val="000000" w:themeColor="text1"/>
              </w:rPr>
              <w:t>likuma pārejas noteikumu 4.punkt</w:t>
            </w:r>
            <w:r>
              <w:rPr>
                <w:color w:val="000000" w:themeColor="text1"/>
              </w:rPr>
              <w:t>u</w:t>
            </w:r>
            <w:r w:rsidR="00410149">
              <w:rPr>
                <w:color w:val="000000" w:themeColor="text1"/>
              </w:rPr>
              <w:t>, līdz</w:t>
            </w:r>
            <w:r>
              <w:rPr>
                <w:color w:val="000000" w:themeColor="text1"/>
              </w:rPr>
              <w:t xml:space="preserve"> jauno noteikumu izdošanai kapitālsabiedrības dalībnieku (akcionāru) sapulce vai padome nosaka mēneša atlīdzību valdes vai padomes locekļiem, piemērojot Ministru kabineta </w:t>
            </w:r>
            <w:proofErr w:type="gramStart"/>
            <w:r>
              <w:rPr>
                <w:color w:val="000000" w:themeColor="text1"/>
              </w:rPr>
              <w:t>2010.gada</w:t>
            </w:r>
            <w:proofErr w:type="gramEnd"/>
            <w:r>
              <w:rPr>
                <w:color w:val="000000" w:themeColor="text1"/>
              </w:rPr>
              <w:t xml:space="preserve"> 30.marta noteikumus Nr.311 “Noteikumi par valsts vai pašvaldību kapitālsabiedrību valdes locekļu skaitu, padomes un valdes locekļa, pašvaldības kapitāla daļu turētāja pārstāvja un atbildīgā darbinieka atlīdzību” (turpmāk – noteikumi Nr.311).</w:t>
            </w:r>
            <w:r w:rsidR="007214EF">
              <w:rPr>
                <w:color w:val="000000" w:themeColor="text1"/>
              </w:rPr>
              <w:t xml:space="preserve"> </w:t>
            </w:r>
            <w:r>
              <w:rPr>
                <w:color w:val="000000" w:themeColor="text1"/>
              </w:rPr>
              <w:t>Līdz ar likuma spēkā stā</w:t>
            </w:r>
            <w:r w:rsidR="00E4490E">
              <w:rPr>
                <w:color w:val="000000" w:themeColor="text1"/>
              </w:rPr>
              <w:t>šanos n</w:t>
            </w:r>
            <w:r>
              <w:rPr>
                <w:color w:val="000000" w:themeColor="text1"/>
              </w:rPr>
              <w:t>oteikumi</w:t>
            </w:r>
            <w:r w:rsidR="00E4490E">
              <w:rPr>
                <w:color w:val="000000" w:themeColor="text1"/>
              </w:rPr>
              <w:t xml:space="preserve"> Nr.311 ir zaudējuši spēku.</w:t>
            </w:r>
            <w:r w:rsidR="00574574">
              <w:rPr>
                <w:color w:val="000000" w:themeColor="text1"/>
              </w:rPr>
              <w:t xml:space="preserve"> </w:t>
            </w:r>
            <w:r w:rsidR="00AA1CCF">
              <w:rPr>
                <w:color w:val="000000" w:themeColor="text1"/>
              </w:rPr>
              <w:t>S</w:t>
            </w:r>
            <w:r w:rsidR="00F55BE5" w:rsidRPr="007F5123">
              <w:rPr>
                <w:color w:val="000000" w:themeColor="text1"/>
              </w:rPr>
              <w:t>pēku zaudējušā likum</w:t>
            </w:r>
            <w:r w:rsidR="000F16CF" w:rsidRPr="007F5123">
              <w:rPr>
                <w:color w:val="000000" w:themeColor="text1"/>
              </w:rPr>
              <w:t>ā</w:t>
            </w:r>
            <w:r w:rsidR="00F55BE5" w:rsidRPr="007F5123">
              <w:rPr>
                <w:color w:val="000000" w:themeColor="text1"/>
              </w:rPr>
              <w:t xml:space="preserve"> „Par valsts un pašvaldību kapitāla daļām un kapitālsabiedrībām” </w:t>
            </w:r>
            <w:r w:rsidR="00AA1CCF">
              <w:rPr>
                <w:color w:val="000000" w:themeColor="text1"/>
              </w:rPr>
              <w:t>bija paredzēts, ka</w:t>
            </w:r>
            <w:proofErr w:type="gramStart"/>
            <w:r w:rsidR="00AA1CCF">
              <w:rPr>
                <w:color w:val="000000" w:themeColor="text1"/>
              </w:rPr>
              <w:t xml:space="preserve">  </w:t>
            </w:r>
            <w:proofErr w:type="gramEnd"/>
            <w:r w:rsidR="00AA1CCF">
              <w:rPr>
                <w:color w:val="000000" w:themeColor="text1"/>
              </w:rPr>
              <w:t xml:space="preserve">Ministru kabinets </w:t>
            </w:r>
            <w:r w:rsidR="007B75E7">
              <w:rPr>
                <w:color w:val="000000" w:themeColor="text1"/>
              </w:rPr>
              <w:t xml:space="preserve">nosaka kapitālsabiedrību lielumu raksturojošos kritērijus un atbilstoši sabiedrības lielumam mēnešalgas noteikšanai piemērojamo </w:t>
            </w:r>
            <w:r w:rsidR="007B75E7">
              <w:rPr>
                <w:color w:val="000000" w:themeColor="text1"/>
              </w:rPr>
              <w:lastRenderedPageBreak/>
              <w:t>maksimālo koeficientu.</w:t>
            </w:r>
            <w:r w:rsidR="00C727B5">
              <w:rPr>
                <w:color w:val="000000" w:themeColor="text1"/>
              </w:rPr>
              <w:t xml:space="preserve"> Savukārt likuma deleģējums paredz </w:t>
            </w:r>
            <w:r w:rsidR="00E4490E">
              <w:rPr>
                <w:color w:val="000000" w:themeColor="text1"/>
              </w:rPr>
              <w:t>Ministru kabinetam noteikt valdes un padomes locekļu maksimālo mēneša atlīdzības apmēru</w:t>
            </w:r>
            <w:r w:rsidR="00AA1CCF">
              <w:rPr>
                <w:color w:val="000000" w:themeColor="text1"/>
              </w:rPr>
              <w:t>.</w:t>
            </w:r>
            <w:r w:rsidR="00E4490E">
              <w:rPr>
                <w:color w:val="000000" w:themeColor="text1"/>
              </w:rPr>
              <w:t xml:space="preserve"> </w:t>
            </w:r>
          </w:p>
          <w:p w:rsidR="00574574" w:rsidRDefault="00574574" w:rsidP="002572BA">
            <w:pPr>
              <w:pStyle w:val="NormalWeb"/>
              <w:spacing w:before="0" w:beforeAutospacing="0" w:after="0" w:afterAutospacing="0"/>
              <w:jc w:val="both"/>
              <w:rPr>
                <w:rFonts w:ascii="Times New Roman" w:hAnsi="Times New Roman" w:cs="Times New Roman"/>
                <w:b/>
                <w:color w:val="000000" w:themeColor="text1"/>
                <w:lang w:val="lv-LV"/>
              </w:rPr>
            </w:pPr>
          </w:p>
          <w:p w:rsidR="00B35D41" w:rsidRDefault="00537FD7" w:rsidP="00B35D41">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N</w:t>
            </w:r>
            <w:r w:rsidR="00B35D41">
              <w:rPr>
                <w:rFonts w:ascii="Times New Roman" w:hAnsi="Times New Roman" w:cs="Times New Roman"/>
                <w:color w:val="000000" w:themeColor="text1"/>
                <w:lang w:val="lv-LV"/>
              </w:rPr>
              <w:t xml:space="preserve">oteikumu projekta ir paredzēts, ka piemērojamais koeficients katru gadu netiek mainīts, bet katru gadu tiek pārskatīts </w:t>
            </w:r>
            <w:r w:rsidR="00B26036">
              <w:rPr>
                <w:rFonts w:ascii="Times New Roman" w:hAnsi="Times New Roman" w:cs="Times New Roman"/>
                <w:color w:val="000000" w:themeColor="text1"/>
                <w:lang w:val="lv-LV"/>
              </w:rPr>
              <w:t>noteikumu projekta pi</w:t>
            </w:r>
            <w:r w:rsidR="005E08EC">
              <w:rPr>
                <w:rFonts w:ascii="Times New Roman" w:hAnsi="Times New Roman" w:cs="Times New Roman"/>
                <w:color w:val="000000" w:themeColor="text1"/>
                <w:lang w:val="lv-LV"/>
              </w:rPr>
              <w:t>e</w:t>
            </w:r>
            <w:r w:rsidR="00B26036">
              <w:rPr>
                <w:rFonts w:ascii="Times New Roman" w:hAnsi="Times New Roman" w:cs="Times New Roman"/>
                <w:color w:val="000000" w:themeColor="text1"/>
                <w:lang w:val="lv-LV"/>
              </w:rPr>
              <w:t xml:space="preserve">likuma tabulas 4.ailē norādītais </w:t>
            </w:r>
            <w:r w:rsidR="00B35D41">
              <w:rPr>
                <w:rFonts w:ascii="Times New Roman" w:hAnsi="Times New Roman" w:cs="Times New Roman"/>
                <w:color w:val="000000" w:themeColor="text1"/>
                <w:lang w:val="lv-LV"/>
              </w:rPr>
              <w:t xml:space="preserve">valdes priekšsēdētāja mēneša atlīdzības maksimālais apmērs, ņemot vērā </w:t>
            </w:r>
            <w:r w:rsidR="005E08EC">
              <w:rPr>
                <w:rFonts w:ascii="Times New Roman" w:hAnsi="Times New Roman" w:cs="Times New Roman"/>
                <w:color w:val="000000" w:themeColor="text1"/>
                <w:lang w:val="lv-LV"/>
              </w:rPr>
              <w:t xml:space="preserve">Centrālās statistikas pārvaldes (turpmāk – CSP) </w:t>
            </w:r>
            <w:r w:rsidR="00B35D41">
              <w:rPr>
                <w:rFonts w:ascii="Times New Roman" w:hAnsi="Times New Roman" w:cs="Times New Roman"/>
                <w:color w:val="000000" w:themeColor="text1"/>
                <w:lang w:val="lv-LV"/>
              </w:rPr>
              <w:t xml:space="preserve">paziņojumā publicēto valstī strādājošo iepriekšējā gada mēneša vidējās darba samaksas apmēru par attiecīgo gadu.    </w:t>
            </w:r>
          </w:p>
          <w:p w:rsidR="006A2F5F" w:rsidRDefault="006A2F5F" w:rsidP="00C727B5">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Noteikumu projekta pielikum</w:t>
            </w:r>
            <w:r w:rsidR="004803BC">
              <w:rPr>
                <w:rFonts w:ascii="Times New Roman" w:hAnsi="Times New Roman" w:cs="Times New Roman"/>
                <w:color w:val="000000" w:themeColor="text1"/>
                <w:lang w:val="lv-LV"/>
              </w:rPr>
              <w:t>ā</w:t>
            </w:r>
            <w:r>
              <w:rPr>
                <w:rFonts w:ascii="Times New Roman" w:hAnsi="Times New Roman" w:cs="Times New Roman"/>
                <w:color w:val="000000" w:themeColor="text1"/>
                <w:lang w:val="lv-LV"/>
              </w:rPr>
              <w:t xml:space="preserve"> noteiktais </w:t>
            </w:r>
            <w:r w:rsidR="005E08EC">
              <w:rPr>
                <w:rFonts w:ascii="Times New Roman" w:hAnsi="Times New Roman" w:cs="Times New Roman"/>
                <w:color w:val="000000" w:themeColor="text1"/>
                <w:lang w:val="lv-LV"/>
              </w:rPr>
              <w:t xml:space="preserve">valdes priekšsēdētājam piemērojamais </w:t>
            </w:r>
            <w:r>
              <w:rPr>
                <w:rFonts w:ascii="Times New Roman" w:hAnsi="Times New Roman" w:cs="Times New Roman"/>
                <w:color w:val="000000" w:themeColor="text1"/>
                <w:lang w:val="lv-LV"/>
              </w:rPr>
              <w:t>maksimālais mēneša atlīdzības apmērs aprēķināts</w:t>
            </w:r>
            <w:proofErr w:type="gramStart"/>
            <w:r>
              <w:rPr>
                <w:rFonts w:ascii="Times New Roman" w:hAnsi="Times New Roman" w:cs="Times New Roman"/>
                <w:color w:val="000000" w:themeColor="text1"/>
                <w:lang w:val="lv-LV"/>
              </w:rPr>
              <w:t xml:space="preserve"> </w:t>
            </w:r>
            <w:r w:rsidR="004803BC">
              <w:rPr>
                <w:rFonts w:ascii="Times New Roman" w:hAnsi="Times New Roman" w:cs="Times New Roman"/>
                <w:color w:val="000000" w:themeColor="text1"/>
                <w:lang w:val="lv-LV"/>
              </w:rPr>
              <w:t xml:space="preserve"> </w:t>
            </w:r>
            <w:proofErr w:type="gramEnd"/>
            <w:r w:rsidR="004803BC">
              <w:rPr>
                <w:rFonts w:ascii="Times New Roman" w:hAnsi="Times New Roman" w:cs="Times New Roman"/>
                <w:color w:val="000000" w:themeColor="text1"/>
                <w:lang w:val="lv-LV"/>
              </w:rPr>
              <w:t xml:space="preserve">piemērojot koeficientu </w:t>
            </w:r>
            <w:r>
              <w:rPr>
                <w:rFonts w:ascii="Times New Roman" w:hAnsi="Times New Roman" w:cs="Times New Roman"/>
                <w:color w:val="000000" w:themeColor="text1"/>
                <w:lang w:val="lv-LV"/>
              </w:rPr>
              <w:t>atbilstoši sabiedrības lielumam</w:t>
            </w:r>
            <w:r w:rsidR="004803BC">
              <w:rPr>
                <w:rFonts w:ascii="Times New Roman" w:hAnsi="Times New Roman" w:cs="Times New Roman"/>
                <w:color w:val="000000" w:themeColor="text1"/>
                <w:lang w:val="lv-LV"/>
              </w:rPr>
              <w:t xml:space="preserve">, kā arī </w:t>
            </w:r>
            <w:r w:rsidR="0063252A">
              <w:rPr>
                <w:rFonts w:ascii="Times New Roman" w:hAnsi="Times New Roman" w:cs="Times New Roman"/>
                <w:color w:val="000000" w:themeColor="text1"/>
                <w:lang w:val="lv-LV"/>
              </w:rPr>
              <w:t xml:space="preserve">ņemot </w:t>
            </w:r>
            <w:r w:rsidR="005E08EC">
              <w:rPr>
                <w:rFonts w:ascii="Times New Roman" w:hAnsi="Times New Roman" w:cs="Times New Roman"/>
                <w:color w:val="000000" w:themeColor="text1"/>
                <w:lang w:val="lv-LV"/>
              </w:rPr>
              <w:t xml:space="preserve">vērā </w:t>
            </w:r>
            <w:r w:rsidR="00285E6D">
              <w:rPr>
                <w:rFonts w:ascii="Times New Roman" w:hAnsi="Times New Roman" w:cs="Times New Roman"/>
                <w:color w:val="000000" w:themeColor="text1"/>
                <w:lang w:val="lv-LV"/>
              </w:rPr>
              <w:t xml:space="preserve">CSP </w:t>
            </w:r>
            <w:r w:rsidR="00B26D01">
              <w:rPr>
                <w:rFonts w:ascii="Times New Roman" w:hAnsi="Times New Roman" w:cs="Times New Roman"/>
                <w:color w:val="000000" w:themeColor="text1"/>
                <w:lang w:val="lv-LV"/>
              </w:rPr>
              <w:t xml:space="preserve">statistikas paziņojumā </w:t>
            </w:r>
            <w:r w:rsidR="00285E6D">
              <w:rPr>
                <w:rFonts w:ascii="Times New Roman" w:hAnsi="Times New Roman" w:cs="Times New Roman"/>
                <w:color w:val="000000" w:themeColor="text1"/>
                <w:lang w:val="lv-LV"/>
              </w:rPr>
              <w:t xml:space="preserve">2015.gada 18.martā </w:t>
            </w:r>
            <w:r w:rsidR="00B26D01">
              <w:rPr>
                <w:rFonts w:ascii="Times New Roman" w:hAnsi="Times New Roman" w:cs="Times New Roman"/>
                <w:color w:val="000000" w:themeColor="text1"/>
                <w:lang w:val="lv-LV"/>
              </w:rPr>
              <w:t>publicēto valstī strādājošo iepriekšējā gada mēneša vidējās darba samaksas apmēru (bruto), kas 2014.gadā bija 765</w:t>
            </w:r>
            <w:r w:rsidR="00C67D2A">
              <w:rPr>
                <w:rFonts w:ascii="Times New Roman" w:hAnsi="Times New Roman" w:cs="Times New Roman"/>
                <w:color w:val="000000" w:themeColor="text1"/>
                <w:lang w:val="lv-LV"/>
              </w:rPr>
              <w:t> </w:t>
            </w:r>
            <w:proofErr w:type="spellStart"/>
            <w:r w:rsidR="00B26D01">
              <w:rPr>
                <w:rFonts w:ascii="Times New Roman" w:hAnsi="Times New Roman" w:cs="Times New Roman"/>
                <w:color w:val="000000" w:themeColor="text1"/>
                <w:lang w:val="lv-LV"/>
              </w:rPr>
              <w:t>euro</w:t>
            </w:r>
            <w:proofErr w:type="spellEnd"/>
            <w:r w:rsidR="00B26D01">
              <w:rPr>
                <w:rFonts w:ascii="Times New Roman" w:hAnsi="Times New Roman" w:cs="Times New Roman"/>
                <w:color w:val="000000" w:themeColor="text1"/>
                <w:lang w:val="lv-LV"/>
              </w:rPr>
              <w:t>.</w:t>
            </w:r>
            <w:r w:rsidR="005C457B">
              <w:rPr>
                <w:rFonts w:ascii="Times New Roman" w:hAnsi="Times New Roman" w:cs="Times New Roman"/>
                <w:color w:val="000000" w:themeColor="text1"/>
                <w:lang w:val="lv-LV"/>
              </w:rPr>
              <w:t xml:space="preserve"> </w:t>
            </w:r>
            <w:hyperlink r:id="rId13" w:history="1">
              <w:r w:rsidR="00B26D01" w:rsidRPr="008C004F">
                <w:rPr>
                  <w:rStyle w:val="Hyperlink"/>
                  <w:rFonts w:ascii="Times New Roman" w:hAnsi="Times New Roman" w:cs="Times New Roman"/>
                  <w:lang w:val="lv-LV"/>
                </w:rPr>
                <w:t>http://www.csb.gov.lv/statistikas-temas/darba-samaksa-menesalgas-apmera-noteiksana-33177.html</w:t>
              </w:r>
            </w:hyperlink>
          </w:p>
          <w:p w:rsidR="000469D9" w:rsidRDefault="00285E6D" w:rsidP="00C727B5">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Ņemot vērā, ka CSP katru gadu martā publicē aktuālos datus par strādājošo iepriekšējā gada mēneša vidējās darba samaksas apmēru, kuram pēdējos gados ir tendence katru gadu palielināties, tad arī šo objektīvo apstākļu dēļ, </w:t>
            </w:r>
            <w:proofErr w:type="gramStart"/>
            <w:r>
              <w:rPr>
                <w:rFonts w:ascii="Times New Roman" w:hAnsi="Times New Roman" w:cs="Times New Roman"/>
                <w:color w:val="000000" w:themeColor="text1"/>
                <w:lang w:val="lv-LV"/>
              </w:rPr>
              <w:t>izstrādājot noteikumu projektu</w:t>
            </w:r>
            <w:proofErr w:type="gramEnd"/>
            <w:r>
              <w:rPr>
                <w:rFonts w:ascii="Times New Roman" w:hAnsi="Times New Roman" w:cs="Times New Roman"/>
                <w:color w:val="000000" w:themeColor="text1"/>
                <w:lang w:val="lv-LV"/>
              </w:rPr>
              <w:t xml:space="preserve"> tā pielikumā nav iespējams ilgtermiņā noteikt nemainīgu maksimālo mēneša atlīdzības apmēru naudas izteiksmē. </w:t>
            </w:r>
            <w:r w:rsidR="000469D9">
              <w:rPr>
                <w:rFonts w:ascii="Times New Roman" w:hAnsi="Times New Roman" w:cs="Times New Roman"/>
                <w:color w:val="000000" w:themeColor="text1"/>
                <w:lang w:val="lv-LV"/>
              </w:rPr>
              <w:t xml:space="preserve">Līdz ar to maksimālais mēneša atlīdzības apmērs katru gadu ir jāaktualizē. </w:t>
            </w:r>
          </w:p>
          <w:p w:rsidR="009A0CB7" w:rsidRPr="009A0CB7" w:rsidRDefault="009A0CB7" w:rsidP="009A0CB7">
            <w:pPr>
              <w:pStyle w:val="NormalWeb"/>
              <w:spacing w:before="0" w:beforeAutospacing="0" w:after="0" w:afterAutospacing="0"/>
              <w:jc w:val="both"/>
              <w:rPr>
                <w:rFonts w:ascii="Times New Roman" w:hAnsi="Times New Roman" w:cs="Times New Roman"/>
                <w:bCs/>
                <w:iCs/>
                <w:color w:val="000000" w:themeColor="text1"/>
                <w:lang w:val="lv-LV"/>
              </w:rPr>
            </w:pPr>
            <w:r w:rsidRPr="009A0CB7">
              <w:rPr>
                <w:rFonts w:ascii="Times New Roman" w:hAnsi="Times New Roman" w:cs="Times New Roman"/>
                <w:bCs/>
                <w:iCs/>
                <w:color w:val="000000" w:themeColor="text1"/>
                <w:lang w:val="lv-LV"/>
              </w:rPr>
              <w:t>Tāpēc, lai katru gadu martā (pēc CSP datu publicēšanas) nav jāveic grozījumi noteikumu projekta pielikumā tikai</w:t>
            </w:r>
            <w:r>
              <w:rPr>
                <w:rFonts w:ascii="Times New Roman" w:hAnsi="Times New Roman" w:cs="Times New Roman"/>
                <w:bCs/>
                <w:iCs/>
                <w:color w:val="000000" w:themeColor="text1"/>
                <w:lang w:val="lv-LV"/>
              </w:rPr>
              <w:t xml:space="preserve"> tādēļ</w:t>
            </w:r>
            <w:r w:rsidRPr="009A0CB7">
              <w:rPr>
                <w:rFonts w:ascii="Times New Roman" w:hAnsi="Times New Roman" w:cs="Times New Roman"/>
                <w:bCs/>
                <w:iCs/>
                <w:color w:val="000000" w:themeColor="text1"/>
                <w:lang w:val="lv-LV"/>
              </w:rPr>
              <w:t xml:space="preserve">, lai tehniski un matemātiski </w:t>
            </w:r>
            <w:r w:rsidR="005C457B">
              <w:rPr>
                <w:rFonts w:ascii="Times New Roman" w:hAnsi="Times New Roman" w:cs="Times New Roman"/>
                <w:bCs/>
                <w:iCs/>
                <w:color w:val="000000" w:themeColor="text1"/>
                <w:lang w:val="lv-LV"/>
              </w:rPr>
              <w:t xml:space="preserve">aktualizētu </w:t>
            </w:r>
            <w:r w:rsidRPr="009A0CB7">
              <w:rPr>
                <w:rFonts w:ascii="Times New Roman" w:hAnsi="Times New Roman" w:cs="Times New Roman"/>
                <w:bCs/>
                <w:iCs/>
                <w:color w:val="000000" w:themeColor="text1"/>
                <w:lang w:val="lv-LV"/>
              </w:rPr>
              <w:t>maksimālo mēneša atlīdzības apmēru, noteikumu projekta pielikumā ir norādīti tie maksimālie koeficienti, kurus atbilstoši sabiedrības lielumam valdes priekšsēdētāja mēneša atlīdzības noteikšanai piemēros dalībnieku (akcionāru) sapulce, vai padome (ja tāda ir izveidota).</w:t>
            </w:r>
          </w:p>
          <w:p w:rsidR="009A0CB7" w:rsidRPr="009A0CB7" w:rsidRDefault="009A0CB7" w:rsidP="009A0CB7">
            <w:pPr>
              <w:pStyle w:val="NormalWeb"/>
              <w:spacing w:before="0" w:beforeAutospacing="0" w:after="0" w:afterAutospacing="0"/>
              <w:jc w:val="both"/>
              <w:rPr>
                <w:rFonts w:ascii="Times New Roman" w:hAnsi="Times New Roman" w:cs="Times New Roman"/>
                <w:bCs/>
                <w:iCs/>
                <w:color w:val="000000" w:themeColor="text1"/>
                <w:lang w:val="lv-LV"/>
              </w:rPr>
            </w:pPr>
            <w:r w:rsidRPr="009A0CB7">
              <w:rPr>
                <w:rFonts w:ascii="Times New Roman" w:hAnsi="Times New Roman" w:cs="Times New Roman"/>
                <w:bCs/>
                <w:iCs/>
                <w:color w:val="000000" w:themeColor="text1"/>
                <w:lang w:val="lv-LV"/>
              </w:rPr>
              <w:t>Tādējādi tiktu nodrošināta tiesiskā skaidrība, kā arī līdzšinējā prakse, ka valdes priekšsēdētāja mēnešalgas noteikšanai bija norādīts katrai pēc kapitālsabiedrības lieluma iedalījuma piemērojamais koeficients, kuru nedrīkstēja pārsniegt.</w:t>
            </w:r>
          </w:p>
          <w:p w:rsidR="007214EF" w:rsidRDefault="00C85BE3" w:rsidP="00C85BE3">
            <w:pPr>
              <w:pStyle w:val="NormalWeb"/>
              <w:spacing w:before="0" w:beforeAutospacing="0" w:after="0" w:afterAutospacing="0"/>
              <w:jc w:val="both"/>
              <w:rPr>
                <w:rFonts w:ascii="Times New Roman" w:hAnsi="Times New Roman" w:cs="Times New Roman"/>
                <w:color w:val="000000" w:themeColor="text1"/>
                <w:u w:val="single"/>
                <w:lang w:val="lv-LV"/>
              </w:rPr>
            </w:pPr>
            <w:r>
              <w:rPr>
                <w:rFonts w:ascii="Times New Roman" w:hAnsi="Times New Roman" w:cs="Times New Roman"/>
                <w:color w:val="000000" w:themeColor="text1"/>
                <w:lang w:val="lv-LV"/>
              </w:rPr>
              <w:t xml:space="preserve">Atbilstoši likuma </w:t>
            </w:r>
            <w:proofErr w:type="gramStart"/>
            <w:r>
              <w:rPr>
                <w:rFonts w:ascii="Times New Roman" w:hAnsi="Times New Roman" w:cs="Times New Roman"/>
                <w:color w:val="000000" w:themeColor="text1"/>
                <w:lang w:val="lv-LV"/>
              </w:rPr>
              <w:t>79.panta</w:t>
            </w:r>
            <w:proofErr w:type="gramEnd"/>
            <w:r>
              <w:rPr>
                <w:rFonts w:ascii="Times New Roman" w:hAnsi="Times New Roman" w:cs="Times New Roman"/>
                <w:color w:val="000000" w:themeColor="text1"/>
                <w:lang w:val="lv-LV"/>
              </w:rPr>
              <w:t xml:space="preserve"> ceturtajā daļā, 112.panta pirmajā daļā, 117.panta pirmajā daļā noteiktajam padomes un valdes locekļu mēneša atlīdzības maksimāla</w:t>
            </w:r>
            <w:r w:rsidR="00AC7684">
              <w:rPr>
                <w:rFonts w:ascii="Times New Roman" w:hAnsi="Times New Roman" w:cs="Times New Roman"/>
                <w:color w:val="000000" w:themeColor="text1"/>
                <w:lang w:val="lv-LV"/>
              </w:rPr>
              <w:t>i</w:t>
            </w:r>
            <w:r>
              <w:rPr>
                <w:rFonts w:ascii="Times New Roman" w:hAnsi="Times New Roman" w:cs="Times New Roman"/>
                <w:color w:val="000000" w:themeColor="text1"/>
                <w:lang w:val="lv-LV"/>
              </w:rPr>
              <w:t xml:space="preserve">s apmērs </w:t>
            </w:r>
            <w:r w:rsidRPr="00AC7684">
              <w:rPr>
                <w:rFonts w:ascii="Times New Roman" w:hAnsi="Times New Roman" w:cs="Times New Roman"/>
                <w:color w:val="000000" w:themeColor="text1"/>
                <w:u w:val="single"/>
                <w:lang w:val="lv-LV"/>
              </w:rPr>
              <w:t>nekādā gadījumā nedrīkst pārsniegt</w:t>
            </w:r>
            <w:r>
              <w:rPr>
                <w:rFonts w:ascii="Times New Roman" w:hAnsi="Times New Roman" w:cs="Times New Roman"/>
                <w:color w:val="000000" w:themeColor="text1"/>
                <w:lang w:val="lv-LV"/>
              </w:rPr>
              <w:t xml:space="preserve"> CSP </w:t>
            </w:r>
            <w:r w:rsidRPr="00D75A99">
              <w:rPr>
                <w:rFonts w:ascii="Times New Roman" w:hAnsi="Times New Roman" w:cs="Times New Roman"/>
                <w:color w:val="000000" w:themeColor="text1"/>
                <w:lang w:val="lv-LV"/>
              </w:rPr>
              <w:t xml:space="preserve">oficiālajā statistikas paziņojumā publicēto valstī strādājošo iepriekšējā gada mēneša vidējās darba samaksas apmēru, kas noapaļots pilnos </w:t>
            </w:r>
            <w:proofErr w:type="spellStart"/>
            <w:r w:rsidRPr="00D75A99">
              <w:rPr>
                <w:rFonts w:ascii="Times New Roman" w:hAnsi="Times New Roman" w:cs="Times New Roman"/>
                <w:iCs/>
                <w:color w:val="000000" w:themeColor="text1"/>
                <w:lang w:val="lv-LV"/>
              </w:rPr>
              <w:t>euro</w:t>
            </w:r>
            <w:proofErr w:type="spellEnd"/>
            <w:r w:rsidRPr="00D75A99">
              <w:rPr>
                <w:rFonts w:ascii="Times New Roman" w:hAnsi="Times New Roman" w:cs="Times New Roman"/>
                <w:color w:val="000000" w:themeColor="text1"/>
                <w:lang w:val="lv-LV"/>
              </w:rPr>
              <w:t xml:space="preserve"> un </w:t>
            </w:r>
            <w:r w:rsidRPr="00C85BE3">
              <w:rPr>
                <w:rFonts w:ascii="Times New Roman" w:hAnsi="Times New Roman" w:cs="Times New Roman"/>
                <w:color w:val="000000" w:themeColor="text1"/>
                <w:u w:val="single"/>
                <w:lang w:val="lv-LV"/>
              </w:rPr>
              <w:t xml:space="preserve">kam piemērots koeficients 10. </w:t>
            </w:r>
          </w:p>
          <w:p w:rsidR="00C85BE3" w:rsidRPr="007F5123" w:rsidRDefault="00C85BE3" w:rsidP="00C85BE3">
            <w:pPr>
              <w:pStyle w:val="NormalWeb"/>
              <w:spacing w:before="0" w:beforeAutospacing="0" w:after="0" w:afterAutospacing="0"/>
              <w:jc w:val="both"/>
              <w:rPr>
                <w:rFonts w:ascii="Times New Roman" w:hAnsi="Times New Roman" w:cs="Times New Roman"/>
                <w:color w:val="000000" w:themeColor="text1"/>
                <w:lang w:val="lv-LV"/>
              </w:rPr>
            </w:pPr>
            <w:r w:rsidRPr="00C85BE3">
              <w:rPr>
                <w:rFonts w:ascii="Times New Roman" w:hAnsi="Times New Roman" w:cs="Times New Roman"/>
                <w:color w:val="000000" w:themeColor="text1"/>
                <w:lang w:val="lv-LV"/>
              </w:rPr>
              <w:t xml:space="preserve">Savukārt </w:t>
            </w:r>
            <w:r>
              <w:rPr>
                <w:rFonts w:ascii="Times New Roman" w:hAnsi="Times New Roman" w:cs="Times New Roman"/>
                <w:color w:val="000000" w:themeColor="text1"/>
                <w:lang w:val="lv-LV"/>
              </w:rPr>
              <w:t xml:space="preserve">spēku zaudējušā likumā </w:t>
            </w:r>
            <w:r w:rsidRPr="007F5123">
              <w:rPr>
                <w:rFonts w:ascii="Times New Roman" w:hAnsi="Times New Roman" w:cs="Times New Roman"/>
                <w:color w:val="000000" w:themeColor="text1"/>
                <w:lang w:val="lv-LV"/>
              </w:rPr>
              <w:t>„Par valsts un pašvaldību kapitāla daļām un kapitālsabiedrībām”</w:t>
            </w:r>
            <w:r>
              <w:rPr>
                <w:rFonts w:ascii="Times New Roman" w:hAnsi="Times New Roman" w:cs="Times New Roman"/>
                <w:color w:val="000000" w:themeColor="text1"/>
                <w:lang w:val="lv-LV"/>
              </w:rPr>
              <w:t xml:space="preserve"> bija noteikts, ka </w:t>
            </w:r>
            <w:r w:rsidRPr="009F2169">
              <w:rPr>
                <w:rFonts w:ascii="Times New Roman" w:hAnsi="Times New Roman" w:cs="Times New Roman"/>
                <w:color w:val="000000" w:themeColor="text1"/>
                <w:u w:val="single"/>
                <w:lang w:val="lv-LV"/>
              </w:rPr>
              <w:t>piemērojamais koeficients nedrīkstēja būt lielāk</w:t>
            </w:r>
            <w:r w:rsidR="00AC7684" w:rsidRPr="009F2169">
              <w:rPr>
                <w:rFonts w:ascii="Times New Roman" w:hAnsi="Times New Roman" w:cs="Times New Roman"/>
                <w:color w:val="000000" w:themeColor="text1"/>
                <w:u w:val="single"/>
                <w:lang w:val="lv-LV"/>
              </w:rPr>
              <w:t>s</w:t>
            </w:r>
            <w:r w:rsidRPr="009F2169">
              <w:rPr>
                <w:rFonts w:ascii="Times New Roman" w:hAnsi="Times New Roman" w:cs="Times New Roman"/>
                <w:color w:val="000000" w:themeColor="text1"/>
                <w:u w:val="single"/>
                <w:lang w:val="lv-LV"/>
              </w:rPr>
              <w:t xml:space="preserve"> par 6.</w:t>
            </w:r>
            <w:r w:rsidRPr="007F5123">
              <w:rPr>
                <w:rFonts w:ascii="Times New Roman" w:hAnsi="Times New Roman" w:cs="Times New Roman"/>
                <w:color w:val="000000" w:themeColor="text1"/>
                <w:lang w:val="lv-LV"/>
              </w:rPr>
              <w:t xml:space="preserve"> </w:t>
            </w:r>
          </w:p>
          <w:p w:rsidR="00D84F3C" w:rsidRDefault="00C85BE3" w:rsidP="003360A2">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Tāpēc, s</w:t>
            </w:r>
            <w:r w:rsidR="004803BC">
              <w:rPr>
                <w:rFonts w:ascii="Times New Roman" w:hAnsi="Times New Roman" w:cs="Times New Roman"/>
                <w:color w:val="000000" w:themeColor="text1"/>
                <w:lang w:val="lv-LV"/>
              </w:rPr>
              <w:t xml:space="preserve">alīdzinājumā ar noteikumu Nr.311 noteiktajiem </w:t>
            </w:r>
            <w:r w:rsidR="00D84F3C">
              <w:rPr>
                <w:rFonts w:ascii="Times New Roman" w:hAnsi="Times New Roman" w:cs="Times New Roman"/>
                <w:color w:val="000000" w:themeColor="text1"/>
                <w:lang w:val="lv-LV"/>
              </w:rPr>
              <w:t>valdes priekšsēdētāja mēnešalgas noteikšanai piemērojamiem koeficientiem, n</w:t>
            </w:r>
            <w:r w:rsidR="004803BC">
              <w:rPr>
                <w:rFonts w:ascii="Times New Roman" w:hAnsi="Times New Roman" w:cs="Times New Roman"/>
                <w:color w:val="000000" w:themeColor="text1"/>
                <w:lang w:val="lv-LV"/>
              </w:rPr>
              <w:t xml:space="preserve">oteikumu projektā piemērojamie koeficienti ir </w:t>
            </w:r>
            <w:r>
              <w:rPr>
                <w:rFonts w:ascii="Times New Roman" w:hAnsi="Times New Roman" w:cs="Times New Roman"/>
                <w:color w:val="000000" w:themeColor="text1"/>
                <w:lang w:val="lv-LV"/>
              </w:rPr>
              <w:t xml:space="preserve">attiecīgi </w:t>
            </w:r>
            <w:r w:rsidR="004803BC">
              <w:rPr>
                <w:rFonts w:ascii="Times New Roman" w:hAnsi="Times New Roman" w:cs="Times New Roman"/>
                <w:color w:val="000000" w:themeColor="text1"/>
                <w:lang w:val="lv-LV"/>
              </w:rPr>
              <w:t>palielināti</w:t>
            </w:r>
            <w:r w:rsidR="00D84F3C">
              <w:rPr>
                <w:rFonts w:ascii="Times New Roman" w:hAnsi="Times New Roman" w:cs="Times New Roman"/>
                <w:color w:val="000000" w:themeColor="text1"/>
                <w:lang w:val="lv-LV"/>
              </w:rPr>
              <w:t>.</w:t>
            </w:r>
          </w:p>
          <w:p w:rsidR="00574574" w:rsidRDefault="00574574" w:rsidP="003D040F">
            <w:pPr>
              <w:pStyle w:val="NormalWeb"/>
              <w:spacing w:before="0" w:beforeAutospacing="0" w:after="0" w:afterAutospacing="0"/>
              <w:jc w:val="both"/>
              <w:rPr>
                <w:rFonts w:ascii="Times New Roman" w:hAnsi="Times New Roman" w:cs="Times New Roman"/>
                <w:color w:val="000000" w:themeColor="text1"/>
                <w:lang w:val="lv-LV"/>
              </w:rPr>
            </w:pPr>
          </w:p>
          <w:p w:rsidR="00C85BE3" w:rsidRPr="002621FF" w:rsidRDefault="005C457B" w:rsidP="003D040F">
            <w:pPr>
              <w:pStyle w:val="NormalWeb"/>
              <w:spacing w:before="0" w:beforeAutospacing="0" w:after="0" w:afterAutospacing="0"/>
              <w:jc w:val="both"/>
              <w:rPr>
                <w:rFonts w:ascii="Times New Roman" w:hAnsi="Times New Roman" w:cs="Times New Roman"/>
                <w:b/>
                <w:color w:val="000000" w:themeColor="text1"/>
                <w:lang w:val="lv-LV"/>
              </w:rPr>
            </w:pPr>
            <w:r>
              <w:rPr>
                <w:rFonts w:ascii="Times New Roman" w:hAnsi="Times New Roman" w:cs="Times New Roman"/>
                <w:color w:val="000000" w:themeColor="text1"/>
                <w:lang w:val="lv-LV"/>
              </w:rPr>
              <w:t>S</w:t>
            </w:r>
            <w:r w:rsidR="003D040F">
              <w:rPr>
                <w:rFonts w:ascii="Times New Roman" w:hAnsi="Times New Roman" w:cs="Times New Roman"/>
                <w:color w:val="000000" w:themeColor="text1"/>
                <w:lang w:val="lv-LV"/>
              </w:rPr>
              <w:t xml:space="preserve">katīt zemāk redzamajā tabulā </w:t>
            </w:r>
            <w:r w:rsidR="003F121A">
              <w:rPr>
                <w:rFonts w:ascii="Times New Roman" w:hAnsi="Times New Roman" w:cs="Times New Roman"/>
                <w:color w:val="000000" w:themeColor="text1"/>
                <w:lang w:val="lv-LV"/>
              </w:rPr>
              <w:t xml:space="preserve">(tabula Nr.1) </w:t>
            </w:r>
            <w:r w:rsidR="003D040F">
              <w:rPr>
                <w:rFonts w:ascii="Times New Roman" w:hAnsi="Times New Roman" w:cs="Times New Roman"/>
                <w:color w:val="000000" w:themeColor="text1"/>
                <w:lang w:val="lv-LV"/>
              </w:rPr>
              <w:t>n</w:t>
            </w:r>
            <w:r w:rsidR="00D84F3C">
              <w:rPr>
                <w:rFonts w:ascii="Times New Roman" w:hAnsi="Times New Roman" w:cs="Times New Roman"/>
                <w:color w:val="000000" w:themeColor="text1"/>
                <w:lang w:val="lv-LV"/>
              </w:rPr>
              <w:t xml:space="preserve">oteikumu Nr.311 un noteikumu projektā noteikto valdes priekšsēdētāja </w:t>
            </w:r>
            <w:r w:rsidR="003A1A82">
              <w:rPr>
                <w:rFonts w:ascii="Times New Roman" w:hAnsi="Times New Roman" w:cs="Times New Roman"/>
                <w:color w:val="000000" w:themeColor="text1"/>
                <w:lang w:val="lv-LV"/>
              </w:rPr>
              <w:t xml:space="preserve">maksimālās </w:t>
            </w:r>
            <w:r w:rsidR="00D84F3C">
              <w:rPr>
                <w:rFonts w:ascii="Times New Roman" w:hAnsi="Times New Roman" w:cs="Times New Roman"/>
                <w:color w:val="000000" w:themeColor="text1"/>
                <w:lang w:val="lv-LV"/>
              </w:rPr>
              <w:t>mēneša</w:t>
            </w:r>
            <w:r w:rsidR="003A1A82">
              <w:rPr>
                <w:rFonts w:ascii="Times New Roman" w:hAnsi="Times New Roman" w:cs="Times New Roman"/>
                <w:color w:val="000000" w:themeColor="text1"/>
                <w:lang w:val="lv-LV"/>
              </w:rPr>
              <w:t xml:space="preserve"> atlīdzības </w:t>
            </w:r>
            <w:r w:rsidR="00D84F3C">
              <w:rPr>
                <w:rFonts w:ascii="Times New Roman" w:hAnsi="Times New Roman" w:cs="Times New Roman"/>
                <w:color w:val="000000" w:themeColor="text1"/>
                <w:lang w:val="lv-LV"/>
              </w:rPr>
              <w:t>noteikšanai piemērojam</w:t>
            </w:r>
            <w:r w:rsidR="00C85BE3">
              <w:rPr>
                <w:rFonts w:ascii="Times New Roman" w:hAnsi="Times New Roman" w:cs="Times New Roman"/>
                <w:color w:val="000000" w:themeColor="text1"/>
                <w:lang w:val="lv-LV"/>
              </w:rPr>
              <w:t>o</w:t>
            </w:r>
            <w:r w:rsidR="00D84F3C">
              <w:rPr>
                <w:rFonts w:ascii="Times New Roman" w:hAnsi="Times New Roman" w:cs="Times New Roman"/>
                <w:color w:val="000000" w:themeColor="text1"/>
                <w:lang w:val="lv-LV"/>
              </w:rPr>
              <w:t xml:space="preserve"> koeficient</w:t>
            </w:r>
            <w:r w:rsidR="00C85BE3">
              <w:rPr>
                <w:rFonts w:ascii="Times New Roman" w:hAnsi="Times New Roman" w:cs="Times New Roman"/>
                <w:color w:val="000000" w:themeColor="text1"/>
                <w:lang w:val="lv-LV"/>
              </w:rPr>
              <w:t>u salīdzinājum</w:t>
            </w:r>
            <w:r w:rsidR="003D040F">
              <w:rPr>
                <w:rFonts w:ascii="Times New Roman" w:hAnsi="Times New Roman" w:cs="Times New Roman"/>
                <w:color w:val="000000" w:themeColor="text1"/>
                <w:lang w:val="lv-LV"/>
              </w:rPr>
              <w:t>u, kā arī</w:t>
            </w:r>
            <w:proofErr w:type="gramStart"/>
            <w:r w:rsidR="003D040F">
              <w:rPr>
                <w:rFonts w:ascii="Times New Roman" w:hAnsi="Times New Roman" w:cs="Times New Roman"/>
                <w:color w:val="000000" w:themeColor="text1"/>
                <w:lang w:val="lv-LV"/>
              </w:rPr>
              <w:t xml:space="preserve">  </w:t>
            </w:r>
            <w:proofErr w:type="gramEnd"/>
            <w:r w:rsidR="003D040F">
              <w:rPr>
                <w:rFonts w:ascii="Times New Roman" w:hAnsi="Times New Roman" w:cs="Times New Roman"/>
                <w:color w:val="000000" w:themeColor="text1"/>
                <w:lang w:val="lv-LV"/>
              </w:rPr>
              <w:t xml:space="preserve">salīdzinājums naudas izteiksmē (bruto mēnesī) </w:t>
            </w:r>
            <w:r w:rsidR="003D040F" w:rsidRPr="002621FF">
              <w:rPr>
                <w:rFonts w:ascii="Times New Roman" w:hAnsi="Times New Roman" w:cs="Times New Roman"/>
                <w:b/>
                <w:color w:val="000000" w:themeColor="text1"/>
                <w:lang w:val="lv-LV"/>
              </w:rPr>
              <w:t>p</w:t>
            </w:r>
            <w:r w:rsidR="003A1A82" w:rsidRPr="002621FF">
              <w:rPr>
                <w:rFonts w:ascii="Times New Roman" w:hAnsi="Times New Roman" w:cs="Times New Roman"/>
                <w:b/>
                <w:color w:val="000000" w:themeColor="text1"/>
                <w:lang w:val="lv-LV"/>
              </w:rPr>
              <w:t>iemērojot norādīto koeficientu</w:t>
            </w:r>
            <w:r w:rsidR="003D040F" w:rsidRPr="002621FF">
              <w:rPr>
                <w:rFonts w:ascii="Times New Roman" w:hAnsi="Times New Roman" w:cs="Times New Roman"/>
                <w:b/>
                <w:color w:val="000000" w:themeColor="text1"/>
                <w:lang w:val="lv-LV"/>
              </w:rPr>
              <w:t xml:space="preserve"> CSP publicētajai </w:t>
            </w:r>
            <w:r w:rsidR="003A1A82" w:rsidRPr="002621FF">
              <w:rPr>
                <w:rFonts w:ascii="Times New Roman" w:hAnsi="Times New Roman" w:cs="Times New Roman"/>
                <w:b/>
                <w:color w:val="000000" w:themeColor="text1"/>
                <w:lang w:val="lv-LV"/>
              </w:rPr>
              <w:t>2014.gad</w:t>
            </w:r>
            <w:r w:rsidR="003D040F" w:rsidRPr="002621FF">
              <w:rPr>
                <w:rFonts w:ascii="Times New Roman" w:hAnsi="Times New Roman" w:cs="Times New Roman"/>
                <w:b/>
                <w:color w:val="000000" w:themeColor="text1"/>
                <w:lang w:val="lv-LV"/>
              </w:rPr>
              <w:t xml:space="preserve">a vidējai algai </w:t>
            </w:r>
            <w:r w:rsidR="003A1A82" w:rsidRPr="002621FF">
              <w:rPr>
                <w:rFonts w:ascii="Times New Roman" w:hAnsi="Times New Roman" w:cs="Times New Roman"/>
                <w:b/>
                <w:color w:val="000000" w:themeColor="text1"/>
                <w:lang w:val="lv-LV"/>
              </w:rPr>
              <w:t xml:space="preserve">765 </w:t>
            </w:r>
            <w:proofErr w:type="spellStart"/>
            <w:r w:rsidR="003A1A82" w:rsidRPr="002621FF">
              <w:rPr>
                <w:rFonts w:ascii="Times New Roman" w:hAnsi="Times New Roman" w:cs="Times New Roman"/>
                <w:b/>
                <w:color w:val="000000" w:themeColor="text1"/>
                <w:lang w:val="lv-LV"/>
              </w:rPr>
              <w:t>euro</w:t>
            </w:r>
            <w:proofErr w:type="spellEnd"/>
            <w:r w:rsidR="003D040F" w:rsidRPr="002621FF">
              <w:rPr>
                <w:rFonts w:ascii="Times New Roman" w:hAnsi="Times New Roman" w:cs="Times New Roman"/>
                <w:b/>
                <w:color w:val="000000" w:themeColor="text1"/>
                <w:lang w:val="lv-LV"/>
              </w:rPr>
              <w:t xml:space="preserve">. </w:t>
            </w:r>
          </w:p>
          <w:p w:rsidR="00855714" w:rsidRDefault="00855714" w:rsidP="003F121A">
            <w:pPr>
              <w:pStyle w:val="NormalWeb"/>
              <w:spacing w:before="0" w:beforeAutospacing="0" w:after="0" w:afterAutospacing="0"/>
              <w:jc w:val="right"/>
              <w:rPr>
                <w:rFonts w:ascii="Times New Roman" w:hAnsi="Times New Roman" w:cs="Times New Roman"/>
                <w:color w:val="000000" w:themeColor="text1"/>
                <w:sz w:val="20"/>
                <w:szCs w:val="20"/>
                <w:lang w:val="lv-LV"/>
              </w:rPr>
            </w:pPr>
          </w:p>
          <w:p w:rsidR="003F121A" w:rsidRPr="003F121A" w:rsidRDefault="003F121A" w:rsidP="003F121A">
            <w:pPr>
              <w:pStyle w:val="NormalWeb"/>
              <w:spacing w:before="0" w:beforeAutospacing="0" w:after="0" w:afterAutospacing="0"/>
              <w:jc w:val="right"/>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t</w:t>
            </w:r>
            <w:r w:rsidRPr="003F121A">
              <w:rPr>
                <w:rFonts w:ascii="Times New Roman" w:hAnsi="Times New Roman" w:cs="Times New Roman"/>
                <w:color w:val="000000" w:themeColor="text1"/>
                <w:sz w:val="20"/>
                <w:szCs w:val="20"/>
                <w:lang w:val="lv-LV"/>
              </w:rPr>
              <w:t>abula Nr.1</w:t>
            </w:r>
          </w:p>
          <w:tbl>
            <w:tblPr>
              <w:tblStyle w:val="TableGrid"/>
              <w:tblW w:w="0" w:type="auto"/>
              <w:tblLayout w:type="fixed"/>
              <w:tblLook w:val="04A0" w:firstRow="1" w:lastRow="0" w:firstColumn="1" w:lastColumn="0" w:noHBand="0" w:noVBand="1"/>
            </w:tblPr>
            <w:tblGrid>
              <w:gridCol w:w="1726"/>
              <w:gridCol w:w="1726"/>
              <w:gridCol w:w="1727"/>
              <w:gridCol w:w="1727"/>
            </w:tblGrid>
            <w:tr w:rsidR="003D040F" w:rsidTr="007214EF">
              <w:tc>
                <w:tcPr>
                  <w:tcW w:w="1726" w:type="dxa"/>
                </w:tcPr>
                <w:p w:rsidR="003D040F" w:rsidRPr="00AC7684" w:rsidRDefault="003D040F"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AC7684">
                    <w:rPr>
                      <w:rFonts w:ascii="Times New Roman" w:hAnsi="Times New Roman" w:cs="Times New Roman"/>
                      <w:color w:val="000000" w:themeColor="text1"/>
                      <w:sz w:val="20"/>
                      <w:szCs w:val="20"/>
                      <w:lang w:val="lv-LV"/>
                    </w:rPr>
                    <w:t>Kapitālsabiedrību iedalījums</w:t>
                  </w:r>
                </w:p>
              </w:tc>
              <w:tc>
                <w:tcPr>
                  <w:tcW w:w="1726" w:type="dxa"/>
                </w:tcPr>
                <w:p w:rsidR="003D040F" w:rsidRPr="00AC7684" w:rsidRDefault="003D040F"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AC7684">
                    <w:rPr>
                      <w:rFonts w:ascii="Times New Roman" w:hAnsi="Times New Roman" w:cs="Times New Roman"/>
                      <w:color w:val="000000" w:themeColor="text1"/>
                      <w:sz w:val="20"/>
                      <w:szCs w:val="20"/>
                      <w:lang w:val="lv-LV"/>
                    </w:rPr>
                    <w:t xml:space="preserve">Noteikumos </w:t>
                  </w:r>
                  <w:r w:rsidR="006742D2">
                    <w:rPr>
                      <w:rFonts w:ascii="Times New Roman" w:hAnsi="Times New Roman" w:cs="Times New Roman"/>
                      <w:color w:val="000000" w:themeColor="text1"/>
                      <w:sz w:val="20"/>
                      <w:szCs w:val="20"/>
                      <w:lang w:val="lv-LV"/>
                    </w:rPr>
                    <w:t>N</w:t>
                  </w:r>
                  <w:r w:rsidRPr="00AC7684">
                    <w:rPr>
                      <w:rFonts w:ascii="Times New Roman" w:hAnsi="Times New Roman" w:cs="Times New Roman"/>
                      <w:color w:val="000000" w:themeColor="text1"/>
                      <w:sz w:val="20"/>
                      <w:szCs w:val="20"/>
                      <w:lang w:val="lv-LV"/>
                    </w:rPr>
                    <w:t>r.311</w:t>
                  </w:r>
                  <w:r w:rsidR="006A1F83">
                    <w:rPr>
                      <w:rFonts w:ascii="Times New Roman" w:hAnsi="Times New Roman" w:cs="Times New Roman"/>
                      <w:color w:val="000000" w:themeColor="text1"/>
                      <w:sz w:val="20"/>
                      <w:szCs w:val="20"/>
                      <w:lang w:val="lv-LV"/>
                    </w:rPr>
                    <w:t xml:space="preserve"> noteiktais koeficients un aprēķinātā maksimāli pieļaujamā atlīdzība mēnesī bruto </w:t>
                  </w:r>
                </w:p>
              </w:tc>
              <w:tc>
                <w:tcPr>
                  <w:tcW w:w="1727" w:type="dxa"/>
                </w:tcPr>
                <w:p w:rsidR="003D040F" w:rsidRPr="00AC7684" w:rsidRDefault="003D040F"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AC7684">
                    <w:rPr>
                      <w:rFonts w:ascii="Times New Roman" w:hAnsi="Times New Roman" w:cs="Times New Roman"/>
                      <w:color w:val="000000" w:themeColor="text1"/>
                      <w:sz w:val="20"/>
                      <w:szCs w:val="20"/>
                      <w:lang w:val="lv-LV"/>
                    </w:rPr>
                    <w:t>Noteikumu projektā</w:t>
                  </w:r>
                  <w:proofErr w:type="gramStart"/>
                  <w:r w:rsidRPr="00AC7684">
                    <w:rPr>
                      <w:rFonts w:ascii="Times New Roman" w:hAnsi="Times New Roman" w:cs="Times New Roman"/>
                      <w:color w:val="000000" w:themeColor="text1"/>
                      <w:sz w:val="20"/>
                      <w:szCs w:val="20"/>
                      <w:lang w:val="lv-LV"/>
                    </w:rPr>
                    <w:t xml:space="preserve"> </w:t>
                  </w:r>
                  <w:r w:rsidR="006A1F83">
                    <w:rPr>
                      <w:rFonts w:ascii="Times New Roman" w:hAnsi="Times New Roman" w:cs="Times New Roman"/>
                      <w:color w:val="000000" w:themeColor="text1"/>
                      <w:sz w:val="20"/>
                      <w:szCs w:val="20"/>
                      <w:lang w:val="lv-LV"/>
                    </w:rPr>
                    <w:t xml:space="preserve"> </w:t>
                  </w:r>
                  <w:proofErr w:type="gramEnd"/>
                  <w:r w:rsidR="006A1F83">
                    <w:rPr>
                      <w:rFonts w:ascii="Times New Roman" w:hAnsi="Times New Roman" w:cs="Times New Roman"/>
                      <w:color w:val="000000" w:themeColor="text1"/>
                      <w:sz w:val="20"/>
                      <w:szCs w:val="20"/>
                      <w:lang w:val="lv-LV"/>
                    </w:rPr>
                    <w:t>noteiktais koeficients  un maksimāli pieļaujamā atlīdzība mēnesī bruto</w:t>
                  </w:r>
                </w:p>
              </w:tc>
              <w:tc>
                <w:tcPr>
                  <w:tcW w:w="1727" w:type="dxa"/>
                </w:tcPr>
                <w:p w:rsidR="003D040F" w:rsidRPr="00AC7684"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Salīdzinājumā starp noteikumos Nr.311 un projektu,</w:t>
                  </w:r>
                  <w:proofErr w:type="gramStart"/>
                  <w:r>
                    <w:rPr>
                      <w:rFonts w:ascii="Times New Roman" w:hAnsi="Times New Roman" w:cs="Times New Roman"/>
                      <w:color w:val="000000" w:themeColor="text1"/>
                      <w:sz w:val="20"/>
                      <w:szCs w:val="20"/>
                      <w:lang w:val="lv-LV"/>
                    </w:rPr>
                    <w:t xml:space="preserve">  </w:t>
                  </w:r>
                  <w:proofErr w:type="gramEnd"/>
                  <w:r w:rsidR="003D040F" w:rsidRPr="00AC7684">
                    <w:rPr>
                      <w:rFonts w:ascii="Times New Roman" w:hAnsi="Times New Roman" w:cs="Times New Roman"/>
                      <w:color w:val="000000" w:themeColor="text1"/>
                      <w:sz w:val="20"/>
                      <w:szCs w:val="20"/>
                      <w:lang w:val="lv-LV"/>
                    </w:rPr>
                    <w:t xml:space="preserve">Palielinājums </w:t>
                  </w:r>
                  <w:r w:rsidR="00896F38">
                    <w:rPr>
                      <w:rFonts w:ascii="Times New Roman" w:hAnsi="Times New Roman" w:cs="Times New Roman"/>
                      <w:color w:val="000000" w:themeColor="text1"/>
                      <w:sz w:val="20"/>
                      <w:szCs w:val="20"/>
                      <w:lang w:val="lv-LV"/>
                    </w:rPr>
                    <w:t xml:space="preserve">mēnesī </w:t>
                  </w:r>
                  <w:r>
                    <w:rPr>
                      <w:rFonts w:ascii="Times New Roman" w:hAnsi="Times New Roman" w:cs="Times New Roman"/>
                      <w:color w:val="000000" w:themeColor="text1"/>
                      <w:sz w:val="20"/>
                      <w:szCs w:val="20"/>
                      <w:lang w:val="lv-LV"/>
                    </w:rPr>
                    <w:t>bruto</w:t>
                  </w:r>
                </w:p>
                <w:p w:rsidR="003D040F" w:rsidRPr="00AC7684" w:rsidRDefault="003D040F"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AC7684">
                    <w:rPr>
                      <w:rFonts w:ascii="Times New Roman" w:hAnsi="Times New Roman" w:cs="Times New Roman"/>
                      <w:color w:val="000000" w:themeColor="text1"/>
                      <w:sz w:val="20"/>
                      <w:szCs w:val="20"/>
                      <w:lang w:val="lv-LV"/>
                    </w:rPr>
                    <w:t xml:space="preserve"> </w:t>
                  </w:r>
                </w:p>
              </w:tc>
            </w:tr>
            <w:tr w:rsidR="00AC7684" w:rsidTr="007214EF">
              <w:tc>
                <w:tcPr>
                  <w:tcW w:w="1726" w:type="dxa"/>
                </w:tcPr>
                <w:p w:rsidR="00AC7684" w:rsidRPr="00AC7684" w:rsidRDefault="00AC768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AC7684">
                    <w:rPr>
                      <w:rFonts w:ascii="Times New Roman" w:hAnsi="Times New Roman" w:cs="Times New Roman"/>
                      <w:color w:val="000000" w:themeColor="text1"/>
                      <w:sz w:val="20"/>
                      <w:szCs w:val="20"/>
                      <w:lang w:val="lv-LV"/>
                    </w:rPr>
                    <w:t xml:space="preserve">maza </w:t>
                  </w:r>
                </w:p>
              </w:tc>
              <w:tc>
                <w:tcPr>
                  <w:tcW w:w="1726" w:type="dxa"/>
                </w:tcPr>
                <w:p w:rsidR="00AC7684" w:rsidRDefault="006742D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n</w:t>
                  </w:r>
                  <w:r w:rsidR="00AC7684" w:rsidRPr="00AC7684">
                    <w:rPr>
                      <w:rFonts w:ascii="Times New Roman" w:hAnsi="Times New Roman" w:cs="Times New Roman"/>
                      <w:color w:val="000000" w:themeColor="text1"/>
                      <w:sz w:val="20"/>
                      <w:szCs w:val="20"/>
                      <w:lang w:val="lv-LV"/>
                    </w:rPr>
                    <w:t>e vairāk kā 2,65</w:t>
                  </w:r>
                </w:p>
                <w:p w:rsidR="00AC7684" w:rsidRPr="00AC7684" w:rsidRDefault="006742D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2027, 25 </w:t>
                  </w:r>
                  <w:proofErr w:type="spellStart"/>
                  <w:r>
                    <w:rPr>
                      <w:rFonts w:ascii="Times New Roman" w:hAnsi="Times New Roman" w:cs="Times New Roman"/>
                      <w:color w:val="000000" w:themeColor="text1"/>
                      <w:sz w:val="20"/>
                      <w:szCs w:val="20"/>
                      <w:lang w:val="lv-LV"/>
                    </w:rPr>
                    <w:t>euro</w:t>
                  </w:r>
                  <w:proofErr w:type="spellEnd"/>
                </w:p>
              </w:tc>
              <w:tc>
                <w:tcPr>
                  <w:tcW w:w="1727" w:type="dxa"/>
                </w:tcPr>
                <w:p w:rsidR="00AC7684" w:rsidRDefault="006742D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n</w:t>
                  </w:r>
                  <w:r w:rsidR="00AC7684" w:rsidRPr="003D040F">
                    <w:rPr>
                      <w:rFonts w:ascii="Times New Roman" w:hAnsi="Times New Roman" w:cs="Times New Roman"/>
                      <w:color w:val="000000" w:themeColor="text1"/>
                      <w:sz w:val="20"/>
                      <w:szCs w:val="20"/>
                      <w:lang w:val="lv-LV"/>
                    </w:rPr>
                    <w:t xml:space="preserve">e vairāk kā </w:t>
                  </w:r>
                  <w:r w:rsidR="00537FD7" w:rsidRPr="00347094">
                    <w:rPr>
                      <w:rFonts w:ascii="Times New Roman" w:hAnsi="Times New Roman" w:cs="Times New Roman"/>
                      <w:b/>
                      <w:color w:val="000000" w:themeColor="text1"/>
                      <w:sz w:val="20"/>
                      <w:szCs w:val="20"/>
                      <w:lang w:val="lv-LV"/>
                    </w:rPr>
                    <w:t>5</w:t>
                  </w:r>
                </w:p>
                <w:p w:rsidR="006742D2" w:rsidRPr="003D040F" w:rsidRDefault="00537FD7"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3825</w:t>
                  </w:r>
                  <w:r w:rsidR="006742D2">
                    <w:rPr>
                      <w:rFonts w:ascii="Times New Roman" w:hAnsi="Times New Roman" w:cs="Times New Roman"/>
                      <w:color w:val="000000" w:themeColor="text1"/>
                      <w:sz w:val="20"/>
                      <w:szCs w:val="20"/>
                      <w:lang w:val="lv-LV"/>
                    </w:rPr>
                    <w:t xml:space="preserve"> </w:t>
                  </w:r>
                  <w:proofErr w:type="spellStart"/>
                  <w:r w:rsidR="006742D2">
                    <w:rPr>
                      <w:rFonts w:ascii="Times New Roman" w:hAnsi="Times New Roman" w:cs="Times New Roman"/>
                      <w:color w:val="000000" w:themeColor="text1"/>
                      <w:sz w:val="20"/>
                      <w:szCs w:val="20"/>
                      <w:lang w:val="lv-LV"/>
                    </w:rPr>
                    <w:t>euro</w:t>
                  </w:r>
                  <w:proofErr w:type="spellEnd"/>
                </w:p>
              </w:tc>
              <w:tc>
                <w:tcPr>
                  <w:tcW w:w="1727" w:type="dxa"/>
                </w:tcPr>
                <w:p w:rsidR="00AC7684" w:rsidRDefault="00AC768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p w:rsidR="009F2169" w:rsidRPr="00AC7684" w:rsidRDefault="00735DEC"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1797,75 </w:t>
                  </w:r>
                  <w:proofErr w:type="spellStart"/>
                  <w:r w:rsidR="009F2169">
                    <w:rPr>
                      <w:rFonts w:ascii="Times New Roman" w:hAnsi="Times New Roman" w:cs="Times New Roman"/>
                      <w:color w:val="000000" w:themeColor="text1"/>
                      <w:sz w:val="20"/>
                      <w:szCs w:val="20"/>
                      <w:lang w:val="lv-LV"/>
                    </w:rPr>
                    <w:t>euro</w:t>
                  </w:r>
                  <w:proofErr w:type="spellEnd"/>
                </w:p>
              </w:tc>
            </w:tr>
            <w:tr w:rsidR="00AC7684" w:rsidTr="007214EF">
              <w:tc>
                <w:tcPr>
                  <w:tcW w:w="1726" w:type="dxa"/>
                </w:tcPr>
                <w:p w:rsidR="00AC7684" w:rsidRPr="00AC7684" w:rsidRDefault="00AC768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AC7684">
                    <w:rPr>
                      <w:rFonts w:ascii="Times New Roman" w:hAnsi="Times New Roman" w:cs="Times New Roman"/>
                      <w:color w:val="000000" w:themeColor="text1"/>
                      <w:sz w:val="20"/>
                      <w:szCs w:val="20"/>
                      <w:lang w:val="lv-LV"/>
                    </w:rPr>
                    <w:t>vidēja</w:t>
                  </w:r>
                </w:p>
              </w:tc>
              <w:tc>
                <w:tcPr>
                  <w:tcW w:w="1726" w:type="dxa"/>
                </w:tcPr>
                <w:p w:rsidR="00AC7684" w:rsidRDefault="006742D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n</w:t>
                  </w:r>
                  <w:r w:rsidR="00AC7684" w:rsidRPr="003D040F">
                    <w:rPr>
                      <w:rFonts w:ascii="Times New Roman" w:hAnsi="Times New Roman" w:cs="Times New Roman"/>
                      <w:color w:val="000000" w:themeColor="text1"/>
                      <w:sz w:val="20"/>
                      <w:szCs w:val="20"/>
                      <w:lang w:val="lv-LV"/>
                    </w:rPr>
                    <w:t xml:space="preserve">e vairāk kā </w:t>
                  </w:r>
                  <w:r w:rsidR="00AC7684">
                    <w:rPr>
                      <w:rFonts w:ascii="Times New Roman" w:hAnsi="Times New Roman" w:cs="Times New Roman"/>
                      <w:color w:val="000000" w:themeColor="text1"/>
                      <w:sz w:val="20"/>
                      <w:szCs w:val="20"/>
                      <w:lang w:val="lv-LV"/>
                    </w:rPr>
                    <w:t>4,3</w:t>
                  </w:r>
                  <w:r w:rsidR="00AC7684" w:rsidRPr="003D040F">
                    <w:rPr>
                      <w:rFonts w:ascii="Times New Roman" w:hAnsi="Times New Roman" w:cs="Times New Roman"/>
                      <w:color w:val="000000" w:themeColor="text1"/>
                      <w:sz w:val="20"/>
                      <w:szCs w:val="20"/>
                      <w:lang w:val="lv-LV"/>
                    </w:rPr>
                    <w:t>3</w:t>
                  </w:r>
                </w:p>
                <w:p w:rsidR="00AC7684" w:rsidRPr="003D040F" w:rsidRDefault="006742D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3312,45 </w:t>
                  </w:r>
                  <w:proofErr w:type="spellStart"/>
                  <w:r>
                    <w:rPr>
                      <w:rFonts w:ascii="Times New Roman" w:hAnsi="Times New Roman" w:cs="Times New Roman"/>
                      <w:color w:val="000000" w:themeColor="text1"/>
                      <w:sz w:val="20"/>
                      <w:szCs w:val="20"/>
                      <w:lang w:val="lv-LV"/>
                    </w:rPr>
                    <w:t>euro</w:t>
                  </w:r>
                  <w:proofErr w:type="spellEnd"/>
                </w:p>
              </w:tc>
              <w:tc>
                <w:tcPr>
                  <w:tcW w:w="1727" w:type="dxa"/>
                </w:tcPr>
                <w:p w:rsidR="00AC7684" w:rsidRPr="00347094" w:rsidRDefault="006742D2" w:rsidP="00BF095A">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Pr>
                      <w:rFonts w:ascii="Times New Roman" w:hAnsi="Times New Roman" w:cs="Times New Roman"/>
                      <w:color w:val="000000" w:themeColor="text1"/>
                      <w:sz w:val="20"/>
                      <w:szCs w:val="20"/>
                      <w:lang w:val="lv-LV"/>
                    </w:rPr>
                    <w:t>n</w:t>
                  </w:r>
                  <w:r w:rsidR="00AC7684" w:rsidRPr="003D040F">
                    <w:rPr>
                      <w:rFonts w:ascii="Times New Roman" w:hAnsi="Times New Roman" w:cs="Times New Roman"/>
                      <w:color w:val="000000" w:themeColor="text1"/>
                      <w:sz w:val="20"/>
                      <w:szCs w:val="20"/>
                      <w:lang w:val="lv-LV"/>
                    </w:rPr>
                    <w:t xml:space="preserve">e vairāk kā </w:t>
                  </w:r>
                  <w:r w:rsidR="00537FD7" w:rsidRPr="00347094">
                    <w:rPr>
                      <w:rFonts w:ascii="Times New Roman" w:hAnsi="Times New Roman" w:cs="Times New Roman"/>
                      <w:b/>
                      <w:color w:val="000000" w:themeColor="text1"/>
                      <w:sz w:val="20"/>
                      <w:szCs w:val="20"/>
                      <w:lang w:val="lv-LV"/>
                    </w:rPr>
                    <w:t>8</w:t>
                  </w:r>
                </w:p>
                <w:p w:rsidR="006742D2" w:rsidRPr="003D040F" w:rsidRDefault="00537FD7"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6120</w:t>
                  </w:r>
                  <w:r w:rsidR="00364B08">
                    <w:rPr>
                      <w:rFonts w:ascii="Times New Roman" w:hAnsi="Times New Roman" w:cs="Times New Roman"/>
                      <w:color w:val="000000" w:themeColor="text1"/>
                      <w:sz w:val="20"/>
                      <w:szCs w:val="20"/>
                      <w:lang w:val="lv-LV"/>
                    </w:rPr>
                    <w:t xml:space="preserve"> </w:t>
                  </w:r>
                  <w:proofErr w:type="spellStart"/>
                  <w:r w:rsidR="00364B08">
                    <w:rPr>
                      <w:rFonts w:ascii="Times New Roman" w:hAnsi="Times New Roman" w:cs="Times New Roman"/>
                      <w:color w:val="000000" w:themeColor="text1"/>
                      <w:sz w:val="20"/>
                      <w:szCs w:val="20"/>
                      <w:lang w:val="lv-LV"/>
                    </w:rPr>
                    <w:t>euro</w:t>
                  </w:r>
                  <w:proofErr w:type="spellEnd"/>
                </w:p>
              </w:tc>
              <w:tc>
                <w:tcPr>
                  <w:tcW w:w="1727" w:type="dxa"/>
                </w:tcPr>
                <w:p w:rsidR="00AC7684" w:rsidRDefault="00AC768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p w:rsidR="009F2169" w:rsidRPr="00AC7684" w:rsidRDefault="00735DEC"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2805,55 </w:t>
                  </w:r>
                  <w:proofErr w:type="spellStart"/>
                  <w:r w:rsidR="009F2169">
                    <w:rPr>
                      <w:rFonts w:ascii="Times New Roman" w:hAnsi="Times New Roman" w:cs="Times New Roman"/>
                      <w:color w:val="000000" w:themeColor="text1"/>
                      <w:sz w:val="20"/>
                      <w:szCs w:val="20"/>
                      <w:lang w:val="lv-LV"/>
                    </w:rPr>
                    <w:t>euro</w:t>
                  </w:r>
                  <w:proofErr w:type="spellEnd"/>
                </w:p>
              </w:tc>
            </w:tr>
            <w:tr w:rsidR="00AC7684" w:rsidTr="007214EF">
              <w:tc>
                <w:tcPr>
                  <w:tcW w:w="1726" w:type="dxa"/>
                </w:tcPr>
                <w:p w:rsidR="00AC7684" w:rsidRPr="005C457B" w:rsidRDefault="00AC768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5C457B">
                    <w:rPr>
                      <w:rFonts w:ascii="Times New Roman" w:hAnsi="Times New Roman" w:cs="Times New Roman"/>
                      <w:color w:val="000000" w:themeColor="text1"/>
                      <w:sz w:val="20"/>
                      <w:szCs w:val="20"/>
                      <w:lang w:val="lv-LV"/>
                    </w:rPr>
                    <w:t>liela</w:t>
                  </w:r>
                </w:p>
              </w:tc>
              <w:tc>
                <w:tcPr>
                  <w:tcW w:w="1726" w:type="dxa"/>
                </w:tcPr>
                <w:p w:rsidR="00AC7684" w:rsidRPr="005C457B" w:rsidRDefault="006742D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5C457B">
                    <w:rPr>
                      <w:rFonts w:ascii="Times New Roman" w:hAnsi="Times New Roman" w:cs="Times New Roman"/>
                      <w:color w:val="000000" w:themeColor="text1"/>
                      <w:sz w:val="20"/>
                      <w:szCs w:val="20"/>
                      <w:lang w:val="lv-LV"/>
                    </w:rPr>
                    <w:t>n</w:t>
                  </w:r>
                  <w:r w:rsidR="00AC7684" w:rsidRPr="005C457B">
                    <w:rPr>
                      <w:rFonts w:ascii="Times New Roman" w:hAnsi="Times New Roman" w:cs="Times New Roman"/>
                      <w:color w:val="000000" w:themeColor="text1"/>
                      <w:sz w:val="20"/>
                      <w:szCs w:val="20"/>
                      <w:lang w:val="lv-LV"/>
                    </w:rPr>
                    <w:t>e vairāk kā 5,54</w:t>
                  </w:r>
                </w:p>
                <w:p w:rsidR="00AC7684" w:rsidRPr="005C457B" w:rsidRDefault="006742D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5C457B">
                    <w:rPr>
                      <w:rFonts w:ascii="Times New Roman" w:hAnsi="Times New Roman" w:cs="Times New Roman"/>
                      <w:color w:val="000000" w:themeColor="text1"/>
                      <w:sz w:val="20"/>
                      <w:szCs w:val="20"/>
                      <w:lang w:val="lv-LV"/>
                    </w:rPr>
                    <w:t xml:space="preserve">4238,10 </w:t>
                  </w:r>
                  <w:proofErr w:type="spellStart"/>
                  <w:r w:rsidRPr="005C457B">
                    <w:rPr>
                      <w:rFonts w:ascii="Times New Roman" w:hAnsi="Times New Roman" w:cs="Times New Roman"/>
                      <w:color w:val="000000" w:themeColor="text1"/>
                      <w:sz w:val="20"/>
                      <w:szCs w:val="20"/>
                      <w:lang w:val="lv-LV"/>
                    </w:rPr>
                    <w:t>euro</w:t>
                  </w:r>
                  <w:proofErr w:type="spellEnd"/>
                </w:p>
              </w:tc>
              <w:tc>
                <w:tcPr>
                  <w:tcW w:w="1727" w:type="dxa"/>
                </w:tcPr>
                <w:p w:rsidR="00AC7684" w:rsidRPr="00347094" w:rsidRDefault="006742D2" w:rsidP="00BF095A">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5C457B">
                    <w:rPr>
                      <w:rFonts w:ascii="Times New Roman" w:hAnsi="Times New Roman" w:cs="Times New Roman"/>
                      <w:color w:val="000000" w:themeColor="text1"/>
                      <w:sz w:val="20"/>
                      <w:szCs w:val="20"/>
                      <w:lang w:val="lv-LV"/>
                    </w:rPr>
                    <w:t>n</w:t>
                  </w:r>
                  <w:r w:rsidR="00AC7684" w:rsidRPr="005C457B">
                    <w:rPr>
                      <w:rFonts w:ascii="Times New Roman" w:hAnsi="Times New Roman" w:cs="Times New Roman"/>
                      <w:color w:val="000000" w:themeColor="text1"/>
                      <w:sz w:val="20"/>
                      <w:szCs w:val="20"/>
                      <w:lang w:val="lv-LV"/>
                    </w:rPr>
                    <w:t xml:space="preserve">e vairāk kā </w:t>
                  </w:r>
                  <w:r w:rsidR="00537FD7" w:rsidRPr="00347094">
                    <w:rPr>
                      <w:rFonts w:ascii="Times New Roman" w:hAnsi="Times New Roman" w:cs="Times New Roman"/>
                      <w:b/>
                      <w:color w:val="000000" w:themeColor="text1"/>
                      <w:sz w:val="20"/>
                      <w:szCs w:val="20"/>
                      <w:lang w:val="lv-LV"/>
                    </w:rPr>
                    <w:t>9</w:t>
                  </w:r>
                </w:p>
                <w:p w:rsidR="00364B08" w:rsidRPr="005C457B" w:rsidRDefault="00537FD7"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6885</w:t>
                  </w:r>
                  <w:r w:rsidR="00364B08" w:rsidRPr="005C457B">
                    <w:rPr>
                      <w:rFonts w:ascii="Times New Roman" w:hAnsi="Times New Roman" w:cs="Times New Roman"/>
                      <w:color w:val="000000" w:themeColor="text1"/>
                      <w:sz w:val="20"/>
                      <w:szCs w:val="20"/>
                      <w:lang w:val="lv-LV"/>
                    </w:rPr>
                    <w:t xml:space="preserve"> </w:t>
                  </w:r>
                  <w:proofErr w:type="spellStart"/>
                  <w:r w:rsidR="00364B08" w:rsidRPr="005C457B">
                    <w:rPr>
                      <w:rFonts w:ascii="Times New Roman" w:hAnsi="Times New Roman" w:cs="Times New Roman"/>
                      <w:color w:val="000000" w:themeColor="text1"/>
                      <w:sz w:val="20"/>
                      <w:szCs w:val="20"/>
                      <w:lang w:val="lv-LV"/>
                    </w:rPr>
                    <w:t>euro</w:t>
                  </w:r>
                  <w:proofErr w:type="spellEnd"/>
                </w:p>
              </w:tc>
              <w:tc>
                <w:tcPr>
                  <w:tcW w:w="1727" w:type="dxa"/>
                </w:tcPr>
                <w:p w:rsidR="00AC7684" w:rsidRPr="005C457B" w:rsidRDefault="00AC768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p w:rsidR="009F2169" w:rsidRPr="005C457B" w:rsidRDefault="00735DEC"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2646,90 </w:t>
                  </w:r>
                  <w:proofErr w:type="spellStart"/>
                  <w:r w:rsidR="009F2169" w:rsidRPr="005C457B">
                    <w:rPr>
                      <w:rFonts w:ascii="Times New Roman" w:hAnsi="Times New Roman" w:cs="Times New Roman"/>
                      <w:color w:val="000000" w:themeColor="text1"/>
                      <w:sz w:val="20"/>
                      <w:szCs w:val="20"/>
                      <w:lang w:val="lv-LV"/>
                    </w:rPr>
                    <w:t>euro</w:t>
                  </w:r>
                  <w:proofErr w:type="spellEnd"/>
                </w:p>
              </w:tc>
            </w:tr>
            <w:tr w:rsidR="00AC7684" w:rsidTr="007214EF">
              <w:tc>
                <w:tcPr>
                  <w:tcW w:w="1726" w:type="dxa"/>
                </w:tcPr>
                <w:p w:rsidR="00AC7684" w:rsidRPr="00AC7684" w:rsidRDefault="00AC768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AC7684">
                    <w:rPr>
                      <w:rFonts w:ascii="Times New Roman" w:hAnsi="Times New Roman" w:cs="Times New Roman"/>
                      <w:color w:val="000000" w:themeColor="text1"/>
                      <w:sz w:val="20"/>
                      <w:szCs w:val="20"/>
                      <w:lang w:val="lv-LV"/>
                    </w:rPr>
                    <w:t>īpaši liela</w:t>
                  </w:r>
                </w:p>
              </w:tc>
              <w:tc>
                <w:tcPr>
                  <w:tcW w:w="1726" w:type="dxa"/>
                </w:tcPr>
                <w:p w:rsidR="00AC7684" w:rsidRDefault="006742D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n</w:t>
                  </w:r>
                  <w:r w:rsidR="00AC7684" w:rsidRPr="003D040F">
                    <w:rPr>
                      <w:rFonts w:ascii="Times New Roman" w:hAnsi="Times New Roman" w:cs="Times New Roman"/>
                      <w:color w:val="000000" w:themeColor="text1"/>
                      <w:sz w:val="20"/>
                      <w:szCs w:val="20"/>
                      <w:lang w:val="lv-LV"/>
                    </w:rPr>
                    <w:t xml:space="preserve">e vairāk kā </w:t>
                  </w:r>
                  <w:r w:rsidR="00AC7684">
                    <w:rPr>
                      <w:rFonts w:ascii="Times New Roman" w:hAnsi="Times New Roman" w:cs="Times New Roman"/>
                      <w:color w:val="000000" w:themeColor="text1"/>
                      <w:sz w:val="20"/>
                      <w:szCs w:val="20"/>
                      <w:lang w:val="lv-LV"/>
                    </w:rPr>
                    <w:t>6</w:t>
                  </w:r>
                </w:p>
                <w:p w:rsidR="00AC7684" w:rsidRPr="003D040F" w:rsidRDefault="006742D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4590 </w:t>
                  </w:r>
                  <w:proofErr w:type="spellStart"/>
                  <w:r>
                    <w:rPr>
                      <w:rFonts w:ascii="Times New Roman" w:hAnsi="Times New Roman" w:cs="Times New Roman"/>
                      <w:color w:val="000000" w:themeColor="text1"/>
                      <w:sz w:val="20"/>
                      <w:szCs w:val="20"/>
                      <w:lang w:val="lv-LV"/>
                    </w:rPr>
                    <w:t>euro</w:t>
                  </w:r>
                  <w:proofErr w:type="spellEnd"/>
                </w:p>
              </w:tc>
              <w:tc>
                <w:tcPr>
                  <w:tcW w:w="1727" w:type="dxa"/>
                </w:tcPr>
                <w:p w:rsidR="00AC7684" w:rsidRDefault="006742D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n</w:t>
                  </w:r>
                  <w:r w:rsidR="00AC7684" w:rsidRPr="003D040F">
                    <w:rPr>
                      <w:rFonts w:ascii="Times New Roman" w:hAnsi="Times New Roman" w:cs="Times New Roman"/>
                      <w:color w:val="000000" w:themeColor="text1"/>
                      <w:sz w:val="20"/>
                      <w:szCs w:val="20"/>
                      <w:lang w:val="lv-LV"/>
                    </w:rPr>
                    <w:t xml:space="preserve">e vairāk kā </w:t>
                  </w:r>
                  <w:r w:rsidR="00AC7684" w:rsidRPr="00347094">
                    <w:rPr>
                      <w:rFonts w:ascii="Times New Roman" w:hAnsi="Times New Roman" w:cs="Times New Roman"/>
                      <w:b/>
                      <w:color w:val="000000" w:themeColor="text1"/>
                      <w:sz w:val="20"/>
                      <w:szCs w:val="20"/>
                      <w:lang w:val="lv-LV"/>
                    </w:rPr>
                    <w:t>10</w:t>
                  </w:r>
                </w:p>
                <w:p w:rsidR="00364B08" w:rsidRPr="003D040F" w:rsidRDefault="00364B08"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7650 </w:t>
                  </w:r>
                  <w:proofErr w:type="spellStart"/>
                  <w:r>
                    <w:rPr>
                      <w:rFonts w:ascii="Times New Roman" w:hAnsi="Times New Roman" w:cs="Times New Roman"/>
                      <w:color w:val="000000" w:themeColor="text1"/>
                      <w:sz w:val="20"/>
                      <w:szCs w:val="20"/>
                      <w:lang w:val="lv-LV"/>
                    </w:rPr>
                    <w:t>euro</w:t>
                  </w:r>
                  <w:proofErr w:type="spellEnd"/>
                </w:p>
              </w:tc>
              <w:tc>
                <w:tcPr>
                  <w:tcW w:w="1727" w:type="dxa"/>
                </w:tcPr>
                <w:p w:rsidR="00AC7684" w:rsidRDefault="00AC768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p w:rsidR="009F2169" w:rsidRPr="00AC7684" w:rsidRDefault="009F2169"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3060 </w:t>
                  </w:r>
                  <w:proofErr w:type="spellStart"/>
                  <w:r>
                    <w:rPr>
                      <w:rFonts w:ascii="Times New Roman" w:hAnsi="Times New Roman" w:cs="Times New Roman"/>
                      <w:color w:val="000000" w:themeColor="text1"/>
                      <w:sz w:val="20"/>
                      <w:szCs w:val="20"/>
                      <w:lang w:val="lv-LV"/>
                    </w:rPr>
                    <w:t>euro</w:t>
                  </w:r>
                  <w:proofErr w:type="spellEnd"/>
                </w:p>
              </w:tc>
            </w:tr>
          </w:tbl>
          <w:p w:rsidR="00B9146A" w:rsidRDefault="00B9146A" w:rsidP="00ED00F1">
            <w:pPr>
              <w:pStyle w:val="NormalWeb"/>
              <w:spacing w:before="0" w:beforeAutospacing="0" w:after="0" w:afterAutospacing="0"/>
              <w:jc w:val="both"/>
              <w:rPr>
                <w:rFonts w:ascii="Times New Roman" w:hAnsi="Times New Roman" w:cs="Times New Roman"/>
                <w:color w:val="000000" w:themeColor="text1"/>
                <w:lang w:val="lv-LV"/>
              </w:rPr>
            </w:pPr>
          </w:p>
          <w:p w:rsidR="00FF7B75" w:rsidRDefault="002572BA" w:rsidP="00ED00F1">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Noteikumu projekta izstrādes laikā ir ņemti vērā </w:t>
            </w:r>
            <w:r w:rsidR="00347094">
              <w:rPr>
                <w:rFonts w:ascii="Times New Roman" w:hAnsi="Times New Roman" w:cs="Times New Roman"/>
                <w:color w:val="000000" w:themeColor="text1"/>
                <w:lang w:val="lv-LV"/>
              </w:rPr>
              <w:t xml:space="preserve">arī </w:t>
            </w:r>
            <w:r>
              <w:rPr>
                <w:rFonts w:ascii="Times New Roman" w:hAnsi="Times New Roman" w:cs="Times New Roman"/>
                <w:color w:val="000000" w:themeColor="text1"/>
                <w:lang w:val="lv-LV"/>
              </w:rPr>
              <w:t>šādi aspekti</w:t>
            </w:r>
            <w:r w:rsidR="00FF7B75">
              <w:rPr>
                <w:rFonts w:ascii="Times New Roman" w:hAnsi="Times New Roman" w:cs="Times New Roman"/>
                <w:color w:val="000000" w:themeColor="text1"/>
                <w:lang w:val="lv-LV"/>
              </w:rPr>
              <w:t xml:space="preserve">: </w:t>
            </w:r>
          </w:p>
          <w:p w:rsidR="00843616" w:rsidRPr="00C57E13" w:rsidRDefault="00856E8B" w:rsidP="00C57E13">
            <w:pPr>
              <w:pStyle w:val="NormalWeb"/>
              <w:numPr>
                <w:ilvl w:val="0"/>
                <w:numId w:val="4"/>
              </w:numPr>
              <w:spacing w:before="0" w:beforeAutospacing="0" w:after="0" w:afterAutospacing="0"/>
              <w:ind w:left="0" w:firstLine="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Latvijas pievienošanās Ekonomiskās sadarbības un </w:t>
            </w:r>
            <w:r w:rsidR="00ED00F1">
              <w:rPr>
                <w:rFonts w:ascii="Times New Roman" w:hAnsi="Times New Roman" w:cs="Times New Roman"/>
                <w:color w:val="000000" w:themeColor="text1"/>
                <w:lang w:val="lv-LV"/>
              </w:rPr>
              <w:t xml:space="preserve">attīstības organizācijai Ceļa karte, vadlīnijas valsts kapitālsabiedrību pārvaldībai </w:t>
            </w:r>
            <w:hyperlink r:id="rId14" w:history="1">
              <w:r w:rsidR="00ED00F1" w:rsidRPr="00ED00F1">
                <w:rPr>
                  <w:rStyle w:val="Hyperlink"/>
                  <w:rFonts w:ascii="Times New Roman" w:hAnsi="Times New Roman" w:cs="Times New Roman"/>
                  <w:sz w:val="22"/>
                  <w:szCs w:val="22"/>
                  <w:lang w:val="lv-LV"/>
                </w:rPr>
                <w:t>http://www.oecd.org/daf/ca/oecdguidelinesoncorporategovernanceofstate-ownedenterprises</w:t>
              </w:r>
            </w:hyperlink>
            <w:r w:rsidR="00ED00F1" w:rsidRPr="00ED00F1">
              <w:rPr>
                <w:rFonts w:ascii="Times New Roman" w:hAnsi="Times New Roman" w:cs="Times New Roman"/>
                <w:sz w:val="22"/>
                <w:szCs w:val="22"/>
                <w:lang w:val="lv-LV"/>
              </w:rPr>
              <w:t xml:space="preserve">, </w:t>
            </w:r>
            <w:r w:rsidR="00ED00F1" w:rsidRPr="00C57E13">
              <w:rPr>
                <w:rFonts w:ascii="Times New Roman" w:hAnsi="Times New Roman" w:cs="Times New Roman"/>
                <w:lang w:val="lv-LV"/>
              </w:rPr>
              <w:t xml:space="preserve">(21.lpp.) norādīts, ka viens no nosacījumiem </w:t>
            </w:r>
            <w:r w:rsidR="005E08EC">
              <w:rPr>
                <w:rFonts w:ascii="Times New Roman" w:hAnsi="Times New Roman" w:cs="Times New Roman"/>
                <w:lang w:val="lv-LV"/>
              </w:rPr>
              <w:t xml:space="preserve">kandidātvalstīm </w:t>
            </w:r>
            <w:r w:rsidR="00ED00F1" w:rsidRPr="00C57E13">
              <w:rPr>
                <w:rFonts w:ascii="Times New Roman" w:hAnsi="Times New Roman" w:cs="Times New Roman"/>
                <w:lang w:val="lv-LV"/>
              </w:rPr>
              <w:t xml:space="preserve">ir izveidot </w:t>
            </w:r>
            <w:r w:rsidR="00B35435" w:rsidRPr="00C57E13">
              <w:rPr>
                <w:rFonts w:ascii="Times New Roman" w:hAnsi="Times New Roman" w:cs="Times New Roman"/>
                <w:lang w:val="lv-LV"/>
              </w:rPr>
              <w:t xml:space="preserve">skaidru atalgojuma politiku kapitālsabiedrību valdes locekļiem, lai tādā veidā </w:t>
            </w:r>
            <w:r w:rsidR="00C57E13" w:rsidRPr="00C57E13">
              <w:rPr>
                <w:rFonts w:ascii="Times New Roman" w:hAnsi="Times New Roman" w:cs="Times New Roman"/>
                <w:lang w:val="lv-LV"/>
              </w:rPr>
              <w:t xml:space="preserve">kapitālsabiedrību pārvaldībā </w:t>
            </w:r>
            <w:r w:rsidR="00B35435" w:rsidRPr="00C57E13">
              <w:rPr>
                <w:rFonts w:ascii="Times New Roman" w:hAnsi="Times New Roman" w:cs="Times New Roman"/>
                <w:lang w:val="lv-LV"/>
              </w:rPr>
              <w:t>ilgtermiņā un vidējā termiņā sekmētu</w:t>
            </w:r>
            <w:proofErr w:type="gramStart"/>
            <w:r w:rsidR="00B35435" w:rsidRPr="00C57E13">
              <w:rPr>
                <w:rFonts w:ascii="Times New Roman" w:hAnsi="Times New Roman" w:cs="Times New Roman"/>
                <w:lang w:val="lv-LV"/>
              </w:rPr>
              <w:t xml:space="preserve">  </w:t>
            </w:r>
            <w:proofErr w:type="gramEnd"/>
            <w:r w:rsidR="00B35435" w:rsidRPr="00C57E13">
              <w:rPr>
                <w:rFonts w:ascii="Times New Roman" w:hAnsi="Times New Roman" w:cs="Times New Roman"/>
                <w:lang w:val="lv-LV"/>
              </w:rPr>
              <w:t>motivētu un kvalificētu profesionāļu piesaisti</w:t>
            </w:r>
            <w:r w:rsidR="00C57E13" w:rsidRPr="00C57E13">
              <w:rPr>
                <w:rFonts w:ascii="Times New Roman" w:hAnsi="Times New Roman" w:cs="Times New Roman"/>
                <w:lang w:val="lv-LV"/>
              </w:rPr>
              <w:t>;</w:t>
            </w:r>
            <w:r w:rsidR="00C57E13" w:rsidRPr="00C57E13">
              <w:rPr>
                <w:rFonts w:ascii="Times New Roman" w:hAnsi="Times New Roman" w:cs="Times New Roman"/>
                <w:color w:val="000000" w:themeColor="text1"/>
                <w:lang w:val="lv-LV"/>
              </w:rPr>
              <w:t xml:space="preserve"> </w:t>
            </w:r>
          </w:p>
          <w:p w:rsidR="00843616" w:rsidRDefault="00843616" w:rsidP="00F35101">
            <w:pPr>
              <w:pStyle w:val="NormalWeb"/>
              <w:spacing w:before="0" w:beforeAutospacing="0" w:after="0" w:afterAutospacing="0"/>
              <w:jc w:val="both"/>
              <w:rPr>
                <w:rFonts w:ascii="Times New Roman" w:hAnsi="Times New Roman" w:cs="Times New Roman"/>
                <w:color w:val="000000" w:themeColor="text1"/>
                <w:lang w:val="lv-LV"/>
              </w:rPr>
            </w:pPr>
          </w:p>
          <w:p w:rsidR="00A25417" w:rsidRDefault="00843616" w:rsidP="00F35101">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2) </w:t>
            </w:r>
            <w:r w:rsidR="00FF7B75">
              <w:rPr>
                <w:rFonts w:ascii="Times New Roman" w:hAnsi="Times New Roman" w:cs="Times New Roman"/>
                <w:color w:val="000000" w:themeColor="text1"/>
                <w:lang w:val="lv-LV"/>
              </w:rPr>
              <w:t>n</w:t>
            </w:r>
            <w:r w:rsidR="00F35101" w:rsidRPr="00C975CF">
              <w:rPr>
                <w:rFonts w:ascii="Times New Roman" w:hAnsi="Times New Roman" w:cs="Times New Roman"/>
                <w:color w:val="000000" w:themeColor="text1"/>
                <w:lang w:val="lv-LV"/>
              </w:rPr>
              <w:t xml:space="preserve">oteikumu projekta sagatavošanas laikā tika veikts CV </w:t>
            </w:r>
            <w:proofErr w:type="spellStart"/>
            <w:r w:rsidR="00F35101" w:rsidRPr="00C975CF">
              <w:rPr>
                <w:rFonts w:ascii="Times New Roman" w:hAnsi="Times New Roman" w:cs="Times New Roman"/>
                <w:color w:val="000000" w:themeColor="text1"/>
                <w:lang w:val="lv-LV"/>
              </w:rPr>
              <w:t>online</w:t>
            </w:r>
            <w:proofErr w:type="spellEnd"/>
            <w:proofErr w:type="gramStart"/>
            <w:r w:rsidR="00F35101" w:rsidRPr="00C975CF">
              <w:rPr>
                <w:rFonts w:ascii="Times New Roman" w:hAnsi="Times New Roman" w:cs="Times New Roman"/>
                <w:color w:val="000000" w:themeColor="text1"/>
                <w:lang w:val="lv-LV"/>
              </w:rPr>
              <w:t xml:space="preserve">  </w:t>
            </w:r>
            <w:proofErr w:type="gramEnd"/>
            <w:r w:rsidR="00F35101" w:rsidRPr="00C975CF">
              <w:rPr>
                <w:rFonts w:ascii="Times New Roman" w:hAnsi="Times New Roman" w:cs="Times New Roman"/>
                <w:color w:val="000000" w:themeColor="text1"/>
                <w:lang w:val="lv-LV"/>
              </w:rPr>
              <w:t xml:space="preserve">pētījumā </w:t>
            </w:r>
            <w:hyperlink r:id="rId15" w:history="1">
              <w:r w:rsidR="00F35101" w:rsidRPr="00C975CF">
                <w:rPr>
                  <w:rStyle w:val="Hyperlink"/>
                  <w:rFonts w:ascii="Times New Roman" w:hAnsi="Times New Roman"/>
                  <w:lang w:val="lv-LV"/>
                </w:rPr>
                <w:t>http://www.cv.lv/content/?id=1333</w:t>
              </w:r>
            </w:hyperlink>
            <w:r w:rsidR="00F35101" w:rsidRPr="00C975CF">
              <w:rPr>
                <w:rFonts w:ascii="Times New Roman" w:hAnsi="Times New Roman" w:cs="Times New Roman"/>
                <w:color w:val="000000" w:themeColor="text1"/>
                <w:lang w:val="lv-LV"/>
              </w:rPr>
              <w:t xml:space="preserve"> norādīto </w:t>
            </w:r>
            <w:r w:rsidR="00F35101">
              <w:rPr>
                <w:rFonts w:ascii="Times New Roman" w:hAnsi="Times New Roman" w:cs="Times New Roman"/>
                <w:color w:val="000000" w:themeColor="text1"/>
                <w:lang w:val="lv-LV"/>
              </w:rPr>
              <w:t xml:space="preserve">Latvijas </w:t>
            </w:r>
            <w:r w:rsidR="00F35101" w:rsidRPr="00C975CF">
              <w:rPr>
                <w:rFonts w:ascii="Times New Roman" w:hAnsi="Times New Roman" w:cs="Times New Roman"/>
                <w:color w:val="000000" w:themeColor="text1"/>
                <w:lang w:val="lv-LV"/>
              </w:rPr>
              <w:t xml:space="preserve">dažādu nozaru augstākā un vidējā līmeņa vadības mēneša atlīdzības apmēru salīdzinājums ar VID publiski pieejamajā datu bāzē “Valsts amatpersonu deklarācijas” norādītajiem datiem par </w:t>
            </w:r>
            <w:r w:rsidR="00F35101">
              <w:rPr>
                <w:rFonts w:ascii="Times New Roman" w:hAnsi="Times New Roman" w:cs="Times New Roman"/>
                <w:color w:val="000000" w:themeColor="text1"/>
                <w:lang w:val="lv-LV"/>
              </w:rPr>
              <w:t xml:space="preserve">valsts </w:t>
            </w:r>
            <w:r w:rsidR="00F35101" w:rsidRPr="00C975CF">
              <w:rPr>
                <w:rFonts w:ascii="Times New Roman" w:hAnsi="Times New Roman" w:cs="Times New Roman"/>
                <w:color w:val="000000" w:themeColor="text1"/>
                <w:lang w:val="lv-LV"/>
              </w:rPr>
              <w:t xml:space="preserve">kapitālsabiedrību valdes priekšsēdētāju un valdes locekļu atalgojumu 2014.gadā. </w:t>
            </w:r>
            <w:r w:rsidR="00F35101">
              <w:rPr>
                <w:rFonts w:ascii="Times New Roman" w:hAnsi="Times New Roman" w:cs="Times New Roman"/>
                <w:color w:val="000000" w:themeColor="text1"/>
                <w:lang w:val="lv-LV"/>
              </w:rPr>
              <w:t>Atalgojumu apmēru s</w:t>
            </w:r>
            <w:r w:rsidR="00F35101" w:rsidRPr="00C975CF">
              <w:rPr>
                <w:rFonts w:ascii="Times New Roman" w:hAnsi="Times New Roman" w:cs="Times New Roman"/>
                <w:color w:val="000000" w:themeColor="text1"/>
                <w:lang w:val="lv-LV"/>
              </w:rPr>
              <w:t xml:space="preserve">alīdzināšanas rezultātā </w:t>
            </w:r>
            <w:r w:rsidR="00915563">
              <w:rPr>
                <w:rFonts w:ascii="Times New Roman" w:hAnsi="Times New Roman" w:cs="Times New Roman"/>
                <w:color w:val="000000" w:themeColor="text1"/>
                <w:lang w:val="lv-LV"/>
              </w:rPr>
              <w:t>secināms</w:t>
            </w:r>
            <w:r w:rsidR="00F35101" w:rsidRPr="00C975CF">
              <w:rPr>
                <w:rFonts w:ascii="Times New Roman" w:hAnsi="Times New Roman" w:cs="Times New Roman"/>
                <w:color w:val="000000" w:themeColor="text1"/>
                <w:lang w:val="lv-LV"/>
              </w:rPr>
              <w:t xml:space="preserve">, ka </w:t>
            </w:r>
            <w:r w:rsidR="00F35101">
              <w:rPr>
                <w:rFonts w:ascii="Times New Roman" w:hAnsi="Times New Roman" w:cs="Times New Roman"/>
                <w:color w:val="000000" w:themeColor="text1"/>
                <w:lang w:val="lv-LV"/>
              </w:rPr>
              <w:t xml:space="preserve">Latvijas </w:t>
            </w:r>
            <w:r w:rsidR="00915563">
              <w:rPr>
                <w:rFonts w:ascii="Times New Roman" w:hAnsi="Times New Roman" w:cs="Times New Roman"/>
                <w:color w:val="000000" w:themeColor="text1"/>
                <w:lang w:val="lv-LV"/>
              </w:rPr>
              <w:t xml:space="preserve">privātajās </w:t>
            </w:r>
            <w:r w:rsidR="00A70FED">
              <w:rPr>
                <w:rFonts w:ascii="Times New Roman" w:hAnsi="Times New Roman" w:cs="Times New Roman"/>
                <w:color w:val="000000" w:themeColor="text1"/>
                <w:lang w:val="lv-LV"/>
              </w:rPr>
              <w:t xml:space="preserve">kapitālsabiedrībās </w:t>
            </w:r>
            <w:r w:rsidR="00F35101">
              <w:rPr>
                <w:rFonts w:ascii="Times New Roman" w:hAnsi="Times New Roman" w:cs="Times New Roman"/>
                <w:color w:val="000000" w:themeColor="text1"/>
                <w:lang w:val="lv-LV"/>
              </w:rPr>
              <w:t>vidēj</w:t>
            </w:r>
            <w:r w:rsidR="00915563">
              <w:rPr>
                <w:rFonts w:ascii="Times New Roman" w:hAnsi="Times New Roman" w:cs="Times New Roman"/>
                <w:color w:val="000000" w:themeColor="text1"/>
                <w:lang w:val="lv-LV"/>
              </w:rPr>
              <w:t>ā</w:t>
            </w:r>
            <w:r w:rsidR="00F35101">
              <w:rPr>
                <w:rFonts w:ascii="Times New Roman" w:hAnsi="Times New Roman" w:cs="Times New Roman"/>
                <w:color w:val="000000" w:themeColor="text1"/>
                <w:lang w:val="lv-LV"/>
              </w:rPr>
              <w:t xml:space="preserve"> un lielā</w:t>
            </w:r>
            <w:r w:rsidR="00915563">
              <w:rPr>
                <w:rFonts w:ascii="Times New Roman" w:hAnsi="Times New Roman" w:cs="Times New Roman"/>
                <w:color w:val="000000" w:themeColor="text1"/>
                <w:lang w:val="lv-LV"/>
              </w:rPr>
              <w:t xml:space="preserve"> grupā (pēc uzņēmuma darbinieku skaita) </w:t>
            </w:r>
            <w:r w:rsidR="00F35101">
              <w:rPr>
                <w:rFonts w:ascii="Times New Roman" w:hAnsi="Times New Roman" w:cs="Times New Roman"/>
                <w:color w:val="000000" w:themeColor="text1"/>
                <w:lang w:val="lv-LV"/>
              </w:rPr>
              <w:t xml:space="preserve">ģenerāldirektoru, valdes priekšsēdētāju atalgojuma apmērs (bruto) mēnesī </w:t>
            </w:r>
            <w:r w:rsidR="00FF7B75">
              <w:rPr>
                <w:rFonts w:ascii="Times New Roman" w:hAnsi="Times New Roman" w:cs="Times New Roman"/>
                <w:color w:val="000000" w:themeColor="text1"/>
                <w:lang w:val="lv-LV"/>
              </w:rPr>
              <w:t xml:space="preserve">ievērojami </w:t>
            </w:r>
            <w:r w:rsidR="00F35101">
              <w:rPr>
                <w:rFonts w:ascii="Times New Roman" w:hAnsi="Times New Roman" w:cs="Times New Roman"/>
                <w:color w:val="000000" w:themeColor="text1"/>
                <w:lang w:val="lv-LV"/>
              </w:rPr>
              <w:t xml:space="preserve">pārsniedz </w:t>
            </w:r>
            <w:r w:rsidR="00C67D2A">
              <w:rPr>
                <w:rFonts w:ascii="Times New Roman" w:hAnsi="Times New Roman" w:cs="Times New Roman"/>
                <w:color w:val="000000" w:themeColor="text1"/>
                <w:lang w:val="lv-LV"/>
              </w:rPr>
              <w:t xml:space="preserve">likumā </w:t>
            </w:r>
            <w:r w:rsidR="00915563">
              <w:rPr>
                <w:rFonts w:ascii="Times New Roman" w:hAnsi="Times New Roman" w:cs="Times New Roman"/>
                <w:color w:val="000000" w:themeColor="text1"/>
                <w:lang w:val="lv-LV"/>
              </w:rPr>
              <w:t xml:space="preserve">noteikto </w:t>
            </w:r>
            <w:r w:rsidR="00A70FED">
              <w:rPr>
                <w:rFonts w:ascii="Times New Roman" w:hAnsi="Times New Roman" w:cs="Times New Roman"/>
                <w:color w:val="000000" w:themeColor="text1"/>
                <w:lang w:val="lv-LV"/>
              </w:rPr>
              <w:t xml:space="preserve">maksimāli pieļaujamo </w:t>
            </w:r>
            <w:r w:rsidR="00F35101">
              <w:rPr>
                <w:rFonts w:ascii="Times New Roman" w:hAnsi="Times New Roman" w:cs="Times New Roman"/>
                <w:color w:val="000000" w:themeColor="text1"/>
                <w:lang w:val="lv-LV"/>
              </w:rPr>
              <w:t>koeficientu 10</w:t>
            </w:r>
            <w:r w:rsidR="00915563">
              <w:rPr>
                <w:rFonts w:ascii="Times New Roman" w:hAnsi="Times New Roman" w:cs="Times New Roman"/>
                <w:color w:val="000000" w:themeColor="text1"/>
                <w:lang w:val="lv-LV"/>
              </w:rPr>
              <w:t>, kurš jāievēro valsts kapitālsabiedrību valdes priekšsēdētāju maksimālās mēneša atlīdzības (bruto) noteikšanā attiecīgajā kapitālsabiedrību grupā.</w:t>
            </w:r>
            <w:r w:rsidR="00F35101">
              <w:rPr>
                <w:rFonts w:ascii="Times New Roman" w:hAnsi="Times New Roman" w:cs="Times New Roman"/>
                <w:color w:val="000000" w:themeColor="text1"/>
                <w:lang w:val="lv-LV"/>
              </w:rPr>
              <w:t xml:space="preserve"> </w:t>
            </w:r>
          </w:p>
          <w:p w:rsidR="00574574" w:rsidRDefault="00574574" w:rsidP="00F35101">
            <w:pPr>
              <w:pStyle w:val="NormalWeb"/>
              <w:spacing w:before="0" w:beforeAutospacing="0" w:after="0" w:afterAutospacing="0"/>
              <w:jc w:val="both"/>
              <w:rPr>
                <w:rFonts w:ascii="Times New Roman" w:hAnsi="Times New Roman" w:cs="Times New Roman"/>
                <w:color w:val="000000" w:themeColor="text1"/>
                <w:lang w:val="lv-LV"/>
              </w:rPr>
            </w:pPr>
          </w:p>
          <w:p w:rsidR="00800415" w:rsidRDefault="00F35101" w:rsidP="00F35101">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Attiecīgi</w:t>
            </w:r>
            <w:r w:rsidR="00800415">
              <w:rPr>
                <w:rFonts w:ascii="Times New Roman" w:hAnsi="Times New Roman" w:cs="Times New Roman"/>
                <w:color w:val="000000" w:themeColor="text1"/>
                <w:lang w:val="lv-LV"/>
              </w:rPr>
              <w:t>, ja salīdzinājuma</w:t>
            </w:r>
            <w:r w:rsidR="00A70FED">
              <w:rPr>
                <w:rFonts w:ascii="Times New Roman" w:hAnsi="Times New Roman" w:cs="Times New Roman"/>
                <w:color w:val="000000" w:themeColor="text1"/>
                <w:lang w:val="lv-LV"/>
              </w:rPr>
              <w:t xml:space="preserve"> datu iegūšanai uz privāto kapitālsabiedrību valdes priekšsēdētāju mēneša atlīdzības apmēru </w:t>
            </w:r>
            <w:r w:rsidR="00800415">
              <w:rPr>
                <w:rFonts w:ascii="Times New Roman" w:hAnsi="Times New Roman" w:cs="Times New Roman"/>
                <w:color w:val="000000" w:themeColor="text1"/>
                <w:lang w:val="lv-LV"/>
              </w:rPr>
              <w:t>piemēro</w:t>
            </w:r>
            <w:r w:rsidR="00A70FED">
              <w:rPr>
                <w:rFonts w:ascii="Times New Roman" w:hAnsi="Times New Roman" w:cs="Times New Roman"/>
                <w:color w:val="000000" w:themeColor="text1"/>
                <w:lang w:val="lv-LV"/>
              </w:rPr>
              <w:t>tu</w:t>
            </w:r>
            <w:r w:rsidR="00800415">
              <w:rPr>
                <w:rFonts w:ascii="Times New Roman" w:hAnsi="Times New Roman" w:cs="Times New Roman"/>
                <w:color w:val="000000" w:themeColor="text1"/>
                <w:lang w:val="lv-LV"/>
              </w:rPr>
              <w:t xml:space="preserve"> CSP publicēto vidējo algu</w:t>
            </w:r>
            <w:proofErr w:type="gramStart"/>
            <w:r w:rsidR="00800415">
              <w:rPr>
                <w:rFonts w:ascii="Times New Roman" w:hAnsi="Times New Roman" w:cs="Times New Roman"/>
                <w:color w:val="000000" w:themeColor="text1"/>
                <w:lang w:val="lv-LV"/>
              </w:rPr>
              <w:t xml:space="preserve">  </w:t>
            </w:r>
            <w:proofErr w:type="gramEnd"/>
            <w:r w:rsidR="00800415">
              <w:rPr>
                <w:rFonts w:ascii="Times New Roman" w:hAnsi="Times New Roman" w:cs="Times New Roman"/>
                <w:color w:val="000000" w:themeColor="text1"/>
                <w:lang w:val="lv-LV"/>
              </w:rPr>
              <w:t xml:space="preserve">par 2014.gadu 765 </w:t>
            </w:r>
            <w:proofErr w:type="spellStart"/>
            <w:r w:rsidR="00800415">
              <w:rPr>
                <w:rFonts w:ascii="Times New Roman" w:hAnsi="Times New Roman" w:cs="Times New Roman"/>
                <w:color w:val="000000" w:themeColor="text1"/>
                <w:lang w:val="lv-LV"/>
              </w:rPr>
              <w:t>euro</w:t>
            </w:r>
            <w:proofErr w:type="spellEnd"/>
            <w:r w:rsidR="00800415">
              <w:rPr>
                <w:rFonts w:ascii="Times New Roman" w:hAnsi="Times New Roman" w:cs="Times New Roman"/>
                <w:color w:val="000000" w:themeColor="text1"/>
                <w:lang w:val="lv-LV"/>
              </w:rPr>
              <w:t xml:space="preserve"> apmērā, </w:t>
            </w:r>
            <w:r w:rsidR="00A25417">
              <w:rPr>
                <w:rFonts w:ascii="Times New Roman" w:hAnsi="Times New Roman" w:cs="Times New Roman"/>
                <w:color w:val="000000" w:themeColor="text1"/>
                <w:lang w:val="lv-LV"/>
              </w:rPr>
              <w:t xml:space="preserve">tad </w:t>
            </w:r>
            <w:r w:rsidR="00FF7B75">
              <w:rPr>
                <w:rFonts w:ascii="Times New Roman" w:hAnsi="Times New Roman" w:cs="Times New Roman"/>
                <w:color w:val="000000" w:themeColor="text1"/>
                <w:lang w:val="lv-LV"/>
              </w:rPr>
              <w:t>koeficient</w:t>
            </w:r>
            <w:r w:rsidR="00800415">
              <w:rPr>
                <w:rFonts w:ascii="Times New Roman" w:hAnsi="Times New Roman" w:cs="Times New Roman"/>
                <w:color w:val="000000" w:themeColor="text1"/>
                <w:lang w:val="lv-LV"/>
              </w:rPr>
              <w:t>i</w:t>
            </w:r>
            <w:r w:rsidR="00FF7B75">
              <w:rPr>
                <w:rFonts w:ascii="Times New Roman" w:hAnsi="Times New Roman" w:cs="Times New Roman"/>
                <w:color w:val="000000" w:themeColor="text1"/>
                <w:lang w:val="lv-LV"/>
              </w:rPr>
              <w:t xml:space="preserve"> ir šād</w:t>
            </w:r>
            <w:r w:rsidR="00800415">
              <w:rPr>
                <w:rFonts w:ascii="Times New Roman" w:hAnsi="Times New Roman" w:cs="Times New Roman"/>
                <w:color w:val="000000" w:themeColor="text1"/>
                <w:lang w:val="lv-LV"/>
              </w:rPr>
              <w:t>i</w:t>
            </w:r>
            <w:r w:rsidR="00FF7B75">
              <w:rPr>
                <w:rFonts w:ascii="Times New Roman" w:hAnsi="Times New Roman" w:cs="Times New Roman"/>
                <w:color w:val="000000" w:themeColor="text1"/>
                <w:lang w:val="lv-LV"/>
              </w:rPr>
              <w:t>:</w:t>
            </w:r>
          </w:p>
          <w:p w:rsidR="00855714" w:rsidRPr="00855714" w:rsidRDefault="00855714" w:rsidP="00855714">
            <w:pPr>
              <w:pStyle w:val="NormalWeb"/>
              <w:spacing w:before="0" w:beforeAutospacing="0" w:after="0" w:afterAutospacing="0"/>
              <w:jc w:val="right"/>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t</w:t>
            </w:r>
            <w:r w:rsidRPr="00855714">
              <w:rPr>
                <w:rFonts w:ascii="Times New Roman" w:hAnsi="Times New Roman" w:cs="Times New Roman"/>
                <w:color w:val="000000" w:themeColor="text1"/>
                <w:sz w:val="20"/>
                <w:szCs w:val="20"/>
                <w:lang w:val="lv-LV"/>
              </w:rPr>
              <w:t>abula Nr.2</w:t>
            </w:r>
          </w:p>
          <w:tbl>
            <w:tblPr>
              <w:tblStyle w:val="TableGrid"/>
              <w:tblW w:w="0" w:type="auto"/>
              <w:tblLayout w:type="fixed"/>
              <w:tblLook w:val="04A0" w:firstRow="1" w:lastRow="0" w:firstColumn="1" w:lastColumn="0" w:noHBand="0" w:noVBand="1"/>
            </w:tblPr>
            <w:tblGrid>
              <w:gridCol w:w="1846"/>
              <w:gridCol w:w="1846"/>
              <w:gridCol w:w="1846"/>
              <w:gridCol w:w="1847"/>
            </w:tblGrid>
            <w:tr w:rsidR="00855714" w:rsidRPr="00855714" w:rsidTr="00855714">
              <w:tc>
                <w:tcPr>
                  <w:tcW w:w="1846" w:type="dxa"/>
                </w:tcPr>
                <w:p w:rsidR="00855714" w:rsidRP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855714">
                    <w:rPr>
                      <w:rFonts w:ascii="Times New Roman" w:hAnsi="Times New Roman" w:cs="Times New Roman"/>
                      <w:color w:val="000000" w:themeColor="text1"/>
                      <w:sz w:val="20"/>
                      <w:szCs w:val="20"/>
                      <w:lang w:val="lv-LV"/>
                    </w:rPr>
                    <w:t>Kapitālsabiedrības iedalījums</w:t>
                  </w:r>
                  <w:r>
                    <w:rPr>
                      <w:rFonts w:ascii="Times New Roman" w:hAnsi="Times New Roman" w:cs="Times New Roman"/>
                      <w:color w:val="000000" w:themeColor="text1"/>
                      <w:sz w:val="20"/>
                      <w:szCs w:val="20"/>
                      <w:lang w:val="lv-LV"/>
                    </w:rPr>
                    <w:t xml:space="preserve"> </w:t>
                  </w:r>
                  <w:r w:rsidR="00A70FED">
                    <w:rPr>
                      <w:rFonts w:ascii="Times New Roman" w:hAnsi="Times New Roman" w:cs="Times New Roman"/>
                      <w:color w:val="000000" w:themeColor="text1"/>
                      <w:sz w:val="20"/>
                      <w:szCs w:val="20"/>
                      <w:lang w:val="lv-LV"/>
                    </w:rPr>
                    <w:t>p</w:t>
                  </w:r>
                  <w:r>
                    <w:rPr>
                      <w:rFonts w:ascii="Times New Roman" w:hAnsi="Times New Roman" w:cs="Times New Roman"/>
                      <w:color w:val="000000" w:themeColor="text1"/>
                      <w:sz w:val="20"/>
                      <w:szCs w:val="20"/>
                      <w:lang w:val="lv-LV"/>
                    </w:rPr>
                    <w:t>ēc darbinieku skaita</w:t>
                  </w:r>
                </w:p>
              </w:tc>
              <w:tc>
                <w:tcPr>
                  <w:tcW w:w="1846" w:type="dxa"/>
                </w:tcPr>
                <w:p w:rsid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855714">
                    <w:rPr>
                      <w:rFonts w:ascii="Times New Roman" w:hAnsi="Times New Roman" w:cs="Times New Roman"/>
                      <w:color w:val="000000" w:themeColor="text1"/>
                      <w:sz w:val="20"/>
                      <w:szCs w:val="20"/>
                      <w:lang w:val="lv-LV"/>
                    </w:rPr>
                    <w:t>Privātajā</w:t>
                  </w:r>
                  <w:r>
                    <w:rPr>
                      <w:rFonts w:ascii="Times New Roman" w:hAnsi="Times New Roman" w:cs="Times New Roman"/>
                      <w:color w:val="000000" w:themeColor="text1"/>
                      <w:sz w:val="20"/>
                      <w:szCs w:val="20"/>
                      <w:lang w:val="lv-LV"/>
                    </w:rPr>
                    <w:t>s kapitālsabiedrībās</w:t>
                  </w:r>
                  <w:r w:rsidRPr="00855714">
                    <w:rPr>
                      <w:rFonts w:ascii="Times New Roman" w:hAnsi="Times New Roman" w:cs="Times New Roman"/>
                      <w:color w:val="000000" w:themeColor="text1"/>
                      <w:sz w:val="20"/>
                      <w:szCs w:val="20"/>
                      <w:lang w:val="lv-LV"/>
                    </w:rPr>
                    <w:t xml:space="preserve"> </w:t>
                  </w:r>
                </w:p>
                <w:p w:rsidR="00A70FED" w:rsidRPr="00855714" w:rsidRDefault="00504EA5"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K</w:t>
                  </w:r>
                  <w:r w:rsidR="00A70FED">
                    <w:rPr>
                      <w:rFonts w:ascii="Times New Roman" w:hAnsi="Times New Roman" w:cs="Times New Roman"/>
                      <w:color w:val="000000" w:themeColor="text1"/>
                      <w:sz w:val="20"/>
                      <w:szCs w:val="20"/>
                      <w:lang w:val="lv-LV"/>
                    </w:rPr>
                    <w:t>oeficients</w:t>
                  </w:r>
                </w:p>
              </w:tc>
              <w:tc>
                <w:tcPr>
                  <w:tcW w:w="1846" w:type="dxa"/>
                </w:tcPr>
                <w:p w:rsid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Noteikumu projektā</w:t>
                  </w:r>
                </w:p>
                <w:p w:rsidR="00A70FED" w:rsidRPr="00855714" w:rsidRDefault="00A70FED"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Noteiktais koeficients</w:t>
                  </w:r>
                </w:p>
              </w:tc>
              <w:tc>
                <w:tcPr>
                  <w:tcW w:w="1847" w:type="dxa"/>
                </w:tcPr>
                <w:p w:rsid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Noteikumos Nr.311</w:t>
                  </w:r>
                </w:p>
                <w:p w:rsidR="00A70FED" w:rsidRPr="00855714" w:rsidRDefault="00A70FED"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Noteiktais koeficients</w:t>
                  </w:r>
                </w:p>
              </w:tc>
            </w:tr>
            <w:tr w:rsidR="00855714" w:rsidRPr="00855714" w:rsidTr="00855714">
              <w:tc>
                <w:tcPr>
                  <w:tcW w:w="1846" w:type="dxa"/>
                </w:tcPr>
                <w:p w:rsidR="00855714" w:rsidRP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Maza </w:t>
                  </w:r>
                  <w:proofErr w:type="gramStart"/>
                  <w:r>
                    <w:rPr>
                      <w:rFonts w:ascii="Times New Roman" w:hAnsi="Times New Roman" w:cs="Times New Roman"/>
                      <w:color w:val="000000" w:themeColor="text1"/>
                      <w:sz w:val="20"/>
                      <w:szCs w:val="20"/>
                      <w:lang w:val="lv-LV"/>
                    </w:rPr>
                    <w:t>(</w:t>
                  </w:r>
                  <w:proofErr w:type="gramEnd"/>
                  <w:r>
                    <w:rPr>
                      <w:rFonts w:ascii="Times New Roman" w:hAnsi="Times New Roman" w:cs="Times New Roman"/>
                      <w:color w:val="000000" w:themeColor="text1"/>
                      <w:sz w:val="20"/>
                      <w:szCs w:val="20"/>
                      <w:lang w:val="lv-LV"/>
                    </w:rPr>
                    <w:t>līdz 49)</w:t>
                  </w:r>
                </w:p>
              </w:tc>
              <w:tc>
                <w:tcPr>
                  <w:tcW w:w="1846" w:type="dxa"/>
                </w:tcPr>
                <w:p w:rsidR="00855714" w:rsidRP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5,85</w:t>
                  </w:r>
                </w:p>
              </w:tc>
              <w:tc>
                <w:tcPr>
                  <w:tcW w:w="1846" w:type="dxa"/>
                </w:tcPr>
                <w:p w:rsidR="00855714" w:rsidRDefault="00B9146A"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5</w:t>
                  </w:r>
                </w:p>
              </w:tc>
              <w:tc>
                <w:tcPr>
                  <w:tcW w:w="1847" w:type="dxa"/>
                </w:tcPr>
                <w:p w:rsid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2,65</w:t>
                  </w:r>
                </w:p>
              </w:tc>
            </w:tr>
            <w:tr w:rsidR="00855714" w:rsidRPr="00855714" w:rsidTr="00855714">
              <w:tc>
                <w:tcPr>
                  <w:tcW w:w="1846" w:type="dxa"/>
                </w:tcPr>
                <w:p w:rsid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Vidēja (50-249)</w:t>
                  </w:r>
                </w:p>
              </w:tc>
              <w:tc>
                <w:tcPr>
                  <w:tcW w:w="1846" w:type="dxa"/>
                </w:tcPr>
                <w:p w:rsidR="00855714" w:rsidRP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9,4</w:t>
                  </w:r>
                </w:p>
              </w:tc>
              <w:tc>
                <w:tcPr>
                  <w:tcW w:w="1846" w:type="dxa"/>
                </w:tcPr>
                <w:p w:rsidR="00855714" w:rsidRDefault="00B9146A"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8</w:t>
                  </w:r>
                </w:p>
              </w:tc>
              <w:tc>
                <w:tcPr>
                  <w:tcW w:w="1847" w:type="dxa"/>
                </w:tcPr>
                <w:p w:rsid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4,33</w:t>
                  </w:r>
                </w:p>
              </w:tc>
            </w:tr>
            <w:tr w:rsidR="00855714" w:rsidRPr="00855714" w:rsidTr="00855714">
              <w:tc>
                <w:tcPr>
                  <w:tcW w:w="1846" w:type="dxa"/>
                </w:tcPr>
                <w:p w:rsid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Liela </w:t>
                  </w:r>
                </w:p>
                <w:p w:rsid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(vairāk par 250</w:t>
                  </w:r>
                </w:p>
              </w:tc>
              <w:tc>
                <w:tcPr>
                  <w:tcW w:w="1846" w:type="dxa"/>
                </w:tcPr>
                <w:p w:rsidR="00855714" w:rsidRP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13,80</w:t>
                  </w:r>
                </w:p>
              </w:tc>
              <w:tc>
                <w:tcPr>
                  <w:tcW w:w="1846" w:type="dxa"/>
                </w:tcPr>
                <w:p w:rsidR="00855714" w:rsidRDefault="00B9146A"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9</w:t>
                  </w:r>
                </w:p>
              </w:tc>
              <w:tc>
                <w:tcPr>
                  <w:tcW w:w="1847" w:type="dxa"/>
                </w:tcPr>
                <w:p w:rsidR="00855714" w:rsidRDefault="00855714"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5,54</w:t>
                  </w:r>
                </w:p>
              </w:tc>
            </w:tr>
          </w:tbl>
          <w:p w:rsidR="00A25417" w:rsidRDefault="00A25417" w:rsidP="00370384">
            <w:pPr>
              <w:jc w:val="both"/>
            </w:pPr>
            <w:r>
              <w:t xml:space="preserve">Tabulā Nr. </w:t>
            </w:r>
            <w:r w:rsidR="00855714">
              <w:t>3</w:t>
            </w:r>
            <w:r>
              <w:t xml:space="preserve"> norādīts detalizētā</w:t>
            </w:r>
            <w:r w:rsidR="00A70FED">
              <w:t>k</w:t>
            </w:r>
            <w:r>
              <w:t xml:space="preserve">s salīdzinājums starp </w:t>
            </w:r>
            <w:r w:rsidR="004841DA" w:rsidRPr="00370384">
              <w:t xml:space="preserve">CV </w:t>
            </w:r>
            <w:proofErr w:type="spellStart"/>
            <w:r w:rsidR="004841DA" w:rsidRPr="00370384">
              <w:t>Online</w:t>
            </w:r>
            <w:proofErr w:type="spellEnd"/>
            <w:r w:rsidR="004841DA" w:rsidRPr="00370384">
              <w:t xml:space="preserve"> pētījumā norādīt</w:t>
            </w:r>
            <w:r>
              <w:t>ajām</w:t>
            </w:r>
            <w:r w:rsidR="004841DA" w:rsidRPr="00370384">
              <w:t xml:space="preserve"> alg</w:t>
            </w:r>
            <w:r>
              <w:t>ām</w:t>
            </w:r>
            <w:r w:rsidR="004841DA" w:rsidRPr="00370384">
              <w:t xml:space="preserve"> (neto) </w:t>
            </w:r>
            <w:r w:rsidR="00A70FED">
              <w:t xml:space="preserve">un pārrēķinot uz bruto </w:t>
            </w:r>
            <w:r w:rsidR="004841DA" w:rsidRPr="00370384">
              <w:t>privāto kapitālsabiedrību augstākā līmeņa vadībai</w:t>
            </w:r>
            <w:r>
              <w:t>,</w:t>
            </w:r>
            <w:r w:rsidR="004841DA" w:rsidRPr="00370384">
              <w:t xml:space="preserve"> </w:t>
            </w:r>
            <w:r>
              <w:t xml:space="preserve">un </w:t>
            </w:r>
            <w:r w:rsidR="004841DA" w:rsidRPr="00370384">
              <w:t>VID publiski pieejam</w:t>
            </w:r>
            <w:r w:rsidR="00370384" w:rsidRPr="00370384">
              <w:t>o</w:t>
            </w:r>
            <w:r w:rsidR="004841DA" w:rsidRPr="00370384">
              <w:t xml:space="preserve"> </w:t>
            </w:r>
            <w:r w:rsidR="00370384" w:rsidRPr="00370384">
              <w:t xml:space="preserve">informāciju </w:t>
            </w:r>
            <w:r w:rsidR="004841DA" w:rsidRPr="00370384">
              <w:t xml:space="preserve">valsts </w:t>
            </w:r>
            <w:r w:rsidR="004841DA" w:rsidRPr="00370384">
              <w:lastRenderedPageBreak/>
              <w:t>amatpersonu datu bāzē pa</w:t>
            </w:r>
            <w:r w:rsidR="00370384" w:rsidRPr="00370384">
              <w:t xml:space="preserve">r valsts kapitālsabiedrību valdes priekšsēdētāju saņemto </w:t>
            </w:r>
            <w:r w:rsidR="00A70FED">
              <w:t xml:space="preserve">mēneša atlīdzību bruto </w:t>
            </w:r>
            <w:r w:rsidR="00370384" w:rsidRPr="00370384">
              <w:t xml:space="preserve">par </w:t>
            </w:r>
            <w:proofErr w:type="gramStart"/>
            <w:r w:rsidR="00370384" w:rsidRPr="00370384">
              <w:t>2014.gadu</w:t>
            </w:r>
            <w:proofErr w:type="gramEnd"/>
            <w:r w:rsidR="00332479">
              <w:t xml:space="preserve">. </w:t>
            </w:r>
          </w:p>
          <w:p w:rsidR="004841DA" w:rsidRPr="00370384" w:rsidRDefault="00332479" w:rsidP="00370384">
            <w:pPr>
              <w:jc w:val="both"/>
            </w:pPr>
            <w:r>
              <w:t xml:space="preserve">CV </w:t>
            </w:r>
            <w:proofErr w:type="spellStart"/>
            <w:r>
              <w:t>online</w:t>
            </w:r>
            <w:proofErr w:type="spellEnd"/>
            <w:r>
              <w:t xml:space="preserve"> pētījumā nav dati par privātajām kapitālsabiedrībām īpaši lielo kapitālsabiedrību grupā (pēc darbinieku skaita 500 un vairāk), kurus varētu salīdzināt ar valsts kapitālsabiedrībām īpaš</w:t>
            </w:r>
            <w:r w:rsidR="00A70FED">
              <w:t>i</w:t>
            </w:r>
            <w:r>
              <w:t xml:space="preserve"> lielo grupā.</w:t>
            </w:r>
          </w:p>
          <w:p w:rsidR="007C05A9" w:rsidRPr="003F121A" w:rsidRDefault="004841DA" w:rsidP="004841DA">
            <w:pPr>
              <w:pStyle w:val="NormalWeb"/>
              <w:spacing w:before="0" w:beforeAutospacing="0" w:after="0" w:afterAutospacing="0"/>
              <w:jc w:val="right"/>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t</w:t>
            </w:r>
            <w:r w:rsidRPr="003F121A">
              <w:rPr>
                <w:rFonts w:ascii="Times New Roman" w:hAnsi="Times New Roman" w:cs="Times New Roman"/>
                <w:color w:val="000000" w:themeColor="text1"/>
                <w:sz w:val="20"/>
                <w:szCs w:val="20"/>
                <w:lang w:val="lv-LV"/>
              </w:rPr>
              <w:t>abula Nr.</w:t>
            </w:r>
            <w:r w:rsidR="00855714">
              <w:rPr>
                <w:rFonts w:ascii="Times New Roman" w:hAnsi="Times New Roman" w:cs="Times New Roman"/>
                <w:color w:val="000000" w:themeColor="text1"/>
                <w:sz w:val="20"/>
                <w:szCs w:val="20"/>
                <w:lang w:val="lv-LV"/>
              </w:rPr>
              <w:t>3</w:t>
            </w:r>
          </w:p>
          <w:tbl>
            <w:tblPr>
              <w:tblStyle w:val="TableGrid"/>
              <w:tblW w:w="8642" w:type="dxa"/>
              <w:tblLayout w:type="fixed"/>
              <w:tblLook w:val="04A0" w:firstRow="1" w:lastRow="0" w:firstColumn="1" w:lastColumn="0" w:noHBand="0" w:noVBand="1"/>
            </w:tblPr>
            <w:tblGrid>
              <w:gridCol w:w="1726"/>
              <w:gridCol w:w="864"/>
              <w:gridCol w:w="862"/>
              <w:gridCol w:w="1221"/>
              <w:gridCol w:w="1382"/>
              <w:gridCol w:w="2587"/>
            </w:tblGrid>
            <w:tr w:rsidR="00574612" w:rsidTr="008B1736">
              <w:trPr>
                <w:trHeight w:val="633"/>
              </w:trPr>
              <w:tc>
                <w:tcPr>
                  <w:tcW w:w="1726" w:type="dxa"/>
                  <w:vMerge w:val="restart"/>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AC7684">
                    <w:rPr>
                      <w:rFonts w:ascii="Times New Roman" w:hAnsi="Times New Roman" w:cs="Times New Roman"/>
                      <w:color w:val="000000" w:themeColor="text1"/>
                      <w:sz w:val="20"/>
                      <w:szCs w:val="20"/>
                      <w:lang w:val="lv-LV"/>
                    </w:rPr>
                    <w:t>Kapitālsabiedrību iedalījums</w:t>
                  </w:r>
                  <w:r>
                    <w:rPr>
                      <w:rFonts w:ascii="Times New Roman" w:hAnsi="Times New Roman" w:cs="Times New Roman"/>
                      <w:color w:val="000000" w:themeColor="text1"/>
                      <w:sz w:val="20"/>
                      <w:szCs w:val="20"/>
                      <w:lang w:val="lv-LV"/>
                    </w:rPr>
                    <w:t xml:space="preserve"> pēc darbinieku skaita</w:t>
                  </w:r>
                </w:p>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p w:rsidR="00574612" w:rsidRPr="00AC7684"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1726" w:type="dxa"/>
                  <w:gridSpan w:val="2"/>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Privātajās kapitālsabiedrībās</w:t>
                  </w:r>
                </w:p>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Valdes priekšsēdētāja</w:t>
                  </w:r>
                </w:p>
                <w:p w:rsidR="00574612" w:rsidRPr="00AC7684"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mēneša atlīdzība </w:t>
                  </w:r>
                  <w:r w:rsidR="00A25417">
                    <w:rPr>
                      <w:rFonts w:ascii="Times New Roman" w:hAnsi="Times New Roman" w:cs="Times New Roman"/>
                      <w:color w:val="000000" w:themeColor="text1"/>
                      <w:sz w:val="20"/>
                      <w:szCs w:val="20"/>
                      <w:lang w:val="lv-LV"/>
                    </w:rPr>
                    <w:t>(</w:t>
                  </w:r>
                  <w:proofErr w:type="spellStart"/>
                  <w:r>
                    <w:rPr>
                      <w:rFonts w:ascii="Times New Roman" w:hAnsi="Times New Roman" w:cs="Times New Roman"/>
                      <w:color w:val="000000" w:themeColor="text1"/>
                      <w:sz w:val="20"/>
                      <w:szCs w:val="20"/>
                      <w:lang w:val="lv-LV"/>
                    </w:rPr>
                    <w:t>euro</w:t>
                  </w:r>
                  <w:proofErr w:type="spellEnd"/>
                  <w:r w:rsidR="00A25417">
                    <w:rPr>
                      <w:rFonts w:ascii="Times New Roman" w:hAnsi="Times New Roman" w:cs="Times New Roman"/>
                      <w:color w:val="000000" w:themeColor="text1"/>
                      <w:sz w:val="20"/>
                      <w:szCs w:val="20"/>
                      <w:lang w:val="lv-LV"/>
                    </w:rPr>
                    <w:t>)</w:t>
                  </w:r>
                </w:p>
              </w:tc>
              <w:tc>
                <w:tcPr>
                  <w:tcW w:w="1221" w:type="dxa"/>
                  <w:vMerge w:val="restart"/>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Valsts </w:t>
                  </w:r>
                  <w:proofErr w:type="spellStart"/>
                  <w:r>
                    <w:rPr>
                      <w:rFonts w:ascii="Times New Roman" w:hAnsi="Times New Roman" w:cs="Times New Roman"/>
                      <w:color w:val="000000" w:themeColor="text1"/>
                      <w:sz w:val="20"/>
                      <w:szCs w:val="20"/>
                      <w:lang w:val="lv-LV"/>
                    </w:rPr>
                    <w:t>kapitālsab</w:t>
                  </w:r>
                  <w:proofErr w:type="spellEnd"/>
                  <w:r>
                    <w:rPr>
                      <w:rFonts w:ascii="Times New Roman" w:hAnsi="Times New Roman" w:cs="Times New Roman"/>
                      <w:color w:val="000000" w:themeColor="text1"/>
                      <w:sz w:val="20"/>
                      <w:szCs w:val="20"/>
                      <w:lang w:val="lv-LV"/>
                    </w:rPr>
                    <w:t>.</w:t>
                  </w:r>
                </w:p>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pēc VID datiem </w:t>
                  </w:r>
                </w:p>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mēneša atlīdzība valdes </w:t>
                  </w:r>
                  <w:proofErr w:type="spellStart"/>
                  <w:r>
                    <w:rPr>
                      <w:rFonts w:ascii="Times New Roman" w:hAnsi="Times New Roman" w:cs="Times New Roman"/>
                      <w:color w:val="000000" w:themeColor="text1"/>
                      <w:sz w:val="20"/>
                      <w:szCs w:val="20"/>
                      <w:lang w:val="lv-LV"/>
                    </w:rPr>
                    <w:t>priekšsēdēt</w:t>
                  </w:r>
                  <w:proofErr w:type="spellEnd"/>
                  <w:r>
                    <w:rPr>
                      <w:rFonts w:ascii="Times New Roman" w:hAnsi="Times New Roman" w:cs="Times New Roman"/>
                      <w:color w:val="000000" w:themeColor="text1"/>
                      <w:sz w:val="20"/>
                      <w:szCs w:val="20"/>
                      <w:lang w:val="lv-LV"/>
                    </w:rPr>
                    <w:t>. vidēji bruto (</w:t>
                  </w:r>
                  <w:proofErr w:type="spellStart"/>
                  <w:r>
                    <w:rPr>
                      <w:rFonts w:ascii="Times New Roman" w:hAnsi="Times New Roman" w:cs="Times New Roman"/>
                      <w:color w:val="000000" w:themeColor="text1"/>
                      <w:sz w:val="20"/>
                      <w:szCs w:val="20"/>
                      <w:lang w:val="lv-LV"/>
                    </w:rPr>
                    <w:t>euro</w:t>
                  </w:r>
                  <w:proofErr w:type="spellEnd"/>
                  <w:r>
                    <w:rPr>
                      <w:rFonts w:ascii="Times New Roman" w:hAnsi="Times New Roman" w:cs="Times New Roman"/>
                      <w:color w:val="000000" w:themeColor="text1"/>
                      <w:sz w:val="20"/>
                      <w:szCs w:val="20"/>
                      <w:lang w:val="lv-LV"/>
                    </w:rPr>
                    <w:t>)</w:t>
                  </w:r>
                </w:p>
                <w:p w:rsidR="00574612" w:rsidRPr="00AC7684"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dati par </w:t>
                  </w:r>
                  <w:proofErr w:type="gramStart"/>
                  <w:r>
                    <w:rPr>
                      <w:rFonts w:ascii="Times New Roman" w:hAnsi="Times New Roman" w:cs="Times New Roman"/>
                      <w:color w:val="000000" w:themeColor="text1"/>
                      <w:sz w:val="20"/>
                      <w:szCs w:val="20"/>
                      <w:lang w:val="lv-LV"/>
                    </w:rPr>
                    <w:t>2014.gadu</w:t>
                  </w:r>
                  <w:proofErr w:type="gramEnd"/>
                </w:p>
              </w:tc>
              <w:tc>
                <w:tcPr>
                  <w:tcW w:w="1382" w:type="dxa"/>
                  <w:vMerge w:val="restart"/>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Starpība</w:t>
                  </w:r>
                </w:p>
                <w:p w:rsidR="00574612" w:rsidRDefault="00A25417"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s</w:t>
                  </w:r>
                  <w:r w:rsidR="00574612">
                    <w:rPr>
                      <w:rFonts w:ascii="Times New Roman" w:hAnsi="Times New Roman" w:cs="Times New Roman"/>
                      <w:color w:val="000000" w:themeColor="text1"/>
                      <w:sz w:val="20"/>
                      <w:szCs w:val="20"/>
                      <w:lang w:val="lv-LV"/>
                    </w:rPr>
                    <w:t xml:space="preserve">alīdzinot starp privāto un valsts </w:t>
                  </w:r>
                  <w:proofErr w:type="spellStart"/>
                  <w:r w:rsidR="00574612">
                    <w:rPr>
                      <w:rFonts w:ascii="Times New Roman" w:hAnsi="Times New Roman" w:cs="Times New Roman"/>
                      <w:color w:val="000000" w:themeColor="text1"/>
                      <w:sz w:val="20"/>
                      <w:szCs w:val="20"/>
                      <w:lang w:val="lv-LV"/>
                    </w:rPr>
                    <w:t>kapitālsabied</w:t>
                  </w:r>
                  <w:proofErr w:type="spellEnd"/>
                  <w:r w:rsidR="00574612">
                    <w:rPr>
                      <w:rFonts w:ascii="Times New Roman" w:hAnsi="Times New Roman" w:cs="Times New Roman"/>
                      <w:color w:val="000000" w:themeColor="text1"/>
                      <w:sz w:val="20"/>
                      <w:szCs w:val="20"/>
                      <w:lang w:val="lv-LV"/>
                    </w:rPr>
                    <w:t>.</w:t>
                  </w:r>
                </w:p>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 xml:space="preserve">Mēnesī </w:t>
                  </w:r>
                </w:p>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bruto (</w:t>
                  </w:r>
                  <w:proofErr w:type="spellStart"/>
                  <w:r>
                    <w:rPr>
                      <w:rFonts w:ascii="Times New Roman" w:hAnsi="Times New Roman" w:cs="Times New Roman"/>
                      <w:color w:val="000000" w:themeColor="text1"/>
                      <w:sz w:val="20"/>
                      <w:szCs w:val="20"/>
                      <w:lang w:val="lv-LV"/>
                    </w:rPr>
                    <w:t>euro</w:t>
                  </w:r>
                  <w:proofErr w:type="spellEnd"/>
                  <w:r>
                    <w:rPr>
                      <w:rFonts w:ascii="Times New Roman" w:hAnsi="Times New Roman" w:cs="Times New Roman"/>
                      <w:color w:val="000000" w:themeColor="text1"/>
                      <w:sz w:val="20"/>
                      <w:szCs w:val="20"/>
                      <w:lang w:val="lv-LV"/>
                    </w:rPr>
                    <w:t>)</w:t>
                  </w:r>
                </w:p>
                <w:p w:rsidR="00574612" w:rsidRPr="00AC7684"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2587" w:type="dxa"/>
                  <w:vMerge w:val="restart"/>
                </w:tcPr>
                <w:p w:rsidR="00574612" w:rsidRDefault="00574612" w:rsidP="00BF095A">
                  <w:pPr>
                    <w:framePr w:hSpace="180" w:wrap="around" w:vAnchor="text" w:hAnchor="margin" w:xAlign="center" w:y="149"/>
                    <w:rPr>
                      <w:rFonts w:eastAsia="Arial Unicode MS"/>
                      <w:color w:val="000000" w:themeColor="text1"/>
                      <w:sz w:val="20"/>
                      <w:szCs w:val="20"/>
                      <w:lang w:eastAsia="en-US"/>
                    </w:rPr>
                  </w:pPr>
                  <w:r>
                    <w:rPr>
                      <w:rFonts w:eastAsia="Arial Unicode MS"/>
                      <w:color w:val="000000" w:themeColor="text1"/>
                      <w:sz w:val="20"/>
                      <w:szCs w:val="20"/>
                      <w:lang w:eastAsia="en-US"/>
                    </w:rPr>
                    <w:t xml:space="preserve">Noteikumu </w:t>
                  </w:r>
                </w:p>
                <w:p w:rsidR="00574612" w:rsidRDefault="00574612" w:rsidP="00BF095A">
                  <w:pPr>
                    <w:framePr w:hSpace="180" w:wrap="around" w:vAnchor="text" w:hAnchor="margin" w:xAlign="center" w:y="149"/>
                    <w:rPr>
                      <w:rFonts w:eastAsia="Arial Unicode MS"/>
                      <w:color w:val="000000" w:themeColor="text1"/>
                      <w:sz w:val="20"/>
                      <w:szCs w:val="20"/>
                      <w:lang w:eastAsia="en-US"/>
                    </w:rPr>
                  </w:pPr>
                  <w:r>
                    <w:rPr>
                      <w:rFonts w:eastAsia="Arial Unicode MS"/>
                      <w:color w:val="000000" w:themeColor="text1"/>
                      <w:sz w:val="20"/>
                      <w:szCs w:val="20"/>
                      <w:lang w:eastAsia="en-US"/>
                    </w:rPr>
                    <w:t>projektā</w:t>
                  </w:r>
                </w:p>
                <w:p w:rsidR="00574612" w:rsidRDefault="00574612" w:rsidP="00BF095A">
                  <w:pPr>
                    <w:framePr w:hSpace="180" w:wrap="around" w:vAnchor="text" w:hAnchor="margin" w:xAlign="center" w:y="149"/>
                    <w:rPr>
                      <w:rFonts w:eastAsia="Arial Unicode MS"/>
                      <w:color w:val="000000" w:themeColor="text1"/>
                      <w:sz w:val="20"/>
                      <w:szCs w:val="20"/>
                      <w:lang w:eastAsia="en-US"/>
                    </w:rPr>
                  </w:pPr>
                  <w:r>
                    <w:rPr>
                      <w:rFonts w:eastAsia="Arial Unicode MS"/>
                      <w:color w:val="000000" w:themeColor="text1"/>
                      <w:sz w:val="20"/>
                      <w:szCs w:val="20"/>
                      <w:lang w:eastAsia="en-US"/>
                    </w:rPr>
                    <w:t>noteiktais</w:t>
                  </w:r>
                </w:p>
                <w:p w:rsidR="00574612" w:rsidRDefault="00574612" w:rsidP="00BF095A">
                  <w:pPr>
                    <w:framePr w:hSpace="180" w:wrap="around" w:vAnchor="text" w:hAnchor="margin" w:xAlign="center" w:y="149"/>
                    <w:rPr>
                      <w:rFonts w:eastAsia="Arial Unicode MS"/>
                      <w:color w:val="000000" w:themeColor="text1"/>
                      <w:sz w:val="20"/>
                      <w:szCs w:val="20"/>
                      <w:lang w:eastAsia="en-US"/>
                    </w:rPr>
                  </w:pPr>
                  <w:r>
                    <w:rPr>
                      <w:rFonts w:eastAsia="Arial Unicode MS"/>
                      <w:color w:val="000000" w:themeColor="text1"/>
                      <w:sz w:val="20"/>
                      <w:szCs w:val="20"/>
                      <w:lang w:eastAsia="en-US"/>
                    </w:rPr>
                    <w:t>maksimālais</w:t>
                  </w:r>
                </w:p>
                <w:p w:rsidR="00574612" w:rsidRDefault="00574612" w:rsidP="00BF095A">
                  <w:pPr>
                    <w:framePr w:hSpace="180" w:wrap="around" w:vAnchor="text" w:hAnchor="margin" w:xAlign="center" w:y="149"/>
                    <w:rPr>
                      <w:rFonts w:eastAsia="Arial Unicode MS"/>
                      <w:color w:val="000000" w:themeColor="text1"/>
                      <w:sz w:val="20"/>
                      <w:szCs w:val="20"/>
                      <w:lang w:eastAsia="en-US"/>
                    </w:rPr>
                  </w:pPr>
                  <w:r>
                    <w:rPr>
                      <w:rFonts w:eastAsia="Arial Unicode MS"/>
                      <w:color w:val="000000" w:themeColor="text1"/>
                      <w:sz w:val="20"/>
                      <w:szCs w:val="20"/>
                      <w:lang w:eastAsia="en-US"/>
                    </w:rPr>
                    <w:t xml:space="preserve">mēneša </w:t>
                  </w:r>
                </w:p>
                <w:p w:rsidR="00574612" w:rsidRDefault="00574612" w:rsidP="00BF095A">
                  <w:pPr>
                    <w:framePr w:hSpace="180" w:wrap="around" w:vAnchor="text" w:hAnchor="margin" w:xAlign="center" w:y="149"/>
                    <w:rPr>
                      <w:rFonts w:eastAsia="Arial Unicode MS"/>
                      <w:color w:val="000000" w:themeColor="text1"/>
                      <w:sz w:val="20"/>
                      <w:szCs w:val="20"/>
                      <w:lang w:eastAsia="en-US"/>
                    </w:rPr>
                  </w:pPr>
                  <w:r>
                    <w:rPr>
                      <w:rFonts w:eastAsia="Arial Unicode MS"/>
                      <w:color w:val="000000" w:themeColor="text1"/>
                      <w:sz w:val="20"/>
                      <w:szCs w:val="20"/>
                      <w:lang w:eastAsia="en-US"/>
                    </w:rPr>
                    <w:t xml:space="preserve">atlīdzības </w:t>
                  </w:r>
                </w:p>
                <w:p w:rsidR="00574612" w:rsidRDefault="00574612" w:rsidP="00BF095A">
                  <w:pPr>
                    <w:framePr w:hSpace="180" w:wrap="around" w:vAnchor="text" w:hAnchor="margin" w:xAlign="center" w:y="149"/>
                    <w:rPr>
                      <w:rFonts w:eastAsia="Arial Unicode MS"/>
                      <w:color w:val="000000" w:themeColor="text1"/>
                      <w:sz w:val="20"/>
                      <w:szCs w:val="20"/>
                      <w:lang w:eastAsia="en-US"/>
                    </w:rPr>
                  </w:pPr>
                  <w:r>
                    <w:rPr>
                      <w:rFonts w:eastAsia="Arial Unicode MS"/>
                      <w:color w:val="000000" w:themeColor="text1"/>
                      <w:sz w:val="20"/>
                      <w:szCs w:val="20"/>
                      <w:lang w:eastAsia="en-US"/>
                    </w:rPr>
                    <w:t>apmērs</w:t>
                  </w:r>
                </w:p>
                <w:p w:rsidR="00574612" w:rsidRDefault="00574612" w:rsidP="00BF095A">
                  <w:pPr>
                    <w:framePr w:hSpace="180" w:wrap="around" w:vAnchor="text" w:hAnchor="margin" w:xAlign="center" w:y="149"/>
                    <w:rPr>
                      <w:rFonts w:eastAsia="Arial Unicode MS"/>
                      <w:color w:val="000000" w:themeColor="text1"/>
                      <w:sz w:val="20"/>
                      <w:szCs w:val="20"/>
                      <w:lang w:eastAsia="en-US"/>
                    </w:rPr>
                  </w:pPr>
                  <w:r>
                    <w:rPr>
                      <w:rFonts w:eastAsia="Arial Unicode MS"/>
                      <w:color w:val="000000" w:themeColor="text1"/>
                      <w:sz w:val="20"/>
                      <w:szCs w:val="20"/>
                      <w:lang w:eastAsia="en-US"/>
                    </w:rPr>
                    <w:t>bruto</w:t>
                  </w:r>
                </w:p>
                <w:p w:rsidR="00574612" w:rsidRPr="00AC7684" w:rsidRDefault="00574612" w:rsidP="00BF095A">
                  <w:pPr>
                    <w:framePr w:hSpace="180" w:wrap="around" w:vAnchor="text" w:hAnchor="margin" w:xAlign="center" w:y="149"/>
                    <w:rPr>
                      <w:color w:val="000000" w:themeColor="text1"/>
                      <w:sz w:val="20"/>
                      <w:szCs w:val="20"/>
                    </w:rPr>
                  </w:pPr>
                  <w:r>
                    <w:rPr>
                      <w:rFonts w:eastAsia="Arial Unicode MS"/>
                      <w:color w:val="000000" w:themeColor="text1"/>
                      <w:sz w:val="20"/>
                      <w:szCs w:val="20"/>
                      <w:lang w:eastAsia="en-US"/>
                    </w:rPr>
                    <w:t>(</w:t>
                  </w:r>
                  <w:proofErr w:type="spellStart"/>
                  <w:r>
                    <w:rPr>
                      <w:rFonts w:eastAsia="Arial Unicode MS"/>
                      <w:color w:val="000000" w:themeColor="text1"/>
                      <w:sz w:val="20"/>
                      <w:szCs w:val="20"/>
                      <w:lang w:eastAsia="en-US"/>
                    </w:rPr>
                    <w:t>euro</w:t>
                  </w:r>
                  <w:proofErr w:type="spellEnd"/>
                  <w:r>
                    <w:rPr>
                      <w:rFonts w:eastAsia="Arial Unicode MS"/>
                      <w:color w:val="000000" w:themeColor="text1"/>
                      <w:sz w:val="20"/>
                      <w:szCs w:val="20"/>
                      <w:lang w:eastAsia="en-US"/>
                    </w:rPr>
                    <w:t>)</w:t>
                  </w:r>
                </w:p>
              </w:tc>
            </w:tr>
            <w:tr w:rsidR="00574612" w:rsidTr="00574612">
              <w:trPr>
                <w:trHeight w:val="288"/>
              </w:trPr>
              <w:tc>
                <w:tcPr>
                  <w:tcW w:w="1726" w:type="dxa"/>
                  <w:vMerge/>
                </w:tcPr>
                <w:p w:rsidR="00574612" w:rsidRPr="00AC7684"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864" w:type="dxa"/>
                  <w:vMerge w:val="restart"/>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Neto</w:t>
                  </w:r>
                </w:p>
              </w:tc>
              <w:tc>
                <w:tcPr>
                  <w:tcW w:w="862" w:type="dxa"/>
                  <w:vMerge w:val="restart"/>
                </w:tcPr>
                <w:p w:rsidR="00574612" w:rsidRDefault="00574612" w:rsidP="00BF095A">
                  <w:pPr>
                    <w:framePr w:hSpace="180" w:wrap="around" w:vAnchor="text" w:hAnchor="margin" w:xAlign="center" w:y="149"/>
                    <w:rPr>
                      <w:color w:val="000000" w:themeColor="text1"/>
                      <w:sz w:val="20"/>
                      <w:szCs w:val="20"/>
                    </w:rPr>
                  </w:pPr>
                  <w:r>
                    <w:rPr>
                      <w:rFonts w:eastAsia="Arial Unicode MS"/>
                      <w:color w:val="000000" w:themeColor="text1"/>
                      <w:sz w:val="20"/>
                      <w:szCs w:val="20"/>
                      <w:lang w:eastAsia="en-US"/>
                    </w:rPr>
                    <w:t xml:space="preserve">Bruto </w:t>
                  </w:r>
                </w:p>
              </w:tc>
              <w:tc>
                <w:tcPr>
                  <w:tcW w:w="1221" w:type="dxa"/>
                  <w:vMerge/>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1382" w:type="dxa"/>
                  <w:vMerge/>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2587" w:type="dxa"/>
                  <w:vMerge/>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r>
            <w:tr w:rsidR="00574612" w:rsidTr="00574612">
              <w:trPr>
                <w:trHeight w:val="230"/>
              </w:trPr>
              <w:tc>
                <w:tcPr>
                  <w:tcW w:w="1726" w:type="dxa"/>
                  <w:vMerge/>
                </w:tcPr>
                <w:p w:rsidR="00574612" w:rsidRPr="00AC7684"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864" w:type="dxa"/>
                  <w:vMerge/>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862" w:type="dxa"/>
                  <w:vMerge/>
                </w:tcPr>
                <w:p w:rsidR="00574612" w:rsidRDefault="00574612" w:rsidP="00BF095A">
                  <w:pPr>
                    <w:framePr w:hSpace="180" w:wrap="around" w:vAnchor="text" w:hAnchor="margin" w:xAlign="center" w:y="149"/>
                    <w:rPr>
                      <w:rFonts w:eastAsia="Arial Unicode MS"/>
                      <w:color w:val="000000" w:themeColor="text1"/>
                      <w:sz w:val="20"/>
                      <w:szCs w:val="20"/>
                      <w:lang w:eastAsia="en-US"/>
                    </w:rPr>
                  </w:pPr>
                </w:p>
              </w:tc>
              <w:tc>
                <w:tcPr>
                  <w:tcW w:w="1221" w:type="dxa"/>
                  <w:vMerge/>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1382" w:type="dxa"/>
                  <w:vMerge/>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2587" w:type="dxa"/>
                  <w:vMerge w:val="restart"/>
                </w:tcPr>
                <w:p w:rsidR="00574612" w:rsidRP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574612">
                    <w:rPr>
                      <w:rFonts w:ascii="Times New Roman" w:hAnsi="Times New Roman" w:cs="Times New Roman"/>
                      <w:b/>
                      <w:color w:val="000000" w:themeColor="text1"/>
                      <w:sz w:val="20"/>
                      <w:szCs w:val="20"/>
                      <w:lang w:val="lv-LV"/>
                    </w:rPr>
                    <w:t>Koeficients*</w:t>
                  </w:r>
                </w:p>
              </w:tc>
            </w:tr>
            <w:tr w:rsidR="00574612" w:rsidTr="008B1736">
              <w:trPr>
                <w:trHeight w:val="392"/>
              </w:trPr>
              <w:tc>
                <w:tcPr>
                  <w:tcW w:w="1726" w:type="dxa"/>
                  <w:vMerge/>
                </w:tcPr>
                <w:p w:rsidR="00574612" w:rsidRPr="00AC7684"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864" w:type="dxa"/>
                  <w:vMerge/>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862" w:type="dxa"/>
                </w:tcPr>
                <w:p w:rsidR="00574612" w:rsidRPr="00574612" w:rsidRDefault="00574612" w:rsidP="00BF095A">
                  <w:pPr>
                    <w:framePr w:hSpace="180" w:wrap="around" w:vAnchor="text" w:hAnchor="margin" w:xAlign="center" w:y="149"/>
                    <w:rPr>
                      <w:rFonts w:eastAsia="Arial Unicode MS"/>
                      <w:b/>
                      <w:color w:val="000000" w:themeColor="text1"/>
                      <w:sz w:val="20"/>
                      <w:szCs w:val="20"/>
                      <w:lang w:eastAsia="en-US"/>
                    </w:rPr>
                  </w:pPr>
                  <w:proofErr w:type="spellStart"/>
                  <w:r w:rsidRPr="00574612">
                    <w:rPr>
                      <w:rFonts w:eastAsia="Arial Unicode MS"/>
                      <w:b/>
                      <w:color w:val="000000" w:themeColor="text1"/>
                      <w:sz w:val="20"/>
                      <w:szCs w:val="20"/>
                      <w:lang w:eastAsia="en-US"/>
                    </w:rPr>
                    <w:t>Koefi-</w:t>
                  </w:r>
                  <w:proofErr w:type="spellEnd"/>
                  <w:r w:rsidRPr="00574612">
                    <w:rPr>
                      <w:rFonts w:eastAsia="Arial Unicode MS"/>
                      <w:b/>
                      <w:color w:val="000000" w:themeColor="text1"/>
                      <w:sz w:val="20"/>
                      <w:szCs w:val="20"/>
                      <w:lang w:eastAsia="en-US"/>
                    </w:rPr>
                    <w:t>*</w:t>
                  </w:r>
                </w:p>
                <w:p w:rsidR="00574612" w:rsidRDefault="00504EA5" w:rsidP="00BF095A">
                  <w:pPr>
                    <w:framePr w:hSpace="180" w:wrap="around" w:vAnchor="text" w:hAnchor="margin" w:xAlign="center" w:y="149"/>
                    <w:rPr>
                      <w:rFonts w:eastAsia="Arial Unicode MS"/>
                      <w:color w:val="000000" w:themeColor="text1"/>
                      <w:sz w:val="20"/>
                      <w:szCs w:val="20"/>
                      <w:lang w:eastAsia="en-US"/>
                    </w:rPr>
                  </w:pPr>
                  <w:proofErr w:type="spellStart"/>
                  <w:r w:rsidRPr="00574612">
                    <w:rPr>
                      <w:rFonts w:eastAsia="Arial Unicode MS"/>
                      <w:b/>
                      <w:color w:val="000000" w:themeColor="text1"/>
                      <w:sz w:val="20"/>
                      <w:szCs w:val="20"/>
                      <w:lang w:eastAsia="en-US"/>
                    </w:rPr>
                    <w:t>C</w:t>
                  </w:r>
                  <w:r w:rsidR="00574612" w:rsidRPr="00574612">
                    <w:rPr>
                      <w:rFonts w:eastAsia="Arial Unicode MS"/>
                      <w:b/>
                      <w:color w:val="000000" w:themeColor="text1"/>
                      <w:sz w:val="20"/>
                      <w:szCs w:val="20"/>
                      <w:lang w:eastAsia="en-US"/>
                    </w:rPr>
                    <w:t>ients</w:t>
                  </w:r>
                  <w:proofErr w:type="spellEnd"/>
                </w:p>
              </w:tc>
              <w:tc>
                <w:tcPr>
                  <w:tcW w:w="1221" w:type="dxa"/>
                  <w:vMerge/>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1382" w:type="dxa"/>
                  <w:vMerge/>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2587" w:type="dxa"/>
                  <w:vMerge/>
                </w:tcPr>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r>
            <w:tr w:rsidR="006A1F83" w:rsidTr="008B1736">
              <w:tc>
                <w:tcPr>
                  <w:tcW w:w="1726" w:type="dxa"/>
                </w:tcPr>
                <w:p w:rsidR="006A1F83"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370384">
                    <w:rPr>
                      <w:rFonts w:ascii="Times New Roman" w:hAnsi="Times New Roman" w:cs="Times New Roman"/>
                      <w:color w:val="000000" w:themeColor="text1"/>
                      <w:sz w:val="20"/>
                      <w:szCs w:val="20"/>
                      <w:lang w:val="lv-LV"/>
                    </w:rPr>
                    <w:t xml:space="preserve">maza </w:t>
                  </w:r>
                  <w:proofErr w:type="gramStart"/>
                  <w:r>
                    <w:rPr>
                      <w:rFonts w:ascii="Times New Roman" w:hAnsi="Times New Roman" w:cs="Times New Roman"/>
                      <w:color w:val="000000" w:themeColor="text1"/>
                      <w:sz w:val="20"/>
                      <w:szCs w:val="20"/>
                      <w:lang w:val="lv-LV"/>
                    </w:rPr>
                    <w:t>(</w:t>
                  </w:r>
                  <w:proofErr w:type="gramEnd"/>
                  <w:r>
                    <w:rPr>
                      <w:rFonts w:ascii="Times New Roman" w:hAnsi="Times New Roman" w:cs="Times New Roman"/>
                      <w:color w:val="000000" w:themeColor="text1"/>
                      <w:sz w:val="20"/>
                      <w:szCs w:val="20"/>
                      <w:lang w:val="lv-LV"/>
                    </w:rPr>
                    <w:t xml:space="preserve">līdz 49) </w:t>
                  </w:r>
                </w:p>
                <w:p w:rsidR="006A1F83" w:rsidRPr="00370384"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864" w:type="dxa"/>
                </w:tcPr>
                <w:p w:rsidR="006A1F83" w:rsidRPr="00AC7684"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3100</w:t>
                  </w:r>
                </w:p>
              </w:tc>
              <w:tc>
                <w:tcPr>
                  <w:tcW w:w="862" w:type="dxa"/>
                </w:tcPr>
                <w:p w:rsidR="006A1F83"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4</w:t>
                  </w:r>
                  <w:r w:rsidR="008B1736">
                    <w:rPr>
                      <w:rFonts w:ascii="Times New Roman" w:hAnsi="Times New Roman" w:cs="Times New Roman"/>
                      <w:color w:val="000000" w:themeColor="text1"/>
                      <w:sz w:val="20"/>
                      <w:szCs w:val="20"/>
                      <w:lang w:val="lv-LV"/>
                    </w:rPr>
                    <w:t> </w:t>
                  </w:r>
                  <w:r>
                    <w:rPr>
                      <w:rFonts w:ascii="Times New Roman" w:hAnsi="Times New Roman" w:cs="Times New Roman"/>
                      <w:color w:val="000000" w:themeColor="text1"/>
                      <w:sz w:val="20"/>
                      <w:szCs w:val="20"/>
                      <w:lang w:val="lv-LV"/>
                    </w:rPr>
                    <w:t>473</w:t>
                  </w:r>
                  <w:r w:rsidR="008B1736">
                    <w:rPr>
                      <w:rFonts w:ascii="Times New Roman" w:hAnsi="Times New Roman" w:cs="Times New Roman"/>
                      <w:color w:val="000000" w:themeColor="text1"/>
                      <w:sz w:val="20"/>
                      <w:szCs w:val="20"/>
                      <w:lang w:val="lv-LV"/>
                    </w:rPr>
                    <w:t xml:space="preserve"> </w:t>
                  </w:r>
                </w:p>
                <w:p w:rsidR="008B1736" w:rsidRDefault="008B1736"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p w:rsidR="00621D37" w:rsidRPr="00574612" w:rsidRDefault="008B1736" w:rsidP="00BF095A">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574612">
                    <w:rPr>
                      <w:rFonts w:ascii="Times New Roman" w:hAnsi="Times New Roman" w:cs="Times New Roman"/>
                      <w:b/>
                      <w:color w:val="000000" w:themeColor="text1"/>
                      <w:sz w:val="20"/>
                      <w:szCs w:val="20"/>
                      <w:lang w:val="lv-LV"/>
                    </w:rPr>
                    <w:t>5,85</w:t>
                  </w:r>
                </w:p>
              </w:tc>
              <w:tc>
                <w:tcPr>
                  <w:tcW w:w="1221" w:type="dxa"/>
                </w:tcPr>
                <w:p w:rsidR="006A1F83" w:rsidRPr="003D040F"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2074</w:t>
                  </w:r>
                </w:p>
              </w:tc>
              <w:tc>
                <w:tcPr>
                  <w:tcW w:w="1382" w:type="dxa"/>
                </w:tcPr>
                <w:p w:rsidR="006A1F83" w:rsidRPr="00AC7684"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2399</w:t>
                  </w:r>
                </w:p>
              </w:tc>
              <w:tc>
                <w:tcPr>
                  <w:tcW w:w="2587" w:type="dxa"/>
                </w:tcPr>
                <w:p w:rsidR="006A1F83" w:rsidRDefault="00B9146A"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3825</w:t>
                  </w:r>
                </w:p>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p w:rsidR="00574612" w:rsidRPr="00574612" w:rsidRDefault="00B9146A" w:rsidP="00BF095A">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Pr>
                      <w:rFonts w:ascii="Times New Roman" w:hAnsi="Times New Roman" w:cs="Times New Roman"/>
                      <w:b/>
                      <w:color w:val="000000" w:themeColor="text1"/>
                      <w:sz w:val="20"/>
                      <w:szCs w:val="20"/>
                      <w:lang w:val="lv-LV"/>
                    </w:rPr>
                    <w:t>5</w:t>
                  </w:r>
                </w:p>
              </w:tc>
            </w:tr>
            <w:tr w:rsidR="006A1F83" w:rsidTr="008B1736">
              <w:tc>
                <w:tcPr>
                  <w:tcW w:w="1726" w:type="dxa"/>
                </w:tcPr>
                <w:p w:rsidR="006A1F83" w:rsidRPr="00370384"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370384">
                    <w:rPr>
                      <w:rFonts w:ascii="Times New Roman" w:hAnsi="Times New Roman" w:cs="Times New Roman"/>
                      <w:color w:val="000000" w:themeColor="text1"/>
                      <w:sz w:val="20"/>
                      <w:szCs w:val="20"/>
                      <w:lang w:val="lv-LV"/>
                    </w:rPr>
                    <w:t>Vidēja</w:t>
                  </w:r>
                  <w:r>
                    <w:rPr>
                      <w:rFonts w:ascii="Times New Roman" w:hAnsi="Times New Roman" w:cs="Times New Roman"/>
                      <w:color w:val="000000" w:themeColor="text1"/>
                      <w:sz w:val="20"/>
                      <w:szCs w:val="20"/>
                      <w:lang w:val="lv-LV"/>
                    </w:rPr>
                    <w:t xml:space="preserve"> (50-249)</w:t>
                  </w:r>
                </w:p>
              </w:tc>
              <w:tc>
                <w:tcPr>
                  <w:tcW w:w="864" w:type="dxa"/>
                </w:tcPr>
                <w:p w:rsidR="006A1F83" w:rsidRPr="003D040F"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5 000</w:t>
                  </w:r>
                </w:p>
              </w:tc>
              <w:tc>
                <w:tcPr>
                  <w:tcW w:w="862" w:type="dxa"/>
                </w:tcPr>
                <w:p w:rsidR="006A1F83"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7</w:t>
                  </w:r>
                  <w:r w:rsidR="008B1736">
                    <w:rPr>
                      <w:rFonts w:ascii="Times New Roman" w:hAnsi="Times New Roman" w:cs="Times New Roman"/>
                      <w:color w:val="000000" w:themeColor="text1"/>
                      <w:sz w:val="20"/>
                      <w:szCs w:val="20"/>
                      <w:lang w:val="lv-LV"/>
                    </w:rPr>
                    <w:t> </w:t>
                  </w:r>
                  <w:r>
                    <w:rPr>
                      <w:rFonts w:ascii="Times New Roman" w:hAnsi="Times New Roman" w:cs="Times New Roman"/>
                      <w:color w:val="000000" w:themeColor="text1"/>
                      <w:sz w:val="20"/>
                      <w:szCs w:val="20"/>
                      <w:lang w:val="lv-LV"/>
                    </w:rPr>
                    <w:t>230</w:t>
                  </w:r>
                  <w:r w:rsidR="008B1736">
                    <w:rPr>
                      <w:rFonts w:ascii="Times New Roman" w:hAnsi="Times New Roman" w:cs="Times New Roman"/>
                      <w:color w:val="000000" w:themeColor="text1"/>
                      <w:sz w:val="20"/>
                      <w:szCs w:val="20"/>
                      <w:lang w:val="lv-LV"/>
                    </w:rPr>
                    <w:t xml:space="preserve"> </w:t>
                  </w:r>
                </w:p>
                <w:p w:rsidR="008B1736" w:rsidRDefault="008B1736"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p w:rsidR="008B1736" w:rsidRPr="00574612" w:rsidRDefault="008B1736" w:rsidP="00BF095A">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574612">
                    <w:rPr>
                      <w:rFonts w:ascii="Times New Roman" w:hAnsi="Times New Roman" w:cs="Times New Roman"/>
                      <w:b/>
                      <w:color w:val="000000" w:themeColor="text1"/>
                      <w:sz w:val="20"/>
                      <w:szCs w:val="20"/>
                      <w:lang w:val="lv-LV"/>
                    </w:rPr>
                    <w:t>9,4</w:t>
                  </w:r>
                </w:p>
              </w:tc>
              <w:tc>
                <w:tcPr>
                  <w:tcW w:w="1221" w:type="dxa"/>
                </w:tcPr>
                <w:p w:rsidR="006A1F83" w:rsidRPr="003D040F"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3802</w:t>
                  </w:r>
                </w:p>
              </w:tc>
              <w:tc>
                <w:tcPr>
                  <w:tcW w:w="1382" w:type="dxa"/>
                </w:tcPr>
                <w:p w:rsidR="006A1F83" w:rsidRPr="00AC7684"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3428</w:t>
                  </w:r>
                </w:p>
              </w:tc>
              <w:tc>
                <w:tcPr>
                  <w:tcW w:w="2587" w:type="dxa"/>
                </w:tcPr>
                <w:p w:rsidR="006A1F83" w:rsidRDefault="00B9146A"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6120</w:t>
                  </w:r>
                </w:p>
                <w:p w:rsidR="00574612"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p w:rsidR="00574612" w:rsidRPr="00574612" w:rsidRDefault="00B9146A" w:rsidP="00BF095A">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Pr>
                      <w:rFonts w:ascii="Times New Roman" w:hAnsi="Times New Roman" w:cs="Times New Roman"/>
                      <w:b/>
                      <w:color w:val="000000" w:themeColor="text1"/>
                      <w:sz w:val="20"/>
                      <w:szCs w:val="20"/>
                      <w:lang w:val="lv-LV"/>
                    </w:rPr>
                    <w:t>8</w:t>
                  </w:r>
                </w:p>
              </w:tc>
            </w:tr>
            <w:tr w:rsidR="006A1F83" w:rsidTr="008B1736">
              <w:tc>
                <w:tcPr>
                  <w:tcW w:w="1726" w:type="dxa"/>
                </w:tcPr>
                <w:p w:rsidR="006A1F83"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370384">
                    <w:rPr>
                      <w:rFonts w:ascii="Times New Roman" w:hAnsi="Times New Roman" w:cs="Times New Roman"/>
                      <w:color w:val="000000" w:themeColor="text1"/>
                      <w:sz w:val="20"/>
                      <w:szCs w:val="20"/>
                      <w:lang w:val="lv-LV"/>
                    </w:rPr>
                    <w:t>Liela</w:t>
                  </w:r>
                  <w:r>
                    <w:rPr>
                      <w:rFonts w:ascii="Times New Roman" w:hAnsi="Times New Roman" w:cs="Times New Roman"/>
                      <w:color w:val="000000" w:themeColor="text1"/>
                      <w:sz w:val="20"/>
                      <w:szCs w:val="20"/>
                      <w:lang w:val="lv-LV"/>
                    </w:rPr>
                    <w:t xml:space="preserve"> </w:t>
                  </w:r>
                </w:p>
                <w:p w:rsidR="006A1F83" w:rsidRPr="00370384"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(vairāk par 250)</w:t>
                  </w:r>
                </w:p>
              </w:tc>
              <w:tc>
                <w:tcPr>
                  <w:tcW w:w="864" w:type="dxa"/>
                </w:tcPr>
                <w:p w:rsidR="006A1F83" w:rsidRPr="00367CDE"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367CDE">
                    <w:rPr>
                      <w:rFonts w:ascii="Times New Roman" w:hAnsi="Times New Roman" w:cs="Times New Roman"/>
                      <w:color w:val="000000" w:themeColor="text1"/>
                      <w:sz w:val="20"/>
                      <w:szCs w:val="20"/>
                      <w:lang w:val="lv-LV"/>
                    </w:rPr>
                    <w:t>7</w:t>
                  </w:r>
                  <w:r>
                    <w:rPr>
                      <w:rFonts w:ascii="Times New Roman" w:hAnsi="Times New Roman" w:cs="Times New Roman"/>
                      <w:color w:val="000000" w:themeColor="text1"/>
                      <w:sz w:val="20"/>
                      <w:szCs w:val="20"/>
                      <w:lang w:val="lv-LV"/>
                    </w:rPr>
                    <w:t xml:space="preserve"> </w:t>
                  </w:r>
                  <w:r w:rsidRPr="00367CDE">
                    <w:rPr>
                      <w:rFonts w:ascii="Times New Roman" w:hAnsi="Times New Roman" w:cs="Times New Roman"/>
                      <w:color w:val="000000" w:themeColor="text1"/>
                      <w:sz w:val="20"/>
                      <w:szCs w:val="20"/>
                      <w:lang w:val="lv-LV"/>
                    </w:rPr>
                    <w:t>300</w:t>
                  </w:r>
                </w:p>
              </w:tc>
              <w:tc>
                <w:tcPr>
                  <w:tcW w:w="862" w:type="dxa"/>
                </w:tcPr>
                <w:p w:rsidR="006A1F83"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367CDE">
                    <w:rPr>
                      <w:rFonts w:ascii="Times New Roman" w:hAnsi="Times New Roman" w:cs="Times New Roman"/>
                      <w:color w:val="000000" w:themeColor="text1"/>
                      <w:sz w:val="20"/>
                      <w:szCs w:val="20"/>
                      <w:lang w:val="lv-LV"/>
                    </w:rPr>
                    <w:t>10</w:t>
                  </w:r>
                  <w:r w:rsidR="008B1736">
                    <w:rPr>
                      <w:rFonts w:ascii="Times New Roman" w:hAnsi="Times New Roman" w:cs="Times New Roman"/>
                      <w:color w:val="000000" w:themeColor="text1"/>
                      <w:sz w:val="20"/>
                      <w:szCs w:val="20"/>
                      <w:lang w:val="lv-LV"/>
                    </w:rPr>
                    <w:t> </w:t>
                  </w:r>
                  <w:r>
                    <w:rPr>
                      <w:rFonts w:ascii="Times New Roman" w:hAnsi="Times New Roman" w:cs="Times New Roman"/>
                      <w:color w:val="000000" w:themeColor="text1"/>
                      <w:sz w:val="20"/>
                      <w:szCs w:val="20"/>
                      <w:lang w:val="lv-LV"/>
                    </w:rPr>
                    <w:t>567</w:t>
                  </w:r>
                </w:p>
                <w:p w:rsidR="008B1736" w:rsidRDefault="008B1736"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p w:rsidR="008B1736" w:rsidRPr="00574612" w:rsidRDefault="008B1736" w:rsidP="00BF095A">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574612">
                    <w:rPr>
                      <w:rFonts w:ascii="Times New Roman" w:hAnsi="Times New Roman" w:cs="Times New Roman"/>
                      <w:b/>
                      <w:color w:val="000000" w:themeColor="text1"/>
                      <w:sz w:val="20"/>
                      <w:szCs w:val="20"/>
                      <w:lang w:val="lv-LV"/>
                    </w:rPr>
                    <w:t>13,80</w:t>
                  </w:r>
                </w:p>
              </w:tc>
              <w:tc>
                <w:tcPr>
                  <w:tcW w:w="1221" w:type="dxa"/>
                </w:tcPr>
                <w:p w:rsidR="006A1F83" w:rsidRPr="004E5620"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C0504D" w:themeColor="accent2"/>
                      <w:sz w:val="20"/>
                      <w:szCs w:val="20"/>
                      <w:lang w:val="lv-LV"/>
                    </w:rPr>
                  </w:pPr>
                  <w:r w:rsidRPr="00B24D11">
                    <w:rPr>
                      <w:rFonts w:ascii="Times New Roman" w:hAnsi="Times New Roman" w:cs="Times New Roman"/>
                      <w:color w:val="000000" w:themeColor="text1"/>
                      <w:sz w:val="20"/>
                      <w:szCs w:val="20"/>
                      <w:lang w:val="lv-LV"/>
                    </w:rPr>
                    <w:t>4608</w:t>
                  </w:r>
                </w:p>
              </w:tc>
              <w:tc>
                <w:tcPr>
                  <w:tcW w:w="1382" w:type="dxa"/>
                </w:tcPr>
                <w:p w:rsidR="006A1F83" w:rsidRPr="004E5620" w:rsidRDefault="006A1F83"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C0504D" w:themeColor="accent2"/>
                      <w:sz w:val="20"/>
                      <w:szCs w:val="20"/>
                      <w:lang w:val="lv-LV"/>
                    </w:rPr>
                  </w:pPr>
                  <w:r w:rsidRPr="007C05A9">
                    <w:rPr>
                      <w:rFonts w:ascii="Times New Roman" w:hAnsi="Times New Roman" w:cs="Times New Roman"/>
                      <w:color w:val="000000" w:themeColor="text1"/>
                      <w:sz w:val="20"/>
                      <w:szCs w:val="20"/>
                      <w:lang w:val="lv-LV"/>
                    </w:rPr>
                    <w:t>5959</w:t>
                  </w:r>
                </w:p>
              </w:tc>
              <w:tc>
                <w:tcPr>
                  <w:tcW w:w="2587" w:type="dxa"/>
                </w:tcPr>
                <w:p w:rsidR="006A1F83" w:rsidRPr="005C457B" w:rsidRDefault="00B9146A"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6885</w:t>
                  </w:r>
                </w:p>
                <w:p w:rsidR="00574612" w:rsidRPr="005C457B" w:rsidRDefault="00574612" w:rsidP="00BF095A">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p w:rsidR="00574612" w:rsidRPr="00574612" w:rsidRDefault="00B9146A" w:rsidP="00BF095A">
                  <w:pPr>
                    <w:pStyle w:val="NormalWeb"/>
                    <w:framePr w:hSpace="180" w:wrap="around" w:vAnchor="text" w:hAnchor="margin" w:xAlign="center" w:y="149"/>
                    <w:spacing w:before="0" w:beforeAutospacing="0" w:after="0" w:afterAutospacing="0"/>
                    <w:jc w:val="both"/>
                    <w:rPr>
                      <w:rFonts w:ascii="Times New Roman" w:hAnsi="Times New Roman" w:cs="Times New Roman"/>
                      <w:b/>
                      <w:color w:val="C0504D" w:themeColor="accent2"/>
                      <w:sz w:val="20"/>
                      <w:szCs w:val="20"/>
                      <w:lang w:val="lv-LV"/>
                    </w:rPr>
                  </w:pPr>
                  <w:r w:rsidRPr="00B9146A">
                    <w:rPr>
                      <w:rFonts w:ascii="Times New Roman" w:hAnsi="Times New Roman" w:cs="Times New Roman"/>
                      <w:b/>
                      <w:color w:val="000000" w:themeColor="text1"/>
                      <w:sz w:val="20"/>
                      <w:szCs w:val="20"/>
                      <w:lang w:val="lv-LV"/>
                    </w:rPr>
                    <w:t>9</w:t>
                  </w:r>
                </w:p>
              </w:tc>
            </w:tr>
          </w:tbl>
          <w:p w:rsidR="00574612" w:rsidRDefault="003A2066" w:rsidP="003A2066">
            <w:pPr>
              <w:pStyle w:val="ListParagraph"/>
              <w:ind w:left="86"/>
              <w:jc w:val="both"/>
              <w:rPr>
                <w:bCs/>
                <w:i/>
                <w:sz w:val="20"/>
                <w:szCs w:val="20"/>
                <w:lang w:val="lv-LV"/>
              </w:rPr>
            </w:pPr>
            <w:r w:rsidRPr="003A2066">
              <w:rPr>
                <w:i/>
                <w:sz w:val="20"/>
                <w:szCs w:val="20"/>
                <w:lang w:val="lv-LV"/>
              </w:rPr>
              <w:t xml:space="preserve">* Koeficienti aprēķināti </w:t>
            </w:r>
            <w:r w:rsidR="00574612" w:rsidRPr="003A2066">
              <w:rPr>
                <w:i/>
                <w:sz w:val="20"/>
                <w:szCs w:val="20"/>
                <w:lang w:val="lv-LV"/>
              </w:rPr>
              <w:t xml:space="preserve">ņemot vērā Centrālās statistikas pārvaldes statistikas paziņojumā publicēto valstī </w:t>
            </w:r>
            <w:r w:rsidR="00574612" w:rsidRPr="003A2066">
              <w:rPr>
                <w:bCs/>
                <w:i/>
                <w:sz w:val="20"/>
                <w:szCs w:val="20"/>
                <w:lang w:val="lv-LV"/>
              </w:rPr>
              <w:t xml:space="preserve">strādājošo iepriekšējā gada mēneša vidējās darba samaksas apmēru (bruto) par </w:t>
            </w:r>
            <w:proofErr w:type="gramStart"/>
            <w:r w:rsidR="00574612" w:rsidRPr="003A2066">
              <w:rPr>
                <w:bCs/>
                <w:i/>
                <w:sz w:val="20"/>
                <w:szCs w:val="20"/>
                <w:lang w:val="lv-LV"/>
              </w:rPr>
              <w:t>2014.gadu</w:t>
            </w:r>
            <w:proofErr w:type="gramEnd"/>
            <w:r w:rsidR="00574612" w:rsidRPr="003A2066">
              <w:rPr>
                <w:bCs/>
                <w:i/>
                <w:sz w:val="20"/>
                <w:szCs w:val="20"/>
                <w:lang w:val="lv-LV"/>
              </w:rPr>
              <w:t xml:space="preserve">  765 </w:t>
            </w:r>
            <w:proofErr w:type="spellStart"/>
            <w:r w:rsidR="00574612" w:rsidRPr="003A2066">
              <w:rPr>
                <w:bCs/>
                <w:i/>
                <w:sz w:val="20"/>
                <w:szCs w:val="20"/>
                <w:lang w:val="lv-LV"/>
              </w:rPr>
              <w:t>euro</w:t>
            </w:r>
            <w:proofErr w:type="spellEnd"/>
            <w:r w:rsidR="00574612" w:rsidRPr="003A2066">
              <w:rPr>
                <w:bCs/>
                <w:i/>
                <w:sz w:val="20"/>
                <w:szCs w:val="20"/>
                <w:lang w:val="lv-LV"/>
              </w:rPr>
              <w:t xml:space="preserve"> apmērā. </w:t>
            </w:r>
          </w:p>
          <w:p w:rsidR="00B9146A" w:rsidRPr="003A2066" w:rsidRDefault="00B9146A" w:rsidP="003A2066">
            <w:pPr>
              <w:pStyle w:val="ListParagraph"/>
              <w:ind w:left="86"/>
              <w:jc w:val="both"/>
              <w:rPr>
                <w:bCs/>
                <w:i/>
                <w:sz w:val="20"/>
                <w:szCs w:val="20"/>
                <w:lang w:val="lv-LV"/>
              </w:rPr>
            </w:pPr>
          </w:p>
          <w:p w:rsidR="005D0930" w:rsidRDefault="009A0CB7" w:rsidP="00C57E13">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3</w:t>
            </w:r>
            <w:r w:rsidR="00C57E13">
              <w:rPr>
                <w:rFonts w:ascii="Times New Roman" w:hAnsi="Times New Roman" w:cs="Times New Roman"/>
                <w:color w:val="000000" w:themeColor="text1"/>
                <w:lang w:val="lv-LV"/>
              </w:rPr>
              <w:t xml:space="preserve">) </w:t>
            </w:r>
            <w:r w:rsidR="002B7AC9" w:rsidRPr="00AB7C96">
              <w:rPr>
                <w:rFonts w:ascii="Times New Roman" w:hAnsi="Times New Roman" w:cs="Times New Roman"/>
                <w:color w:val="000000" w:themeColor="text1"/>
                <w:lang w:val="lv-LV"/>
              </w:rPr>
              <w:t xml:space="preserve">Ministru kabinets </w:t>
            </w:r>
            <w:proofErr w:type="gramStart"/>
            <w:r w:rsidR="002B7AC9" w:rsidRPr="00AB7C96">
              <w:rPr>
                <w:rFonts w:ascii="Times New Roman" w:hAnsi="Times New Roman" w:cs="Times New Roman"/>
                <w:color w:val="000000" w:themeColor="text1"/>
                <w:lang w:val="lv-LV"/>
              </w:rPr>
              <w:t>2012.gada</w:t>
            </w:r>
            <w:proofErr w:type="gramEnd"/>
            <w:r w:rsidR="002B7AC9" w:rsidRPr="00AB7C96">
              <w:rPr>
                <w:rFonts w:ascii="Times New Roman" w:hAnsi="Times New Roman" w:cs="Times New Roman"/>
                <w:color w:val="000000" w:themeColor="text1"/>
                <w:lang w:val="lv-LV"/>
              </w:rPr>
              <w:t xml:space="preserve"> 4.jūnijā pieņemot Valsts kapitāla daļu pārvaldības koncepciju (Apstiprināta ar Ministru kabineta 2012.gada 4.jūnija rīkojumu Nr.246 “Par Valsts kapitāla daļu pārvaldības koncepciju” (turpmāk – Koncepcija) pieņēma lēmumu atbalstīt koncepcijas 4.7. sadaļā “Atalgojuma politika” ietverto risinājumu (rīkojuma 1.10.apakšpunkts) attiecībā uz atalgojuma politikas pamatprincipiem, kas ir ievērojami nosakot valdes locekļa atlīdzības apmēru. Koncepcijas 4.7. sadaļa ietver risinājumu, kas paredz, ka kapitālsabiedrību valdes locekļu atalgojuma politikā vidējā termiņā nepieciešams paredzēt, ka atalgojums jāsasaista ar vidējo atalgojumu tajā nozarē, kurā kapitālsabiedrība darbojas (Latvijas, Baltijas, Austrumeiropas reģions), un līdzīga izmēra (neto apgrozījums, bilances kopsumma, darbinieku skaits) kapitālsabiedrības valdes locekļu vidējo atalgojumu neatkarīgi no nozares, kurā kapitālsabiedrība darbojas, kā arī kapitālsabiedrības darbības rezultātiem (vidējā termiņa darbības stratēģijas un budžeta izpilde).  Savukārt attiecībā uz kapitālsabiedrības padomes locekļu atlīdzības principiem, </w:t>
            </w:r>
            <w:r w:rsidR="00580B11">
              <w:rPr>
                <w:rFonts w:ascii="Times New Roman" w:hAnsi="Times New Roman" w:cs="Times New Roman"/>
                <w:color w:val="000000" w:themeColor="text1"/>
                <w:lang w:val="lv-LV"/>
              </w:rPr>
              <w:t>K</w:t>
            </w:r>
            <w:r w:rsidR="002B7AC9" w:rsidRPr="00AB7C96">
              <w:rPr>
                <w:rFonts w:ascii="Times New Roman" w:hAnsi="Times New Roman" w:cs="Times New Roman"/>
                <w:color w:val="000000" w:themeColor="text1"/>
                <w:lang w:val="lv-LV"/>
              </w:rPr>
              <w:t xml:space="preserve">oncepcijā ir norādīts, ka padomes locekļu algas ir pielīdzināmas vidējai algai par līdzvērtīgu darbību veikšanu un tās aprēķinā ir jāņem vērā veicamo uzdevumu darbietilpīgums un patērētais laiks, tādējādi akcionāram (dalībniekam) nosakot uzdevumu kategorijas un paveiktā darba apmaksas principus. </w:t>
            </w:r>
            <w:proofErr w:type="gramStart"/>
            <w:r w:rsidR="002B7AC9" w:rsidRPr="00AB7C96">
              <w:rPr>
                <w:rFonts w:ascii="Times New Roman" w:hAnsi="Times New Roman" w:cs="Times New Roman"/>
                <w:color w:val="000000" w:themeColor="text1"/>
                <w:lang w:val="lv-LV"/>
              </w:rPr>
              <w:t>Kā norādīts</w:t>
            </w:r>
            <w:proofErr w:type="gramEnd"/>
            <w:r w:rsidR="002B7AC9" w:rsidRPr="00AB7C96">
              <w:rPr>
                <w:rFonts w:ascii="Times New Roman" w:hAnsi="Times New Roman" w:cs="Times New Roman"/>
                <w:color w:val="000000" w:themeColor="text1"/>
                <w:lang w:val="lv-LV"/>
              </w:rPr>
              <w:t xml:space="preserve"> Koncepcijas 20.lpp., tad viena no identificētajām problēmām attiecībā uz kapitālsabiedrību valdes locekļu atlīdzību ir tā, ka nav definēta politika konkurētspējīga un ar darbības rezultātiem sasaistīta atalgojuma ieviešanai</w:t>
            </w:r>
            <w:r w:rsidR="00AB7C96" w:rsidRPr="00AB7C96">
              <w:rPr>
                <w:rFonts w:ascii="Times New Roman" w:hAnsi="Times New Roman" w:cs="Times New Roman"/>
                <w:color w:val="000000" w:themeColor="text1"/>
                <w:lang w:val="lv-LV"/>
              </w:rPr>
              <w:t>.</w:t>
            </w:r>
            <w:r w:rsidR="003F121A" w:rsidRPr="00AB7C96">
              <w:rPr>
                <w:rFonts w:ascii="Times New Roman" w:hAnsi="Times New Roman" w:cs="Times New Roman"/>
                <w:color w:val="000000" w:themeColor="text1"/>
                <w:lang w:val="lv-LV"/>
              </w:rPr>
              <w:t xml:space="preserve">  </w:t>
            </w:r>
          </w:p>
          <w:p w:rsidR="009B614A" w:rsidRDefault="009B614A" w:rsidP="00B9146A">
            <w:pPr>
              <w:pStyle w:val="NormalWeb"/>
              <w:spacing w:before="0" w:beforeAutospacing="0" w:after="0" w:afterAutospacing="0"/>
              <w:jc w:val="both"/>
              <w:rPr>
                <w:rFonts w:ascii="Times New Roman" w:hAnsi="Times New Roman" w:cs="Times New Roman"/>
                <w:color w:val="000000" w:themeColor="text1"/>
                <w:lang w:val="lv-LV"/>
              </w:rPr>
            </w:pPr>
          </w:p>
          <w:p w:rsidR="0006543D" w:rsidRDefault="0006543D" w:rsidP="006E5BF8">
            <w:pPr>
              <w:pStyle w:val="NormalWeb"/>
              <w:spacing w:before="0" w:beforeAutospacing="0" w:after="0" w:afterAutospacing="0"/>
              <w:jc w:val="both"/>
              <w:rPr>
                <w:rFonts w:ascii="Times New Roman" w:hAnsi="Times New Roman" w:cs="Times New Roman"/>
                <w:color w:val="000000" w:themeColor="text1"/>
                <w:lang w:val="lv-LV"/>
              </w:rPr>
            </w:pPr>
          </w:p>
          <w:p w:rsidR="006E5BF8" w:rsidRDefault="00AB7C96" w:rsidP="006E5BF8">
            <w:pPr>
              <w:pStyle w:val="NormalWeb"/>
              <w:spacing w:before="0" w:beforeAutospacing="0" w:after="0" w:afterAutospacing="0"/>
              <w:jc w:val="both"/>
              <w:rPr>
                <w:rFonts w:ascii="Times New Roman" w:hAnsi="Times New Roman" w:cs="Times New Roman"/>
                <w:color w:val="000000" w:themeColor="text1"/>
                <w:lang w:val="lv-LV"/>
              </w:rPr>
            </w:pPr>
            <w:r w:rsidRPr="002621FF">
              <w:rPr>
                <w:rFonts w:ascii="Times New Roman" w:hAnsi="Times New Roman" w:cs="Times New Roman"/>
                <w:color w:val="000000" w:themeColor="text1"/>
                <w:lang w:val="lv-LV"/>
              </w:rPr>
              <w:t xml:space="preserve">Noteikumu projekta izstrādes laikā Valsts sekretāru sanāksmē 06.08.2015. VSS-823 ir izsludināts </w:t>
            </w:r>
            <w:proofErr w:type="spellStart"/>
            <w:r w:rsidR="003A2066">
              <w:rPr>
                <w:rFonts w:ascii="Times New Roman" w:hAnsi="Times New Roman" w:cs="Times New Roman"/>
                <w:color w:val="000000" w:themeColor="text1"/>
                <w:lang w:val="lv-LV"/>
              </w:rPr>
              <w:t>Pārresoru</w:t>
            </w:r>
            <w:proofErr w:type="spellEnd"/>
            <w:r w:rsidR="003A2066">
              <w:rPr>
                <w:rFonts w:ascii="Times New Roman" w:hAnsi="Times New Roman" w:cs="Times New Roman"/>
                <w:color w:val="000000" w:themeColor="text1"/>
                <w:lang w:val="lv-LV"/>
              </w:rPr>
              <w:t xml:space="preserve"> koordinācijas centra izstrādātais </w:t>
            </w:r>
            <w:r w:rsidRPr="002621FF">
              <w:rPr>
                <w:rFonts w:ascii="Times New Roman" w:hAnsi="Times New Roman" w:cs="Times New Roman"/>
                <w:color w:val="000000" w:themeColor="text1"/>
                <w:lang w:val="lv-LV"/>
              </w:rPr>
              <w:t xml:space="preserve">noteikumu projekts “Noteikumi par publiskas personas kapitālsabiedrību un publiski privāto kapitālsabiedrību valdes un padomes locekļu skaitu atbilstoši kapitālsabiedrības lielumu raksturojošiem rādītājiem”, kurā noteikti kapitālsabiedrības lielumu raksturojošie kritēriji, un kapitālsabiedrības lielumu izvērtēšanas un noteikšanas nosacījumi. </w:t>
            </w:r>
            <w:r w:rsidR="002621FF" w:rsidRPr="002621FF">
              <w:rPr>
                <w:rFonts w:ascii="Times New Roman" w:hAnsi="Times New Roman" w:cs="Times New Roman"/>
                <w:color w:val="000000" w:themeColor="text1"/>
                <w:lang w:val="lv-LV"/>
              </w:rPr>
              <w:t>Ņemot vērā, ka abu normatīvo aktu piemērošana būs savā starpā saistīta, tad</w:t>
            </w:r>
            <w:proofErr w:type="gramStart"/>
            <w:r w:rsidR="002621FF" w:rsidRPr="002621FF">
              <w:rPr>
                <w:rFonts w:ascii="Times New Roman" w:hAnsi="Times New Roman" w:cs="Times New Roman"/>
                <w:color w:val="000000" w:themeColor="text1"/>
                <w:lang w:val="lv-LV"/>
              </w:rPr>
              <w:t xml:space="preserve">  </w:t>
            </w:r>
            <w:r w:rsidR="002F3B4B" w:rsidRPr="002621FF">
              <w:rPr>
                <w:rFonts w:ascii="Times New Roman" w:hAnsi="Times New Roman" w:cs="Times New Roman"/>
                <w:color w:val="000000" w:themeColor="text1"/>
                <w:lang w:val="lv-LV"/>
              </w:rPr>
              <w:t xml:space="preserve"> </w:t>
            </w:r>
            <w:proofErr w:type="gramEnd"/>
            <w:r w:rsidR="002F3B4B" w:rsidRPr="002621FF">
              <w:rPr>
                <w:rFonts w:ascii="Times New Roman" w:hAnsi="Times New Roman" w:cs="Times New Roman"/>
                <w:color w:val="000000" w:themeColor="text1"/>
                <w:lang w:val="lv-LV"/>
              </w:rPr>
              <w:t xml:space="preserve">VSS-823 izsludinātajā noteikumu projektā </w:t>
            </w:r>
            <w:r w:rsidR="002621FF" w:rsidRPr="002621FF">
              <w:rPr>
                <w:rFonts w:ascii="Times New Roman" w:hAnsi="Times New Roman" w:cs="Times New Roman"/>
                <w:color w:val="000000" w:themeColor="text1"/>
                <w:lang w:val="lv-LV"/>
              </w:rPr>
              <w:t>ietvertās normas</w:t>
            </w:r>
            <w:r w:rsidR="002F3B4B">
              <w:rPr>
                <w:rFonts w:ascii="Times New Roman" w:hAnsi="Times New Roman" w:cs="Times New Roman"/>
                <w:color w:val="000000" w:themeColor="text1"/>
                <w:lang w:val="lv-LV"/>
              </w:rPr>
              <w:t xml:space="preserve"> attiecībā uz kapitālsabiedrību lieluma kritērijiem un robežu vērtībām </w:t>
            </w:r>
            <w:r w:rsidR="002621FF" w:rsidRPr="002621FF">
              <w:rPr>
                <w:rFonts w:ascii="Times New Roman" w:hAnsi="Times New Roman" w:cs="Times New Roman"/>
                <w:color w:val="000000" w:themeColor="text1"/>
                <w:lang w:val="lv-LV"/>
              </w:rPr>
              <w:t xml:space="preserve"> </w:t>
            </w:r>
            <w:r w:rsidR="002F3B4B">
              <w:rPr>
                <w:rFonts w:ascii="Times New Roman" w:hAnsi="Times New Roman" w:cs="Times New Roman"/>
                <w:color w:val="000000" w:themeColor="text1"/>
                <w:lang w:val="lv-LV"/>
              </w:rPr>
              <w:t>tiks</w:t>
            </w:r>
            <w:r w:rsidR="002621FF" w:rsidRPr="002621FF">
              <w:rPr>
                <w:rFonts w:ascii="Times New Roman" w:hAnsi="Times New Roman" w:cs="Times New Roman"/>
                <w:color w:val="000000" w:themeColor="text1"/>
                <w:lang w:val="lv-LV"/>
              </w:rPr>
              <w:t xml:space="preserve"> saskaņotas ar </w:t>
            </w:r>
            <w:r w:rsidR="002F3B4B">
              <w:rPr>
                <w:rFonts w:ascii="Times New Roman" w:hAnsi="Times New Roman" w:cs="Times New Roman"/>
                <w:color w:val="000000" w:themeColor="text1"/>
                <w:lang w:val="lv-LV"/>
              </w:rPr>
              <w:t>šo</w:t>
            </w:r>
            <w:r w:rsidR="002F3B4B" w:rsidRPr="002621FF">
              <w:rPr>
                <w:rFonts w:ascii="Times New Roman" w:hAnsi="Times New Roman" w:cs="Times New Roman"/>
                <w:color w:val="000000" w:themeColor="text1"/>
                <w:lang w:val="lv-LV"/>
              </w:rPr>
              <w:t xml:space="preserve"> noteikumu projekt</w:t>
            </w:r>
            <w:r w:rsidR="002F3B4B">
              <w:rPr>
                <w:rFonts w:ascii="Times New Roman" w:hAnsi="Times New Roman" w:cs="Times New Roman"/>
                <w:color w:val="000000" w:themeColor="text1"/>
                <w:lang w:val="lv-LV"/>
              </w:rPr>
              <w:t>u</w:t>
            </w:r>
            <w:r w:rsidR="002621FF" w:rsidRPr="002621FF">
              <w:rPr>
                <w:rFonts w:ascii="Times New Roman" w:hAnsi="Times New Roman" w:cs="Times New Roman"/>
                <w:color w:val="000000" w:themeColor="text1"/>
                <w:lang w:val="lv-LV"/>
              </w:rPr>
              <w:t>.</w:t>
            </w:r>
          </w:p>
          <w:p w:rsidR="006E5BF8" w:rsidRDefault="006E5BF8" w:rsidP="006E5BF8">
            <w:pPr>
              <w:pStyle w:val="NormalWeb"/>
              <w:spacing w:before="0" w:beforeAutospacing="0" w:after="0" w:afterAutospacing="0"/>
              <w:jc w:val="both"/>
              <w:rPr>
                <w:rFonts w:ascii="Times New Roman" w:hAnsi="Times New Roman" w:cs="Times New Roman"/>
                <w:color w:val="000000" w:themeColor="text1"/>
                <w:lang w:val="lv-LV"/>
              </w:rPr>
            </w:pPr>
          </w:p>
          <w:p w:rsidR="003A2066" w:rsidRPr="007F5123" w:rsidRDefault="002621FF" w:rsidP="00BF095A">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Savukārt noteikumu projekt</w:t>
            </w:r>
            <w:r w:rsidR="009A0CB7">
              <w:rPr>
                <w:rFonts w:ascii="Times New Roman" w:hAnsi="Times New Roman" w:cs="Times New Roman"/>
                <w:color w:val="000000" w:themeColor="text1"/>
                <w:lang w:val="lv-LV"/>
              </w:rPr>
              <w:t>a</w:t>
            </w:r>
            <w:proofErr w:type="gramStart"/>
            <w:r w:rsidR="009A0CB7">
              <w:rPr>
                <w:rFonts w:ascii="Times New Roman" w:hAnsi="Times New Roman" w:cs="Times New Roman"/>
                <w:color w:val="000000" w:themeColor="text1"/>
                <w:lang w:val="lv-LV"/>
              </w:rPr>
              <w:t xml:space="preserve"> </w:t>
            </w:r>
            <w:r w:rsidR="0006543D">
              <w:rPr>
                <w:rFonts w:ascii="Times New Roman" w:hAnsi="Times New Roman" w:cs="Times New Roman"/>
                <w:color w:val="000000" w:themeColor="text1"/>
                <w:lang w:val="lv-LV"/>
              </w:rPr>
              <w:t xml:space="preserve"> </w:t>
            </w:r>
            <w:proofErr w:type="gramEnd"/>
            <w:r w:rsidR="00BF095A">
              <w:rPr>
                <w:rFonts w:ascii="Times New Roman" w:hAnsi="Times New Roman" w:cs="Times New Roman"/>
                <w:color w:val="000000" w:themeColor="text1"/>
                <w:lang w:val="lv-LV"/>
              </w:rPr>
              <w:t>9</w:t>
            </w:r>
            <w:r w:rsidR="009A0CB7">
              <w:rPr>
                <w:rFonts w:ascii="Times New Roman" w:hAnsi="Times New Roman" w:cs="Times New Roman"/>
                <w:color w:val="000000" w:themeColor="text1"/>
                <w:lang w:val="lv-LV"/>
              </w:rPr>
              <w:t>.</w:t>
            </w:r>
            <w:r w:rsidR="000A4927">
              <w:rPr>
                <w:rFonts w:ascii="Times New Roman" w:hAnsi="Times New Roman" w:cs="Times New Roman"/>
                <w:color w:val="000000" w:themeColor="text1"/>
                <w:lang w:val="lv-LV"/>
              </w:rPr>
              <w:t>, 1</w:t>
            </w:r>
            <w:r w:rsidR="00BF095A">
              <w:rPr>
                <w:rFonts w:ascii="Times New Roman" w:hAnsi="Times New Roman" w:cs="Times New Roman"/>
                <w:color w:val="000000" w:themeColor="text1"/>
                <w:lang w:val="lv-LV"/>
              </w:rPr>
              <w:t>1</w:t>
            </w:r>
            <w:r w:rsidR="000A4927">
              <w:rPr>
                <w:rFonts w:ascii="Times New Roman" w:hAnsi="Times New Roman" w:cs="Times New Roman"/>
                <w:color w:val="000000" w:themeColor="text1"/>
                <w:lang w:val="lv-LV"/>
              </w:rPr>
              <w:t>. un 1</w:t>
            </w:r>
            <w:r w:rsidR="00BF095A">
              <w:rPr>
                <w:rFonts w:ascii="Times New Roman" w:hAnsi="Times New Roman" w:cs="Times New Roman"/>
                <w:color w:val="000000" w:themeColor="text1"/>
                <w:lang w:val="lv-LV"/>
              </w:rPr>
              <w:t>2</w:t>
            </w:r>
            <w:r w:rsidR="000A4927">
              <w:rPr>
                <w:rFonts w:ascii="Times New Roman" w:hAnsi="Times New Roman" w:cs="Times New Roman"/>
                <w:color w:val="000000" w:themeColor="text1"/>
                <w:lang w:val="lv-LV"/>
              </w:rPr>
              <w:t>.</w:t>
            </w:r>
            <w:r w:rsidR="009A0CB7">
              <w:rPr>
                <w:rFonts w:ascii="Times New Roman" w:hAnsi="Times New Roman" w:cs="Times New Roman"/>
                <w:color w:val="000000" w:themeColor="text1"/>
                <w:lang w:val="lv-LV"/>
              </w:rPr>
              <w:t xml:space="preserve">punkti </w:t>
            </w:r>
            <w:r w:rsidR="00B35D41">
              <w:rPr>
                <w:rFonts w:ascii="Times New Roman" w:hAnsi="Times New Roman" w:cs="Times New Roman"/>
                <w:color w:val="000000" w:themeColor="text1"/>
                <w:lang w:val="lv-LV"/>
              </w:rPr>
              <w:t xml:space="preserve"> nemaina esošo kārtību, un </w:t>
            </w:r>
            <w:r w:rsidR="008C2F4A">
              <w:rPr>
                <w:rFonts w:ascii="Times New Roman" w:hAnsi="Times New Roman" w:cs="Times New Roman"/>
                <w:color w:val="000000" w:themeColor="text1"/>
                <w:lang w:val="lv-LV"/>
              </w:rPr>
              <w:t>ir saglabāts noteikum</w:t>
            </w:r>
            <w:r w:rsidR="00685E19">
              <w:rPr>
                <w:rFonts w:ascii="Times New Roman" w:hAnsi="Times New Roman" w:cs="Times New Roman"/>
                <w:color w:val="000000" w:themeColor="text1"/>
                <w:lang w:val="lv-LV"/>
              </w:rPr>
              <w:t>os</w:t>
            </w:r>
            <w:r w:rsidR="00B35D41">
              <w:rPr>
                <w:rFonts w:ascii="Times New Roman" w:hAnsi="Times New Roman" w:cs="Times New Roman"/>
                <w:color w:val="000000" w:themeColor="text1"/>
                <w:lang w:val="lv-LV"/>
              </w:rPr>
              <w:t xml:space="preserve"> </w:t>
            </w:r>
            <w:r w:rsidR="008C2F4A">
              <w:rPr>
                <w:rFonts w:ascii="Times New Roman" w:hAnsi="Times New Roman" w:cs="Times New Roman"/>
                <w:color w:val="000000" w:themeColor="text1"/>
                <w:lang w:val="lv-LV"/>
              </w:rPr>
              <w:t>Nr.311</w:t>
            </w:r>
            <w:r w:rsidR="00504EA5">
              <w:rPr>
                <w:rFonts w:ascii="Times New Roman" w:hAnsi="Times New Roman" w:cs="Times New Roman"/>
                <w:color w:val="000000" w:themeColor="text1"/>
                <w:lang w:val="lv-LV"/>
              </w:rPr>
              <w:t xml:space="preserve"> noteiktai</w:t>
            </w:r>
            <w:bookmarkStart w:id="1" w:name="_GoBack"/>
            <w:bookmarkEnd w:id="1"/>
            <w:r w:rsidR="00504EA5">
              <w:rPr>
                <w:rFonts w:ascii="Times New Roman" w:hAnsi="Times New Roman" w:cs="Times New Roman"/>
                <w:color w:val="000000" w:themeColor="text1"/>
                <w:lang w:val="lv-LV"/>
              </w:rPr>
              <w:t>s regulējums</w:t>
            </w:r>
            <w:r w:rsidR="00B9146A">
              <w:rPr>
                <w:rFonts w:ascii="Times New Roman" w:hAnsi="Times New Roman" w:cs="Times New Roman"/>
                <w:color w:val="000000" w:themeColor="text1"/>
                <w:lang w:val="lv-LV"/>
              </w:rPr>
              <w:t>.</w:t>
            </w:r>
            <w:r>
              <w:rPr>
                <w:rFonts w:ascii="Times New Roman" w:hAnsi="Times New Roman" w:cs="Times New Roman"/>
                <w:color w:val="000000" w:themeColor="text1"/>
                <w:lang w:val="lv-LV"/>
              </w:rPr>
              <w:t xml:space="preserve"> </w:t>
            </w:r>
          </w:p>
        </w:tc>
      </w:tr>
      <w:tr w:rsidR="00D37C89" w:rsidRPr="007F5123" w:rsidTr="00574612">
        <w:trPr>
          <w:trHeight w:val="585"/>
        </w:trPr>
        <w:tc>
          <w:tcPr>
            <w:tcW w:w="744" w:type="dxa"/>
          </w:tcPr>
          <w:p w:rsidR="00E826C5" w:rsidRPr="007F5123" w:rsidRDefault="00E826C5" w:rsidP="003360A2">
            <w:pPr>
              <w:pStyle w:val="naiskr"/>
              <w:spacing w:before="0" w:after="0"/>
              <w:jc w:val="center"/>
              <w:rPr>
                <w:color w:val="000000" w:themeColor="text1"/>
              </w:rPr>
            </w:pPr>
            <w:r w:rsidRPr="007F5123">
              <w:rPr>
                <w:color w:val="000000" w:themeColor="text1"/>
              </w:rPr>
              <w:lastRenderedPageBreak/>
              <w:t>3.</w:t>
            </w:r>
          </w:p>
        </w:tc>
        <w:tc>
          <w:tcPr>
            <w:tcW w:w="2005" w:type="dxa"/>
          </w:tcPr>
          <w:p w:rsidR="00E826C5" w:rsidRPr="007F5123" w:rsidRDefault="00E826C5" w:rsidP="003360A2">
            <w:pPr>
              <w:pStyle w:val="naiskr"/>
              <w:spacing w:before="0" w:after="0"/>
              <w:rPr>
                <w:color w:val="000000" w:themeColor="text1"/>
              </w:rPr>
            </w:pPr>
            <w:r w:rsidRPr="007F5123">
              <w:rPr>
                <w:color w:val="000000" w:themeColor="text1"/>
              </w:rPr>
              <w:t>Projekta izstrādē iesaistītās institūcijas</w:t>
            </w:r>
          </w:p>
        </w:tc>
        <w:tc>
          <w:tcPr>
            <w:tcW w:w="7514" w:type="dxa"/>
          </w:tcPr>
          <w:p w:rsidR="00E826C5" w:rsidRPr="007F5123" w:rsidRDefault="00586B7F" w:rsidP="003360A2">
            <w:pPr>
              <w:jc w:val="both"/>
              <w:rPr>
                <w:color w:val="000000" w:themeColor="text1"/>
              </w:rPr>
            </w:pPr>
            <w:proofErr w:type="spellStart"/>
            <w:r w:rsidRPr="007F5123">
              <w:rPr>
                <w:color w:val="000000" w:themeColor="text1"/>
              </w:rPr>
              <w:t>Pārresoru</w:t>
            </w:r>
            <w:proofErr w:type="spellEnd"/>
            <w:r w:rsidRPr="007F5123">
              <w:rPr>
                <w:color w:val="000000" w:themeColor="text1"/>
              </w:rPr>
              <w:t xml:space="preserve"> koordinācijas centrs</w:t>
            </w:r>
          </w:p>
        </w:tc>
      </w:tr>
      <w:tr w:rsidR="00D37C89" w:rsidRPr="007F5123" w:rsidTr="00B9146A">
        <w:trPr>
          <w:trHeight w:val="2169"/>
        </w:trPr>
        <w:tc>
          <w:tcPr>
            <w:tcW w:w="744" w:type="dxa"/>
          </w:tcPr>
          <w:p w:rsidR="00E826C5" w:rsidRPr="007F5123" w:rsidRDefault="00E826C5" w:rsidP="0037311A">
            <w:pPr>
              <w:pStyle w:val="naiskr"/>
              <w:spacing w:before="0" w:after="0"/>
              <w:ind w:left="-284" w:firstLine="284"/>
              <w:jc w:val="center"/>
              <w:rPr>
                <w:color w:val="000000" w:themeColor="text1"/>
              </w:rPr>
            </w:pPr>
            <w:r w:rsidRPr="007F5123">
              <w:rPr>
                <w:color w:val="000000" w:themeColor="text1"/>
              </w:rPr>
              <w:t>4.</w:t>
            </w:r>
          </w:p>
        </w:tc>
        <w:tc>
          <w:tcPr>
            <w:tcW w:w="2005" w:type="dxa"/>
          </w:tcPr>
          <w:p w:rsidR="00E826C5" w:rsidRPr="007F5123" w:rsidRDefault="00E826C5" w:rsidP="003360A2">
            <w:pPr>
              <w:pStyle w:val="naiskr"/>
              <w:spacing w:before="0" w:after="0"/>
              <w:rPr>
                <w:color w:val="000000" w:themeColor="text1"/>
              </w:rPr>
            </w:pPr>
            <w:r w:rsidRPr="007F5123">
              <w:rPr>
                <w:color w:val="000000" w:themeColor="text1"/>
              </w:rPr>
              <w:t>Cita informācija</w:t>
            </w:r>
          </w:p>
        </w:tc>
        <w:tc>
          <w:tcPr>
            <w:tcW w:w="7514" w:type="dxa"/>
          </w:tcPr>
          <w:p w:rsidR="00410149" w:rsidRPr="004803BC" w:rsidRDefault="00410149" w:rsidP="00E37A68">
            <w:pPr>
              <w:pStyle w:val="NormalWeb"/>
              <w:spacing w:before="0" w:beforeAutospacing="0" w:after="0" w:afterAutospacing="0"/>
              <w:jc w:val="both"/>
              <w:rPr>
                <w:bCs/>
                <w:color w:val="000000" w:themeColor="text1"/>
                <w:lang w:val="lv-LV"/>
              </w:rPr>
            </w:pPr>
            <w:r>
              <w:rPr>
                <w:rFonts w:ascii="Times New Roman" w:hAnsi="Times New Roman" w:cs="Times New Roman"/>
                <w:color w:val="000000" w:themeColor="text1"/>
                <w:lang w:val="lv-LV"/>
              </w:rPr>
              <w:t>Atbilstoši likuma 112.panta pirmā daļā un 117.panta pirmā daļā noteiktajam v</w:t>
            </w:r>
            <w:r w:rsidRPr="00D75A99">
              <w:rPr>
                <w:rFonts w:ascii="Times New Roman" w:hAnsi="Times New Roman" w:cs="Times New Roman"/>
                <w:color w:val="000000" w:themeColor="text1"/>
                <w:lang w:val="lv-LV"/>
              </w:rPr>
              <w:t>aldes locekļa mēneša atlīdzību nosaka uz visu valdes locekļa pilnvaru termiņu ar tiesībām to pārskatīt reizi gadā.</w:t>
            </w:r>
            <w:r w:rsidR="00E37A68">
              <w:rPr>
                <w:rFonts w:ascii="Times New Roman" w:hAnsi="Times New Roman" w:cs="Times New Roman"/>
                <w:color w:val="000000" w:themeColor="text1"/>
                <w:lang w:val="lv-LV"/>
              </w:rPr>
              <w:t xml:space="preserve"> </w:t>
            </w:r>
            <w:r w:rsidR="00BD130F">
              <w:rPr>
                <w:rFonts w:ascii="Times New Roman" w:hAnsi="Times New Roman" w:cs="Times New Roman"/>
                <w:color w:val="000000" w:themeColor="text1"/>
                <w:lang w:val="lv-LV"/>
              </w:rPr>
              <w:t>Vienlaikus vēršam uzmanību, ka likuma pārejas noteikumu 17.punktā ir noteikts, ka līdz likuma spēkā stāšanās dienai noslēgtie līgumi ar valdes locekļiem paliek spēkā līdz valdes locekļa pilnvaru termiņa beigām, kas noteikts kapitālsabiedrības statūtos, kuri bija spēkā valdes locekļa ievēlēšanas brīdī.</w:t>
            </w:r>
          </w:p>
        </w:tc>
      </w:tr>
    </w:tbl>
    <w:tbl>
      <w:tblPr>
        <w:tblW w:w="10220"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65"/>
        <w:gridCol w:w="2314"/>
        <w:gridCol w:w="7041"/>
      </w:tblGrid>
      <w:tr w:rsidR="00D37C89" w:rsidRPr="007F5123" w:rsidTr="00B9146A">
        <w:trPr>
          <w:jc w:val="center"/>
        </w:trPr>
        <w:tc>
          <w:tcPr>
            <w:tcW w:w="10220" w:type="dxa"/>
            <w:gridSpan w:val="3"/>
          </w:tcPr>
          <w:p w:rsidR="00B9146A" w:rsidRDefault="00B9146A" w:rsidP="003360A2">
            <w:pPr>
              <w:pStyle w:val="naisnod"/>
              <w:spacing w:before="0" w:after="0"/>
              <w:rPr>
                <w:color w:val="000000" w:themeColor="text1"/>
              </w:rPr>
            </w:pPr>
          </w:p>
          <w:p w:rsidR="00FE4973" w:rsidRPr="007F5123" w:rsidRDefault="00FE4973" w:rsidP="003360A2">
            <w:pPr>
              <w:pStyle w:val="naisnod"/>
              <w:spacing w:before="0" w:after="0"/>
              <w:rPr>
                <w:color w:val="000000" w:themeColor="text1"/>
              </w:rPr>
            </w:pPr>
            <w:r w:rsidRPr="007F5123">
              <w:rPr>
                <w:color w:val="000000" w:themeColor="text1"/>
              </w:rPr>
              <w:t>II.</w:t>
            </w:r>
            <w:r w:rsidRPr="007F5123">
              <w:rPr>
                <w:bCs w:val="0"/>
                <w:color w:val="000000" w:themeColor="text1"/>
              </w:rPr>
              <w:t xml:space="preserve"> Tiesību akta projekta ietekme uz sabiedrību, tautsaimniecības attīstību un administratīvo slogu</w:t>
            </w:r>
          </w:p>
        </w:tc>
      </w:tr>
      <w:tr w:rsidR="00D37C89" w:rsidRPr="007F5123" w:rsidTr="00B9146A">
        <w:trPr>
          <w:jc w:val="center"/>
        </w:trPr>
        <w:tc>
          <w:tcPr>
            <w:tcW w:w="865" w:type="dxa"/>
          </w:tcPr>
          <w:p w:rsidR="00906989" w:rsidRPr="007F5123" w:rsidRDefault="00906989" w:rsidP="003360A2">
            <w:pPr>
              <w:pStyle w:val="naiskr"/>
              <w:tabs>
                <w:tab w:val="left" w:pos="2628"/>
              </w:tabs>
              <w:spacing w:before="0" w:after="0"/>
              <w:jc w:val="center"/>
              <w:rPr>
                <w:iCs/>
                <w:color w:val="000000" w:themeColor="text1"/>
              </w:rPr>
            </w:pPr>
            <w:r w:rsidRPr="007F5123">
              <w:rPr>
                <w:iCs/>
                <w:color w:val="000000" w:themeColor="text1"/>
              </w:rPr>
              <w:t>1.</w:t>
            </w:r>
          </w:p>
        </w:tc>
        <w:tc>
          <w:tcPr>
            <w:tcW w:w="2314" w:type="dxa"/>
          </w:tcPr>
          <w:p w:rsidR="00906989" w:rsidRPr="007F5123" w:rsidRDefault="00906989" w:rsidP="003360A2">
            <w:pPr>
              <w:pStyle w:val="naiskr"/>
              <w:spacing w:before="0" w:after="0"/>
              <w:rPr>
                <w:iCs/>
                <w:color w:val="000000" w:themeColor="text1"/>
              </w:rPr>
            </w:pPr>
            <w:r w:rsidRPr="007F5123">
              <w:rPr>
                <w:color w:val="000000" w:themeColor="text1"/>
              </w:rPr>
              <w:t>Sabiedrības mērķgrupas, kuras tiesiskais regulējums ietekmē vai varētu ietekmēt</w:t>
            </w:r>
          </w:p>
        </w:tc>
        <w:tc>
          <w:tcPr>
            <w:tcW w:w="7041" w:type="dxa"/>
          </w:tcPr>
          <w:p w:rsidR="002E3ABF" w:rsidRPr="007F5123" w:rsidRDefault="007C79AF" w:rsidP="003360A2">
            <w:pPr>
              <w:jc w:val="both"/>
              <w:rPr>
                <w:color w:val="000000" w:themeColor="text1"/>
              </w:rPr>
            </w:pPr>
            <w:r w:rsidRPr="007F5123">
              <w:rPr>
                <w:color w:val="000000" w:themeColor="text1"/>
              </w:rPr>
              <w:t xml:space="preserve">Publiskas personas kā kapitāla daļu turētāji, </w:t>
            </w:r>
            <w:r w:rsidR="00723A94" w:rsidRPr="007F5123">
              <w:rPr>
                <w:color w:val="000000" w:themeColor="text1"/>
              </w:rPr>
              <w:t>valsts kapitālsabiedrības un publiski privātās kapitālsabiedrības, kurās valsts ir dalībnieks</w:t>
            </w:r>
            <w:r w:rsidR="00D50F85" w:rsidRPr="007F5123">
              <w:rPr>
                <w:color w:val="000000" w:themeColor="text1"/>
              </w:rPr>
              <w:t xml:space="preserve"> (akcionārs)</w:t>
            </w:r>
          </w:p>
        </w:tc>
      </w:tr>
      <w:tr w:rsidR="00D37C89" w:rsidRPr="007F5123" w:rsidTr="00B9146A">
        <w:trPr>
          <w:jc w:val="center"/>
        </w:trPr>
        <w:tc>
          <w:tcPr>
            <w:tcW w:w="865" w:type="dxa"/>
          </w:tcPr>
          <w:p w:rsidR="00906989" w:rsidRPr="007F5123" w:rsidRDefault="00906989" w:rsidP="003360A2">
            <w:pPr>
              <w:pStyle w:val="naiskr"/>
              <w:tabs>
                <w:tab w:val="left" w:pos="2628"/>
              </w:tabs>
              <w:spacing w:before="0" w:after="0"/>
              <w:jc w:val="center"/>
              <w:rPr>
                <w:iCs/>
                <w:color w:val="000000" w:themeColor="text1"/>
              </w:rPr>
            </w:pPr>
            <w:r w:rsidRPr="007F5123">
              <w:rPr>
                <w:iCs/>
                <w:color w:val="000000" w:themeColor="text1"/>
              </w:rPr>
              <w:t>2.</w:t>
            </w:r>
          </w:p>
        </w:tc>
        <w:tc>
          <w:tcPr>
            <w:tcW w:w="2314" w:type="dxa"/>
          </w:tcPr>
          <w:p w:rsidR="00906989" w:rsidRPr="007F5123" w:rsidRDefault="00906989" w:rsidP="003360A2">
            <w:pPr>
              <w:pStyle w:val="naiskr"/>
              <w:spacing w:before="0" w:after="0"/>
              <w:rPr>
                <w:color w:val="000000" w:themeColor="text1"/>
              </w:rPr>
            </w:pPr>
            <w:r w:rsidRPr="007F5123">
              <w:rPr>
                <w:color w:val="000000" w:themeColor="text1"/>
              </w:rPr>
              <w:t>Tiesiskā regulējuma ietekme uz tautsaimniecību un administratīvo slogu</w:t>
            </w:r>
          </w:p>
        </w:tc>
        <w:tc>
          <w:tcPr>
            <w:tcW w:w="7041" w:type="dxa"/>
          </w:tcPr>
          <w:p w:rsidR="007C79AF" w:rsidRPr="007F5123" w:rsidRDefault="00723A94" w:rsidP="003360A2">
            <w:pPr>
              <w:pStyle w:val="naiskr"/>
              <w:spacing w:before="0" w:after="0"/>
              <w:jc w:val="both"/>
              <w:rPr>
                <w:color w:val="000000" w:themeColor="text1"/>
              </w:rPr>
            </w:pPr>
            <w:r w:rsidRPr="007F5123">
              <w:rPr>
                <w:color w:val="000000" w:themeColor="text1"/>
              </w:rPr>
              <w:t>A</w:t>
            </w:r>
            <w:r w:rsidR="00E80835" w:rsidRPr="007F5123">
              <w:rPr>
                <w:color w:val="000000" w:themeColor="text1"/>
              </w:rPr>
              <w:t>r</w:t>
            </w:r>
            <w:r w:rsidR="007C79AF" w:rsidRPr="007F5123">
              <w:rPr>
                <w:color w:val="000000" w:themeColor="text1"/>
              </w:rPr>
              <w:t xml:space="preserve"> </w:t>
            </w:r>
            <w:r w:rsidR="00E80835" w:rsidRPr="007F5123">
              <w:rPr>
                <w:color w:val="000000" w:themeColor="text1"/>
              </w:rPr>
              <w:t>noteikum</w:t>
            </w:r>
            <w:r w:rsidRPr="007F5123">
              <w:rPr>
                <w:color w:val="000000" w:themeColor="text1"/>
              </w:rPr>
              <w:t xml:space="preserve">u projektu </w:t>
            </w:r>
            <w:r w:rsidR="007C79AF" w:rsidRPr="007F5123">
              <w:rPr>
                <w:color w:val="000000" w:themeColor="text1"/>
              </w:rPr>
              <w:t xml:space="preserve">netiek radīts jauns administratīvais slogs, tiek nodrošināta </w:t>
            </w:r>
            <w:r w:rsidR="008938F6" w:rsidRPr="007F5123">
              <w:rPr>
                <w:bCs/>
                <w:color w:val="000000" w:themeColor="text1"/>
              </w:rPr>
              <w:t>likumā</w:t>
            </w:r>
            <w:r w:rsidR="007C79AF" w:rsidRPr="007F5123">
              <w:rPr>
                <w:color w:val="000000" w:themeColor="text1"/>
              </w:rPr>
              <w:t xml:space="preserve"> noteikto uzdevumu izpilde. </w:t>
            </w:r>
          </w:p>
          <w:p w:rsidR="00511F2E" w:rsidRPr="007F5123" w:rsidRDefault="002B2F58" w:rsidP="003360A2">
            <w:pPr>
              <w:pStyle w:val="naiskr"/>
              <w:spacing w:before="0" w:after="0"/>
              <w:jc w:val="both"/>
              <w:rPr>
                <w:color w:val="000000" w:themeColor="text1"/>
              </w:rPr>
            </w:pPr>
            <w:r w:rsidRPr="007F5123">
              <w:rPr>
                <w:color w:val="000000" w:themeColor="text1"/>
              </w:rPr>
              <w:t xml:space="preserve"> </w:t>
            </w:r>
          </w:p>
        </w:tc>
      </w:tr>
      <w:tr w:rsidR="00D37C89" w:rsidRPr="007F5123" w:rsidTr="00B9146A">
        <w:trPr>
          <w:jc w:val="center"/>
        </w:trPr>
        <w:tc>
          <w:tcPr>
            <w:tcW w:w="865" w:type="dxa"/>
          </w:tcPr>
          <w:p w:rsidR="00906989" w:rsidRPr="007F5123" w:rsidRDefault="00906989" w:rsidP="003360A2">
            <w:pPr>
              <w:pStyle w:val="naiskr"/>
              <w:tabs>
                <w:tab w:val="left" w:pos="2628"/>
              </w:tabs>
              <w:spacing w:before="0" w:after="0"/>
              <w:jc w:val="center"/>
              <w:rPr>
                <w:iCs/>
                <w:color w:val="000000" w:themeColor="text1"/>
              </w:rPr>
            </w:pPr>
            <w:r w:rsidRPr="007F5123">
              <w:rPr>
                <w:iCs/>
                <w:color w:val="000000" w:themeColor="text1"/>
              </w:rPr>
              <w:t>3.</w:t>
            </w:r>
          </w:p>
        </w:tc>
        <w:tc>
          <w:tcPr>
            <w:tcW w:w="2314" w:type="dxa"/>
          </w:tcPr>
          <w:p w:rsidR="00906989" w:rsidRPr="007F5123" w:rsidRDefault="00906989" w:rsidP="003360A2">
            <w:pPr>
              <w:pStyle w:val="naiskr"/>
              <w:tabs>
                <w:tab w:val="left" w:pos="2628"/>
              </w:tabs>
              <w:spacing w:before="0" w:after="0"/>
              <w:rPr>
                <w:iCs/>
                <w:color w:val="000000" w:themeColor="text1"/>
              </w:rPr>
            </w:pPr>
            <w:r w:rsidRPr="007F5123">
              <w:rPr>
                <w:color w:val="000000" w:themeColor="text1"/>
              </w:rPr>
              <w:t>Administratīvo izmaksu monetārs novērtējums</w:t>
            </w:r>
          </w:p>
        </w:tc>
        <w:tc>
          <w:tcPr>
            <w:tcW w:w="7041" w:type="dxa"/>
          </w:tcPr>
          <w:p w:rsidR="00906989" w:rsidRPr="007F5123" w:rsidRDefault="00A73151" w:rsidP="003360A2">
            <w:pPr>
              <w:jc w:val="both"/>
              <w:rPr>
                <w:iCs/>
                <w:color w:val="000000" w:themeColor="text1"/>
              </w:rPr>
            </w:pPr>
            <w:bookmarkStart w:id="2" w:name="p25"/>
            <w:bookmarkStart w:id="3" w:name="p-468670"/>
            <w:bookmarkEnd w:id="2"/>
            <w:bookmarkEnd w:id="3"/>
            <w:r w:rsidRPr="007F5123">
              <w:rPr>
                <w:color w:val="000000" w:themeColor="text1"/>
              </w:rPr>
              <w:t> Sabiedrības grupām un institūcijām projekta tiesiskais regulējums nemaina tiesības un pienākumus, kā arī veicamās darbības</w:t>
            </w:r>
          </w:p>
        </w:tc>
      </w:tr>
      <w:tr w:rsidR="00D37C89" w:rsidRPr="007F5123" w:rsidTr="00B9146A">
        <w:trPr>
          <w:jc w:val="center"/>
        </w:trPr>
        <w:tc>
          <w:tcPr>
            <w:tcW w:w="865" w:type="dxa"/>
          </w:tcPr>
          <w:p w:rsidR="00E218E6" w:rsidRPr="007F5123" w:rsidRDefault="00E218E6" w:rsidP="003360A2">
            <w:pPr>
              <w:pStyle w:val="naiskr"/>
              <w:tabs>
                <w:tab w:val="left" w:pos="2628"/>
              </w:tabs>
              <w:spacing w:before="0" w:after="0"/>
              <w:jc w:val="center"/>
              <w:rPr>
                <w:iCs/>
                <w:color w:val="000000" w:themeColor="text1"/>
              </w:rPr>
            </w:pPr>
            <w:r w:rsidRPr="007F5123">
              <w:rPr>
                <w:iCs/>
                <w:color w:val="000000" w:themeColor="text1"/>
              </w:rPr>
              <w:t>4.</w:t>
            </w:r>
          </w:p>
        </w:tc>
        <w:tc>
          <w:tcPr>
            <w:tcW w:w="2314" w:type="dxa"/>
          </w:tcPr>
          <w:p w:rsidR="00E218E6" w:rsidRPr="007F5123" w:rsidRDefault="00E218E6" w:rsidP="003360A2">
            <w:pPr>
              <w:pStyle w:val="naiskr"/>
              <w:tabs>
                <w:tab w:val="left" w:pos="2628"/>
              </w:tabs>
              <w:spacing w:before="0" w:after="0"/>
              <w:rPr>
                <w:color w:val="000000" w:themeColor="text1"/>
              </w:rPr>
            </w:pPr>
            <w:r w:rsidRPr="007F5123">
              <w:rPr>
                <w:bCs/>
                <w:color w:val="000000" w:themeColor="text1"/>
              </w:rPr>
              <w:t>Tiesību akta projekta ietekme uz valsts budžetu un pašvaldību budžetiem</w:t>
            </w:r>
          </w:p>
        </w:tc>
        <w:tc>
          <w:tcPr>
            <w:tcW w:w="7041" w:type="dxa"/>
          </w:tcPr>
          <w:p w:rsidR="00CB5188" w:rsidRPr="007F5123" w:rsidRDefault="006E4300" w:rsidP="0037311A">
            <w:pPr>
              <w:pStyle w:val="CommentText"/>
              <w:jc w:val="both"/>
              <w:rPr>
                <w:color w:val="000000" w:themeColor="text1"/>
                <w:sz w:val="24"/>
                <w:szCs w:val="24"/>
              </w:rPr>
            </w:pPr>
            <w:r w:rsidRPr="007F5123">
              <w:rPr>
                <w:color w:val="000000" w:themeColor="text1"/>
                <w:sz w:val="24"/>
                <w:szCs w:val="24"/>
              </w:rPr>
              <w:t>Noteikumu projekta izpildē iesaistīt</w:t>
            </w:r>
            <w:r w:rsidR="008C5A21" w:rsidRPr="007F5123">
              <w:rPr>
                <w:color w:val="000000" w:themeColor="text1"/>
                <w:sz w:val="24"/>
                <w:szCs w:val="24"/>
              </w:rPr>
              <w:t>ie valsts kapitāla daļu</w:t>
            </w:r>
            <w:r w:rsidR="009764A9" w:rsidRPr="007F5123">
              <w:rPr>
                <w:color w:val="000000" w:themeColor="text1"/>
                <w:sz w:val="24"/>
                <w:szCs w:val="24"/>
              </w:rPr>
              <w:t xml:space="preserve"> </w:t>
            </w:r>
            <w:r w:rsidR="008C5A21" w:rsidRPr="007F5123">
              <w:rPr>
                <w:color w:val="000000" w:themeColor="text1"/>
                <w:sz w:val="24"/>
                <w:szCs w:val="24"/>
              </w:rPr>
              <w:t>turētāji</w:t>
            </w:r>
            <w:r w:rsidR="0037311A">
              <w:rPr>
                <w:color w:val="000000" w:themeColor="text1"/>
                <w:sz w:val="24"/>
                <w:szCs w:val="24"/>
              </w:rPr>
              <w:t>.</w:t>
            </w:r>
            <w:r w:rsidR="008C5A21" w:rsidRPr="007F5123">
              <w:rPr>
                <w:color w:val="000000" w:themeColor="text1"/>
                <w:sz w:val="24"/>
                <w:szCs w:val="24"/>
              </w:rPr>
              <w:t xml:space="preserve"> </w:t>
            </w:r>
          </w:p>
        </w:tc>
      </w:tr>
      <w:tr w:rsidR="00906989" w:rsidRPr="007F5123" w:rsidTr="00B9146A">
        <w:trPr>
          <w:jc w:val="center"/>
        </w:trPr>
        <w:tc>
          <w:tcPr>
            <w:tcW w:w="865" w:type="dxa"/>
          </w:tcPr>
          <w:p w:rsidR="00906989" w:rsidRPr="007F5123" w:rsidRDefault="00E218E6" w:rsidP="003360A2">
            <w:pPr>
              <w:pStyle w:val="naiskr"/>
              <w:tabs>
                <w:tab w:val="left" w:pos="2628"/>
              </w:tabs>
              <w:spacing w:before="0" w:after="0"/>
              <w:jc w:val="center"/>
              <w:rPr>
                <w:iCs/>
                <w:color w:val="000000" w:themeColor="text1"/>
              </w:rPr>
            </w:pPr>
            <w:r w:rsidRPr="007F5123">
              <w:rPr>
                <w:iCs/>
                <w:color w:val="000000" w:themeColor="text1"/>
              </w:rPr>
              <w:t>5</w:t>
            </w:r>
            <w:r w:rsidR="00906989" w:rsidRPr="007F5123">
              <w:rPr>
                <w:iCs/>
                <w:color w:val="000000" w:themeColor="text1"/>
              </w:rPr>
              <w:t>.</w:t>
            </w:r>
          </w:p>
        </w:tc>
        <w:tc>
          <w:tcPr>
            <w:tcW w:w="2314" w:type="dxa"/>
          </w:tcPr>
          <w:p w:rsidR="00906989" w:rsidRPr="007F5123" w:rsidRDefault="00906989" w:rsidP="003360A2">
            <w:pPr>
              <w:pStyle w:val="naiskr"/>
              <w:tabs>
                <w:tab w:val="left" w:pos="2628"/>
              </w:tabs>
              <w:spacing w:before="0" w:after="0"/>
              <w:rPr>
                <w:color w:val="000000" w:themeColor="text1"/>
              </w:rPr>
            </w:pPr>
            <w:r w:rsidRPr="007F5123">
              <w:rPr>
                <w:color w:val="000000" w:themeColor="text1"/>
              </w:rPr>
              <w:t>Cita informācija</w:t>
            </w:r>
          </w:p>
        </w:tc>
        <w:tc>
          <w:tcPr>
            <w:tcW w:w="7041" w:type="dxa"/>
          </w:tcPr>
          <w:p w:rsidR="00906989" w:rsidRPr="007F5123" w:rsidRDefault="009208C5" w:rsidP="003360A2">
            <w:pPr>
              <w:pStyle w:val="NormalWeb"/>
              <w:spacing w:before="0" w:beforeAutospacing="0" w:after="0" w:afterAutospacing="0"/>
              <w:jc w:val="both"/>
              <w:rPr>
                <w:rFonts w:ascii="Times New Roman" w:hAnsi="Times New Roman" w:cs="Times New Roman"/>
                <w:color w:val="000000" w:themeColor="text1"/>
              </w:rPr>
            </w:pPr>
            <w:proofErr w:type="spellStart"/>
            <w:r w:rsidRPr="007F5123">
              <w:rPr>
                <w:rFonts w:ascii="Times New Roman" w:hAnsi="Times New Roman" w:cs="Times New Roman"/>
                <w:color w:val="000000" w:themeColor="text1"/>
              </w:rPr>
              <w:t>Nav</w:t>
            </w:r>
            <w:proofErr w:type="spellEnd"/>
          </w:p>
        </w:tc>
      </w:tr>
    </w:tbl>
    <w:p w:rsidR="00777387" w:rsidRPr="007F5123" w:rsidRDefault="00777387" w:rsidP="003360A2">
      <w:pPr>
        <w:pStyle w:val="naisf"/>
        <w:spacing w:before="0" w:after="0"/>
        <w:ind w:firstLine="0"/>
        <w:rPr>
          <w:color w:val="000000" w:themeColor="text1"/>
        </w:rPr>
      </w:pPr>
    </w:p>
    <w:tbl>
      <w:tblPr>
        <w:tblW w:w="10065"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51"/>
        <w:gridCol w:w="2410"/>
        <w:gridCol w:w="6804"/>
      </w:tblGrid>
      <w:tr w:rsidR="00D37C89" w:rsidRPr="007F5123" w:rsidTr="009D7690">
        <w:tc>
          <w:tcPr>
            <w:tcW w:w="10065" w:type="dxa"/>
            <w:gridSpan w:val="3"/>
            <w:tcBorders>
              <w:top w:val="outset" w:sz="6" w:space="0" w:color="auto"/>
              <w:left w:val="outset" w:sz="6" w:space="0" w:color="auto"/>
              <w:bottom w:val="outset" w:sz="6" w:space="0" w:color="auto"/>
              <w:right w:val="outset" w:sz="6" w:space="0" w:color="auto"/>
            </w:tcBorders>
          </w:tcPr>
          <w:p w:rsidR="002A60C9" w:rsidRPr="007F5123" w:rsidRDefault="002A60C9" w:rsidP="001414F7">
            <w:pPr>
              <w:pStyle w:val="naisf"/>
              <w:spacing w:before="0" w:after="0"/>
              <w:jc w:val="center"/>
              <w:rPr>
                <w:b/>
                <w:bCs/>
                <w:color w:val="000000" w:themeColor="text1"/>
              </w:rPr>
            </w:pPr>
            <w:r w:rsidRPr="007F5123">
              <w:rPr>
                <w:b/>
                <w:bCs/>
                <w:color w:val="000000" w:themeColor="text1"/>
              </w:rPr>
              <w:t>V. Tiesību akta projekta atbilstība Latvijas Republikas starptautiskajām saistībām</w:t>
            </w:r>
          </w:p>
        </w:tc>
      </w:tr>
      <w:tr w:rsidR="00D37C89" w:rsidRPr="007F5123" w:rsidTr="009D7690">
        <w:tc>
          <w:tcPr>
            <w:tcW w:w="851" w:type="dxa"/>
            <w:tcBorders>
              <w:top w:val="outset" w:sz="6" w:space="0" w:color="auto"/>
              <w:left w:val="outset" w:sz="6" w:space="0" w:color="auto"/>
              <w:bottom w:val="outset" w:sz="6" w:space="0" w:color="auto"/>
              <w:right w:val="outset" w:sz="6" w:space="0" w:color="auto"/>
            </w:tcBorders>
          </w:tcPr>
          <w:p w:rsidR="002A60C9" w:rsidRPr="007F5123" w:rsidRDefault="002A60C9" w:rsidP="003360A2">
            <w:pPr>
              <w:pStyle w:val="naisf"/>
              <w:spacing w:before="0" w:after="0"/>
              <w:rPr>
                <w:color w:val="000000" w:themeColor="text1"/>
              </w:rPr>
            </w:pPr>
            <w:r w:rsidRPr="007F5123">
              <w:rPr>
                <w:color w:val="000000" w:themeColor="text1"/>
              </w:rPr>
              <w:t> 1.</w:t>
            </w:r>
          </w:p>
        </w:tc>
        <w:tc>
          <w:tcPr>
            <w:tcW w:w="2410" w:type="dxa"/>
            <w:tcBorders>
              <w:top w:val="outset" w:sz="6" w:space="0" w:color="auto"/>
              <w:left w:val="outset" w:sz="6" w:space="0" w:color="auto"/>
              <w:bottom w:val="outset" w:sz="6" w:space="0" w:color="auto"/>
              <w:right w:val="outset" w:sz="6" w:space="0" w:color="auto"/>
            </w:tcBorders>
          </w:tcPr>
          <w:p w:rsidR="002A60C9" w:rsidRPr="007F5123" w:rsidRDefault="002A60C9" w:rsidP="003360A2">
            <w:pPr>
              <w:pStyle w:val="naisf"/>
              <w:spacing w:before="0" w:after="0"/>
              <w:rPr>
                <w:color w:val="000000" w:themeColor="text1"/>
              </w:rPr>
            </w:pPr>
            <w:r w:rsidRPr="007F5123">
              <w:rPr>
                <w:color w:val="000000" w:themeColor="text1"/>
              </w:rPr>
              <w:t>Saistības pret Eiropas Savienību</w:t>
            </w:r>
          </w:p>
        </w:tc>
        <w:tc>
          <w:tcPr>
            <w:tcW w:w="6804" w:type="dxa"/>
            <w:tcBorders>
              <w:top w:val="outset" w:sz="6" w:space="0" w:color="auto"/>
              <w:left w:val="outset" w:sz="6" w:space="0" w:color="auto"/>
              <w:bottom w:val="outset" w:sz="6" w:space="0" w:color="auto"/>
              <w:right w:val="outset" w:sz="6" w:space="0" w:color="auto"/>
            </w:tcBorders>
          </w:tcPr>
          <w:p w:rsidR="002A60C9" w:rsidRPr="007F5123" w:rsidRDefault="002A60C9" w:rsidP="003360A2">
            <w:pPr>
              <w:pStyle w:val="naisf"/>
              <w:spacing w:before="0" w:after="0"/>
              <w:rPr>
                <w:color w:val="000000" w:themeColor="text1"/>
              </w:rPr>
            </w:pPr>
            <w:r w:rsidRPr="007F5123">
              <w:rPr>
                <w:color w:val="000000" w:themeColor="text1"/>
              </w:rPr>
              <w:t>Projekts šo jomu neskar</w:t>
            </w:r>
          </w:p>
        </w:tc>
      </w:tr>
      <w:tr w:rsidR="00D37C89" w:rsidRPr="007F5123" w:rsidTr="009D7690">
        <w:tc>
          <w:tcPr>
            <w:tcW w:w="851" w:type="dxa"/>
            <w:tcBorders>
              <w:top w:val="outset" w:sz="6" w:space="0" w:color="auto"/>
              <w:left w:val="outset" w:sz="6" w:space="0" w:color="auto"/>
              <w:bottom w:val="outset" w:sz="6" w:space="0" w:color="auto"/>
              <w:right w:val="outset" w:sz="6" w:space="0" w:color="auto"/>
            </w:tcBorders>
          </w:tcPr>
          <w:p w:rsidR="002A60C9" w:rsidRPr="007F5123" w:rsidRDefault="002A60C9" w:rsidP="003360A2">
            <w:pPr>
              <w:pStyle w:val="naisf"/>
              <w:spacing w:before="0" w:after="0"/>
              <w:rPr>
                <w:color w:val="000000" w:themeColor="text1"/>
              </w:rPr>
            </w:pPr>
            <w:r w:rsidRPr="007F5123">
              <w:rPr>
                <w:color w:val="000000" w:themeColor="text1"/>
              </w:rPr>
              <w:t> 2.</w:t>
            </w:r>
          </w:p>
        </w:tc>
        <w:tc>
          <w:tcPr>
            <w:tcW w:w="2410" w:type="dxa"/>
            <w:tcBorders>
              <w:top w:val="outset" w:sz="6" w:space="0" w:color="auto"/>
              <w:left w:val="outset" w:sz="6" w:space="0" w:color="auto"/>
              <w:bottom w:val="outset" w:sz="6" w:space="0" w:color="auto"/>
              <w:right w:val="outset" w:sz="6" w:space="0" w:color="auto"/>
            </w:tcBorders>
          </w:tcPr>
          <w:p w:rsidR="002A60C9" w:rsidRPr="007F5123" w:rsidRDefault="002A60C9" w:rsidP="003360A2">
            <w:pPr>
              <w:pStyle w:val="naisf"/>
              <w:spacing w:before="0" w:after="0"/>
              <w:rPr>
                <w:color w:val="000000" w:themeColor="text1"/>
              </w:rPr>
            </w:pPr>
            <w:r w:rsidRPr="007F5123">
              <w:rPr>
                <w:color w:val="000000" w:themeColor="text1"/>
              </w:rPr>
              <w:t>Citas starptautiskās saistības</w:t>
            </w:r>
          </w:p>
        </w:tc>
        <w:tc>
          <w:tcPr>
            <w:tcW w:w="6804" w:type="dxa"/>
            <w:tcBorders>
              <w:top w:val="outset" w:sz="6" w:space="0" w:color="auto"/>
              <w:left w:val="outset" w:sz="6" w:space="0" w:color="auto"/>
              <w:bottom w:val="outset" w:sz="6" w:space="0" w:color="auto"/>
              <w:right w:val="outset" w:sz="6" w:space="0" w:color="auto"/>
            </w:tcBorders>
          </w:tcPr>
          <w:p w:rsidR="00AC7A3E" w:rsidRPr="007F5123" w:rsidRDefault="002A60C9" w:rsidP="003360A2">
            <w:pPr>
              <w:pStyle w:val="naisf"/>
              <w:spacing w:before="0" w:after="0"/>
              <w:ind w:firstLine="0"/>
              <w:rPr>
                <w:color w:val="000000" w:themeColor="text1"/>
              </w:rPr>
            </w:pPr>
            <w:r w:rsidRPr="007F5123">
              <w:rPr>
                <w:color w:val="000000" w:themeColor="text1"/>
              </w:rPr>
              <w:t xml:space="preserve">Latvijas pievienošanās OECD Ceļa karte (apstiprināta OECD padomē 2013. gada 15. oktobrī). OECD vadlīnijas valsts kapitālsabiedrību </w:t>
            </w:r>
            <w:r w:rsidRPr="007F5123">
              <w:rPr>
                <w:color w:val="000000" w:themeColor="text1"/>
              </w:rPr>
              <w:lastRenderedPageBreak/>
              <w:t xml:space="preserve">pārvaldībai (OECD </w:t>
            </w:r>
            <w:proofErr w:type="spellStart"/>
            <w:r w:rsidRPr="007F5123">
              <w:rPr>
                <w:i/>
                <w:color w:val="000000" w:themeColor="text1"/>
              </w:rPr>
              <w:t>Guidelines</w:t>
            </w:r>
            <w:proofErr w:type="spellEnd"/>
            <w:r w:rsidRPr="007F5123">
              <w:rPr>
                <w:i/>
                <w:color w:val="000000" w:themeColor="text1"/>
              </w:rPr>
              <w:t xml:space="preserve"> </w:t>
            </w:r>
            <w:proofErr w:type="spellStart"/>
            <w:r w:rsidRPr="007F5123">
              <w:rPr>
                <w:i/>
                <w:color w:val="000000" w:themeColor="text1"/>
              </w:rPr>
              <w:t>on</w:t>
            </w:r>
            <w:proofErr w:type="spellEnd"/>
            <w:r w:rsidRPr="007F5123">
              <w:rPr>
                <w:i/>
                <w:color w:val="000000" w:themeColor="text1"/>
              </w:rPr>
              <w:t xml:space="preserve"> </w:t>
            </w:r>
            <w:proofErr w:type="spellStart"/>
            <w:r w:rsidRPr="007F5123">
              <w:rPr>
                <w:i/>
                <w:color w:val="000000" w:themeColor="text1"/>
              </w:rPr>
              <w:t>Corporate</w:t>
            </w:r>
            <w:proofErr w:type="spellEnd"/>
            <w:r w:rsidRPr="007F5123">
              <w:rPr>
                <w:i/>
                <w:color w:val="000000" w:themeColor="text1"/>
              </w:rPr>
              <w:t xml:space="preserve"> </w:t>
            </w:r>
            <w:proofErr w:type="spellStart"/>
            <w:r w:rsidRPr="007F5123">
              <w:rPr>
                <w:i/>
                <w:color w:val="000000" w:themeColor="text1"/>
              </w:rPr>
              <w:t>Governance</w:t>
            </w:r>
            <w:proofErr w:type="spellEnd"/>
            <w:r w:rsidRPr="007F5123">
              <w:rPr>
                <w:i/>
                <w:color w:val="000000" w:themeColor="text1"/>
              </w:rPr>
              <w:t xml:space="preserve"> </w:t>
            </w:r>
            <w:proofErr w:type="spellStart"/>
            <w:r w:rsidRPr="007F5123">
              <w:rPr>
                <w:i/>
                <w:color w:val="000000" w:themeColor="text1"/>
              </w:rPr>
              <w:t>of</w:t>
            </w:r>
            <w:proofErr w:type="spellEnd"/>
            <w:r w:rsidRPr="007F5123">
              <w:rPr>
                <w:i/>
                <w:color w:val="000000" w:themeColor="text1"/>
              </w:rPr>
              <w:t xml:space="preserve"> </w:t>
            </w:r>
            <w:proofErr w:type="spellStart"/>
            <w:r w:rsidRPr="007F5123">
              <w:rPr>
                <w:i/>
                <w:color w:val="000000" w:themeColor="text1"/>
              </w:rPr>
              <w:t>State-owned</w:t>
            </w:r>
            <w:proofErr w:type="spellEnd"/>
            <w:r w:rsidRPr="007F5123">
              <w:rPr>
                <w:i/>
                <w:color w:val="000000" w:themeColor="text1"/>
              </w:rPr>
              <w:t xml:space="preserve"> </w:t>
            </w:r>
            <w:proofErr w:type="spellStart"/>
            <w:r w:rsidRPr="007F5123">
              <w:rPr>
                <w:i/>
                <w:color w:val="000000" w:themeColor="text1"/>
              </w:rPr>
              <w:t>Enterprises</w:t>
            </w:r>
            <w:proofErr w:type="spellEnd"/>
            <w:r w:rsidRPr="007F5123">
              <w:rPr>
                <w:i/>
                <w:color w:val="000000" w:themeColor="text1"/>
              </w:rPr>
              <w:t>, 2005</w:t>
            </w:r>
            <w:r w:rsidRPr="007F5123">
              <w:rPr>
                <w:color w:val="000000" w:themeColor="text1"/>
              </w:rPr>
              <w:t xml:space="preserve"> </w:t>
            </w:r>
            <w:hyperlink r:id="rId16" w:history="1">
              <w:r w:rsidR="00AC7A3E" w:rsidRPr="007F5123">
                <w:rPr>
                  <w:rStyle w:val="Hyperlink"/>
                  <w:color w:val="000000" w:themeColor="text1"/>
                </w:rPr>
                <w:t>http://www.oecd.org/daf/ca/oecdguidelinesoncorporategovernanceofstate-ownedenterprises.htm</w:t>
              </w:r>
            </w:hyperlink>
            <w:r w:rsidRPr="007F5123">
              <w:rPr>
                <w:color w:val="000000" w:themeColor="text1"/>
              </w:rPr>
              <w:t>)</w:t>
            </w:r>
          </w:p>
        </w:tc>
      </w:tr>
      <w:tr w:rsidR="00D37C89" w:rsidRPr="007F5123" w:rsidTr="009D7690">
        <w:tc>
          <w:tcPr>
            <w:tcW w:w="851" w:type="dxa"/>
            <w:tcBorders>
              <w:top w:val="outset" w:sz="6" w:space="0" w:color="auto"/>
              <w:left w:val="outset" w:sz="6" w:space="0" w:color="auto"/>
              <w:bottom w:val="outset" w:sz="6" w:space="0" w:color="auto"/>
              <w:right w:val="outset" w:sz="6" w:space="0" w:color="auto"/>
            </w:tcBorders>
          </w:tcPr>
          <w:p w:rsidR="002A60C9" w:rsidRPr="007F5123" w:rsidRDefault="002A60C9" w:rsidP="003360A2">
            <w:pPr>
              <w:pStyle w:val="naisf"/>
              <w:spacing w:before="0" w:after="0"/>
              <w:rPr>
                <w:color w:val="000000" w:themeColor="text1"/>
              </w:rPr>
            </w:pPr>
            <w:r w:rsidRPr="007F5123">
              <w:rPr>
                <w:color w:val="000000" w:themeColor="text1"/>
              </w:rPr>
              <w:lastRenderedPageBreak/>
              <w:t> 3.</w:t>
            </w:r>
          </w:p>
        </w:tc>
        <w:tc>
          <w:tcPr>
            <w:tcW w:w="2410" w:type="dxa"/>
            <w:tcBorders>
              <w:top w:val="outset" w:sz="6" w:space="0" w:color="auto"/>
              <w:left w:val="outset" w:sz="6" w:space="0" w:color="auto"/>
              <w:bottom w:val="outset" w:sz="6" w:space="0" w:color="auto"/>
              <w:right w:val="outset" w:sz="6" w:space="0" w:color="auto"/>
            </w:tcBorders>
          </w:tcPr>
          <w:p w:rsidR="002A60C9" w:rsidRPr="007F5123" w:rsidRDefault="002A60C9" w:rsidP="003360A2">
            <w:pPr>
              <w:pStyle w:val="naisf"/>
              <w:spacing w:before="0" w:after="0"/>
              <w:rPr>
                <w:color w:val="000000" w:themeColor="text1"/>
              </w:rPr>
            </w:pPr>
            <w:r w:rsidRPr="007F5123">
              <w:rPr>
                <w:color w:val="000000" w:themeColor="text1"/>
              </w:rPr>
              <w:t>Cita informācija</w:t>
            </w:r>
          </w:p>
        </w:tc>
        <w:tc>
          <w:tcPr>
            <w:tcW w:w="6804" w:type="dxa"/>
            <w:tcBorders>
              <w:top w:val="outset" w:sz="6" w:space="0" w:color="auto"/>
              <w:left w:val="outset" w:sz="6" w:space="0" w:color="auto"/>
              <w:bottom w:val="outset" w:sz="6" w:space="0" w:color="auto"/>
              <w:right w:val="outset" w:sz="6" w:space="0" w:color="auto"/>
            </w:tcBorders>
          </w:tcPr>
          <w:p w:rsidR="002A60C9" w:rsidRPr="007F5123" w:rsidRDefault="00A73151" w:rsidP="003360A2">
            <w:pPr>
              <w:pStyle w:val="naisf"/>
              <w:spacing w:before="0" w:after="0"/>
              <w:ind w:firstLine="0"/>
              <w:rPr>
                <w:color w:val="000000" w:themeColor="text1"/>
              </w:rPr>
            </w:pPr>
            <w:r w:rsidRPr="007F5123">
              <w:rPr>
                <w:color w:val="000000" w:themeColor="text1"/>
              </w:rPr>
              <w:t>Nav</w:t>
            </w:r>
          </w:p>
        </w:tc>
      </w:tr>
    </w:tbl>
    <w:p w:rsidR="002A60C9" w:rsidRPr="007F5123" w:rsidRDefault="002A60C9" w:rsidP="003360A2">
      <w:pPr>
        <w:pStyle w:val="naisf"/>
        <w:spacing w:before="0" w:after="0"/>
        <w:ind w:firstLine="0"/>
        <w:rPr>
          <w:color w:val="000000" w:themeColor="text1"/>
        </w:rPr>
      </w:pPr>
    </w:p>
    <w:tbl>
      <w:tblPr>
        <w:tblW w:w="10065"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65"/>
      </w:tblGrid>
      <w:tr w:rsidR="00D37C89" w:rsidRPr="007F5123" w:rsidTr="009D7690">
        <w:trPr>
          <w:trHeight w:val="523"/>
        </w:trPr>
        <w:tc>
          <w:tcPr>
            <w:tcW w:w="10065" w:type="dxa"/>
            <w:tcBorders>
              <w:top w:val="outset" w:sz="6" w:space="0" w:color="auto"/>
              <w:left w:val="outset" w:sz="6" w:space="0" w:color="auto"/>
              <w:bottom w:val="outset" w:sz="6" w:space="0" w:color="auto"/>
              <w:right w:val="outset" w:sz="6" w:space="0" w:color="auto"/>
            </w:tcBorders>
            <w:vAlign w:val="center"/>
          </w:tcPr>
          <w:p w:rsidR="00777387" w:rsidRPr="007F5123" w:rsidRDefault="00777387" w:rsidP="001414F7">
            <w:pPr>
              <w:pStyle w:val="naisf"/>
              <w:spacing w:before="0" w:after="0"/>
              <w:jc w:val="center"/>
              <w:rPr>
                <w:b/>
                <w:bCs/>
                <w:color w:val="000000" w:themeColor="text1"/>
              </w:rPr>
            </w:pPr>
            <w:r w:rsidRPr="007F5123">
              <w:rPr>
                <w:b/>
                <w:bCs/>
                <w:color w:val="000000" w:themeColor="text1"/>
              </w:rPr>
              <w:t>1. tabula</w:t>
            </w:r>
          </w:p>
          <w:p w:rsidR="00777387" w:rsidRPr="007F5123" w:rsidRDefault="00777387" w:rsidP="001414F7">
            <w:pPr>
              <w:pStyle w:val="naisf"/>
              <w:spacing w:before="0" w:after="0"/>
              <w:jc w:val="center"/>
              <w:rPr>
                <w:b/>
                <w:bCs/>
                <w:color w:val="000000" w:themeColor="text1"/>
              </w:rPr>
            </w:pPr>
            <w:r w:rsidRPr="007F5123">
              <w:rPr>
                <w:b/>
                <w:bCs/>
                <w:color w:val="000000" w:themeColor="text1"/>
              </w:rPr>
              <w:t>Tiesību akta projekta atbilstība ES tiesību aktiem</w:t>
            </w:r>
          </w:p>
        </w:tc>
      </w:tr>
      <w:tr w:rsidR="00D37C89" w:rsidRPr="007F5123" w:rsidTr="009D7690">
        <w:tc>
          <w:tcPr>
            <w:tcW w:w="10065" w:type="dxa"/>
            <w:tcBorders>
              <w:top w:val="outset" w:sz="6" w:space="0" w:color="auto"/>
              <w:left w:val="outset" w:sz="6" w:space="0" w:color="auto"/>
              <w:bottom w:val="outset" w:sz="6" w:space="0" w:color="auto"/>
              <w:right w:val="outset" w:sz="6" w:space="0" w:color="auto"/>
            </w:tcBorders>
            <w:vAlign w:val="center"/>
          </w:tcPr>
          <w:p w:rsidR="00777387" w:rsidRPr="007F5123" w:rsidRDefault="00777387" w:rsidP="003360A2">
            <w:pPr>
              <w:pStyle w:val="naisf"/>
              <w:spacing w:before="0" w:after="0"/>
              <w:rPr>
                <w:color w:val="000000" w:themeColor="text1"/>
              </w:rPr>
            </w:pPr>
            <w:r w:rsidRPr="007F5123">
              <w:rPr>
                <w:color w:val="000000" w:themeColor="text1"/>
              </w:rPr>
              <w:t>Nav attiecināms</w:t>
            </w:r>
          </w:p>
        </w:tc>
      </w:tr>
    </w:tbl>
    <w:p w:rsidR="002A60C9" w:rsidRPr="007F5123" w:rsidRDefault="002A60C9" w:rsidP="003360A2">
      <w:pPr>
        <w:pStyle w:val="naisf"/>
        <w:spacing w:before="0" w:after="0"/>
        <w:ind w:firstLine="0"/>
        <w:rPr>
          <w:color w:val="000000" w:themeColor="text1"/>
        </w:rPr>
      </w:pPr>
    </w:p>
    <w:tbl>
      <w:tblPr>
        <w:tblW w:w="10065" w:type="dxa"/>
        <w:tblInd w:w="-5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977"/>
        <w:gridCol w:w="1562"/>
        <w:gridCol w:w="1698"/>
        <w:gridCol w:w="3828"/>
      </w:tblGrid>
      <w:tr w:rsidR="00D37C89" w:rsidRPr="007F5123" w:rsidTr="009D7690">
        <w:trPr>
          <w:trHeight w:val="792"/>
        </w:trPr>
        <w:tc>
          <w:tcPr>
            <w:tcW w:w="10065" w:type="dxa"/>
            <w:gridSpan w:val="4"/>
            <w:vAlign w:val="center"/>
          </w:tcPr>
          <w:p w:rsidR="00777387" w:rsidRPr="007F5123" w:rsidRDefault="00777387" w:rsidP="003360A2">
            <w:pPr>
              <w:pStyle w:val="naisf"/>
              <w:spacing w:before="0" w:after="0"/>
              <w:rPr>
                <w:b/>
                <w:bCs/>
                <w:color w:val="000000" w:themeColor="text1"/>
              </w:rPr>
            </w:pPr>
            <w:r w:rsidRPr="007F5123">
              <w:rPr>
                <w:b/>
                <w:bCs/>
                <w:color w:val="000000" w:themeColor="text1"/>
              </w:rPr>
              <w:t>2. tabula</w:t>
            </w:r>
          </w:p>
          <w:p w:rsidR="009D7690" w:rsidRDefault="00777387" w:rsidP="003360A2">
            <w:pPr>
              <w:pStyle w:val="naisf"/>
              <w:spacing w:before="0" w:after="0"/>
              <w:rPr>
                <w:b/>
                <w:bCs/>
                <w:color w:val="000000" w:themeColor="text1"/>
              </w:rPr>
            </w:pPr>
            <w:r w:rsidRPr="007F5123">
              <w:rPr>
                <w:b/>
                <w:bCs/>
                <w:color w:val="000000" w:themeColor="text1"/>
              </w:rPr>
              <w:t>Ar tiesību akta projektu uzņemtās saistības, kas izriet no starptautiskajiem tiesību aktiem</w:t>
            </w:r>
          </w:p>
          <w:p w:rsidR="00777387" w:rsidRPr="007F5123" w:rsidRDefault="00777387" w:rsidP="003360A2">
            <w:pPr>
              <w:pStyle w:val="naisf"/>
              <w:spacing w:before="0" w:after="0"/>
              <w:rPr>
                <w:b/>
                <w:bCs/>
                <w:color w:val="000000" w:themeColor="text1"/>
              </w:rPr>
            </w:pPr>
            <w:r w:rsidRPr="007F5123">
              <w:rPr>
                <w:b/>
                <w:bCs/>
                <w:color w:val="000000" w:themeColor="text1"/>
              </w:rPr>
              <w:t>vai starptautiskas institūcijas vai organizācijas dokumentiem</w:t>
            </w:r>
          </w:p>
          <w:p w:rsidR="00777387" w:rsidRPr="007F5123" w:rsidRDefault="00777387" w:rsidP="003360A2">
            <w:pPr>
              <w:pStyle w:val="naisf"/>
              <w:spacing w:before="0" w:after="0"/>
              <w:rPr>
                <w:b/>
                <w:bCs/>
                <w:color w:val="000000" w:themeColor="text1"/>
              </w:rPr>
            </w:pPr>
            <w:r w:rsidRPr="007F5123">
              <w:rPr>
                <w:b/>
                <w:bCs/>
                <w:color w:val="000000" w:themeColor="text1"/>
              </w:rPr>
              <w:t>Pasākumi šo saistību izpildei</w:t>
            </w:r>
          </w:p>
        </w:tc>
      </w:tr>
      <w:tr w:rsidR="00D37C89" w:rsidRPr="007F5123" w:rsidTr="009D7690">
        <w:trPr>
          <w:trHeight w:val="1596"/>
        </w:trPr>
        <w:tc>
          <w:tcPr>
            <w:tcW w:w="4539" w:type="dxa"/>
            <w:gridSpan w:val="2"/>
            <w:vAlign w:val="center"/>
          </w:tcPr>
          <w:p w:rsidR="00777387" w:rsidRPr="007F5123" w:rsidRDefault="00777387" w:rsidP="003360A2">
            <w:pPr>
              <w:pStyle w:val="naisf"/>
              <w:spacing w:before="0" w:after="0"/>
              <w:rPr>
                <w:color w:val="000000" w:themeColor="text1"/>
              </w:rPr>
            </w:pPr>
            <w:r w:rsidRPr="007F5123">
              <w:rPr>
                <w:color w:val="000000" w:themeColor="text1"/>
              </w:rPr>
              <w:t>Attiecīgā starptautiskā tiesību akta vai starptautiskas institūcijas vai organizācijas dokumenta (turpmāk – starptautiskais dokuments) datums, numurs un nosaukums</w:t>
            </w:r>
          </w:p>
        </w:tc>
        <w:tc>
          <w:tcPr>
            <w:tcW w:w="5526" w:type="dxa"/>
            <w:gridSpan w:val="2"/>
          </w:tcPr>
          <w:p w:rsidR="00777387" w:rsidRPr="007F5123" w:rsidRDefault="00777387" w:rsidP="009D7690">
            <w:pPr>
              <w:pStyle w:val="naisf"/>
              <w:spacing w:before="0" w:after="0"/>
              <w:ind w:right="142"/>
              <w:rPr>
                <w:color w:val="000000" w:themeColor="text1"/>
              </w:rPr>
            </w:pPr>
            <w:r w:rsidRPr="007F5123">
              <w:rPr>
                <w:color w:val="000000" w:themeColor="text1"/>
              </w:rPr>
              <w:t xml:space="preserve">OECD vadlīnijas valsts kapitālsabiedrību pārvaldībai (OECD </w:t>
            </w:r>
            <w:proofErr w:type="spellStart"/>
            <w:r w:rsidRPr="007F5123">
              <w:rPr>
                <w:i/>
                <w:color w:val="000000" w:themeColor="text1"/>
              </w:rPr>
              <w:t>Guidelines</w:t>
            </w:r>
            <w:proofErr w:type="spellEnd"/>
            <w:r w:rsidRPr="007F5123">
              <w:rPr>
                <w:i/>
                <w:color w:val="000000" w:themeColor="text1"/>
              </w:rPr>
              <w:t xml:space="preserve"> </w:t>
            </w:r>
            <w:proofErr w:type="spellStart"/>
            <w:r w:rsidRPr="007F5123">
              <w:rPr>
                <w:i/>
                <w:color w:val="000000" w:themeColor="text1"/>
              </w:rPr>
              <w:t>on</w:t>
            </w:r>
            <w:proofErr w:type="spellEnd"/>
            <w:r w:rsidRPr="007F5123">
              <w:rPr>
                <w:i/>
                <w:color w:val="000000" w:themeColor="text1"/>
              </w:rPr>
              <w:t xml:space="preserve"> </w:t>
            </w:r>
            <w:proofErr w:type="spellStart"/>
            <w:r w:rsidRPr="007F5123">
              <w:rPr>
                <w:i/>
                <w:color w:val="000000" w:themeColor="text1"/>
              </w:rPr>
              <w:t>Corporate</w:t>
            </w:r>
            <w:proofErr w:type="spellEnd"/>
            <w:r w:rsidRPr="007F5123">
              <w:rPr>
                <w:i/>
                <w:color w:val="000000" w:themeColor="text1"/>
              </w:rPr>
              <w:t xml:space="preserve"> </w:t>
            </w:r>
            <w:proofErr w:type="spellStart"/>
            <w:r w:rsidRPr="007F5123">
              <w:rPr>
                <w:i/>
                <w:color w:val="000000" w:themeColor="text1"/>
              </w:rPr>
              <w:t>Governance</w:t>
            </w:r>
            <w:proofErr w:type="spellEnd"/>
            <w:r w:rsidRPr="007F5123">
              <w:rPr>
                <w:i/>
                <w:color w:val="000000" w:themeColor="text1"/>
              </w:rPr>
              <w:t xml:space="preserve"> </w:t>
            </w:r>
            <w:proofErr w:type="spellStart"/>
            <w:r w:rsidRPr="007F5123">
              <w:rPr>
                <w:i/>
                <w:color w:val="000000" w:themeColor="text1"/>
              </w:rPr>
              <w:t>of</w:t>
            </w:r>
            <w:proofErr w:type="spellEnd"/>
            <w:r w:rsidRPr="007F5123">
              <w:rPr>
                <w:i/>
                <w:color w:val="000000" w:themeColor="text1"/>
              </w:rPr>
              <w:t xml:space="preserve"> </w:t>
            </w:r>
            <w:proofErr w:type="spellStart"/>
            <w:r w:rsidRPr="007F5123">
              <w:rPr>
                <w:i/>
                <w:color w:val="000000" w:themeColor="text1"/>
              </w:rPr>
              <w:t>State</w:t>
            </w:r>
            <w:proofErr w:type="spellEnd"/>
            <w:r w:rsidRPr="007F5123">
              <w:rPr>
                <w:i/>
                <w:color w:val="000000" w:themeColor="text1"/>
              </w:rPr>
              <w:t xml:space="preserve"> </w:t>
            </w:r>
            <w:proofErr w:type="spellStart"/>
            <w:r w:rsidRPr="007F5123">
              <w:rPr>
                <w:i/>
                <w:color w:val="000000" w:themeColor="text1"/>
              </w:rPr>
              <w:t>ownedEnterprises</w:t>
            </w:r>
            <w:proofErr w:type="spellEnd"/>
            <w:r w:rsidRPr="007F5123">
              <w:rPr>
                <w:i/>
                <w:color w:val="000000" w:themeColor="text1"/>
              </w:rPr>
              <w:t xml:space="preserve">, 2005) </w:t>
            </w:r>
            <w:r w:rsidRPr="007F5123">
              <w:rPr>
                <w:color w:val="000000" w:themeColor="text1"/>
              </w:rPr>
              <w:t>(</w:t>
            </w:r>
            <w:hyperlink r:id="rId17" w:history="1">
              <w:r w:rsidR="009D7690" w:rsidRPr="00452543">
                <w:rPr>
                  <w:rStyle w:val="Hyperlink"/>
                </w:rPr>
                <w:t>http://www.oecd.org/daf/ca/oecdguidelinesoncorporategovernanceofstate-ownedenterprises.htm</w:t>
              </w:r>
            </w:hyperlink>
            <w:r w:rsidRPr="007F5123">
              <w:rPr>
                <w:color w:val="000000" w:themeColor="text1"/>
              </w:rPr>
              <w:t>)</w:t>
            </w:r>
          </w:p>
          <w:p w:rsidR="00821FE9" w:rsidRPr="007F5123" w:rsidRDefault="00821FE9" w:rsidP="003360A2">
            <w:pPr>
              <w:pStyle w:val="naisf"/>
              <w:spacing w:before="0" w:after="0"/>
              <w:rPr>
                <w:color w:val="000000" w:themeColor="text1"/>
              </w:rPr>
            </w:pPr>
          </w:p>
        </w:tc>
      </w:tr>
      <w:tr w:rsidR="00D37C89" w:rsidRPr="007F5123" w:rsidTr="009D7690">
        <w:trPr>
          <w:trHeight w:val="341"/>
        </w:trPr>
        <w:tc>
          <w:tcPr>
            <w:tcW w:w="2977" w:type="dxa"/>
            <w:vAlign w:val="center"/>
          </w:tcPr>
          <w:p w:rsidR="00777387" w:rsidRPr="007F5123" w:rsidRDefault="00777387" w:rsidP="003360A2">
            <w:pPr>
              <w:pStyle w:val="naisf"/>
              <w:spacing w:before="0" w:after="0"/>
              <w:rPr>
                <w:color w:val="000000" w:themeColor="text1"/>
              </w:rPr>
            </w:pPr>
            <w:r w:rsidRPr="007F5123">
              <w:rPr>
                <w:color w:val="000000" w:themeColor="text1"/>
              </w:rPr>
              <w:t>A</w:t>
            </w:r>
          </w:p>
        </w:tc>
        <w:tc>
          <w:tcPr>
            <w:tcW w:w="3260" w:type="dxa"/>
            <w:gridSpan w:val="2"/>
            <w:vAlign w:val="center"/>
          </w:tcPr>
          <w:p w:rsidR="00777387" w:rsidRPr="007F5123" w:rsidRDefault="00777387" w:rsidP="003360A2">
            <w:pPr>
              <w:pStyle w:val="naisf"/>
              <w:spacing w:before="0" w:after="0"/>
              <w:rPr>
                <w:color w:val="000000" w:themeColor="text1"/>
              </w:rPr>
            </w:pPr>
            <w:r w:rsidRPr="007F5123">
              <w:rPr>
                <w:color w:val="000000" w:themeColor="text1"/>
              </w:rPr>
              <w:t>B</w:t>
            </w:r>
          </w:p>
        </w:tc>
        <w:tc>
          <w:tcPr>
            <w:tcW w:w="3828" w:type="dxa"/>
            <w:vAlign w:val="center"/>
          </w:tcPr>
          <w:p w:rsidR="00777387" w:rsidRPr="007F5123" w:rsidRDefault="00777387" w:rsidP="003360A2">
            <w:pPr>
              <w:pStyle w:val="naisf"/>
              <w:spacing w:before="0" w:after="0"/>
              <w:rPr>
                <w:color w:val="000000" w:themeColor="text1"/>
              </w:rPr>
            </w:pPr>
            <w:r w:rsidRPr="007F5123">
              <w:rPr>
                <w:color w:val="000000" w:themeColor="text1"/>
              </w:rPr>
              <w:t>C</w:t>
            </w:r>
          </w:p>
        </w:tc>
      </w:tr>
      <w:tr w:rsidR="00D37C89" w:rsidRPr="007F5123" w:rsidTr="009D7690">
        <w:trPr>
          <w:trHeight w:val="341"/>
        </w:trPr>
        <w:tc>
          <w:tcPr>
            <w:tcW w:w="2977" w:type="dxa"/>
          </w:tcPr>
          <w:p w:rsidR="00777387" w:rsidRPr="007F5123" w:rsidRDefault="00777387" w:rsidP="003360A2">
            <w:pPr>
              <w:pStyle w:val="naisf"/>
              <w:spacing w:before="0" w:after="0"/>
              <w:rPr>
                <w:color w:val="000000" w:themeColor="text1"/>
              </w:rPr>
            </w:pPr>
            <w:r w:rsidRPr="007F5123">
              <w:rPr>
                <w:color w:val="000000" w:themeColor="text1"/>
              </w:rPr>
              <w:t>Starptautiskās saistības (pēc būtības), kas izriet no norādītā starptautiskā dokumenta.</w:t>
            </w:r>
          </w:p>
          <w:p w:rsidR="00777387" w:rsidRPr="007F5123" w:rsidRDefault="00777387" w:rsidP="003360A2">
            <w:pPr>
              <w:pStyle w:val="naisf"/>
              <w:spacing w:before="0" w:after="0"/>
              <w:rPr>
                <w:color w:val="000000" w:themeColor="text1"/>
              </w:rPr>
            </w:pPr>
            <w:r w:rsidRPr="007F5123">
              <w:rPr>
                <w:color w:val="000000" w:themeColor="text1"/>
              </w:rPr>
              <w:t> </w:t>
            </w:r>
          </w:p>
          <w:p w:rsidR="00777387" w:rsidRPr="007F5123" w:rsidRDefault="00777387" w:rsidP="003360A2">
            <w:pPr>
              <w:pStyle w:val="naisf"/>
              <w:spacing w:before="0" w:after="0"/>
              <w:rPr>
                <w:color w:val="000000" w:themeColor="text1"/>
              </w:rPr>
            </w:pPr>
            <w:r w:rsidRPr="007F5123">
              <w:rPr>
                <w:color w:val="000000" w:themeColor="text1"/>
              </w:rPr>
              <w:t>Konkrēti veicamie pasākumi vai uzdevumi, kas nepieciešami šo starptautisko saistību izpildei</w:t>
            </w:r>
          </w:p>
        </w:tc>
        <w:tc>
          <w:tcPr>
            <w:tcW w:w="3260" w:type="dxa"/>
            <w:gridSpan w:val="2"/>
          </w:tcPr>
          <w:p w:rsidR="00777387" w:rsidRPr="007F5123" w:rsidRDefault="00777387" w:rsidP="003360A2">
            <w:pPr>
              <w:pStyle w:val="naisf"/>
              <w:spacing w:before="0" w:after="0"/>
              <w:rPr>
                <w:color w:val="000000" w:themeColor="text1"/>
              </w:rPr>
            </w:pPr>
            <w:r w:rsidRPr="007F5123">
              <w:rPr>
                <w:color w:val="000000" w:themeColor="text1"/>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828" w:type="dxa"/>
          </w:tcPr>
          <w:p w:rsidR="00777387" w:rsidRPr="007F5123" w:rsidRDefault="00777387" w:rsidP="003360A2">
            <w:pPr>
              <w:pStyle w:val="naisf"/>
              <w:spacing w:before="0" w:after="0"/>
              <w:rPr>
                <w:color w:val="000000" w:themeColor="text1"/>
              </w:rPr>
            </w:pPr>
            <w:r w:rsidRPr="007F5123">
              <w:rPr>
                <w:color w:val="000000" w:themeColor="text1"/>
              </w:rPr>
              <w:t>Informācija par to, vai starptautiskās saistības, kas minētas šīs tabulas A ailē, tiek izpildītas pilnībā vai daļēji.</w:t>
            </w:r>
          </w:p>
          <w:p w:rsidR="00777387" w:rsidRPr="007F5123" w:rsidRDefault="00777387" w:rsidP="003360A2">
            <w:pPr>
              <w:pStyle w:val="naisf"/>
              <w:spacing w:before="0" w:after="0"/>
              <w:rPr>
                <w:color w:val="000000" w:themeColor="text1"/>
              </w:rPr>
            </w:pPr>
            <w:r w:rsidRPr="007F5123">
              <w:rPr>
                <w:color w:val="000000" w:themeColor="text1"/>
              </w:rPr>
              <w:t> </w:t>
            </w:r>
          </w:p>
          <w:p w:rsidR="00777387" w:rsidRPr="007F5123" w:rsidRDefault="00777387" w:rsidP="003360A2">
            <w:pPr>
              <w:pStyle w:val="naisf"/>
              <w:spacing w:before="0" w:after="0"/>
              <w:rPr>
                <w:color w:val="000000" w:themeColor="text1"/>
              </w:rPr>
            </w:pPr>
            <w:r w:rsidRPr="007F5123">
              <w:rPr>
                <w:color w:val="000000" w:themeColor="text1"/>
              </w:rPr>
              <w:t>Ja attiecīgās starptautiskās saistības tiek izpildītas daļēji, sniedz attiecīgu skaidrojumu, kā arī precīzi norāda, kad un kādā veidā starptautiskās saistības tiks izpildītas pilnībā.</w:t>
            </w:r>
          </w:p>
          <w:p w:rsidR="00777387" w:rsidRPr="007F5123" w:rsidRDefault="00777387" w:rsidP="009D7690">
            <w:pPr>
              <w:pStyle w:val="naisf"/>
              <w:spacing w:before="0" w:after="0"/>
              <w:rPr>
                <w:color w:val="000000" w:themeColor="text1"/>
              </w:rPr>
            </w:pPr>
            <w:r w:rsidRPr="007F5123">
              <w:rPr>
                <w:color w:val="000000" w:themeColor="text1"/>
              </w:rPr>
              <w:t> Norāda institūciju, kas ir atbildīga par šo saistību izpildi pilnībā</w:t>
            </w:r>
          </w:p>
        </w:tc>
      </w:tr>
      <w:tr w:rsidR="00D37C89" w:rsidRPr="007F5123" w:rsidTr="009D7690">
        <w:trPr>
          <w:trHeight w:val="560"/>
        </w:trPr>
        <w:tc>
          <w:tcPr>
            <w:tcW w:w="2977" w:type="dxa"/>
          </w:tcPr>
          <w:p w:rsidR="00777387" w:rsidRPr="007F5123" w:rsidRDefault="00777387" w:rsidP="00246B6D">
            <w:pPr>
              <w:pStyle w:val="naisf"/>
              <w:spacing w:before="0" w:after="0"/>
              <w:ind w:right="142"/>
              <w:rPr>
                <w:color w:val="000000" w:themeColor="text1"/>
              </w:rPr>
            </w:pPr>
            <w:r w:rsidRPr="007F5123">
              <w:rPr>
                <w:color w:val="000000" w:themeColor="text1"/>
              </w:rPr>
              <w:t xml:space="preserve">OECD vadlīnijas valsts kapitālsabiedrību pārvaldībai </w:t>
            </w:r>
          </w:p>
        </w:tc>
        <w:tc>
          <w:tcPr>
            <w:tcW w:w="3260" w:type="dxa"/>
            <w:gridSpan w:val="2"/>
          </w:tcPr>
          <w:p w:rsidR="00777387" w:rsidRPr="007F5123" w:rsidRDefault="00777387" w:rsidP="003360A2">
            <w:pPr>
              <w:pStyle w:val="naisf"/>
              <w:spacing w:before="0" w:after="0"/>
              <w:rPr>
                <w:color w:val="000000" w:themeColor="text1"/>
              </w:rPr>
            </w:pPr>
            <w:r w:rsidRPr="007F5123">
              <w:rPr>
                <w:color w:val="000000" w:themeColor="text1"/>
              </w:rPr>
              <w:t xml:space="preserve">Starptautisko saistību izpilde tiks nodrošināta ar </w:t>
            </w:r>
            <w:r w:rsidR="0082310C" w:rsidRPr="007F5123">
              <w:rPr>
                <w:color w:val="000000" w:themeColor="text1"/>
              </w:rPr>
              <w:t>noteikumu</w:t>
            </w:r>
            <w:r w:rsidRPr="007F5123">
              <w:rPr>
                <w:color w:val="000000" w:themeColor="text1"/>
              </w:rPr>
              <w:t xml:space="preserve"> projekta pieņemšanu </w:t>
            </w:r>
          </w:p>
        </w:tc>
        <w:tc>
          <w:tcPr>
            <w:tcW w:w="3828" w:type="dxa"/>
          </w:tcPr>
          <w:p w:rsidR="00777387" w:rsidRPr="007F5123" w:rsidRDefault="00777387" w:rsidP="003360A2">
            <w:pPr>
              <w:pStyle w:val="naisf"/>
              <w:spacing w:before="0" w:after="0"/>
              <w:rPr>
                <w:color w:val="000000" w:themeColor="text1"/>
              </w:rPr>
            </w:pPr>
            <w:r w:rsidRPr="007F5123">
              <w:rPr>
                <w:color w:val="000000" w:themeColor="text1"/>
              </w:rPr>
              <w:t>Starptautiskās saistības, kas minētas šīs tabulas A ailē, tiek izpildītas attiecībā uz</w:t>
            </w:r>
            <w:r w:rsidR="00D50F85" w:rsidRPr="007F5123">
              <w:rPr>
                <w:color w:val="000000" w:themeColor="text1"/>
              </w:rPr>
              <w:t xml:space="preserve"> labas korporatīvās pārvaldības ieviešanu un atklātāku dividenžu noteikšanas politikas īstenošanu</w:t>
            </w:r>
            <w:r w:rsidRPr="007F5123">
              <w:rPr>
                <w:color w:val="000000" w:themeColor="text1"/>
              </w:rPr>
              <w:t>.</w:t>
            </w:r>
          </w:p>
          <w:p w:rsidR="00777387" w:rsidRPr="007F5123" w:rsidRDefault="00777387" w:rsidP="003360A2">
            <w:pPr>
              <w:pStyle w:val="naisf"/>
              <w:spacing w:before="0" w:after="0"/>
              <w:rPr>
                <w:color w:val="000000" w:themeColor="text1"/>
              </w:rPr>
            </w:pPr>
            <w:r w:rsidRPr="007F5123">
              <w:rPr>
                <w:color w:val="000000" w:themeColor="text1"/>
              </w:rPr>
              <w:t>Pilnīgu saistību izpildi nodrošina</w:t>
            </w:r>
            <w:r w:rsidR="0082310C" w:rsidRPr="007F5123">
              <w:rPr>
                <w:color w:val="000000" w:themeColor="text1"/>
              </w:rPr>
              <w:t xml:space="preserve"> arī</w:t>
            </w:r>
            <w:r w:rsidRPr="007F5123">
              <w:rPr>
                <w:color w:val="000000" w:themeColor="text1"/>
              </w:rPr>
              <w:t xml:space="preserve"> </w:t>
            </w:r>
            <w:r w:rsidRPr="007F5123">
              <w:rPr>
                <w:bCs/>
                <w:color w:val="000000" w:themeColor="text1"/>
              </w:rPr>
              <w:t>Publisko personu kapitālsabiedrību un kapitāla daļu pārvaldības likums.</w:t>
            </w:r>
          </w:p>
        </w:tc>
      </w:tr>
      <w:tr w:rsidR="00D37C89" w:rsidRPr="007F5123" w:rsidTr="009D7690">
        <w:trPr>
          <w:trHeight w:val="161"/>
        </w:trPr>
        <w:tc>
          <w:tcPr>
            <w:tcW w:w="2977" w:type="dxa"/>
            <w:vAlign w:val="center"/>
          </w:tcPr>
          <w:p w:rsidR="00777387" w:rsidRPr="007F5123" w:rsidRDefault="00777387" w:rsidP="00246B6D">
            <w:pPr>
              <w:pStyle w:val="naisf"/>
              <w:spacing w:before="0" w:after="0"/>
              <w:ind w:right="142"/>
              <w:rPr>
                <w:color w:val="000000" w:themeColor="text1"/>
              </w:rPr>
            </w:pPr>
            <w:r w:rsidRPr="007F5123">
              <w:rPr>
                <w:color w:val="000000" w:themeColor="text1"/>
              </w:rPr>
              <w:t>Vai starptautiskajā dokumentā paredzētās saistības nav pretrunā ar jau esošajām Latvijas Republikas starptautiskajām saistībām</w:t>
            </w:r>
          </w:p>
        </w:tc>
        <w:tc>
          <w:tcPr>
            <w:tcW w:w="7088" w:type="dxa"/>
            <w:gridSpan w:val="3"/>
          </w:tcPr>
          <w:p w:rsidR="00777387" w:rsidRPr="007F5123" w:rsidRDefault="00777387" w:rsidP="003360A2">
            <w:pPr>
              <w:pStyle w:val="naisf"/>
              <w:spacing w:before="0" w:after="0"/>
              <w:ind w:firstLine="0"/>
              <w:rPr>
                <w:color w:val="000000" w:themeColor="text1"/>
              </w:rPr>
            </w:pPr>
            <w:r w:rsidRPr="007F5123">
              <w:rPr>
                <w:color w:val="000000" w:themeColor="text1"/>
              </w:rPr>
              <w:t>Paredzētās saistības nav pretrunā ar jau esošajām Latvijas Republikas starptautiskajām saistībām</w:t>
            </w:r>
          </w:p>
        </w:tc>
      </w:tr>
      <w:tr w:rsidR="00D37C89" w:rsidRPr="007F5123" w:rsidTr="009D7690">
        <w:trPr>
          <w:trHeight w:val="388"/>
        </w:trPr>
        <w:tc>
          <w:tcPr>
            <w:tcW w:w="2977" w:type="dxa"/>
          </w:tcPr>
          <w:p w:rsidR="00777387" w:rsidRPr="007F5123" w:rsidRDefault="00777387" w:rsidP="003360A2">
            <w:pPr>
              <w:pStyle w:val="naisf"/>
              <w:spacing w:before="0" w:after="0"/>
              <w:rPr>
                <w:color w:val="000000" w:themeColor="text1"/>
              </w:rPr>
            </w:pPr>
            <w:r w:rsidRPr="007F5123">
              <w:rPr>
                <w:color w:val="000000" w:themeColor="text1"/>
              </w:rPr>
              <w:t>Cita informācija</w:t>
            </w:r>
          </w:p>
        </w:tc>
        <w:tc>
          <w:tcPr>
            <w:tcW w:w="7088" w:type="dxa"/>
            <w:gridSpan w:val="3"/>
          </w:tcPr>
          <w:p w:rsidR="00777387" w:rsidRPr="007F5123" w:rsidRDefault="00777387" w:rsidP="003360A2">
            <w:pPr>
              <w:pStyle w:val="naisf"/>
              <w:spacing w:before="0" w:after="0"/>
              <w:rPr>
                <w:color w:val="000000" w:themeColor="text1"/>
              </w:rPr>
            </w:pPr>
            <w:r w:rsidRPr="007F5123">
              <w:rPr>
                <w:color w:val="000000" w:themeColor="text1"/>
              </w:rPr>
              <w:t>Nav</w:t>
            </w:r>
          </w:p>
        </w:tc>
      </w:tr>
    </w:tbl>
    <w:p w:rsidR="00777387" w:rsidRPr="007F5123" w:rsidRDefault="00777387" w:rsidP="003360A2">
      <w:pPr>
        <w:pStyle w:val="naisf"/>
        <w:spacing w:before="0" w:after="0"/>
        <w:ind w:firstLine="0"/>
        <w:rPr>
          <w:color w:val="000000" w:themeColor="text1"/>
        </w:rPr>
      </w:pPr>
    </w:p>
    <w:tbl>
      <w:tblPr>
        <w:tblW w:w="10103" w:type="dxa"/>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7"/>
        <w:gridCol w:w="3418"/>
        <w:gridCol w:w="6118"/>
      </w:tblGrid>
      <w:tr w:rsidR="00D37C89" w:rsidRPr="007F5123" w:rsidTr="001414F7">
        <w:trPr>
          <w:jc w:val="center"/>
        </w:trPr>
        <w:tc>
          <w:tcPr>
            <w:tcW w:w="10103" w:type="dxa"/>
            <w:gridSpan w:val="3"/>
          </w:tcPr>
          <w:p w:rsidR="00FE4973" w:rsidRPr="007F5123" w:rsidRDefault="00FE4973" w:rsidP="003360A2">
            <w:pPr>
              <w:pStyle w:val="naisnod"/>
              <w:spacing w:before="0" w:after="0"/>
              <w:rPr>
                <w:color w:val="000000" w:themeColor="text1"/>
              </w:rPr>
            </w:pPr>
            <w:r w:rsidRPr="007F5123">
              <w:rPr>
                <w:color w:val="000000" w:themeColor="text1"/>
              </w:rPr>
              <w:lastRenderedPageBreak/>
              <w:t>V</w:t>
            </w:r>
            <w:r w:rsidR="00EB14E3" w:rsidRPr="007F5123">
              <w:rPr>
                <w:color w:val="000000" w:themeColor="text1"/>
              </w:rPr>
              <w:t>I</w:t>
            </w:r>
            <w:r w:rsidRPr="007F5123">
              <w:rPr>
                <w:color w:val="000000" w:themeColor="text1"/>
              </w:rPr>
              <w:t xml:space="preserve">. </w:t>
            </w:r>
            <w:r w:rsidRPr="007F5123">
              <w:rPr>
                <w:bCs w:val="0"/>
                <w:color w:val="000000" w:themeColor="text1"/>
              </w:rPr>
              <w:t>Sabiedrības līdzdalība un komunikācijas aktivitātes</w:t>
            </w:r>
          </w:p>
        </w:tc>
      </w:tr>
      <w:tr w:rsidR="00D37C89" w:rsidRPr="007F5123" w:rsidTr="001414F7">
        <w:trPr>
          <w:jc w:val="center"/>
        </w:trPr>
        <w:tc>
          <w:tcPr>
            <w:tcW w:w="567" w:type="dxa"/>
          </w:tcPr>
          <w:p w:rsidR="00906989" w:rsidRPr="007F5123" w:rsidRDefault="00906989" w:rsidP="003360A2">
            <w:pPr>
              <w:pStyle w:val="naiskr"/>
              <w:tabs>
                <w:tab w:val="left" w:pos="2628"/>
              </w:tabs>
              <w:spacing w:before="0" w:after="0"/>
              <w:jc w:val="center"/>
              <w:rPr>
                <w:iCs/>
                <w:color w:val="000000" w:themeColor="text1"/>
              </w:rPr>
            </w:pPr>
            <w:r w:rsidRPr="007F5123">
              <w:rPr>
                <w:iCs/>
                <w:color w:val="000000" w:themeColor="text1"/>
              </w:rPr>
              <w:t>1.</w:t>
            </w:r>
          </w:p>
        </w:tc>
        <w:tc>
          <w:tcPr>
            <w:tcW w:w="3418" w:type="dxa"/>
          </w:tcPr>
          <w:p w:rsidR="00906989" w:rsidRPr="007F5123" w:rsidRDefault="00906989" w:rsidP="003360A2">
            <w:pPr>
              <w:pStyle w:val="naiskr"/>
              <w:tabs>
                <w:tab w:val="left" w:pos="2628"/>
              </w:tabs>
              <w:spacing w:before="0" w:after="0"/>
              <w:rPr>
                <w:iCs/>
                <w:color w:val="000000" w:themeColor="text1"/>
              </w:rPr>
            </w:pPr>
            <w:r w:rsidRPr="007F5123">
              <w:rPr>
                <w:color w:val="000000" w:themeColor="text1"/>
              </w:rPr>
              <w:t>Plānotās sabiedrības līdzdalības un komunikācijas aktivitātes saistībā ar projektu</w:t>
            </w:r>
          </w:p>
        </w:tc>
        <w:tc>
          <w:tcPr>
            <w:tcW w:w="6118" w:type="dxa"/>
          </w:tcPr>
          <w:p w:rsidR="003864FE" w:rsidRPr="007F5123" w:rsidRDefault="00B87C51" w:rsidP="003360A2">
            <w:pPr>
              <w:pStyle w:val="naiskr"/>
              <w:tabs>
                <w:tab w:val="left" w:pos="2628"/>
              </w:tabs>
              <w:spacing w:before="0" w:after="0"/>
              <w:jc w:val="both"/>
              <w:rPr>
                <w:iCs/>
                <w:color w:val="000000" w:themeColor="text1"/>
              </w:rPr>
            </w:pPr>
            <w:r w:rsidRPr="007F5123">
              <w:rPr>
                <w:iCs/>
                <w:color w:val="000000" w:themeColor="text1"/>
              </w:rPr>
              <w:t xml:space="preserve">Noteikumu projekts uz divām nedēļām tiks publicēts </w:t>
            </w:r>
            <w:proofErr w:type="spellStart"/>
            <w:r w:rsidRPr="007F5123">
              <w:rPr>
                <w:iCs/>
                <w:color w:val="000000" w:themeColor="text1"/>
              </w:rPr>
              <w:t>Pārresoru</w:t>
            </w:r>
            <w:proofErr w:type="spellEnd"/>
            <w:r w:rsidRPr="007F5123">
              <w:rPr>
                <w:iCs/>
                <w:color w:val="000000" w:themeColor="text1"/>
              </w:rPr>
              <w:t xml:space="preserve"> koordinācijas centra interneta vietnē, aicinot sabiedrību sniegt par to viedokli un priekšlikumus</w:t>
            </w:r>
          </w:p>
        </w:tc>
      </w:tr>
      <w:tr w:rsidR="00D37C89" w:rsidRPr="007F5123" w:rsidTr="001414F7">
        <w:trPr>
          <w:jc w:val="center"/>
        </w:trPr>
        <w:tc>
          <w:tcPr>
            <w:tcW w:w="567" w:type="dxa"/>
          </w:tcPr>
          <w:p w:rsidR="00DA5C2E" w:rsidRPr="007F5123" w:rsidRDefault="00DA5C2E" w:rsidP="003360A2">
            <w:pPr>
              <w:pStyle w:val="naiskr"/>
              <w:tabs>
                <w:tab w:val="left" w:pos="2628"/>
              </w:tabs>
              <w:spacing w:before="0" w:after="0"/>
              <w:jc w:val="center"/>
              <w:rPr>
                <w:iCs/>
                <w:color w:val="000000" w:themeColor="text1"/>
              </w:rPr>
            </w:pPr>
            <w:r w:rsidRPr="007F5123">
              <w:rPr>
                <w:iCs/>
                <w:color w:val="000000" w:themeColor="text1"/>
              </w:rPr>
              <w:t>2.</w:t>
            </w:r>
          </w:p>
        </w:tc>
        <w:tc>
          <w:tcPr>
            <w:tcW w:w="3418" w:type="dxa"/>
          </w:tcPr>
          <w:p w:rsidR="00DA5C2E" w:rsidRPr="007F5123" w:rsidRDefault="00DA5C2E" w:rsidP="003360A2">
            <w:pPr>
              <w:pStyle w:val="naiskr"/>
              <w:tabs>
                <w:tab w:val="left" w:pos="2628"/>
              </w:tabs>
              <w:spacing w:before="0" w:after="0"/>
              <w:rPr>
                <w:color w:val="000000" w:themeColor="text1"/>
              </w:rPr>
            </w:pPr>
            <w:r w:rsidRPr="007F5123">
              <w:rPr>
                <w:color w:val="000000" w:themeColor="text1"/>
              </w:rPr>
              <w:t>Sabiedrības līdzdalība projekta izstrādē</w:t>
            </w:r>
          </w:p>
        </w:tc>
        <w:tc>
          <w:tcPr>
            <w:tcW w:w="6118" w:type="dxa"/>
          </w:tcPr>
          <w:p w:rsidR="00DA5C2E" w:rsidRPr="007F5123" w:rsidRDefault="00B87C51" w:rsidP="003360A2">
            <w:pPr>
              <w:jc w:val="both"/>
              <w:rPr>
                <w:color w:val="000000" w:themeColor="text1"/>
              </w:rPr>
            </w:pPr>
            <w:r w:rsidRPr="007F5123">
              <w:rPr>
                <w:color w:val="000000" w:themeColor="text1"/>
              </w:rPr>
              <w:t>Informācija tiks apkopota pēc priekšlikumu sniegšanas termiņa beigām</w:t>
            </w:r>
          </w:p>
        </w:tc>
      </w:tr>
      <w:tr w:rsidR="00D37C89" w:rsidRPr="007F5123" w:rsidTr="001414F7">
        <w:trPr>
          <w:jc w:val="center"/>
        </w:trPr>
        <w:tc>
          <w:tcPr>
            <w:tcW w:w="567" w:type="dxa"/>
          </w:tcPr>
          <w:p w:rsidR="00DA5C2E" w:rsidRPr="007F5123" w:rsidRDefault="00DA5C2E" w:rsidP="003360A2">
            <w:pPr>
              <w:pStyle w:val="naiskr"/>
              <w:tabs>
                <w:tab w:val="left" w:pos="2628"/>
              </w:tabs>
              <w:spacing w:before="0" w:after="0"/>
              <w:jc w:val="center"/>
              <w:rPr>
                <w:iCs/>
                <w:color w:val="000000" w:themeColor="text1"/>
              </w:rPr>
            </w:pPr>
            <w:r w:rsidRPr="007F5123">
              <w:rPr>
                <w:iCs/>
                <w:color w:val="000000" w:themeColor="text1"/>
              </w:rPr>
              <w:t>3.</w:t>
            </w:r>
          </w:p>
        </w:tc>
        <w:tc>
          <w:tcPr>
            <w:tcW w:w="3418" w:type="dxa"/>
          </w:tcPr>
          <w:p w:rsidR="00DA5C2E" w:rsidRPr="007F5123" w:rsidRDefault="00DA5C2E" w:rsidP="003360A2">
            <w:pPr>
              <w:pStyle w:val="naiskr"/>
              <w:tabs>
                <w:tab w:val="left" w:pos="2628"/>
              </w:tabs>
              <w:spacing w:before="0" w:after="0"/>
              <w:rPr>
                <w:iCs/>
                <w:color w:val="000000" w:themeColor="text1"/>
              </w:rPr>
            </w:pPr>
            <w:r w:rsidRPr="007F5123">
              <w:rPr>
                <w:color w:val="000000" w:themeColor="text1"/>
              </w:rPr>
              <w:t>Sabiedrības līdzdalības rezultāti</w:t>
            </w:r>
          </w:p>
        </w:tc>
        <w:tc>
          <w:tcPr>
            <w:tcW w:w="6118" w:type="dxa"/>
          </w:tcPr>
          <w:p w:rsidR="00DA5C2E" w:rsidRPr="007F5123" w:rsidRDefault="00B87C51" w:rsidP="003360A2">
            <w:pPr>
              <w:jc w:val="both"/>
              <w:rPr>
                <w:color w:val="000000" w:themeColor="text1"/>
              </w:rPr>
            </w:pPr>
            <w:r w:rsidRPr="007F5123">
              <w:rPr>
                <w:color w:val="000000" w:themeColor="text1"/>
              </w:rPr>
              <w:t>Informācija tiks pievienota pēc priekšlikumu sniegšanas termiņa beigām</w:t>
            </w:r>
          </w:p>
        </w:tc>
      </w:tr>
      <w:tr w:rsidR="00D37C89" w:rsidRPr="007F5123" w:rsidTr="001414F7">
        <w:trPr>
          <w:jc w:val="center"/>
        </w:trPr>
        <w:tc>
          <w:tcPr>
            <w:tcW w:w="567" w:type="dxa"/>
          </w:tcPr>
          <w:p w:rsidR="00DA5C2E" w:rsidRPr="007F5123" w:rsidRDefault="00DA5C2E" w:rsidP="003360A2">
            <w:pPr>
              <w:pStyle w:val="naiskr"/>
              <w:tabs>
                <w:tab w:val="left" w:pos="2628"/>
              </w:tabs>
              <w:spacing w:before="0" w:after="0"/>
              <w:jc w:val="center"/>
              <w:rPr>
                <w:iCs/>
                <w:color w:val="000000" w:themeColor="text1"/>
              </w:rPr>
            </w:pPr>
            <w:r w:rsidRPr="007F5123">
              <w:rPr>
                <w:iCs/>
                <w:color w:val="000000" w:themeColor="text1"/>
              </w:rPr>
              <w:t>4.</w:t>
            </w:r>
          </w:p>
        </w:tc>
        <w:tc>
          <w:tcPr>
            <w:tcW w:w="3418" w:type="dxa"/>
          </w:tcPr>
          <w:p w:rsidR="00DA5C2E" w:rsidRPr="007F5123" w:rsidRDefault="00DA5C2E" w:rsidP="003360A2">
            <w:pPr>
              <w:pStyle w:val="naiskr"/>
              <w:tabs>
                <w:tab w:val="left" w:pos="2628"/>
              </w:tabs>
              <w:spacing w:before="0" w:after="0"/>
              <w:rPr>
                <w:color w:val="000000" w:themeColor="text1"/>
              </w:rPr>
            </w:pPr>
            <w:r w:rsidRPr="007F5123">
              <w:rPr>
                <w:color w:val="000000" w:themeColor="text1"/>
              </w:rPr>
              <w:t>Cita informācija</w:t>
            </w:r>
          </w:p>
        </w:tc>
        <w:tc>
          <w:tcPr>
            <w:tcW w:w="6118" w:type="dxa"/>
          </w:tcPr>
          <w:p w:rsidR="00DA5C2E" w:rsidRPr="007F5123" w:rsidRDefault="00B87C51" w:rsidP="003360A2">
            <w:pPr>
              <w:rPr>
                <w:color w:val="000000" w:themeColor="text1"/>
              </w:rPr>
            </w:pPr>
            <w:r w:rsidRPr="007F5123">
              <w:rPr>
                <w:color w:val="000000" w:themeColor="text1"/>
              </w:rPr>
              <w:t>Nav</w:t>
            </w:r>
          </w:p>
        </w:tc>
      </w:tr>
    </w:tbl>
    <w:p w:rsidR="004907B8" w:rsidRPr="007F5123" w:rsidRDefault="004907B8" w:rsidP="003360A2">
      <w:pPr>
        <w:pStyle w:val="naisf"/>
        <w:spacing w:before="0" w:after="0"/>
        <w:ind w:firstLine="0"/>
        <w:rPr>
          <w:color w:val="000000" w:themeColor="text1"/>
        </w:rPr>
      </w:pPr>
    </w:p>
    <w:tbl>
      <w:tblPr>
        <w:tblW w:w="10054" w:type="dxa"/>
        <w:jc w:val="center"/>
        <w:tblInd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2"/>
        <w:gridCol w:w="3498"/>
        <w:gridCol w:w="6048"/>
        <w:gridCol w:w="16"/>
      </w:tblGrid>
      <w:tr w:rsidR="00D37C89" w:rsidRPr="007F5123" w:rsidTr="00574574">
        <w:trPr>
          <w:gridAfter w:val="1"/>
          <w:wAfter w:w="16" w:type="dxa"/>
          <w:jc w:val="center"/>
        </w:trPr>
        <w:tc>
          <w:tcPr>
            <w:tcW w:w="10038" w:type="dxa"/>
            <w:gridSpan w:val="3"/>
            <w:tcBorders>
              <w:top w:val="single" w:sz="4" w:space="0" w:color="auto"/>
              <w:left w:val="single" w:sz="4" w:space="0" w:color="auto"/>
              <w:bottom w:val="single" w:sz="4" w:space="0" w:color="auto"/>
              <w:right w:val="single" w:sz="4" w:space="0" w:color="auto"/>
            </w:tcBorders>
          </w:tcPr>
          <w:p w:rsidR="004907B8" w:rsidRPr="007F5123" w:rsidRDefault="004907B8" w:rsidP="003360A2">
            <w:pPr>
              <w:pStyle w:val="naisnod"/>
              <w:spacing w:before="0" w:after="0"/>
              <w:rPr>
                <w:color w:val="000000" w:themeColor="text1"/>
              </w:rPr>
            </w:pPr>
            <w:r w:rsidRPr="007F5123">
              <w:rPr>
                <w:color w:val="000000" w:themeColor="text1"/>
              </w:rPr>
              <w:t>V</w:t>
            </w:r>
            <w:r w:rsidR="001F46CC" w:rsidRPr="007F5123">
              <w:rPr>
                <w:color w:val="000000" w:themeColor="text1"/>
              </w:rPr>
              <w:t>I</w:t>
            </w:r>
            <w:r w:rsidR="00EB14E3" w:rsidRPr="007F5123">
              <w:rPr>
                <w:color w:val="000000" w:themeColor="text1"/>
              </w:rPr>
              <w:t>I</w:t>
            </w:r>
            <w:r w:rsidRPr="007F5123">
              <w:rPr>
                <w:color w:val="000000" w:themeColor="text1"/>
              </w:rPr>
              <w:t>. Tiesību akta projekta izpildes nodrošināšana un tās ietekme uz institūcijām</w:t>
            </w:r>
          </w:p>
        </w:tc>
      </w:tr>
      <w:tr w:rsidR="00D37C89" w:rsidRPr="007F5123" w:rsidTr="00574574">
        <w:trPr>
          <w:gridAfter w:val="1"/>
          <w:wAfter w:w="16" w:type="dxa"/>
          <w:jc w:val="center"/>
        </w:trPr>
        <w:tc>
          <w:tcPr>
            <w:tcW w:w="492" w:type="dxa"/>
            <w:tcBorders>
              <w:top w:val="single" w:sz="4" w:space="0" w:color="auto"/>
              <w:left w:val="single" w:sz="4" w:space="0" w:color="auto"/>
              <w:bottom w:val="single" w:sz="4" w:space="0" w:color="auto"/>
              <w:right w:val="single" w:sz="4" w:space="0" w:color="auto"/>
            </w:tcBorders>
          </w:tcPr>
          <w:p w:rsidR="004907B8" w:rsidRPr="007F5123" w:rsidRDefault="004907B8" w:rsidP="003360A2">
            <w:pPr>
              <w:pStyle w:val="naisnod"/>
              <w:spacing w:before="0" w:after="0"/>
              <w:rPr>
                <w:b w:val="0"/>
                <w:color w:val="000000" w:themeColor="text1"/>
              </w:rPr>
            </w:pPr>
            <w:r w:rsidRPr="007F5123">
              <w:rPr>
                <w:b w:val="0"/>
                <w:color w:val="000000" w:themeColor="text1"/>
              </w:rPr>
              <w:t>1.</w:t>
            </w:r>
          </w:p>
        </w:tc>
        <w:tc>
          <w:tcPr>
            <w:tcW w:w="3498" w:type="dxa"/>
            <w:tcBorders>
              <w:top w:val="single" w:sz="4" w:space="0" w:color="auto"/>
              <w:left w:val="single" w:sz="4" w:space="0" w:color="auto"/>
              <w:bottom w:val="single" w:sz="4" w:space="0" w:color="auto"/>
              <w:right w:val="single" w:sz="4" w:space="0" w:color="auto"/>
            </w:tcBorders>
          </w:tcPr>
          <w:p w:rsidR="004907B8" w:rsidRPr="007F5123" w:rsidRDefault="004907B8" w:rsidP="003360A2">
            <w:pPr>
              <w:pStyle w:val="naisnod"/>
              <w:spacing w:before="0" w:after="0"/>
              <w:jc w:val="left"/>
              <w:rPr>
                <w:b w:val="0"/>
                <w:color w:val="000000" w:themeColor="text1"/>
              </w:rPr>
            </w:pPr>
            <w:r w:rsidRPr="007F5123">
              <w:rPr>
                <w:b w:val="0"/>
                <w:color w:val="000000" w:themeColor="text1"/>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rsidR="004907B8" w:rsidRPr="007F5123" w:rsidRDefault="001144F0" w:rsidP="00C57E13">
            <w:pPr>
              <w:pStyle w:val="naisnod"/>
              <w:spacing w:before="0" w:after="0"/>
              <w:jc w:val="both"/>
              <w:rPr>
                <w:b w:val="0"/>
                <w:color w:val="000000" w:themeColor="text1"/>
              </w:rPr>
            </w:pPr>
            <w:r w:rsidRPr="007F5123">
              <w:rPr>
                <w:b w:val="0"/>
                <w:color w:val="000000" w:themeColor="text1"/>
              </w:rPr>
              <w:t xml:space="preserve">Valsts kapitāla daļu turētāji, </w:t>
            </w:r>
            <w:r w:rsidR="008B3E40" w:rsidRPr="007F5123">
              <w:rPr>
                <w:b w:val="0"/>
                <w:color w:val="000000" w:themeColor="text1"/>
              </w:rPr>
              <w:t>kapitālsabiedrības</w:t>
            </w:r>
            <w:r w:rsidR="00C367E2" w:rsidRPr="007F5123">
              <w:rPr>
                <w:b w:val="0"/>
                <w:color w:val="000000" w:themeColor="text1"/>
              </w:rPr>
              <w:t xml:space="preserve"> </w:t>
            </w:r>
            <w:r w:rsidR="00534C6F" w:rsidRPr="007F5123">
              <w:rPr>
                <w:b w:val="0"/>
                <w:color w:val="000000" w:themeColor="text1"/>
              </w:rPr>
              <w:t>padomes (kurās tās ir izveidotas</w:t>
            </w:r>
            <w:r w:rsidR="00C57E13">
              <w:rPr>
                <w:b w:val="0"/>
                <w:color w:val="000000" w:themeColor="text1"/>
              </w:rPr>
              <w:t>)</w:t>
            </w:r>
            <w:r w:rsidR="008B3E40" w:rsidRPr="007F5123">
              <w:rPr>
                <w:b w:val="0"/>
                <w:color w:val="000000" w:themeColor="text1"/>
              </w:rPr>
              <w:t xml:space="preserve"> </w:t>
            </w:r>
          </w:p>
        </w:tc>
      </w:tr>
      <w:tr w:rsidR="00D37C89" w:rsidRPr="007F5123" w:rsidTr="00574574">
        <w:trPr>
          <w:gridAfter w:val="1"/>
          <w:wAfter w:w="16" w:type="dxa"/>
          <w:jc w:val="center"/>
        </w:trPr>
        <w:tc>
          <w:tcPr>
            <w:tcW w:w="492" w:type="dxa"/>
            <w:tcBorders>
              <w:top w:val="single" w:sz="4" w:space="0" w:color="auto"/>
              <w:left w:val="single" w:sz="4" w:space="0" w:color="auto"/>
              <w:bottom w:val="single" w:sz="4" w:space="0" w:color="auto"/>
              <w:right w:val="single" w:sz="4" w:space="0" w:color="auto"/>
            </w:tcBorders>
          </w:tcPr>
          <w:p w:rsidR="004907B8" w:rsidRPr="007F5123" w:rsidRDefault="004907B8" w:rsidP="003360A2">
            <w:pPr>
              <w:pStyle w:val="naisnod"/>
              <w:spacing w:before="0" w:after="0"/>
              <w:rPr>
                <w:b w:val="0"/>
                <w:color w:val="000000" w:themeColor="text1"/>
              </w:rPr>
            </w:pPr>
            <w:r w:rsidRPr="007F5123">
              <w:rPr>
                <w:b w:val="0"/>
                <w:color w:val="000000" w:themeColor="text1"/>
              </w:rPr>
              <w:t>2.</w:t>
            </w:r>
          </w:p>
        </w:tc>
        <w:tc>
          <w:tcPr>
            <w:tcW w:w="3498" w:type="dxa"/>
            <w:tcBorders>
              <w:top w:val="single" w:sz="4" w:space="0" w:color="auto"/>
              <w:left w:val="single" w:sz="4" w:space="0" w:color="auto"/>
              <w:bottom w:val="single" w:sz="4" w:space="0" w:color="auto"/>
              <w:right w:val="single" w:sz="4" w:space="0" w:color="auto"/>
            </w:tcBorders>
          </w:tcPr>
          <w:p w:rsidR="004907B8" w:rsidRPr="007F5123" w:rsidRDefault="004907B8" w:rsidP="003360A2">
            <w:pPr>
              <w:rPr>
                <w:color w:val="000000" w:themeColor="text1"/>
              </w:rPr>
            </w:pPr>
            <w:r w:rsidRPr="007F5123">
              <w:rPr>
                <w:color w:val="000000" w:themeColor="text1"/>
              </w:rPr>
              <w:t>Projekta izpildes ietekme uz pārvaldes funkcijām un institucionālo struktūru.</w:t>
            </w:r>
          </w:p>
          <w:p w:rsidR="004907B8" w:rsidRPr="007F5123" w:rsidRDefault="004907B8" w:rsidP="003360A2">
            <w:pPr>
              <w:pStyle w:val="naisnod"/>
              <w:spacing w:before="0" w:after="0"/>
              <w:jc w:val="left"/>
              <w:rPr>
                <w:b w:val="0"/>
                <w:color w:val="000000" w:themeColor="text1"/>
              </w:rPr>
            </w:pPr>
            <w:r w:rsidRPr="007F5123">
              <w:rPr>
                <w:b w:val="0"/>
                <w:bCs w:val="0"/>
                <w:color w:val="000000" w:themeColor="text1"/>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rsidR="00B87C51" w:rsidRPr="007F5123" w:rsidRDefault="00B87C51" w:rsidP="003360A2">
            <w:pPr>
              <w:pStyle w:val="naisnod"/>
              <w:spacing w:before="0" w:after="0"/>
              <w:jc w:val="both"/>
              <w:rPr>
                <w:b w:val="0"/>
                <w:color w:val="000000" w:themeColor="text1"/>
              </w:rPr>
            </w:pPr>
            <w:r w:rsidRPr="007F5123">
              <w:rPr>
                <w:b w:val="0"/>
                <w:color w:val="000000" w:themeColor="text1"/>
              </w:rPr>
              <w:t>Netiek veidotas jaunas vai likvidētas esošās institūcijas</w:t>
            </w:r>
          </w:p>
        </w:tc>
      </w:tr>
      <w:tr w:rsidR="00D37C89" w:rsidRPr="007F5123" w:rsidTr="005745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492" w:type="dxa"/>
            <w:tcBorders>
              <w:top w:val="outset" w:sz="6" w:space="0" w:color="auto"/>
              <w:left w:val="outset" w:sz="6" w:space="0" w:color="auto"/>
              <w:bottom w:val="outset" w:sz="6" w:space="0" w:color="auto"/>
              <w:right w:val="outset" w:sz="6" w:space="0" w:color="auto"/>
            </w:tcBorders>
          </w:tcPr>
          <w:p w:rsidR="004907B8" w:rsidRPr="007F5123" w:rsidRDefault="004907B8" w:rsidP="003360A2">
            <w:pPr>
              <w:rPr>
                <w:bCs/>
                <w:color w:val="000000" w:themeColor="text1"/>
              </w:rPr>
            </w:pPr>
            <w:r w:rsidRPr="007F5123">
              <w:rPr>
                <w:bCs/>
                <w:color w:val="000000" w:themeColor="text1"/>
              </w:rPr>
              <w:t>3.</w:t>
            </w:r>
          </w:p>
        </w:tc>
        <w:tc>
          <w:tcPr>
            <w:tcW w:w="3498" w:type="dxa"/>
            <w:tcBorders>
              <w:top w:val="outset" w:sz="6" w:space="0" w:color="auto"/>
              <w:left w:val="outset" w:sz="6" w:space="0" w:color="auto"/>
              <w:bottom w:val="outset" w:sz="6" w:space="0" w:color="auto"/>
              <w:right w:val="outset" w:sz="6" w:space="0" w:color="auto"/>
            </w:tcBorders>
          </w:tcPr>
          <w:p w:rsidR="004907B8" w:rsidRPr="007F5123" w:rsidRDefault="004907B8" w:rsidP="003360A2">
            <w:pPr>
              <w:rPr>
                <w:color w:val="000000" w:themeColor="text1"/>
              </w:rPr>
            </w:pPr>
            <w:r w:rsidRPr="007F5123">
              <w:rPr>
                <w:color w:val="000000" w:themeColor="text1"/>
              </w:rPr>
              <w:t>Cita informācija</w:t>
            </w:r>
          </w:p>
        </w:tc>
        <w:tc>
          <w:tcPr>
            <w:tcW w:w="6064" w:type="dxa"/>
            <w:gridSpan w:val="2"/>
            <w:tcBorders>
              <w:top w:val="outset" w:sz="6" w:space="0" w:color="auto"/>
              <w:left w:val="outset" w:sz="6" w:space="0" w:color="auto"/>
              <w:bottom w:val="outset" w:sz="6" w:space="0" w:color="auto"/>
              <w:right w:val="outset" w:sz="6" w:space="0" w:color="auto"/>
            </w:tcBorders>
          </w:tcPr>
          <w:p w:rsidR="004907B8" w:rsidRPr="007F5123" w:rsidRDefault="00DA5C2E" w:rsidP="003360A2">
            <w:pPr>
              <w:rPr>
                <w:bCs/>
                <w:color w:val="000000" w:themeColor="text1"/>
              </w:rPr>
            </w:pPr>
            <w:r w:rsidRPr="007F5123">
              <w:rPr>
                <w:iCs/>
                <w:color w:val="000000" w:themeColor="text1"/>
              </w:rPr>
              <w:t>Nav</w:t>
            </w:r>
          </w:p>
        </w:tc>
      </w:tr>
    </w:tbl>
    <w:p w:rsidR="00114D5A" w:rsidRPr="007F5123" w:rsidRDefault="00114D5A" w:rsidP="003360A2">
      <w:pPr>
        <w:pStyle w:val="naisf"/>
        <w:spacing w:before="0" w:after="0"/>
        <w:ind w:firstLine="0"/>
        <w:rPr>
          <w:color w:val="000000" w:themeColor="text1"/>
        </w:rPr>
      </w:pPr>
      <w:r w:rsidRPr="007F5123">
        <w:rPr>
          <w:color w:val="000000" w:themeColor="text1"/>
        </w:rPr>
        <w:t>Anotācijas III un IV sadaļa – noteikumu projekts šo jomu neskar.</w:t>
      </w:r>
    </w:p>
    <w:p w:rsidR="005C457B" w:rsidRDefault="005C457B" w:rsidP="005C457B">
      <w:pPr>
        <w:jc w:val="both"/>
      </w:pPr>
    </w:p>
    <w:p w:rsidR="00574574" w:rsidRDefault="00574574" w:rsidP="005C457B">
      <w:pPr>
        <w:jc w:val="both"/>
      </w:pPr>
    </w:p>
    <w:p w:rsidR="00574574" w:rsidRPr="00927911" w:rsidRDefault="00574574" w:rsidP="005C457B">
      <w:pPr>
        <w:jc w:val="both"/>
      </w:pPr>
    </w:p>
    <w:p w:rsidR="005C457B" w:rsidRPr="00927911" w:rsidRDefault="005C457B" w:rsidP="005C457B">
      <w:pPr>
        <w:tabs>
          <w:tab w:val="left" w:pos="6663"/>
        </w:tabs>
        <w:jc w:val="both"/>
      </w:pPr>
      <w:r w:rsidRPr="00927911">
        <w:t>Ministru prezidente</w:t>
      </w:r>
      <w:r w:rsidRPr="00927911">
        <w:tab/>
        <w:t>Laimdota Straujuma</w:t>
      </w:r>
    </w:p>
    <w:p w:rsidR="005C457B" w:rsidRDefault="005C457B" w:rsidP="005C457B">
      <w:pPr>
        <w:tabs>
          <w:tab w:val="left" w:pos="6663"/>
        </w:tabs>
        <w:ind w:firstLine="709"/>
        <w:jc w:val="both"/>
      </w:pPr>
    </w:p>
    <w:p w:rsidR="00574574" w:rsidRDefault="00574574" w:rsidP="005C457B">
      <w:pPr>
        <w:tabs>
          <w:tab w:val="left" w:pos="6663"/>
        </w:tabs>
        <w:ind w:firstLine="709"/>
        <w:jc w:val="both"/>
      </w:pPr>
    </w:p>
    <w:p w:rsidR="00574574" w:rsidRPr="00927911" w:rsidRDefault="00574574" w:rsidP="005C457B">
      <w:pPr>
        <w:tabs>
          <w:tab w:val="left" w:pos="6663"/>
        </w:tabs>
        <w:ind w:firstLine="709"/>
        <w:jc w:val="both"/>
      </w:pPr>
    </w:p>
    <w:p w:rsidR="005C457B" w:rsidRPr="00927911" w:rsidRDefault="005C457B" w:rsidP="005C457B">
      <w:pPr>
        <w:tabs>
          <w:tab w:val="left" w:pos="6663"/>
        </w:tabs>
        <w:jc w:val="both"/>
      </w:pPr>
      <w:r w:rsidRPr="00927911">
        <w:t>Finanšu ministrs</w:t>
      </w:r>
      <w:r>
        <w:tab/>
      </w:r>
      <w:r w:rsidRPr="00927911">
        <w:t xml:space="preserve"> Jānis Reirs</w:t>
      </w:r>
    </w:p>
    <w:p w:rsidR="005C457B" w:rsidRDefault="005C457B" w:rsidP="005C457B">
      <w:pPr>
        <w:ind w:right="-340"/>
        <w:jc w:val="both"/>
      </w:pPr>
    </w:p>
    <w:p w:rsidR="00574574" w:rsidRDefault="00574574" w:rsidP="005C457B">
      <w:pPr>
        <w:ind w:right="-340"/>
        <w:jc w:val="both"/>
      </w:pPr>
    </w:p>
    <w:p w:rsidR="00574574" w:rsidRPr="00927911" w:rsidRDefault="00574574" w:rsidP="005C457B">
      <w:pPr>
        <w:ind w:right="-340"/>
        <w:jc w:val="both"/>
      </w:pPr>
    </w:p>
    <w:p w:rsidR="005C457B" w:rsidRPr="00927911" w:rsidRDefault="005C457B" w:rsidP="005C457B">
      <w:pPr>
        <w:ind w:right="-340"/>
        <w:jc w:val="both"/>
      </w:pPr>
      <w:r w:rsidRPr="00927911">
        <w:t>Vīza:</w:t>
      </w:r>
    </w:p>
    <w:p w:rsidR="005C457B" w:rsidRPr="00927911" w:rsidRDefault="005C457B" w:rsidP="005C457B">
      <w:pPr>
        <w:ind w:right="-340"/>
        <w:jc w:val="both"/>
      </w:pPr>
      <w:proofErr w:type="spellStart"/>
      <w:r w:rsidRPr="00927911">
        <w:t>Pārresoru</w:t>
      </w:r>
      <w:proofErr w:type="spellEnd"/>
      <w:r w:rsidRPr="00927911">
        <w:t xml:space="preserve"> koordinācijas centra vadītājs</w:t>
      </w:r>
      <w:r w:rsidR="00F92B3E">
        <w:tab/>
      </w:r>
      <w:r w:rsidR="00F92B3E">
        <w:tab/>
      </w:r>
      <w:r w:rsidR="00F92B3E">
        <w:tab/>
      </w:r>
      <w:r w:rsidR="00F92B3E">
        <w:tab/>
      </w:r>
      <w:r w:rsidRPr="00927911">
        <w:t>Pēteris Vilks</w:t>
      </w:r>
    </w:p>
    <w:p w:rsidR="005C457B" w:rsidRDefault="005C457B" w:rsidP="005C457B">
      <w:pPr>
        <w:pStyle w:val="NormalWeb"/>
        <w:spacing w:before="0" w:beforeAutospacing="0" w:after="0" w:afterAutospacing="0"/>
        <w:jc w:val="both"/>
        <w:rPr>
          <w:rFonts w:ascii="Times New Roman" w:hAnsi="Times New Roman"/>
        </w:rPr>
      </w:pPr>
    </w:p>
    <w:p w:rsidR="00574574" w:rsidRDefault="00574574" w:rsidP="005C457B">
      <w:pPr>
        <w:pStyle w:val="NormalWeb"/>
        <w:spacing w:before="0" w:beforeAutospacing="0" w:after="0" w:afterAutospacing="0"/>
        <w:jc w:val="both"/>
        <w:rPr>
          <w:rFonts w:ascii="Times New Roman" w:hAnsi="Times New Roman"/>
        </w:rPr>
      </w:pPr>
    </w:p>
    <w:p w:rsidR="00574574" w:rsidRDefault="00574574" w:rsidP="005C457B">
      <w:pPr>
        <w:pStyle w:val="NormalWeb"/>
        <w:spacing w:before="0" w:beforeAutospacing="0" w:after="0" w:afterAutospacing="0"/>
        <w:jc w:val="both"/>
        <w:rPr>
          <w:rFonts w:ascii="Times New Roman" w:hAnsi="Times New Roman"/>
        </w:rPr>
      </w:pPr>
    </w:p>
    <w:p w:rsidR="00574574" w:rsidRDefault="00574574" w:rsidP="005C457B">
      <w:pPr>
        <w:pStyle w:val="NormalWeb"/>
        <w:spacing w:before="0" w:beforeAutospacing="0" w:after="0" w:afterAutospacing="0"/>
        <w:jc w:val="both"/>
        <w:rPr>
          <w:rFonts w:ascii="Times New Roman" w:hAnsi="Times New Roman"/>
        </w:rPr>
      </w:pPr>
    </w:p>
    <w:p w:rsidR="005C457B" w:rsidRPr="006F08C3" w:rsidRDefault="005C457B" w:rsidP="006255BE">
      <w:pPr>
        <w:tabs>
          <w:tab w:val="left" w:pos="3882"/>
        </w:tabs>
        <w:jc w:val="both"/>
        <w:rPr>
          <w:sz w:val="18"/>
          <w:szCs w:val="18"/>
        </w:rPr>
      </w:pPr>
      <w:r w:rsidRPr="006F08C3">
        <w:rPr>
          <w:sz w:val="18"/>
          <w:szCs w:val="18"/>
        </w:rPr>
        <w:fldChar w:fldCharType="begin"/>
      </w:r>
      <w:r w:rsidRPr="006F08C3">
        <w:rPr>
          <w:sz w:val="18"/>
          <w:szCs w:val="18"/>
        </w:rPr>
        <w:instrText xml:space="preserve"> DATE  \@ "dd.MM.yyyy H:mm"  \* MERGEFORMAT </w:instrText>
      </w:r>
      <w:r w:rsidRPr="006F08C3">
        <w:rPr>
          <w:sz w:val="18"/>
          <w:szCs w:val="18"/>
        </w:rPr>
        <w:fldChar w:fldCharType="separate"/>
      </w:r>
      <w:r w:rsidR="00BF095A">
        <w:rPr>
          <w:noProof/>
          <w:sz w:val="18"/>
          <w:szCs w:val="18"/>
        </w:rPr>
        <w:t>15.09.2015 15:57</w:t>
      </w:r>
      <w:r w:rsidRPr="006F08C3">
        <w:rPr>
          <w:sz w:val="18"/>
          <w:szCs w:val="18"/>
        </w:rPr>
        <w:fldChar w:fldCharType="end"/>
      </w:r>
      <w:r w:rsidR="006255BE">
        <w:rPr>
          <w:sz w:val="18"/>
          <w:szCs w:val="18"/>
        </w:rPr>
        <w:tab/>
      </w:r>
    </w:p>
    <w:p w:rsidR="005C457B" w:rsidRPr="006F08C3" w:rsidRDefault="00504EA5" w:rsidP="005C457B">
      <w:pPr>
        <w:jc w:val="both"/>
        <w:rPr>
          <w:sz w:val="18"/>
          <w:szCs w:val="18"/>
        </w:rPr>
      </w:pPr>
      <w:r>
        <w:rPr>
          <w:sz w:val="18"/>
          <w:szCs w:val="18"/>
        </w:rPr>
        <w:t xml:space="preserve">2 </w:t>
      </w:r>
      <w:r w:rsidR="000A4927">
        <w:rPr>
          <w:sz w:val="18"/>
          <w:szCs w:val="18"/>
        </w:rPr>
        <w:t>1</w:t>
      </w:r>
      <w:r w:rsidR="0006543D">
        <w:rPr>
          <w:sz w:val="18"/>
          <w:szCs w:val="18"/>
        </w:rPr>
        <w:t>82</w:t>
      </w:r>
    </w:p>
    <w:p w:rsidR="005C457B" w:rsidRPr="006F08C3" w:rsidRDefault="005C457B" w:rsidP="005C457B">
      <w:pPr>
        <w:widowControl w:val="0"/>
        <w:tabs>
          <w:tab w:val="left" w:pos="7513"/>
        </w:tabs>
        <w:jc w:val="both"/>
        <w:rPr>
          <w:color w:val="000000"/>
          <w:sz w:val="18"/>
          <w:szCs w:val="18"/>
        </w:rPr>
      </w:pPr>
      <w:r w:rsidRPr="006F08C3">
        <w:rPr>
          <w:color w:val="000000"/>
          <w:sz w:val="18"/>
          <w:szCs w:val="18"/>
        </w:rPr>
        <w:t xml:space="preserve">Solvita </w:t>
      </w:r>
      <w:proofErr w:type="spellStart"/>
      <w:r w:rsidRPr="006F08C3">
        <w:rPr>
          <w:color w:val="000000"/>
          <w:sz w:val="18"/>
          <w:szCs w:val="18"/>
        </w:rPr>
        <w:t>Štrāle</w:t>
      </w:r>
      <w:proofErr w:type="spellEnd"/>
    </w:p>
    <w:p w:rsidR="005C457B" w:rsidRPr="00640A11" w:rsidRDefault="005C457B" w:rsidP="005C457B">
      <w:pPr>
        <w:widowControl w:val="0"/>
        <w:jc w:val="both"/>
        <w:rPr>
          <w:noProof/>
          <w:color w:val="000000"/>
        </w:rPr>
      </w:pPr>
      <w:r w:rsidRPr="006F08C3">
        <w:rPr>
          <w:color w:val="000000"/>
          <w:sz w:val="18"/>
          <w:szCs w:val="18"/>
        </w:rPr>
        <w:t xml:space="preserve">67082920, </w:t>
      </w:r>
      <w:hyperlink r:id="rId18" w:history="1">
        <w:r w:rsidRPr="006F08C3">
          <w:rPr>
            <w:rStyle w:val="Hyperlink"/>
            <w:sz w:val="18"/>
            <w:szCs w:val="18"/>
          </w:rPr>
          <w:t>solvita.strale@pkc.mk.gov.lv</w:t>
        </w:r>
      </w:hyperlink>
    </w:p>
    <w:sectPr w:rsidR="005C457B" w:rsidRPr="00640A11" w:rsidSect="005C457B">
      <w:headerReference w:type="even" r:id="rId19"/>
      <w:headerReference w:type="default" r:id="rId20"/>
      <w:footerReference w:type="default" r:id="rId21"/>
      <w:footerReference w:type="first" r:id="rId22"/>
      <w:endnotePr>
        <w:numFmt w:val="decimal"/>
      </w:endnotePr>
      <w:pgSz w:w="11906" w:h="16838" w:code="9"/>
      <w:pgMar w:top="56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83" w:rsidRDefault="00727A83">
      <w:r>
        <w:separator/>
      </w:r>
    </w:p>
  </w:endnote>
  <w:endnote w:type="continuationSeparator" w:id="0">
    <w:p w:rsidR="00727A83" w:rsidRDefault="0072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EC" w:rsidRPr="00B87C51" w:rsidRDefault="005E08EC" w:rsidP="007F5123">
    <w:pPr>
      <w:jc w:val="both"/>
      <w:rPr>
        <w:sz w:val="16"/>
        <w:szCs w:val="16"/>
      </w:rPr>
    </w:pPr>
    <w:r w:rsidRPr="00B87C51">
      <w:rPr>
        <w:color w:val="000000"/>
        <w:sz w:val="16"/>
        <w:szCs w:val="16"/>
      </w:rPr>
      <w:t>PKCAnot_</w:t>
    </w:r>
    <w:r>
      <w:rPr>
        <w:color w:val="000000"/>
        <w:sz w:val="16"/>
        <w:szCs w:val="16"/>
      </w:rPr>
      <w:t>1</w:t>
    </w:r>
    <w:r w:rsidR="0026031F">
      <w:rPr>
        <w:color w:val="000000"/>
        <w:sz w:val="16"/>
        <w:szCs w:val="16"/>
      </w:rPr>
      <w:t>5</w:t>
    </w:r>
    <w:r>
      <w:rPr>
        <w:color w:val="000000"/>
        <w:sz w:val="16"/>
        <w:szCs w:val="16"/>
      </w:rPr>
      <w:t>092015</w:t>
    </w:r>
    <w:r w:rsidRPr="00B87C51">
      <w:rPr>
        <w:color w:val="000000"/>
        <w:sz w:val="16"/>
        <w:szCs w:val="16"/>
      </w:rPr>
      <w:t>_</w:t>
    </w:r>
    <w:r>
      <w:rPr>
        <w:color w:val="000000"/>
        <w:sz w:val="16"/>
        <w:szCs w:val="16"/>
      </w:rPr>
      <w:t>atlidziba</w:t>
    </w:r>
    <w:r w:rsidRPr="00B87C51">
      <w:rPr>
        <w:color w:val="000000"/>
        <w:sz w:val="16"/>
        <w:szCs w:val="16"/>
      </w:rPr>
      <w:t xml:space="preserve">; </w:t>
    </w:r>
    <w:r w:rsidRPr="00B87C51">
      <w:rPr>
        <w:sz w:val="16"/>
        <w:szCs w:val="16"/>
      </w:rPr>
      <w:t xml:space="preserve">Ministru kabineta noteikumu projekta </w:t>
    </w:r>
    <w:r w:rsidRPr="00B87C51">
      <w:rPr>
        <w:bCs/>
        <w:sz w:val="16"/>
        <w:szCs w:val="16"/>
      </w:rPr>
      <w:t>„</w:t>
    </w:r>
    <w:r>
      <w:rPr>
        <w:bCs/>
        <w:sz w:val="16"/>
        <w:szCs w:val="16"/>
      </w:rPr>
      <w:t>Noteikumi par publiskas personas kapitālsabiedrību un publiski privāto kapitālsabiedrību valdes un padomes locekļu maksimālo mēneša atlīdzības apmēru”</w:t>
    </w:r>
    <w:proofErr w:type="gramStart"/>
    <w:r>
      <w:rPr>
        <w:bCs/>
        <w:sz w:val="16"/>
        <w:szCs w:val="16"/>
      </w:rPr>
      <w:t xml:space="preserve">  </w:t>
    </w:r>
    <w:proofErr w:type="gramEnd"/>
    <w:r>
      <w:rPr>
        <w:color w:val="000000"/>
        <w:sz w:val="16"/>
        <w:szCs w:val="16"/>
      </w:rPr>
      <w:t>s</w:t>
    </w:r>
    <w:r w:rsidRPr="00B87C51">
      <w:rPr>
        <w:color w:val="000000"/>
        <w:sz w:val="16"/>
        <w:szCs w:val="16"/>
      </w:rPr>
      <w:t>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EC" w:rsidRPr="00B87C51" w:rsidRDefault="005E08EC" w:rsidP="002511C4">
    <w:pPr>
      <w:jc w:val="both"/>
      <w:rPr>
        <w:sz w:val="16"/>
        <w:szCs w:val="16"/>
      </w:rPr>
    </w:pPr>
    <w:r w:rsidRPr="00B87C51">
      <w:rPr>
        <w:color w:val="000000"/>
        <w:sz w:val="16"/>
        <w:szCs w:val="16"/>
      </w:rPr>
      <w:t>PKCAnot_</w:t>
    </w:r>
    <w:r>
      <w:rPr>
        <w:color w:val="000000"/>
        <w:sz w:val="16"/>
        <w:szCs w:val="16"/>
      </w:rPr>
      <w:t>1</w:t>
    </w:r>
    <w:r w:rsidR="0026031F">
      <w:rPr>
        <w:color w:val="000000"/>
        <w:sz w:val="16"/>
        <w:szCs w:val="16"/>
      </w:rPr>
      <w:t>5</w:t>
    </w:r>
    <w:r>
      <w:rPr>
        <w:color w:val="000000"/>
        <w:sz w:val="16"/>
        <w:szCs w:val="16"/>
      </w:rPr>
      <w:t>092015</w:t>
    </w:r>
    <w:r w:rsidRPr="00B87C51">
      <w:rPr>
        <w:color w:val="000000"/>
        <w:sz w:val="16"/>
        <w:szCs w:val="16"/>
      </w:rPr>
      <w:t>_</w:t>
    </w:r>
    <w:r>
      <w:rPr>
        <w:color w:val="000000"/>
        <w:sz w:val="16"/>
        <w:szCs w:val="16"/>
      </w:rPr>
      <w:t>atlidziba</w:t>
    </w:r>
    <w:r w:rsidRPr="00B87C51">
      <w:rPr>
        <w:color w:val="000000"/>
        <w:sz w:val="16"/>
        <w:szCs w:val="16"/>
      </w:rPr>
      <w:t xml:space="preserve">; </w:t>
    </w:r>
    <w:r w:rsidRPr="00B87C51">
      <w:rPr>
        <w:sz w:val="16"/>
        <w:szCs w:val="16"/>
      </w:rPr>
      <w:t xml:space="preserve">Ministru kabineta noteikumu projekta </w:t>
    </w:r>
    <w:r w:rsidRPr="00B87C51">
      <w:rPr>
        <w:bCs/>
        <w:sz w:val="16"/>
        <w:szCs w:val="16"/>
      </w:rPr>
      <w:t>„</w:t>
    </w:r>
    <w:r>
      <w:rPr>
        <w:bCs/>
        <w:sz w:val="16"/>
        <w:szCs w:val="16"/>
      </w:rPr>
      <w:t>Noteikumi par publiskas personas kapitālsabiedrību un publiski privāto kapitālsabiedrību valdes un padomes locekļu maksimālo mēneša atlīdzības apmēru”</w:t>
    </w:r>
    <w:proofErr w:type="gramStart"/>
    <w:r>
      <w:rPr>
        <w:bCs/>
        <w:sz w:val="16"/>
        <w:szCs w:val="16"/>
      </w:rPr>
      <w:t xml:space="preserve">  </w:t>
    </w:r>
    <w:proofErr w:type="gramEnd"/>
    <w:r>
      <w:rPr>
        <w:color w:val="000000"/>
        <w:sz w:val="16"/>
        <w:szCs w:val="16"/>
      </w:rPr>
      <w:t>s</w:t>
    </w:r>
    <w:r w:rsidRPr="00B87C51">
      <w:rPr>
        <w:color w:val="000000"/>
        <w:sz w:val="16"/>
        <w:szCs w:val="16"/>
      </w:rPr>
      <w:t>ākotnējās ietekmes novērtējuma ziņojums (anotācija)</w:t>
    </w:r>
  </w:p>
  <w:p w:rsidR="005E08EC" w:rsidRPr="00F50AB3" w:rsidRDefault="005E08EC" w:rsidP="002511C4">
    <w:pPr>
      <w:pStyle w:val="Footer"/>
    </w:pPr>
  </w:p>
  <w:p w:rsidR="005E08EC" w:rsidRPr="00363EF3" w:rsidRDefault="005E08EC"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83" w:rsidRDefault="00727A83">
      <w:r>
        <w:separator/>
      </w:r>
    </w:p>
  </w:footnote>
  <w:footnote w:type="continuationSeparator" w:id="0">
    <w:p w:rsidR="00727A83" w:rsidRDefault="00727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EC" w:rsidRDefault="005E08E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8EC" w:rsidRDefault="005E0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5E08EC" w:rsidRDefault="005E08EC">
        <w:pPr>
          <w:pStyle w:val="Header"/>
          <w:jc w:val="center"/>
        </w:pPr>
        <w:r>
          <w:fldChar w:fldCharType="begin"/>
        </w:r>
        <w:r>
          <w:instrText xml:space="preserve"> PAGE   \* MERGEFORMAT </w:instrText>
        </w:r>
        <w:r>
          <w:fldChar w:fldCharType="separate"/>
        </w:r>
        <w:r w:rsidR="00BF095A">
          <w:rPr>
            <w:noProof/>
          </w:rPr>
          <w:t>5</w:t>
        </w:r>
        <w:r>
          <w:rPr>
            <w:noProof/>
          </w:rPr>
          <w:fldChar w:fldCharType="end"/>
        </w:r>
      </w:p>
    </w:sdtContent>
  </w:sdt>
  <w:p w:rsidR="005E08EC" w:rsidRDefault="005E08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7E7D27"/>
    <w:multiLevelType w:val="hybridMultilevel"/>
    <w:tmpl w:val="FAFEA6BE"/>
    <w:lvl w:ilvl="0" w:tplc="3DA655B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34372D9"/>
    <w:multiLevelType w:val="hybridMultilevel"/>
    <w:tmpl w:val="C6F2A488"/>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5BC59FF"/>
    <w:multiLevelType w:val="hybridMultilevel"/>
    <w:tmpl w:val="A6A0B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B8525A3"/>
    <w:multiLevelType w:val="hybridMultilevel"/>
    <w:tmpl w:val="6CEC1062"/>
    <w:lvl w:ilvl="0" w:tplc="C712A2D0">
      <w:start w:val="1"/>
      <w:numFmt w:val="decimal"/>
      <w:lvlText w:val="%1)"/>
      <w:lvlJc w:val="left"/>
      <w:pPr>
        <w:ind w:left="765" w:hanging="405"/>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075D0"/>
    <w:rsid w:val="00010606"/>
    <w:rsid w:val="00011923"/>
    <w:rsid w:val="00011C00"/>
    <w:rsid w:val="00011D24"/>
    <w:rsid w:val="000123E4"/>
    <w:rsid w:val="00013430"/>
    <w:rsid w:val="000137DE"/>
    <w:rsid w:val="00013FF4"/>
    <w:rsid w:val="000146C7"/>
    <w:rsid w:val="00015213"/>
    <w:rsid w:val="0001682D"/>
    <w:rsid w:val="00017929"/>
    <w:rsid w:val="00017BCC"/>
    <w:rsid w:val="00017EAF"/>
    <w:rsid w:val="00020FE1"/>
    <w:rsid w:val="000214DF"/>
    <w:rsid w:val="000219F1"/>
    <w:rsid w:val="00022E13"/>
    <w:rsid w:val="00024D35"/>
    <w:rsid w:val="0002627A"/>
    <w:rsid w:val="00027394"/>
    <w:rsid w:val="00027866"/>
    <w:rsid w:val="00027E49"/>
    <w:rsid w:val="00031B6E"/>
    <w:rsid w:val="00032388"/>
    <w:rsid w:val="00033702"/>
    <w:rsid w:val="000347CE"/>
    <w:rsid w:val="00035CE2"/>
    <w:rsid w:val="00035DDF"/>
    <w:rsid w:val="00040EBE"/>
    <w:rsid w:val="00040F7C"/>
    <w:rsid w:val="00044FC0"/>
    <w:rsid w:val="000469D9"/>
    <w:rsid w:val="00053EE5"/>
    <w:rsid w:val="00053F1A"/>
    <w:rsid w:val="0005553B"/>
    <w:rsid w:val="00057F4A"/>
    <w:rsid w:val="000604D2"/>
    <w:rsid w:val="00061587"/>
    <w:rsid w:val="00065241"/>
    <w:rsid w:val="0006543D"/>
    <w:rsid w:val="00065A8C"/>
    <w:rsid w:val="000675A9"/>
    <w:rsid w:val="00067A2F"/>
    <w:rsid w:val="00070D7A"/>
    <w:rsid w:val="00074B12"/>
    <w:rsid w:val="000760DB"/>
    <w:rsid w:val="00080351"/>
    <w:rsid w:val="00080AD1"/>
    <w:rsid w:val="00081991"/>
    <w:rsid w:val="00083587"/>
    <w:rsid w:val="000847DA"/>
    <w:rsid w:val="0009005E"/>
    <w:rsid w:val="00090BFB"/>
    <w:rsid w:val="00090DFB"/>
    <w:rsid w:val="0009131C"/>
    <w:rsid w:val="000913A1"/>
    <w:rsid w:val="0009223E"/>
    <w:rsid w:val="000941C5"/>
    <w:rsid w:val="0009436A"/>
    <w:rsid w:val="000971F9"/>
    <w:rsid w:val="00097549"/>
    <w:rsid w:val="000A37F0"/>
    <w:rsid w:val="000A4927"/>
    <w:rsid w:val="000A6451"/>
    <w:rsid w:val="000A6E86"/>
    <w:rsid w:val="000A75E5"/>
    <w:rsid w:val="000B064E"/>
    <w:rsid w:val="000B0C7C"/>
    <w:rsid w:val="000B166D"/>
    <w:rsid w:val="000B1824"/>
    <w:rsid w:val="000B1E40"/>
    <w:rsid w:val="000B5874"/>
    <w:rsid w:val="000B63CA"/>
    <w:rsid w:val="000B69CF"/>
    <w:rsid w:val="000B7357"/>
    <w:rsid w:val="000C1D45"/>
    <w:rsid w:val="000C1E30"/>
    <w:rsid w:val="000C299B"/>
    <w:rsid w:val="000C4870"/>
    <w:rsid w:val="000C5F5A"/>
    <w:rsid w:val="000C6DD5"/>
    <w:rsid w:val="000C788D"/>
    <w:rsid w:val="000C790C"/>
    <w:rsid w:val="000C7F71"/>
    <w:rsid w:val="000D051B"/>
    <w:rsid w:val="000D3AED"/>
    <w:rsid w:val="000D452C"/>
    <w:rsid w:val="000D5A7F"/>
    <w:rsid w:val="000E0375"/>
    <w:rsid w:val="000E0E66"/>
    <w:rsid w:val="000E0F36"/>
    <w:rsid w:val="000E3068"/>
    <w:rsid w:val="000E435E"/>
    <w:rsid w:val="000E5FF6"/>
    <w:rsid w:val="000E7EE1"/>
    <w:rsid w:val="000F061D"/>
    <w:rsid w:val="000F16CF"/>
    <w:rsid w:val="000F1982"/>
    <w:rsid w:val="000F4794"/>
    <w:rsid w:val="000F4D7C"/>
    <w:rsid w:val="000F522F"/>
    <w:rsid w:val="00100EF9"/>
    <w:rsid w:val="001010FC"/>
    <w:rsid w:val="00102C2B"/>
    <w:rsid w:val="00102E86"/>
    <w:rsid w:val="00105059"/>
    <w:rsid w:val="0010687E"/>
    <w:rsid w:val="001071C2"/>
    <w:rsid w:val="00107336"/>
    <w:rsid w:val="001144F0"/>
    <w:rsid w:val="00114D5A"/>
    <w:rsid w:val="00115838"/>
    <w:rsid w:val="00117E30"/>
    <w:rsid w:val="00123BAF"/>
    <w:rsid w:val="00124F12"/>
    <w:rsid w:val="00126BAE"/>
    <w:rsid w:val="00126BC8"/>
    <w:rsid w:val="0013288A"/>
    <w:rsid w:val="00133FFB"/>
    <w:rsid w:val="001347F7"/>
    <w:rsid w:val="00135A81"/>
    <w:rsid w:val="00135E40"/>
    <w:rsid w:val="00141024"/>
    <w:rsid w:val="001414F7"/>
    <w:rsid w:val="001417B4"/>
    <w:rsid w:val="00141C09"/>
    <w:rsid w:val="0014222F"/>
    <w:rsid w:val="00142604"/>
    <w:rsid w:val="00143859"/>
    <w:rsid w:val="00144E3A"/>
    <w:rsid w:val="00146F25"/>
    <w:rsid w:val="0015060C"/>
    <w:rsid w:val="00151100"/>
    <w:rsid w:val="00153040"/>
    <w:rsid w:val="001545ED"/>
    <w:rsid w:val="00155DD2"/>
    <w:rsid w:val="00155E7E"/>
    <w:rsid w:val="0016018A"/>
    <w:rsid w:val="001602ED"/>
    <w:rsid w:val="00161C30"/>
    <w:rsid w:val="00161E0D"/>
    <w:rsid w:val="00161F0E"/>
    <w:rsid w:val="0016405D"/>
    <w:rsid w:val="00165B11"/>
    <w:rsid w:val="0016758D"/>
    <w:rsid w:val="001679AF"/>
    <w:rsid w:val="00167B2E"/>
    <w:rsid w:val="00170C59"/>
    <w:rsid w:val="00170D65"/>
    <w:rsid w:val="00170E2A"/>
    <w:rsid w:val="001713F3"/>
    <w:rsid w:val="001717AD"/>
    <w:rsid w:val="00173567"/>
    <w:rsid w:val="00173B38"/>
    <w:rsid w:val="001747D4"/>
    <w:rsid w:val="0017664C"/>
    <w:rsid w:val="0017676A"/>
    <w:rsid w:val="00177394"/>
    <w:rsid w:val="00180ABF"/>
    <w:rsid w:val="00182C18"/>
    <w:rsid w:val="00183CC2"/>
    <w:rsid w:val="001900E4"/>
    <w:rsid w:val="00190F88"/>
    <w:rsid w:val="001913E3"/>
    <w:rsid w:val="001917DF"/>
    <w:rsid w:val="001924EB"/>
    <w:rsid w:val="00192DDB"/>
    <w:rsid w:val="001932F6"/>
    <w:rsid w:val="00193868"/>
    <w:rsid w:val="00195F7A"/>
    <w:rsid w:val="00197064"/>
    <w:rsid w:val="00197F8A"/>
    <w:rsid w:val="001A05C8"/>
    <w:rsid w:val="001A1369"/>
    <w:rsid w:val="001A2C7D"/>
    <w:rsid w:val="001A2C8D"/>
    <w:rsid w:val="001A2E25"/>
    <w:rsid w:val="001A3E35"/>
    <w:rsid w:val="001A4066"/>
    <w:rsid w:val="001A5131"/>
    <w:rsid w:val="001A6AE4"/>
    <w:rsid w:val="001A7068"/>
    <w:rsid w:val="001A769D"/>
    <w:rsid w:val="001A7B4C"/>
    <w:rsid w:val="001B01FD"/>
    <w:rsid w:val="001B4A71"/>
    <w:rsid w:val="001B4D5A"/>
    <w:rsid w:val="001B595D"/>
    <w:rsid w:val="001C2E47"/>
    <w:rsid w:val="001C2E78"/>
    <w:rsid w:val="001C5B2B"/>
    <w:rsid w:val="001C612F"/>
    <w:rsid w:val="001C7DE2"/>
    <w:rsid w:val="001D166B"/>
    <w:rsid w:val="001D1780"/>
    <w:rsid w:val="001D1BF6"/>
    <w:rsid w:val="001D390F"/>
    <w:rsid w:val="001D3B06"/>
    <w:rsid w:val="001D5B54"/>
    <w:rsid w:val="001D79C3"/>
    <w:rsid w:val="001E0B82"/>
    <w:rsid w:val="001E1DBF"/>
    <w:rsid w:val="001E3070"/>
    <w:rsid w:val="001E3208"/>
    <w:rsid w:val="001E4639"/>
    <w:rsid w:val="001E4A7D"/>
    <w:rsid w:val="001E4CA8"/>
    <w:rsid w:val="001F0054"/>
    <w:rsid w:val="001F1D58"/>
    <w:rsid w:val="001F328C"/>
    <w:rsid w:val="001F353A"/>
    <w:rsid w:val="001F4209"/>
    <w:rsid w:val="001F43A8"/>
    <w:rsid w:val="001F46CC"/>
    <w:rsid w:val="001F5CD6"/>
    <w:rsid w:val="0020056D"/>
    <w:rsid w:val="00200CC7"/>
    <w:rsid w:val="00202B5E"/>
    <w:rsid w:val="00202D9C"/>
    <w:rsid w:val="00202DE1"/>
    <w:rsid w:val="00204489"/>
    <w:rsid w:val="00206600"/>
    <w:rsid w:val="0020681D"/>
    <w:rsid w:val="00210D0B"/>
    <w:rsid w:val="002113D4"/>
    <w:rsid w:val="0021263D"/>
    <w:rsid w:val="00213F0C"/>
    <w:rsid w:val="00214094"/>
    <w:rsid w:val="00214E7A"/>
    <w:rsid w:val="0021592D"/>
    <w:rsid w:val="00215991"/>
    <w:rsid w:val="00215A98"/>
    <w:rsid w:val="00217CC9"/>
    <w:rsid w:val="00220098"/>
    <w:rsid w:val="00221C11"/>
    <w:rsid w:val="00222D76"/>
    <w:rsid w:val="00223EB0"/>
    <w:rsid w:val="00223EB1"/>
    <w:rsid w:val="002257D7"/>
    <w:rsid w:val="002259E6"/>
    <w:rsid w:val="00231344"/>
    <w:rsid w:val="0023229E"/>
    <w:rsid w:val="00233198"/>
    <w:rsid w:val="0023436E"/>
    <w:rsid w:val="002347C0"/>
    <w:rsid w:val="002349E7"/>
    <w:rsid w:val="00235E28"/>
    <w:rsid w:val="002364E3"/>
    <w:rsid w:val="00237046"/>
    <w:rsid w:val="002404E0"/>
    <w:rsid w:val="002417A5"/>
    <w:rsid w:val="00241A6C"/>
    <w:rsid w:val="0024252D"/>
    <w:rsid w:val="00242D2B"/>
    <w:rsid w:val="00244294"/>
    <w:rsid w:val="002452B9"/>
    <w:rsid w:val="002467E6"/>
    <w:rsid w:val="00246B6D"/>
    <w:rsid w:val="00247D3C"/>
    <w:rsid w:val="00250B39"/>
    <w:rsid w:val="002511C4"/>
    <w:rsid w:val="00251ADB"/>
    <w:rsid w:val="002522E6"/>
    <w:rsid w:val="00252AAD"/>
    <w:rsid w:val="00256987"/>
    <w:rsid w:val="002572BA"/>
    <w:rsid w:val="0026031F"/>
    <w:rsid w:val="002621FF"/>
    <w:rsid w:val="00262E2B"/>
    <w:rsid w:val="002640EA"/>
    <w:rsid w:val="002643C4"/>
    <w:rsid w:val="00270429"/>
    <w:rsid w:val="002716A4"/>
    <w:rsid w:val="00271780"/>
    <w:rsid w:val="002723E9"/>
    <w:rsid w:val="00272F95"/>
    <w:rsid w:val="002736F6"/>
    <w:rsid w:val="00273FC0"/>
    <w:rsid w:val="00277929"/>
    <w:rsid w:val="002818DF"/>
    <w:rsid w:val="002820A2"/>
    <w:rsid w:val="0028246C"/>
    <w:rsid w:val="002824DE"/>
    <w:rsid w:val="00283255"/>
    <w:rsid w:val="0028373C"/>
    <w:rsid w:val="00283B82"/>
    <w:rsid w:val="002846E9"/>
    <w:rsid w:val="00284C34"/>
    <w:rsid w:val="00285D68"/>
    <w:rsid w:val="00285E6D"/>
    <w:rsid w:val="00286096"/>
    <w:rsid w:val="002869A6"/>
    <w:rsid w:val="0028701C"/>
    <w:rsid w:val="002873C0"/>
    <w:rsid w:val="00287B63"/>
    <w:rsid w:val="0029066C"/>
    <w:rsid w:val="00294B19"/>
    <w:rsid w:val="00297969"/>
    <w:rsid w:val="002A13AC"/>
    <w:rsid w:val="002A1E1C"/>
    <w:rsid w:val="002A3E3E"/>
    <w:rsid w:val="002A50A8"/>
    <w:rsid w:val="002A56A2"/>
    <w:rsid w:val="002A60C9"/>
    <w:rsid w:val="002A7512"/>
    <w:rsid w:val="002B04AE"/>
    <w:rsid w:val="002B0982"/>
    <w:rsid w:val="002B10D4"/>
    <w:rsid w:val="002B1263"/>
    <w:rsid w:val="002B2F58"/>
    <w:rsid w:val="002B50DB"/>
    <w:rsid w:val="002B7594"/>
    <w:rsid w:val="002B7AC9"/>
    <w:rsid w:val="002C10A7"/>
    <w:rsid w:val="002C11EF"/>
    <w:rsid w:val="002C12AB"/>
    <w:rsid w:val="002C2298"/>
    <w:rsid w:val="002C5C60"/>
    <w:rsid w:val="002C69D8"/>
    <w:rsid w:val="002C7CAC"/>
    <w:rsid w:val="002D3306"/>
    <w:rsid w:val="002D335C"/>
    <w:rsid w:val="002D4244"/>
    <w:rsid w:val="002D48AA"/>
    <w:rsid w:val="002D7875"/>
    <w:rsid w:val="002D7BAA"/>
    <w:rsid w:val="002D7DC7"/>
    <w:rsid w:val="002D7F54"/>
    <w:rsid w:val="002E09A7"/>
    <w:rsid w:val="002E37E7"/>
    <w:rsid w:val="002E3ABF"/>
    <w:rsid w:val="002E3FF4"/>
    <w:rsid w:val="002E4126"/>
    <w:rsid w:val="002E559B"/>
    <w:rsid w:val="002F22AC"/>
    <w:rsid w:val="002F2F9B"/>
    <w:rsid w:val="002F3B4B"/>
    <w:rsid w:val="002F4F3A"/>
    <w:rsid w:val="002F5B9B"/>
    <w:rsid w:val="002F5FDC"/>
    <w:rsid w:val="002F7078"/>
    <w:rsid w:val="002F759C"/>
    <w:rsid w:val="002F78C8"/>
    <w:rsid w:val="003006CA"/>
    <w:rsid w:val="00300FE6"/>
    <w:rsid w:val="00301CF3"/>
    <w:rsid w:val="0030288C"/>
    <w:rsid w:val="003032C1"/>
    <w:rsid w:val="00303F8C"/>
    <w:rsid w:val="003040EA"/>
    <w:rsid w:val="00304FC1"/>
    <w:rsid w:val="00305FF9"/>
    <w:rsid w:val="00306656"/>
    <w:rsid w:val="00312C59"/>
    <w:rsid w:val="00317C67"/>
    <w:rsid w:val="00320961"/>
    <w:rsid w:val="00321247"/>
    <w:rsid w:val="00326979"/>
    <w:rsid w:val="0032715C"/>
    <w:rsid w:val="00332479"/>
    <w:rsid w:val="003341C6"/>
    <w:rsid w:val="003345CF"/>
    <w:rsid w:val="00334E28"/>
    <w:rsid w:val="00335F3A"/>
    <w:rsid w:val="003360A2"/>
    <w:rsid w:val="00336268"/>
    <w:rsid w:val="003366D2"/>
    <w:rsid w:val="00336B3B"/>
    <w:rsid w:val="00337CA5"/>
    <w:rsid w:val="003418FC"/>
    <w:rsid w:val="0034270B"/>
    <w:rsid w:val="00342838"/>
    <w:rsid w:val="00347094"/>
    <w:rsid w:val="00347E5D"/>
    <w:rsid w:val="00347F0C"/>
    <w:rsid w:val="0035091F"/>
    <w:rsid w:val="00351F16"/>
    <w:rsid w:val="003520BC"/>
    <w:rsid w:val="0035496B"/>
    <w:rsid w:val="00354EEC"/>
    <w:rsid w:val="00356795"/>
    <w:rsid w:val="00360F55"/>
    <w:rsid w:val="00360FBC"/>
    <w:rsid w:val="00362478"/>
    <w:rsid w:val="00362A7C"/>
    <w:rsid w:val="0036369F"/>
    <w:rsid w:val="00363EF3"/>
    <w:rsid w:val="00364B08"/>
    <w:rsid w:val="003654F7"/>
    <w:rsid w:val="00367CDE"/>
    <w:rsid w:val="00370384"/>
    <w:rsid w:val="00370642"/>
    <w:rsid w:val="0037311A"/>
    <w:rsid w:val="00375B25"/>
    <w:rsid w:val="003763D4"/>
    <w:rsid w:val="003807FF"/>
    <w:rsid w:val="0038132C"/>
    <w:rsid w:val="003835E3"/>
    <w:rsid w:val="00384E2B"/>
    <w:rsid w:val="00386488"/>
    <w:rsid w:val="003864FE"/>
    <w:rsid w:val="00386DB2"/>
    <w:rsid w:val="003878A9"/>
    <w:rsid w:val="00390D8B"/>
    <w:rsid w:val="00390DFB"/>
    <w:rsid w:val="00391748"/>
    <w:rsid w:val="00394313"/>
    <w:rsid w:val="00394DE8"/>
    <w:rsid w:val="00396542"/>
    <w:rsid w:val="0039685B"/>
    <w:rsid w:val="003968DF"/>
    <w:rsid w:val="003A0AA3"/>
    <w:rsid w:val="003A1A82"/>
    <w:rsid w:val="003A2066"/>
    <w:rsid w:val="003A227E"/>
    <w:rsid w:val="003A31A6"/>
    <w:rsid w:val="003A3C61"/>
    <w:rsid w:val="003A4C0A"/>
    <w:rsid w:val="003A6A3C"/>
    <w:rsid w:val="003A7F0C"/>
    <w:rsid w:val="003A7F55"/>
    <w:rsid w:val="003A7F79"/>
    <w:rsid w:val="003B2A0F"/>
    <w:rsid w:val="003B3B56"/>
    <w:rsid w:val="003B426E"/>
    <w:rsid w:val="003B6404"/>
    <w:rsid w:val="003B67A2"/>
    <w:rsid w:val="003B67D0"/>
    <w:rsid w:val="003B787E"/>
    <w:rsid w:val="003C06BD"/>
    <w:rsid w:val="003C1375"/>
    <w:rsid w:val="003C35C6"/>
    <w:rsid w:val="003C449B"/>
    <w:rsid w:val="003C6409"/>
    <w:rsid w:val="003D040F"/>
    <w:rsid w:val="003D1AA2"/>
    <w:rsid w:val="003D1E21"/>
    <w:rsid w:val="003D21FF"/>
    <w:rsid w:val="003D388C"/>
    <w:rsid w:val="003D698A"/>
    <w:rsid w:val="003D6E7D"/>
    <w:rsid w:val="003D770B"/>
    <w:rsid w:val="003D7FEA"/>
    <w:rsid w:val="003E2913"/>
    <w:rsid w:val="003E2BCF"/>
    <w:rsid w:val="003E3902"/>
    <w:rsid w:val="003E493E"/>
    <w:rsid w:val="003F0112"/>
    <w:rsid w:val="003F071A"/>
    <w:rsid w:val="003F121A"/>
    <w:rsid w:val="003F160B"/>
    <w:rsid w:val="003F1E50"/>
    <w:rsid w:val="003F4D77"/>
    <w:rsid w:val="003F7754"/>
    <w:rsid w:val="003F7D40"/>
    <w:rsid w:val="00400032"/>
    <w:rsid w:val="00400B5B"/>
    <w:rsid w:val="00401109"/>
    <w:rsid w:val="004042AC"/>
    <w:rsid w:val="00404669"/>
    <w:rsid w:val="004056ED"/>
    <w:rsid w:val="00405A00"/>
    <w:rsid w:val="00410149"/>
    <w:rsid w:val="00410246"/>
    <w:rsid w:val="00412FA3"/>
    <w:rsid w:val="00413396"/>
    <w:rsid w:val="004179DE"/>
    <w:rsid w:val="004179F4"/>
    <w:rsid w:val="00420870"/>
    <w:rsid w:val="004268F6"/>
    <w:rsid w:val="00427BC0"/>
    <w:rsid w:val="00427C10"/>
    <w:rsid w:val="00430CBC"/>
    <w:rsid w:val="0043100E"/>
    <w:rsid w:val="0043130A"/>
    <w:rsid w:val="00432422"/>
    <w:rsid w:val="00432D0C"/>
    <w:rsid w:val="00433584"/>
    <w:rsid w:val="0043791B"/>
    <w:rsid w:val="00440FC7"/>
    <w:rsid w:val="00441187"/>
    <w:rsid w:val="00441483"/>
    <w:rsid w:val="00441BCB"/>
    <w:rsid w:val="0044429E"/>
    <w:rsid w:val="0045176A"/>
    <w:rsid w:val="0045202F"/>
    <w:rsid w:val="00456332"/>
    <w:rsid w:val="00456663"/>
    <w:rsid w:val="00456A48"/>
    <w:rsid w:val="0045750D"/>
    <w:rsid w:val="00461826"/>
    <w:rsid w:val="00462EF0"/>
    <w:rsid w:val="00463111"/>
    <w:rsid w:val="004637F7"/>
    <w:rsid w:val="00466561"/>
    <w:rsid w:val="00467DD9"/>
    <w:rsid w:val="004704CE"/>
    <w:rsid w:val="004728D4"/>
    <w:rsid w:val="0047358D"/>
    <w:rsid w:val="00475AF2"/>
    <w:rsid w:val="004800F9"/>
    <w:rsid w:val="004803BC"/>
    <w:rsid w:val="00481327"/>
    <w:rsid w:val="00483475"/>
    <w:rsid w:val="00483776"/>
    <w:rsid w:val="004841DA"/>
    <w:rsid w:val="00485F96"/>
    <w:rsid w:val="004864EE"/>
    <w:rsid w:val="00486B38"/>
    <w:rsid w:val="00487E57"/>
    <w:rsid w:val="004907B8"/>
    <w:rsid w:val="0049134A"/>
    <w:rsid w:val="00491694"/>
    <w:rsid w:val="004918A5"/>
    <w:rsid w:val="00491D16"/>
    <w:rsid w:val="0049345F"/>
    <w:rsid w:val="00493584"/>
    <w:rsid w:val="004A304C"/>
    <w:rsid w:val="004A3817"/>
    <w:rsid w:val="004A58CB"/>
    <w:rsid w:val="004B1795"/>
    <w:rsid w:val="004B3215"/>
    <w:rsid w:val="004B4F59"/>
    <w:rsid w:val="004B56DD"/>
    <w:rsid w:val="004B5B0C"/>
    <w:rsid w:val="004C020F"/>
    <w:rsid w:val="004C1AFD"/>
    <w:rsid w:val="004C49D2"/>
    <w:rsid w:val="004C558B"/>
    <w:rsid w:val="004C7A0E"/>
    <w:rsid w:val="004D0231"/>
    <w:rsid w:val="004D492F"/>
    <w:rsid w:val="004D526B"/>
    <w:rsid w:val="004D564C"/>
    <w:rsid w:val="004D5C7F"/>
    <w:rsid w:val="004E2E8D"/>
    <w:rsid w:val="004E384D"/>
    <w:rsid w:val="004E559C"/>
    <w:rsid w:val="004E5620"/>
    <w:rsid w:val="004E59E1"/>
    <w:rsid w:val="004E6B86"/>
    <w:rsid w:val="004E70A7"/>
    <w:rsid w:val="004F098F"/>
    <w:rsid w:val="004F1F88"/>
    <w:rsid w:val="004F304C"/>
    <w:rsid w:val="004F585C"/>
    <w:rsid w:val="004F5F1B"/>
    <w:rsid w:val="004F67DF"/>
    <w:rsid w:val="005006EF"/>
    <w:rsid w:val="00502374"/>
    <w:rsid w:val="005026E7"/>
    <w:rsid w:val="00502B71"/>
    <w:rsid w:val="005037C5"/>
    <w:rsid w:val="005046A1"/>
    <w:rsid w:val="005046D4"/>
    <w:rsid w:val="00504EA5"/>
    <w:rsid w:val="005060A1"/>
    <w:rsid w:val="00506F1D"/>
    <w:rsid w:val="00507009"/>
    <w:rsid w:val="0051005B"/>
    <w:rsid w:val="005112B9"/>
    <w:rsid w:val="00511F2E"/>
    <w:rsid w:val="00514A1C"/>
    <w:rsid w:val="005156F3"/>
    <w:rsid w:val="00515AE0"/>
    <w:rsid w:val="00515B9E"/>
    <w:rsid w:val="00516072"/>
    <w:rsid w:val="00517DFF"/>
    <w:rsid w:val="00521C0B"/>
    <w:rsid w:val="005272AC"/>
    <w:rsid w:val="00527517"/>
    <w:rsid w:val="0052751B"/>
    <w:rsid w:val="00530649"/>
    <w:rsid w:val="0053070D"/>
    <w:rsid w:val="00531404"/>
    <w:rsid w:val="00531FC8"/>
    <w:rsid w:val="005321AD"/>
    <w:rsid w:val="005332EC"/>
    <w:rsid w:val="00534418"/>
    <w:rsid w:val="00534C6F"/>
    <w:rsid w:val="005353AB"/>
    <w:rsid w:val="00535E98"/>
    <w:rsid w:val="00537FD7"/>
    <w:rsid w:val="00540310"/>
    <w:rsid w:val="00541BCB"/>
    <w:rsid w:val="00542E6A"/>
    <w:rsid w:val="005450C6"/>
    <w:rsid w:val="00553AA3"/>
    <w:rsid w:val="005542A6"/>
    <w:rsid w:val="00554DE2"/>
    <w:rsid w:val="00554F08"/>
    <w:rsid w:val="00555391"/>
    <w:rsid w:val="005560BC"/>
    <w:rsid w:val="005573BE"/>
    <w:rsid w:val="00562633"/>
    <w:rsid w:val="00572700"/>
    <w:rsid w:val="005739B0"/>
    <w:rsid w:val="00574574"/>
    <w:rsid w:val="00574612"/>
    <w:rsid w:val="00576D97"/>
    <w:rsid w:val="00580468"/>
    <w:rsid w:val="00580B11"/>
    <w:rsid w:val="00581FA0"/>
    <w:rsid w:val="00582231"/>
    <w:rsid w:val="00583F9F"/>
    <w:rsid w:val="0058435B"/>
    <w:rsid w:val="0058603B"/>
    <w:rsid w:val="0058688B"/>
    <w:rsid w:val="00586B7F"/>
    <w:rsid w:val="00587093"/>
    <w:rsid w:val="00587C30"/>
    <w:rsid w:val="00590625"/>
    <w:rsid w:val="00591D27"/>
    <w:rsid w:val="0059431B"/>
    <w:rsid w:val="0059714A"/>
    <w:rsid w:val="005A06FF"/>
    <w:rsid w:val="005A23F0"/>
    <w:rsid w:val="005A38C3"/>
    <w:rsid w:val="005A39CC"/>
    <w:rsid w:val="005A44ED"/>
    <w:rsid w:val="005A6055"/>
    <w:rsid w:val="005A6EF3"/>
    <w:rsid w:val="005A724D"/>
    <w:rsid w:val="005B0D8F"/>
    <w:rsid w:val="005B4730"/>
    <w:rsid w:val="005B505C"/>
    <w:rsid w:val="005C0006"/>
    <w:rsid w:val="005C138A"/>
    <w:rsid w:val="005C457B"/>
    <w:rsid w:val="005C4634"/>
    <w:rsid w:val="005C4E97"/>
    <w:rsid w:val="005C7520"/>
    <w:rsid w:val="005D01D9"/>
    <w:rsid w:val="005D0930"/>
    <w:rsid w:val="005D2C3C"/>
    <w:rsid w:val="005E05D7"/>
    <w:rsid w:val="005E08EC"/>
    <w:rsid w:val="005E12A5"/>
    <w:rsid w:val="005E21D4"/>
    <w:rsid w:val="005E3735"/>
    <w:rsid w:val="005E41E7"/>
    <w:rsid w:val="005E450F"/>
    <w:rsid w:val="005F0C0D"/>
    <w:rsid w:val="005F0DF9"/>
    <w:rsid w:val="005F126D"/>
    <w:rsid w:val="005F2B04"/>
    <w:rsid w:val="005F3D9B"/>
    <w:rsid w:val="005F4BCC"/>
    <w:rsid w:val="005F5FD1"/>
    <w:rsid w:val="0060432A"/>
    <w:rsid w:val="00605497"/>
    <w:rsid w:val="0060730F"/>
    <w:rsid w:val="0061052A"/>
    <w:rsid w:val="006135BC"/>
    <w:rsid w:val="00613D4E"/>
    <w:rsid w:val="0061419B"/>
    <w:rsid w:val="006161B7"/>
    <w:rsid w:val="00617FD6"/>
    <w:rsid w:val="00620E3C"/>
    <w:rsid w:val="00621D37"/>
    <w:rsid w:val="0062298A"/>
    <w:rsid w:val="00622BB8"/>
    <w:rsid w:val="00624690"/>
    <w:rsid w:val="006255BE"/>
    <w:rsid w:val="00625C4A"/>
    <w:rsid w:val="00626514"/>
    <w:rsid w:val="00626589"/>
    <w:rsid w:val="006268B0"/>
    <w:rsid w:val="00627271"/>
    <w:rsid w:val="00627C9A"/>
    <w:rsid w:val="00630F37"/>
    <w:rsid w:val="00631BC2"/>
    <w:rsid w:val="00632064"/>
    <w:rsid w:val="0063252A"/>
    <w:rsid w:val="006339A0"/>
    <w:rsid w:val="00635E61"/>
    <w:rsid w:val="00637829"/>
    <w:rsid w:val="00637F83"/>
    <w:rsid w:val="00640460"/>
    <w:rsid w:val="006408AC"/>
    <w:rsid w:val="006413A8"/>
    <w:rsid w:val="00641ECC"/>
    <w:rsid w:val="00642E56"/>
    <w:rsid w:val="0064388A"/>
    <w:rsid w:val="00643A9E"/>
    <w:rsid w:val="00644238"/>
    <w:rsid w:val="006447FA"/>
    <w:rsid w:val="00645609"/>
    <w:rsid w:val="00651E00"/>
    <w:rsid w:val="00651E4A"/>
    <w:rsid w:val="00653744"/>
    <w:rsid w:val="006538D4"/>
    <w:rsid w:val="00655110"/>
    <w:rsid w:val="00656C35"/>
    <w:rsid w:val="00657A47"/>
    <w:rsid w:val="0066093B"/>
    <w:rsid w:val="00661D25"/>
    <w:rsid w:val="006638F9"/>
    <w:rsid w:val="0066418B"/>
    <w:rsid w:val="00664480"/>
    <w:rsid w:val="00665683"/>
    <w:rsid w:val="00665740"/>
    <w:rsid w:val="00666B7D"/>
    <w:rsid w:val="00670D38"/>
    <w:rsid w:val="006711FB"/>
    <w:rsid w:val="00672D31"/>
    <w:rsid w:val="006742D2"/>
    <w:rsid w:val="00674572"/>
    <w:rsid w:val="006766C8"/>
    <w:rsid w:val="006806C9"/>
    <w:rsid w:val="006816E1"/>
    <w:rsid w:val="00684772"/>
    <w:rsid w:val="006849F5"/>
    <w:rsid w:val="00685E19"/>
    <w:rsid w:val="00687763"/>
    <w:rsid w:val="0069161F"/>
    <w:rsid w:val="00692081"/>
    <w:rsid w:val="00692B0D"/>
    <w:rsid w:val="00692E1D"/>
    <w:rsid w:val="00693C78"/>
    <w:rsid w:val="00693E0E"/>
    <w:rsid w:val="00693FB6"/>
    <w:rsid w:val="00695BB7"/>
    <w:rsid w:val="00697088"/>
    <w:rsid w:val="006A1AE3"/>
    <w:rsid w:val="006A1F83"/>
    <w:rsid w:val="006A2F5F"/>
    <w:rsid w:val="006A3614"/>
    <w:rsid w:val="006A73C1"/>
    <w:rsid w:val="006B042F"/>
    <w:rsid w:val="006B48AC"/>
    <w:rsid w:val="006B4929"/>
    <w:rsid w:val="006B53E4"/>
    <w:rsid w:val="006B6062"/>
    <w:rsid w:val="006B61F9"/>
    <w:rsid w:val="006B653F"/>
    <w:rsid w:val="006B664F"/>
    <w:rsid w:val="006B7823"/>
    <w:rsid w:val="006C0F3B"/>
    <w:rsid w:val="006C30E1"/>
    <w:rsid w:val="006C3DE1"/>
    <w:rsid w:val="006C4607"/>
    <w:rsid w:val="006C5440"/>
    <w:rsid w:val="006C5D5A"/>
    <w:rsid w:val="006C5E36"/>
    <w:rsid w:val="006C61E0"/>
    <w:rsid w:val="006C7D78"/>
    <w:rsid w:val="006D0440"/>
    <w:rsid w:val="006D0922"/>
    <w:rsid w:val="006D1E3F"/>
    <w:rsid w:val="006D2766"/>
    <w:rsid w:val="006D4160"/>
    <w:rsid w:val="006D45B8"/>
    <w:rsid w:val="006D48BB"/>
    <w:rsid w:val="006D48F1"/>
    <w:rsid w:val="006D6CFB"/>
    <w:rsid w:val="006D7E24"/>
    <w:rsid w:val="006E01E8"/>
    <w:rsid w:val="006E0518"/>
    <w:rsid w:val="006E0CDD"/>
    <w:rsid w:val="006E1540"/>
    <w:rsid w:val="006E20A1"/>
    <w:rsid w:val="006E4300"/>
    <w:rsid w:val="006E5458"/>
    <w:rsid w:val="006E5AF5"/>
    <w:rsid w:val="006E5BF8"/>
    <w:rsid w:val="006E62C6"/>
    <w:rsid w:val="006E70BE"/>
    <w:rsid w:val="006F0F87"/>
    <w:rsid w:val="006F2B0F"/>
    <w:rsid w:val="006F3F60"/>
    <w:rsid w:val="006F45BE"/>
    <w:rsid w:val="006F7F3F"/>
    <w:rsid w:val="007004FC"/>
    <w:rsid w:val="00701CA0"/>
    <w:rsid w:val="0070251A"/>
    <w:rsid w:val="00706670"/>
    <w:rsid w:val="007108F5"/>
    <w:rsid w:val="00710D2A"/>
    <w:rsid w:val="00711F59"/>
    <w:rsid w:val="00716EA5"/>
    <w:rsid w:val="00717765"/>
    <w:rsid w:val="00720B4E"/>
    <w:rsid w:val="007214EF"/>
    <w:rsid w:val="00722B49"/>
    <w:rsid w:val="00723A94"/>
    <w:rsid w:val="0072417C"/>
    <w:rsid w:val="00724502"/>
    <w:rsid w:val="00724E19"/>
    <w:rsid w:val="00725E39"/>
    <w:rsid w:val="00727042"/>
    <w:rsid w:val="00727A83"/>
    <w:rsid w:val="0073122C"/>
    <w:rsid w:val="007319F1"/>
    <w:rsid w:val="00734450"/>
    <w:rsid w:val="00734E33"/>
    <w:rsid w:val="0073580F"/>
    <w:rsid w:val="00735DEC"/>
    <w:rsid w:val="00737B70"/>
    <w:rsid w:val="00741006"/>
    <w:rsid w:val="00741B65"/>
    <w:rsid w:val="007454DC"/>
    <w:rsid w:val="00745F67"/>
    <w:rsid w:val="00745FEE"/>
    <w:rsid w:val="00747903"/>
    <w:rsid w:val="0075039E"/>
    <w:rsid w:val="00750B0F"/>
    <w:rsid w:val="00752D9D"/>
    <w:rsid w:val="00753C85"/>
    <w:rsid w:val="00754784"/>
    <w:rsid w:val="00754BFB"/>
    <w:rsid w:val="00756245"/>
    <w:rsid w:val="007579A0"/>
    <w:rsid w:val="00757C6E"/>
    <w:rsid w:val="007616C4"/>
    <w:rsid w:val="0076214C"/>
    <w:rsid w:val="00762BDA"/>
    <w:rsid w:val="00762DDB"/>
    <w:rsid w:val="00763417"/>
    <w:rsid w:val="00763580"/>
    <w:rsid w:val="00765346"/>
    <w:rsid w:val="007666F9"/>
    <w:rsid w:val="00770284"/>
    <w:rsid w:val="00771990"/>
    <w:rsid w:val="007736F1"/>
    <w:rsid w:val="00774AE2"/>
    <w:rsid w:val="00776745"/>
    <w:rsid w:val="00777387"/>
    <w:rsid w:val="00777543"/>
    <w:rsid w:val="007805FD"/>
    <w:rsid w:val="00783474"/>
    <w:rsid w:val="007839BC"/>
    <w:rsid w:val="00784422"/>
    <w:rsid w:val="00784CE4"/>
    <w:rsid w:val="0079000A"/>
    <w:rsid w:val="0079338D"/>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265"/>
    <w:rsid w:val="007A66D8"/>
    <w:rsid w:val="007B2596"/>
    <w:rsid w:val="007B2CB6"/>
    <w:rsid w:val="007B33D9"/>
    <w:rsid w:val="007B3B54"/>
    <w:rsid w:val="007B3FA0"/>
    <w:rsid w:val="007B4BC6"/>
    <w:rsid w:val="007B75E7"/>
    <w:rsid w:val="007C01F1"/>
    <w:rsid w:val="007C05A9"/>
    <w:rsid w:val="007C0F2C"/>
    <w:rsid w:val="007C2BCC"/>
    <w:rsid w:val="007C35B2"/>
    <w:rsid w:val="007C4EF0"/>
    <w:rsid w:val="007C7886"/>
    <w:rsid w:val="007C79AF"/>
    <w:rsid w:val="007D099D"/>
    <w:rsid w:val="007D0D7E"/>
    <w:rsid w:val="007D0DAB"/>
    <w:rsid w:val="007D39BA"/>
    <w:rsid w:val="007D7236"/>
    <w:rsid w:val="007D7BA1"/>
    <w:rsid w:val="007E2664"/>
    <w:rsid w:val="007E3ABF"/>
    <w:rsid w:val="007E44C5"/>
    <w:rsid w:val="007E5BFA"/>
    <w:rsid w:val="007E6689"/>
    <w:rsid w:val="007E731C"/>
    <w:rsid w:val="007F0A03"/>
    <w:rsid w:val="007F2F05"/>
    <w:rsid w:val="007F3C5B"/>
    <w:rsid w:val="007F5123"/>
    <w:rsid w:val="007F517A"/>
    <w:rsid w:val="007F5D07"/>
    <w:rsid w:val="007F63CB"/>
    <w:rsid w:val="007F7EAD"/>
    <w:rsid w:val="00800415"/>
    <w:rsid w:val="008012CF"/>
    <w:rsid w:val="00803122"/>
    <w:rsid w:val="00803BC5"/>
    <w:rsid w:val="00804254"/>
    <w:rsid w:val="008042B2"/>
    <w:rsid w:val="00805450"/>
    <w:rsid w:val="00810040"/>
    <w:rsid w:val="00810A3A"/>
    <w:rsid w:val="00810B2F"/>
    <w:rsid w:val="0081257D"/>
    <w:rsid w:val="0081292B"/>
    <w:rsid w:val="00813AC1"/>
    <w:rsid w:val="008164C8"/>
    <w:rsid w:val="0082007B"/>
    <w:rsid w:val="008201D2"/>
    <w:rsid w:val="0082023A"/>
    <w:rsid w:val="008215B8"/>
    <w:rsid w:val="00821A7A"/>
    <w:rsid w:val="00821FE9"/>
    <w:rsid w:val="0082310C"/>
    <w:rsid w:val="00823770"/>
    <w:rsid w:val="008237B0"/>
    <w:rsid w:val="00823882"/>
    <w:rsid w:val="008253F8"/>
    <w:rsid w:val="00826B74"/>
    <w:rsid w:val="00826C67"/>
    <w:rsid w:val="00826F98"/>
    <w:rsid w:val="008325E4"/>
    <w:rsid w:val="00832A2B"/>
    <w:rsid w:val="00834CA6"/>
    <w:rsid w:val="00834DA0"/>
    <w:rsid w:val="008373E6"/>
    <w:rsid w:val="0083777F"/>
    <w:rsid w:val="00842B02"/>
    <w:rsid w:val="008433E8"/>
    <w:rsid w:val="00843408"/>
    <w:rsid w:val="00843616"/>
    <w:rsid w:val="00843A2D"/>
    <w:rsid w:val="00845811"/>
    <w:rsid w:val="00846994"/>
    <w:rsid w:val="00846C48"/>
    <w:rsid w:val="00847023"/>
    <w:rsid w:val="0084741A"/>
    <w:rsid w:val="00850451"/>
    <w:rsid w:val="00852042"/>
    <w:rsid w:val="008534C9"/>
    <w:rsid w:val="008547A5"/>
    <w:rsid w:val="00855164"/>
    <w:rsid w:val="00855714"/>
    <w:rsid w:val="0085589C"/>
    <w:rsid w:val="0085599D"/>
    <w:rsid w:val="00855FF4"/>
    <w:rsid w:val="00856E8B"/>
    <w:rsid w:val="00861813"/>
    <w:rsid w:val="00863340"/>
    <w:rsid w:val="00864FCB"/>
    <w:rsid w:val="0086587D"/>
    <w:rsid w:val="00870540"/>
    <w:rsid w:val="00870547"/>
    <w:rsid w:val="00870D1A"/>
    <w:rsid w:val="00871FDA"/>
    <w:rsid w:val="0087510C"/>
    <w:rsid w:val="00880C36"/>
    <w:rsid w:val="00881B32"/>
    <w:rsid w:val="00883DA1"/>
    <w:rsid w:val="00885949"/>
    <w:rsid w:val="0088795D"/>
    <w:rsid w:val="00887BCC"/>
    <w:rsid w:val="00890442"/>
    <w:rsid w:val="008938F6"/>
    <w:rsid w:val="00893E73"/>
    <w:rsid w:val="008968D2"/>
    <w:rsid w:val="00896F38"/>
    <w:rsid w:val="0089738E"/>
    <w:rsid w:val="00897878"/>
    <w:rsid w:val="008A05B8"/>
    <w:rsid w:val="008A0753"/>
    <w:rsid w:val="008A38DF"/>
    <w:rsid w:val="008A7391"/>
    <w:rsid w:val="008A7B89"/>
    <w:rsid w:val="008B1736"/>
    <w:rsid w:val="008B3E40"/>
    <w:rsid w:val="008B4465"/>
    <w:rsid w:val="008B50FF"/>
    <w:rsid w:val="008B5611"/>
    <w:rsid w:val="008B5FDB"/>
    <w:rsid w:val="008B6B16"/>
    <w:rsid w:val="008C06C2"/>
    <w:rsid w:val="008C2F07"/>
    <w:rsid w:val="008C2F4A"/>
    <w:rsid w:val="008C3F78"/>
    <w:rsid w:val="008C50F4"/>
    <w:rsid w:val="008C5649"/>
    <w:rsid w:val="008C5A21"/>
    <w:rsid w:val="008D632E"/>
    <w:rsid w:val="008E19FF"/>
    <w:rsid w:val="008E2077"/>
    <w:rsid w:val="008E44A2"/>
    <w:rsid w:val="008E697D"/>
    <w:rsid w:val="008F1A6E"/>
    <w:rsid w:val="008F4944"/>
    <w:rsid w:val="008F6857"/>
    <w:rsid w:val="008F6991"/>
    <w:rsid w:val="0090267E"/>
    <w:rsid w:val="009030FB"/>
    <w:rsid w:val="00903263"/>
    <w:rsid w:val="009032AB"/>
    <w:rsid w:val="00903AF9"/>
    <w:rsid w:val="00906989"/>
    <w:rsid w:val="00906A21"/>
    <w:rsid w:val="009079C3"/>
    <w:rsid w:val="00910462"/>
    <w:rsid w:val="00913EC9"/>
    <w:rsid w:val="00915563"/>
    <w:rsid w:val="00915AB1"/>
    <w:rsid w:val="00917532"/>
    <w:rsid w:val="00917600"/>
    <w:rsid w:val="009202D1"/>
    <w:rsid w:val="009208C5"/>
    <w:rsid w:val="00920E7B"/>
    <w:rsid w:val="0092276E"/>
    <w:rsid w:val="009235BA"/>
    <w:rsid w:val="00924023"/>
    <w:rsid w:val="00924CE2"/>
    <w:rsid w:val="00925B9F"/>
    <w:rsid w:val="009275AC"/>
    <w:rsid w:val="009309EB"/>
    <w:rsid w:val="00931AED"/>
    <w:rsid w:val="00932431"/>
    <w:rsid w:val="00937644"/>
    <w:rsid w:val="00937726"/>
    <w:rsid w:val="00940854"/>
    <w:rsid w:val="009428E7"/>
    <w:rsid w:val="00943042"/>
    <w:rsid w:val="00945766"/>
    <w:rsid w:val="009476A3"/>
    <w:rsid w:val="009506C0"/>
    <w:rsid w:val="0095334F"/>
    <w:rsid w:val="0095423D"/>
    <w:rsid w:val="00954D8F"/>
    <w:rsid w:val="009563FF"/>
    <w:rsid w:val="00956C8B"/>
    <w:rsid w:val="0096336F"/>
    <w:rsid w:val="009639BE"/>
    <w:rsid w:val="00964673"/>
    <w:rsid w:val="009656DE"/>
    <w:rsid w:val="00965897"/>
    <w:rsid w:val="0096765C"/>
    <w:rsid w:val="00967848"/>
    <w:rsid w:val="00970D77"/>
    <w:rsid w:val="009714D2"/>
    <w:rsid w:val="00971944"/>
    <w:rsid w:val="009727E4"/>
    <w:rsid w:val="009731F6"/>
    <w:rsid w:val="00974399"/>
    <w:rsid w:val="00975C3A"/>
    <w:rsid w:val="009764A9"/>
    <w:rsid w:val="0097750A"/>
    <w:rsid w:val="00980BF4"/>
    <w:rsid w:val="009864BB"/>
    <w:rsid w:val="0098773B"/>
    <w:rsid w:val="00987B16"/>
    <w:rsid w:val="00990AB2"/>
    <w:rsid w:val="009914A4"/>
    <w:rsid w:val="00992E99"/>
    <w:rsid w:val="009934C5"/>
    <w:rsid w:val="009945B8"/>
    <w:rsid w:val="00994C0F"/>
    <w:rsid w:val="009A0027"/>
    <w:rsid w:val="009A0AC3"/>
    <w:rsid w:val="009A0CB7"/>
    <w:rsid w:val="009A33ED"/>
    <w:rsid w:val="009A6B0C"/>
    <w:rsid w:val="009A6B60"/>
    <w:rsid w:val="009A7205"/>
    <w:rsid w:val="009B0245"/>
    <w:rsid w:val="009B118C"/>
    <w:rsid w:val="009B1EA6"/>
    <w:rsid w:val="009B22D7"/>
    <w:rsid w:val="009B2A92"/>
    <w:rsid w:val="009B4270"/>
    <w:rsid w:val="009B614A"/>
    <w:rsid w:val="009B72ED"/>
    <w:rsid w:val="009C30E0"/>
    <w:rsid w:val="009C4BB9"/>
    <w:rsid w:val="009C4C73"/>
    <w:rsid w:val="009C5659"/>
    <w:rsid w:val="009C6DEB"/>
    <w:rsid w:val="009D022D"/>
    <w:rsid w:val="009D27A6"/>
    <w:rsid w:val="009D2E6C"/>
    <w:rsid w:val="009D4EF6"/>
    <w:rsid w:val="009D6504"/>
    <w:rsid w:val="009D7690"/>
    <w:rsid w:val="009E1204"/>
    <w:rsid w:val="009E12D7"/>
    <w:rsid w:val="009E159A"/>
    <w:rsid w:val="009E242E"/>
    <w:rsid w:val="009E4BD1"/>
    <w:rsid w:val="009E4EE8"/>
    <w:rsid w:val="009E661A"/>
    <w:rsid w:val="009E6A34"/>
    <w:rsid w:val="009E6C0C"/>
    <w:rsid w:val="009F0513"/>
    <w:rsid w:val="009F1276"/>
    <w:rsid w:val="009F15E6"/>
    <w:rsid w:val="009F2169"/>
    <w:rsid w:val="009F5710"/>
    <w:rsid w:val="009F6AAB"/>
    <w:rsid w:val="009F7D7D"/>
    <w:rsid w:val="00A00B9B"/>
    <w:rsid w:val="00A01B80"/>
    <w:rsid w:val="00A0461C"/>
    <w:rsid w:val="00A05E77"/>
    <w:rsid w:val="00A06077"/>
    <w:rsid w:val="00A06781"/>
    <w:rsid w:val="00A074C3"/>
    <w:rsid w:val="00A100ED"/>
    <w:rsid w:val="00A102CE"/>
    <w:rsid w:val="00A1367E"/>
    <w:rsid w:val="00A1509C"/>
    <w:rsid w:val="00A16653"/>
    <w:rsid w:val="00A2083B"/>
    <w:rsid w:val="00A228CD"/>
    <w:rsid w:val="00A238AE"/>
    <w:rsid w:val="00A246A8"/>
    <w:rsid w:val="00A249B9"/>
    <w:rsid w:val="00A25063"/>
    <w:rsid w:val="00A25417"/>
    <w:rsid w:val="00A26187"/>
    <w:rsid w:val="00A27177"/>
    <w:rsid w:val="00A31A9E"/>
    <w:rsid w:val="00A31B4E"/>
    <w:rsid w:val="00A31F77"/>
    <w:rsid w:val="00A33942"/>
    <w:rsid w:val="00A3416C"/>
    <w:rsid w:val="00A34260"/>
    <w:rsid w:val="00A370C8"/>
    <w:rsid w:val="00A40A0E"/>
    <w:rsid w:val="00A43390"/>
    <w:rsid w:val="00A4727A"/>
    <w:rsid w:val="00A513CA"/>
    <w:rsid w:val="00A5160D"/>
    <w:rsid w:val="00A523F9"/>
    <w:rsid w:val="00A549E0"/>
    <w:rsid w:val="00A55B57"/>
    <w:rsid w:val="00A56101"/>
    <w:rsid w:val="00A5727C"/>
    <w:rsid w:val="00A5736A"/>
    <w:rsid w:val="00A6048E"/>
    <w:rsid w:val="00A63203"/>
    <w:rsid w:val="00A63B53"/>
    <w:rsid w:val="00A648A4"/>
    <w:rsid w:val="00A64C8F"/>
    <w:rsid w:val="00A65338"/>
    <w:rsid w:val="00A66F5B"/>
    <w:rsid w:val="00A67B6A"/>
    <w:rsid w:val="00A70CFD"/>
    <w:rsid w:val="00A70FED"/>
    <w:rsid w:val="00A72A0B"/>
    <w:rsid w:val="00A72CAB"/>
    <w:rsid w:val="00A73151"/>
    <w:rsid w:val="00A77110"/>
    <w:rsid w:val="00A77DBB"/>
    <w:rsid w:val="00A77F80"/>
    <w:rsid w:val="00A81E42"/>
    <w:rsid w:val="00A8230E"/>
    <w:rsid w:val="00A82F8D"/>
    <w:rsid w:val="00A83620"/>
    <w:rsid w:val="00A840D5"/>
    <w:rsid w:val="00A8481B"/>
    <w:rsid w:val="00A85AE1"/>
    <w:rsid w:val="00A864FE"/>
    <w:rsid w:val="00A86F41"/>
    <w:rsid w:val="00A8776B"/>
    <w:rsid w:val="00A87D04"/>
    <w:rsid w:val="00A950C5"/>
    <w:rsid w:val="00A955A3"/>
    <w:rsid w:val="00A95777"/>
    <w:rsid w:val="00A97749"/>
    <w:rsid w:val="00AA16DE"/>
    <w:rsid w:val="00AA1BF0"/>
    <w:rsid w:val="00AA1CCF"/>
    <w:rsid w:val="00AA1D25"/>
    <w:rsid w:val="00AA208B"/>
    <w:rsid w:val="00AA2CCB"/>
    <w:rsid w:val="00AA370A"/>
    <w:rsid w:val="00AA4189"/>
    <w:rsid w:val="00AA51C5"/>
    <w:rsid w:val="00AA7701"/>
    <w:rsid w:val="00AB05BA"/>
    <w:rsid w:val="00AB1621"/>
    <w:rsid w:val="00AB2B1A"/>
    <w:rsid w:val="00AB397F"/>
    <w:rsid w:val="00AB3E9E"/>
    <w:rsid w:val="00AB3FF5"/>
    <w:rsid w:val="00AB4249"/>
    <w:rsid w:val="00AB54FD"/>
    <w:rsid w:val="00AB5832"/>
    <w:rsid w:val="00AB7C96"/>
    <w:rsid w:val="00AC19C6"/>
    <w:rsid w:val="00AC4157"/>
    <w:rsid w:val="00AC5008"/>
    <w:rsid w:val="00AC51F2"/>
    <w:rsid w:val="00AC55DD"/>
    <w:rsid w:val="00AC6CE0"/>
    <w:rsid w:val="00AC7684"/>
    <w:rsid w:val="00AC7A3E"/>
    <w:rsid w:val="00AD104F"/>
    <w:rsid w:val="00AD1825"/>
    <w:rsid w:val="00AD3269"/>
    <w:rsid w:val="00AD3936"/>
    <w:rsid w:val="00AD4425"/>
    <w:rsid w:val="00AD5333"/>
    <w:rsid w:val="00AD618A"/>
    <w:rsid w:val="00AD64BC"/>
    <w:rsid w:val="00AD6822"/>
    <w:rsid w:val="00AE0B4B"/>
    <w:rsid w:val="00AE0EAC"/>
    <w:rsid w:val="00AE36EA"/>
    <w:rsid w:val="00AE4DF2"/>
    <w:rsid w:val="00AE4FC5"/>
    <w:rsid w:val="00AE5066"/>
    <w:rsid w:val="00AE5E24"/>
    <w:rsid w:val="00AE61B7"/>
    <w:rsid w:val="00AE6CBA"/>
    <w:rsid w:val="00AE79AD"/>
    <w:rsid w:val="00AF162A"/>
    <w:rsid w:val="00AF2549"/>
    <w:rsid w:val="00AF35E4"/>
    <w:rsid w:val="00AF5CDE"/>
    <w:rsid w:val="00AF6A09"/>
    <w:rsid w:val="00B032F8"/>
    <w:rsid w:val="00B072E0"/>
    <w:rsid w:val="00B07B64"/>
    <w:rsid w:val="00B11A57"/>
    <w:rsid w:val="00B13AD1"/>
    <w:rsid w:val="00B13C8A"/>
    <w:rsid w:val="00B14D9F"/>
    <w:rsid w:val="00B1533C"/>
    <w:rsid w:val="00B162F5"/>
    <w:rsid w:val="00B17E83"/>
    <w:rsid w:val="00B2037C"/>
    <w:rsid w:val="00B211C3"/>
    <w:rsid w:val="00B2262C"/>
    <w:rsid w:val="00B2305F"/>
    <w:rsid w:val="00B23DAA"/>
    <w:rsid w:val="00B248D6"/>
    <w:rsid w:val="00B24D11"/>
    <w:rsid w:val="00B25597"/>
    <w:rsid w:val="00B25658"/>
    <w:rsid w:val="00B26036"/>
    <w:rsid w:val="00B267B9"/>
    <w:rsid w:val="00B26D01"/>
    <w:rsid w:val="00B314B5"/>
    <w:rsid w:val="00B32AAA"/>
    <w:rsid w:val="00B33E09"/>
    <w:rsid w:val="00B35435"/>
    <w:rsid w:val="00B3594E"/>
    <w:rsid w:val="00B35D41"/>
    <w:rsid w:val="00B40930"/>
    <w:rsid w:val="00B40D37"/>
    <w:rsid w:val="00B41098"/>
    <w:rsid w:val="00B41A9A"/>
    <w:rsid w:val="00B4248B"/>
    <w:rsid w:val="00B4624E"/>
    <w:rsid w:val="00B4663A"/>
    <w:rsid w:val="00B47A67"/>
    <w:rsid w:val="00B50708"/>
    <w:rsid w:val="00B50C68"/>
    <w:rsid w:val="00B5106A"/>
    <w:rsid w:val="00B51293"/>
    <w:rsid w:val="00B52B1E"/>
    <w:rsid w:val="00B54712"/>
    <w:rsid w:val="00B55481"/>
    <w:rsid w:val="00B56C32"/>
    <w:rsid w:val="00B56D61"/>
    <w:rsid w:val="00B579A7"/>
    <w:rsid w:val="00B57ACF"/>
    <w:rsid w:val="00B61E4D"/>
    <w:rsid w:val="00B62845"/>
    <w:rsid w:val="00B63683"/>
    <w:rsid w:val="00B64BB1"/>
    <w:rsid w:val="00B719F9"/>
    <w:rsid w:val="00B7276F"/>
    <w:rsid w:val="00B73087"/>
    <w:rsid w:val="00B73166"/>
    <w:rsid w:val="00B73D56"/>
    <w:rsid w:val="00B74379"/>
    <w:rsid w:val="00B75648"/>
    <w:rsid w:val="00B76D47"/>
    <w:rsid w:val="00B81597"/>
    <w:rsid w:val="00B8426C"/>
    <w:rsid w:val="00B84642"/>
    <w:rsid w:val="00B85104"/>
    <w:rsid w:val="00B86462"/>
    <w:rsid w:val="00B866A4"/>
    <w:rsid w:val="00B87C51"/>
    <w:rsid w:val="00B90EFD"/>
    <w:rsid w:val="00B9146A"/>
    <w:rsid w:val="00B9193F"/>
    <w:rsid w:val="00B91B8D"/>
    <w:rsid w:val="00B93597"/>
    <w:rsid w:val="00B94E90"/>
    <w:rsid w:val="00BA569A"/>
    <w:rsid w:val="00BA64D3"/>
    <w:rsid w:val="00BA7CAD"/>
    <w:rsid w:val="00BB0A82"/>
    <w:rsid w:val="00BB2A18"/>
    <w:rsid w:val="00BB6E23"/>
    <w:rsid w:val="00BB7C94"/>
    <w:rsid w:val="00BC0A9D"/>
    <w:rsid w:val="00BC1319"/>
    <w:rsid w:val="00BC2D50"/>
    <w:rsid w:val="00BC33E2"/>
    <w:rsid w:val="00BC54D5"/>
    <w:rsid w:val="00BC584F"/>
    <w:rsid w:val="00BC631A"/>
    <w:rsid w:val="00BC67B8"/>
    <w:rsid w:val="00BC6D00"/>
    <w:rsid w:val="00BD02BB"/>
    <w:rsid w:val="00BD0F53"/>
    <w:rsid w:val="00BD130F"/>
    <w:rsid w:val="00BD3D8C"/>
    <w:rsid w:val="00BD494D"/>
    <w:rsid w:val="00BD4D26"/>
    <w:rsid w:val="00BD51AD"/>
    <w:rsid w:val="00BD5A4C"/>
    <w:rsid w:val="00BD5CAA"/>
    <w:rsid w:val="00BD7064"/>
    <w:rsid w:val="00BD71BF"/>
    <w:rsid w:val="00BD7A1F"/>
    <w:rsid w:val="00BE1763"/>
    <w:rsid w:val="00BE17D8"/>
    <w:rsid w:val="00BE1959"/>
    <w:rsid w:val="00BE5530"/>
    <w:rsid w:val="00BF095A"/>
    <w:rsid w:val="00BF2458"/>
    <w:rsid w:val="00BF2CCD"/>
    <w:rsid w:val="00BF40ED"/>
    <w:rsid w:val="00BF43FE"/>
    <w:rsid w:val="00BF44A6"/>
    <w:rsid w:val="00BF4B68"/>
    <w:rsid w:val="00BF5BC2"/>
    <w:rsid w:val="00BF75BE"/>
    <w:rsid w:val="00C10939"/>
    <w:rsid w:val="00C109F4"/>
    <w:rsid w:val="00C10EA6"/>
    <w:rsid w:val="00C1133D"/>
    <w:rsid w:val="00C117E8"/>
    <w:rsid w:val="00C11BAA"/>
    <w:rsid w:val="00C143E5"/>
    <w:rsid w:val="00C16414"/>
    <w:rsid w:val="00C17165"/>
    <w:rsid w:val="00C23BF0"/>
    <w:rsid w:val="00C255EE"/>
    <w:rsid w:val="00C27A08"/>
    <w:rsid w:val="00C31312"/>
    <w:rsid w:val="00C31E36"/>
    <w:rsid w:val="00C31EE7"/>
    <w:rsid w:val="00C326C6"/>
    <w:rsid w:val="00C33ACD"/>
    <w:rsid w:val="00C35295"/>
    <w:rsid w:val="00C367E2"/>
    <w:rsid w:val="00C368D6"/>
    <w:rsid w:val="00C36ADD"/>
    <w:rsid w:val="00C36E74"/>
    <w:rsid w:val="00C40595"/>
    <w:rsid w:val="00C41621"/>
    <w:rsid w:val="00C41B7C"/>
    <w:rsid w:val="00C4296B"/>
    <w:rsid w:val="00C42C22"/>
    <w:rsid w:val="00C42CE5"/>
    <w:rsid w:val="00C43E88"/>
    <w:rsid w:val="00C4465F"/>
    <w:rsid w:val="00C448DD"/>
    <w:rsid w:val="00C449FA"/>
    <w:rsid w:val="00C501F6"/>
    <w:rsid w:val="00C505D9"/>
    <w:rsid w:val="00C50F3D"/>
    <w:rsid w:val="00C5157A"/>
    <w:rsid w:val="00C516AD"/>
    <w:rsid w:val="00C53106"/>
    <w:rsid w:val="00C5384F"/>
    <w:rsid w:val="00C53D75"/>
    <w:rsid w:val="00C56964"/>
    <w:rsid w:val="00C57E13"/>
    <w:rsid w:val="00C613E2"/>
    <w:rsid w:val="00C62DD8"/>
    <w:rsid w:val="00C65606"/>
    <w:rsid w:val="00C656D5"/>
    <w:rsid w:val="00C67103"/>
    <w:rsid w:val="00C67D2A"/>
    <w:rsid w:val="00C703F3"/>
    <w:rsid w:val="00C71BB9"/>
    <w:rsid w:val="00C727B5"/>
    <w:rsid w:val="00C736FB"/>
    <w:rsid w:val="00C74DEE"/>
    <w:rsid w:val="00C7762C"/>
    <w:rsid w:val="00C82A12"/>
    <w:rsid w:val="00C85BE3"/>
    <w:rsid w:val="00C942FD"/>
    <w:rsid w:val="00C945FA"/>
    <w:rsid w:val="00C94613"/>
    <w:rsid w:val="00C94C28"/>
    <w:rsid w:val="00C95E70"/>
    <w:rsid w:val="00C95F30"/>
    <w:rsid w:val="00C975CF"/>
    <w:rsid w:val="00CA15AA"/>
    <w:rsid w:val="00CA2B59"/>
    <w:rsid w:val="00CA569B"/>
    <w:rsid w:val="00CA71A3"/>
    <w:rsid w:val="00CB0247"/>
    <w:rsid w:val="00CB0985"/>
    <w:rsid w:val="00CB0A64"/>
    <w:rsid w:val="00CB17CF"/>
    <w:rsid w:val="00CB3440"/>
    <w:rsid w:val="00CB3FC2"/>
    <w:rsid w:val="00CB4084"/>
    <w:rsid w:val="00CB40A5"/>
    <w:rsid w:val="00CB5188"/>
    <w:rsid w:val="00CB616A"/>
    <w:rsid w:val="00CB66F6"/>
    <w:rsid w:val="00CB67C8"/>
    <w:rsid w:val="00CB7479"/>
    <w:rsid w:val="00CC1692"/>
    <w:rsid w:val="00CC521D"/>
    <w:rsid w:val="00CC7AC4"/>
    <w:rsid w:val="00CD138B"/>
    <w:rsid w:val="00CD223F"/>
    <w:rsid w:val="00CD3E31"/>
    <w:rsid w:val="00CD617D"/>
    <w:rsid w:val="00CD6C0B"/>
    <w:rsid w:val="00CD7117"/>
    <w:rsid w:val="00CD74A3"/>
    <w:rsid w:val="00CE0527"/>
    <w:rsid w:val="00CE1668"/>
    <w:rsid w:val="00CE1DEE"/>
    <w:rsid w:val="00CE2631"/>
    <w:rsid w:val="00CE27C5"/>
    <w:rsid w:val="00CE30D0"/>
    <w:rsid w:val="00CE50A6"/>
    <w:rsid w:val="00CE5B23"/>
    <w:rsid w:val="00CF1D94"/>
    <w:rsid w:val="00CF50A3"/>
    <w:rsid w:val="00CF573B"/>
    <w:rsid w:val="00CF65CE"/>
    <w:rsid w:val="00CF65DC"/>
    <w:rsid w:val="00CF70AD"/>
    <w:rsid w:val="00CF7729"/>
    <w:rsid w:val="00CF7C93"/>
    <w:rsid w:val="00D00059"/>
    <w:rsid w:val="00D009CE"/>
    <w:rsid w:val="00D02BA3"/>
    <w:rsid w:val="00D02F34"/>
    <w:rsid w:val="00D0487F"/>
    <w:rsid w:val="00D04A01"/>
    <w:rsid w:val="00D05BA6"/>
    <w:rsid w:val="00D07558"/>
    <w:rsid w:val="00D107FA"/>
    <w:rsid w:val="00D11555"/>
    <w:rsid w:val="00D115B5"/>
    <w:rsid w:val="00D12275"/>
    <w:rsid w:val="00D12766"/>
    <w:rsid w:val="00D12AB6"/>
    <w:rsid w:val="00D154E5"/>
    <w:rsid w:val="00D20E4E"/>
    <w:rsid w:val="00D20FF4"/>
    <w:rsid w:val="00D212D8"/>
    <w:rsid w:val="00D22B0E"/>
    <w:rsid w:val="00D22C26"/>
    <w:rsid w:val="00D24D2C"/>
    <w:rsid w:val="00D271E8"/>
    <w:rsid w:val="00D34B3F"/>
    <w:rsid w:val="00D352EA"/>
    <w:rsid w:val="00D35881"/>
    <w:rsid w:val="00D36916"/>
    <w:rsid w:val="00D37C89"/>
    <w:rsid w:val="00D426A5"/>
    <w:rsid w:val="00D442BD"/>
    <w:rsid w:val="00D44A23"/>
    <w:rsid w:val="00D4659D"/>
    <w:rsid w:val="00D479AF"/>
    <w:rsid w:val="00D47F2E"/>
    <w:rsid w:val="00D47F67"/>
    <w:rsid w:val="00D50F85"/>
    <w:rsid w:val="00D512BD"/>
    <w:rsid w:val="00D55399"/>
    <w:rsid w:val="00D55859"/>
    <w:rsid w:val="00D564E9"/>
    <w:rsid w:val="00D57655"/>
    <w:rsid w:val="00D606B2"/>
    <w:rsid w:val="00D60FCD"/>
    <w:rsid w:val="00D704BD"/>
    <w:rsid w:val="00D71E21"/>
    <w:rsid w:val="00D72CD1"/>
    <w:rsid w:val="00D736C3"/>
    <w:rsid w:val="00D73C93"/>
    <w:rsid w:val="00D75A99"/>
    <w:rsid w:val="00D76573"/>
    <w:rsid w:val="00D805F0"/>
    <w:rsid w:val="00D81427"/>
    <w:rsid w:val="00D817E7"/>
    <w:rsid w:val="00D83214"/>
    <w:rsid w:val="00D83E21"/>
    <w:rsid w:val="00D84F3C"/>
    <w:rsid w:val="00D8737F"/>
    <w:rsid w:val="00D901A0"/>
    <w:rsid w:val="00D902ED"/>
    <w:rsid w:val="00D90878"/>
    <w:rsid w:val="00D920E7"/>
    <w:rsid w:val="00D92E2F"/>
    <w:rsid w:val="00D93A78"/>
    <w:rsid w:val="00D93B58"/>
    <w:rsid w:val="00D9438B"/>
    <w:rsid w:val="00DA2241"/>
    <w:rsid w:val="00DA5C2E"/>
    <w:rsid w:val="00DA664C"/>
    <w:rsid w:val="00DA78A7"/>
    <w:rsid w:val="00DA7DA5"/>
    <w:rsid w:val="00DB0440"/>
    <w:rsid w:val="00DB0616"/>
    <w:rsid w:val="00DB073B"/>
    <w:rsid w:val="00DB0944"/>
    <w:rsid w:val="00DB264F"/>
    <w:rsid w:val="00DB3A6E"/>
    <w:rsid w:val="00DB615F"/>
    <w:rsid w:val="00DB6850"/>
    <w:rsid w:val="00DB6D32"/>
    <w:rsid w:val="00DB7308"/>
    <w:rsid w:val="00DB7352"/>
    <w:rsid w:val="00DB78F0"/>
    <w:rsid w:val="00DC0CEA"/>
    <w:rsid w:val="00DC17B0"/>
    <w:rsid w:val="00DC2E43"/>
    <w:rsid w:val="00DC34AC"/>
    <w:rsid w:val="00DC55A3"/>
    <w:rsid w:val="00DD095C"/>
    <w:rsid w:val="00DD0A7A"/>
    <w:rsid w:val="00DD1020"/>
    <w:rsid w:val="00DD1330"/>
    <w:rsid w:val="00DD1D1D"/>
    <w:rsid w:val="00DD26E3"/>
    <w:rsid w:val="00DD2870"/>
    <w:rsid w:val="00DD28E0"/>
    <w:rsid w:val="00DD3231"/>
    <w:rsid w:val="00DD4982"/>
    <w:rsid w:val="00DD4AD9"/>
    <w:rsid w:val="00DE0B83"/>
    <w:rsid w:val="00DE0D0F"/>
    <w:rsid w:val="00DE1A81"/>
    <w:rsid w:val="00DE1C13"/>
    <w:rsid w:val="00DE2677"/>
    <w:rsid w:val="00DE4059"/>
    <w:rsid w:val="00DE4D02"/>
    <w:rsid w:val="00DE4E10"/>
    <w:rsid w:val="00DE7083"/>
    <w:rsid w:val="00DE73EA"/>
    <w:rsid w:val="00DE7949"/>
    <w:rsid w:val="00DF0A05"/>
    <w:rsid w:val="00DF0D87"/>
    <w:rsid w:val="00DF2B15"/>
    <w:rsid w:val="00DF4689"/>
    <w:rsid w:val="00DF5AF9"/>
    <w:rsid w:val="00DF6797"/>
    <w:rsid w:val="00DF6A1A"/>
    <w:rsid w:val="00E00D05"/>
    <w:rsid w:val="00E00E03"/>
    <w:rsid w:val="00E02058"/>
    <w:rsid w:val="00E02ABF"/>
    <w:rsid w:val="00E0557E"/>
    <w:rsid w:val="00E06679"/>
    <w:rsid w:val="00E1023A"/>
    <w:rsid w:val="00E10BCB"/>
    <w:rsid w:val="00E14995"/>
    <w:rsid w:val="00E1642A"/>
    <w:rsid w:val="00E166B0"/>
    <w:rsid w:val="00E179CD"/>
    <w:rsid w:val="00E20341"/>
    <w:rsid w:val="00E20769"/>
    <w:rsid w:val="00E20F2C"/>
    <w:rsid w:val="00E218E6"/>
    <w:rsid w:val="00E23250"/>
    <w:rsid w:val="00E23E8D"/>
    <w:rsid w:val="00E246E3"/>
    <w:rsid w:val="00E252F3"/>
    <w:rsid w:val="00E253EB"/>
    <w:rsid w:val="00E30E9F"/>
    <w:rsid w:val="00E311A3"/>
    <w:rsid w:val="00E360E6"/>
    <w:rsid w:val="00E37A68"/>
    <w:rsid w:val="00E37F98"/>
    <w:rsid w:val="00E409BA"/>
    <w:rsid w:val="00E41CDE"/>
    <w:rsid w:val="00E42FA6"/>
    <w:rsid w:val="00E4490E"/>
    <w:rsid w:val="00E462E7"/>
    <w:rsid w:val="00E46559"/>
    <w:rsid w:val="00E5022C"/>
    <w:rsid w:val="00E62175"/>
    <w:rsid w:val="00E6670C"/>
    <w:rsid w:val="00E67F6F"/>
    <w:rsid w:val="00E70AED"/>
    <w:rsid w:val="00E7437E"/>
    <w:rsid w:val="00E744B2"/>
    <w:rsid w:val="00E75966"/>
    <w:rsid w:val="00E776E8"/>
    <w:rsid w:val="00E80835"/>
    <w:rsid w:val="00E826C5"/>
    <w:rsid w:val="00E83938"/>
    <w:rsid w:val="00E83AD7"/>
    <w:rsid w:val="00E86AD5"/>
    <w:rsid w:val="00E92C1F"/>
    <w:rsid w:val="00E94DA1"/>
    <w:rsid w:val="00E95D4B"/>
    <w:rsid w:val="00E96E3C"/>
    <w:rsid w:val="00E97C90"/>
    <w:rsid w:val="00EA02AF"/>
    <w:rsid w:val="00EA20DE"/>
    <w:rsid w:val="00EA3187"/>
    <w:rsid w:val="00EA3C1F"/>
    <w:rsid w:val="00EA4241"/>
    <w:rsid w:val="00EA5176"/>
    <w:rsid w:val="00EA5325"/>
    <w:rsid w:val="00EA6728"/>
    <w:rsid w:val="00EA688A"/>
    <w:rsid w:val="00EA6D0E"/>
    <w:rsid w:val="00EA6E89"/>
    <w:rsid w:val="00EA76B8"/>
    <w:rsid w:val="00EB0D3C"/>
    <w:rsid w:val="00EB0FC5"/>
    <w:rsid w:val="00EB14E3"/>
    <w:rsid w:val="00EB199F"/>
    <w:rsid w:val="00EB4F0F"/>
    <w:rsid w:val="00EC23F7"/>
    <w:rsid w:val="00EC3D88"/>
    <w:rsid w:val="00EC4684"/>
    <w:rsid w:val="00EC4BD8"/>
    <w:rsid w:val="00EC63EB"/>
    <w:rsid w:val="00ED00F1"/>
    <w:rsid w:val="00ED23A9"/>
    <w:rsid w:val="00ED25EB"/>
    <w:rsid w:val="00ED3684"/>
    <w:rsid w:val="00ED412F"/>
    <w:rsid w:val="00ED5BD1"/>
    <w:rsid w:val="00ED7D8C"/>
    <w:rsid w:val="00EE20B3"/>
    <w:rsid w:val="00EE403C"/>
    <w:rsid w:val="00EE5800"/>
    <w:rsid w:val="00EE60CA"/>
    <w:rsid w:val="00EF0186"/>
    <w:rsid w:val="00EF0B43"/>
    <w:rsid w:val="00EF0E3C"/>
    <w:rsid w:val="00EF36B2"/>
    <w:rsid w:val="00EF3CB9"/>
    <w:rsid w:val="00EF51CA"/>
    <w:rsid w:val="00EF5800"/>
    <w:rsid w:val="00EF5887"/>
    <w:rsid w:val="00EF6E0B"/>
    <w:rsid w:val="00EF77F9"/>
    <w:rsid w:val="00F0319E"/>
    <w:rsid w:val="00F068C5"/>
    <w:rsid w:val="00F1231C"/>
    <w:rsid w:val="00F1246B"/>
    <w:rsid w:val="00F143FE"/>
    <w:rsid w:val="00F16CC4"/>
    <w:rsid w:val="00F17432"/>
    <w:rsid w:val="00F17B35"/>
    <w:rsid w:val="00F201EC"/>
    <w:rsid w:val="00F208A9"/>
    <w:rsid w:val="00F2102F"/>
    <w:rsid w:val="00F22360"/>
    <w:rsid w:val="00F22CAF"/>
    <w:rsid w:val="00F23DB4"/>
    <w:rsid w:val="00F31A26"/>
    <w:rsid w:val="00F3235F"/>
    <w:rsid w:val="00F328FE"/>
    <w:rsid w:val="00F35101"/>
    <w:rsid w:val="00F37796"/>
    <w:rsid w:val="00F40610"/>
    <w:rsid w:val="00F41D75"/>
    <w:rsid w:val="00F4459C"/>
    <w:rsid w:val="00F445BB"/>
    <w:rsid w:val="00F44E34"/>
    <w:rsid w:val="00F508C7"/>
    <w:rsid w:val="00F50AB3"/>
    <w:rsid w:val="00F5139D"/>
    <w:rsid w:val="00F5498A"/>
    <w:rsid w:val="00F54A2A"/>
    <w:rsid w:val="00F55314"/>
    <w:rsid w:val="00F55977"/>
    <w:rsid w:val="00F55BE5"/>
    <w:rsid w:val="00F62F43"/>
    <w:rsid w:val="00F63DAC"/>
    <w:rsid w:val="00F63F3E"/>
    <w:rsid w:val="00F64A42"/>
    <w:rsid w:val="00F651F8"/>
    <w:rsid w:val="00F6677F"/>
    <w:rsid w:val="00F66DA3"/>
    <w:rsid w:val="00F71B07"/>
    <w:rsid w:val="00F7378D"/>
    <w:rsid w:val="00F73F43"/>
    <w:rsid w:val="00F7454F"/>
    <w:rsid w:val="00F745ED"/>
    <w:rsid w:val="00F74C18"/>
    <w:rsid w:val="00F77511"/>
    <w:rsid w:val="00F77988"/>
    <w:rsid w:val="00F77F48"/>
    <w:rsid w:val="00F82FD3"/>
    <w:rsid w:val="00F83D68"/>
    <w:rsid w:val="00F846BB"/>
    <w:rsid w:val="00F86CC1"/>
    <w:rsid w:val="00F86EFE"/>
    <w:rsid w:val="00F873D3"/>
    <w:rsid w:val="00F87EAD"/>
    <w:rsid w:val="00F92B3E"/>
    <w:rsid w:val="00F932CC"/>
    <w:rsid w:val="00F9397B"/>
    <w:rsid w:val="00F95719"/>
    <w:rsid w:val="00F96858"/>
    <w:rsid w:val="00FA0FD5"/>
    <w:rsid w:val="00FA6DD0"/>
    <w:rsid w:val="00FA7B88"/>
    <w:rsid w:val="00FB2B33"/>
    <w:rsid w:val="00FB30F1"/>
    <w:rsid w:val="00FB331B"/>
    <w:rsid w:val="00FB3580"/>
    <w:rsid w:val="00FB37FF"/>
    <w:rsid w:val="00FB3AD8"/>
    <w:rsid w:val="00FB53E7"/>
    <w:rsid w:val="00FB5BAF"/>
    <w:rsid w:val="00FB62D6"/>
    <w:rsid w:val="00FB69DD"/>
    <w:rsid w:val="00FC1711"/>
    <w:rsid w:val="00FC66E2"/>
    <w:rsid w:val="00FD0C45"/>
    <w:rsid w:val="00FD2A8A"/>
    <w:rsid w:val="00FD4D57"/>
    <w:rsid w:val="00FD501C"/>
    <w:rsid w:val="00FD5301"/>
    <w:rsid w:val="00FE2265"/>
    <w:rsid w:val="00FE43C6"/>
    <w:rsid w:val="00FE4836"/>
    <w:rsid w:val="00FE4973"/>
    <w:rsid w:val="00FE4B5F"/>
    <w:rsid w:val="00FE5A2C"/>
    <w:rsid w:val="00FE5E08"/>
    <w:rsid w:val="00FE6FA7"/>
    <w:rsid w:val="00FF1DA3"/>
    <w:rsid w:val="00FF5C64"/>
    <w:rsid w:val="00FF7B75"/>
    <w:rsid w:val="00FF7D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paragraph" w:styleId="EndnoteText">
    <w:name w:val="endnote text"/>
    <w:basedOn w:val="Normal"/>
    <w:link w:val="EndnoteTextChar"/>
    <w:rsid w:val="00DE4059"/>
    <w:rPr>
      <w:sz w:val="20"/>
      <w:szCs w:val="20"/>
    </w:rPr>
  </w:style>
  <w:style w:type="character" w:customStyle="1" w:styleId="EndnoteTextChar">
    <w:name w:val="Endnote Text Char"/>
    <w:basedOn w:val="DefaultParagraphFont"/>
    <w:link w:val="EndnoteText"/>
    <w:rsid w:val="00DE4059"/>
  </w:style>
  <w:style w:type="character" w:styleId="EndnoteReference">
    <w:name w:val="endnote reference"/>
    <w:basedOn w:val="DefaultParagraphFont"/>
    <w:rsid w:val="00DE4059"/>
    <w:rPr>
      <w:vertAlign w:val="superscript"/>
    </w:rPr>
  </w:style>
  <w:style w:type="paragraph" w:customStyle="1" w:styleId="tv2132">
    <w:name w:val="tv2132"/>
    <w:basedOn w:val="Normal"/>
    <w:rsid w:val="00684772"/>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paragraph" w:styleId="EndnoteText">
    <w:name w:val="endnote text"/>
    <w:basedOn w:val="Normal"/>
    <w:link w:val="EndnoteTextChar"/>
    <w:rsid w:val="00DE4059"/>
    <w:rPr>
      <w:sz w:val="20"/>
      <w:szCs w:val="20"/>
    </w:rPr>
  </w:style>
  <w:style w:type="character" w:customStyle="1" w:styleId="EndnoteTextChar">
    <w:name w:val="Endnote Text Char"/>
    <w:basedOn w:val="DefaultParagraphFont"/>
    <w:link w:val="EndnoteText"/>
    <w:rsid w:val="00DE4059"/>
  </w:style>
  <w:style w:type="character" w:styleId="EndnoteReference">
    <w:name w:val="endnote reference"/>
    <w:basedOn w:val="DefaultParagraphFont"/>
    <w:rsid w:val="00DE4059"/>
    <w:rPr>
      <w:vertAlign w:val="superscript"/>
    </w:rPr>
  </w:style>
  <w:style w:type="paragraph" w:customStyle="1" w:styleId="tv2132">
    <w:name w:val="tv2132"/>
    <w:basedOn w:val="Normal"/>
    <w:rsid w:val="00684772"/>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030">
      <w:bodyDiv w:val="1"/>
      <w:marLeft w:val="0"/>
      <w:marRight w:val="0"/>
      <w:marTop w:val="0"/>
      <w:marBottom w:val="0"/>
      <w:divBdr>
        <w:top w:val="none" w:sz="0" w:space="0" w:color="auto"/>
        <w:left w:val="none" w:sz="0" w:space="0" w:color="auto"/>
        <w:bottom w:val="none" w:sz="0" w:space="0" w:color="auto"/>
        <w:right w:val="none" w:sz="0" w:space="0" w:color="auto"/>
      </w:divBdr>
      <w:divsChild>
        <w:div w:id="1944728670">
          <w:marLeft w:val="0"/>
          <w:marRight w:val="0"/>
          <w:marTop w:val="0"/>
          <w:marBottom w:val="0"/>
          <w:divBdr>
            <w:top w:val="none" w:sz="0" w:space="0" w:color="auto"/>
            <w:left w:val="none" w:sz="0" w:space="0" w:color="auto"/>
            <w:bottom w:val="none" w:sz="0" w:space="0" w:color="auto"/>
            <w:right w:val="none" w:sz="0" w:space="0" w:color="auto"/>
          </w:divBdr>
          <w:divsChild>
            <w:div w:id="321740206">
              <w:marLeft w:val="0"/>
              <w:marRight w:val="0"/>
              <w:marTop w:val="0"/>
              <w:marBottom w:val="0"/>
              <w:divBdr>
                <w:top w:val="none" w:sz="0" w:space="0" w:color="auto"/>
                <w:left w:val="none" w:sz="0" w:space="0" w:color="auto"/>
                <w:bottom w:val="none" w:sz="0" w:space="0" w:color="auto"/>
                <w:right w:val="none" w:sz="0" w:space="0" w:color="auto"/>
              </w:divBdr>
              <w:divsChild>
                <w:div w:id="558977607">
                  <w:marLeft w:val="0"/>
                  <w:marRight w:val="0"/>
                  <w:marTop w:val="0"/>
                  <w:marBottom w:val="0"/>
                  <w:divBdr>
                    <w:top w:val="none" w:sz="0" w:space="0" w:color="auto"/>
                    <w:left w:val="none" w:sz="0" w:space="0" w:color="auto"/>
                    <w:bottom w:val="none" w:sz="0" w:space="0" w:color="auto"/>
                    <w:right w:val="none" w:sz="0" w:space="0" w:color="auto"/>
                  </w:divBdr>
                  <w:divsChild>
                    <w:div w:id="924075557">
                      <w:marLeft w:val="0"/>
                      <w:marRight w:val="0"/>
                      <w:marTop w:val="0"/>
                      <w:marBottom w:val="0"/>
                      <w:divBdr>
                        <w:top w:val="none" w:sz="0" w:space="0" w:color="auto"/>
                        <w:left w:val="none" w:sz="0" w:space="0" w:color="auto"/>
                        <w:bottom w:val="none" w:sz="0" w:space="0" w:color="auto"/>
                        <w:right w:val="none" w:sz="0" w:space="0" w:color="auto"/>
                      </w:divBdr>
                      <w:divsChild>
                        <w:div w:id="1255282522">
                          <w:marLeft w:val="0"/>
                          <w:marRight w:val="0"/>
                          <w:marTop w:val="0"/>
                          <w:marBottom w:val="0"/>
                          <w:divBdr>
                            <w:top w:val="none" w:sz="0" w:space="0" w:color="auto"/>
                            <w:left w:val="none" w:sz="0" w:space="0" w:color="auto"/>
                            <w:bottom w:val="none" w:sz="0" w:space="0" w:color="auto"/>
                            <w:right w:val="none" w:sz="0" w:space="0" w:color="auto"/>
                          </w:divBdr>
                          <w:divsChild>
                            <w:div w:id="20262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9005697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065104641">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233155857">
      <w:bodyDiv w:val="1"/>
      <w:marLeft w:val="0"/>
      <w:marRight w:val="0"/>
      <w:marTop w:val="0"/>
      <w:marBottom w:val="0"/>
      <w:divBdr>
        <w:top w:val="none" w:sz="0" w:space="0" w:color="auto"/>
        <w:left w:val="none" w:sz="0" w:space="0" w:color="auto"/>
        <w:bottom w:val="none" w:sz="0" w:space="0" w:color="auto"/>
        <w:right w:val="none" w:sz="0" w:space="0" w:color="auto"/>
      </w:divBdr>
      <w:divsChild>
        <w:div w:id="1822850556">
          <w:marLeft w:val="0"/>
          <w:marRight w:val="0"/>
          <w:marTop w:val="0"/>
          <w:marBottom w:val="0"/>
          <w:divBdr>
            <w:top w:val="none" w:sz="0" w:space="0" w:color="auto"/>
            <w:left w:val="none" w:sz="0" w:space="0" w:color="auto"/>
            <w:bottom w:val="none" w:sz="0" w:space="0" w:color="auto"/>
            <w:right w:val="none" w:sz="0" w:space="0" w:color="auto"/>
          </w:divBdr>
          <w:divsChild>
            <w:div w:id="291180034">
              <w:marLeft w:val="0"/>
              <w:marRight w:val="0"/>
              <w:marTop w:val="0"/>
              <w:marBottom w:val="0"/>
              <w:divBdr>
                <w:top w:val="none" w:sz="0" w:space="0" w:color="auto"/>
                <w:left w:val="none" w:sz="0" w:space="0" w:color="auto"/>
                <w:bottom w:val="none" w:sz="0" w:space="0" w:color="auto"/>
                <w:right w:val="none" w:sz="0" w:space="0" w:color="auto"/>
              </w:divBdr>
              <w:divsChild>
                <w:div w:id="1705010814">
                  <w:marLeft w:val="0"/>
                  <w:marRight w:val="0"/>
                  <w:marTop w:val="0"/>
                  <w:marBottom w:val="0"/>
                  <w:divBdr>
                    <w:top w:val="none" w:sz="0" w:space="0" w:color="auto"/>
                    <w:left w:val="none" w:sz="0" w:space="0" w:color="auto"/>
                    <w:bottom w:val="none" w:sz="0" w:space="0" w:color="auto"/>
                    <w:right w:val="none" w:sz="0" w:space="0" w:color="auto"/>
                  </w:divBdr>
                  <w:divsChild>
                    <w:div w:id="61099416">
                      <w:marLeft w:val="0"/>
                      <w:marRight w:val="0"/>
                      <w:marTop w:val="0"/>
                      <w:marBottom w:val="0"/>
                      <w:divBdr>
                        <w:top w:val="none" w:sz="0" w:space="0" w:color="auto"/>
                        <w:left w:val="none" w:sz="0" w:space="0" w:color="auto"/>
                        <w:bottom w:val="none" w:sz="0" w:space="0" w:color="auto"/>
                        <w:right w:val="none" w:sz="0" w:space="0" w:color="auto"/>
                      </w:divBdr>
                      <w:divsChild>
                        <w:div w:id="645860603">
                          <w:marLeft w:val="0"/>
                          <w:marRight w:val="0"/>
                          <w:marTop w:val="0"/>
                          <w:marBottom w:val="0"/>
                          <w:divBdr>
                            <w:top w:val="none" w:sz="0" w:space="0" w:color="auto"/>
                            <w:left w:val="none" w:sz="0" w:space="0" w:color="auto"/>
                            <w:bottom w:val="none" w:sz="0" w:space="0" w:color="auto"/>
                            <w:right w:val="none" w:sz="0" w:space="0" w:color="auto"/>
                          </w:divBdr>
                          <w:divsChild>
                            <w:div w:id="2690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07594363">
      <w:bodyDiv w:val="1"/>
      <w:marLeft w:val="0"/>
      <w:marRight w:val="0"/>
      <w:marTop w:val="0"/>
      <w:marBottom w:val="0"/>
      <w:divBdr>
        <w:top w:val="none" w:sz="0" w:space="0" w:color="auto"/>
        <w:left w:val="none" w:sz="0" w:space="0" w:color="auto"/>
        <w:bottom w:val="none" w:sz="0" w:space="0" w:color="auto"/>
        <w:right w:val="none" w:sz="0" w:space="0" w:color="auto"/>
      </w:divBdr>
      <w:divsChild>
        <w:div w:id="302394153">
          <w:marLeft w:val="0"/>
          <w:marRight w:val="0"/>
          <w:marTop w:val="0"/>
          <w:marBottom w:val="0"/>
          <w:divBdr>
            <w:top w:val="none" w:sz="0" w:space="0" w:color="auto"/>
            <w:left w:val="none" w:sz="0" w:space="0" w:color="auto"/>
            <w:bottom w:val="none" w:sz="0" w:space="0" w:color="auto"/>
            <w:right w:val="none" w:sz="0" w:space="0" w:color="auto"/>
          </w:divBdr>
          <w:divsChild>
            <w:div w:id="313027392">
              <w:marLeft w:val="0"/>
              <w:marRight w:val="0"/>
              <w:marTop w:val="0"/>
              <w:marBottom w:val="0"/>
              <w:divBdr>
                <w:top w:val="none" w:sz="0" w:space="0" w:color="auto"/>
                <w:left w:val="none" w:sz="0" w:space="0" w:color="auto"/>
                <w:bottom w:val="none" w:sz="0" w:space="0" w:color="auto"/>
                <w:right w:val="none" w:sz="0" w:space="0" w:color="auto"/>
              </w:divBdr>
              <w:divsChild>
                <w:div w:id="858784261">
                  <w:marLeft w:val="0"/>
                  <w:marRight w:val="0"/>
                  <w:marTop w:val="0"/>
                  <w:marBottom w:val="0"/>
                  <w:divBdr>
                    <w:top w:val="none" w:sz="0" w:space="0" w:color="auto"/>
                    <w:left w:val="none" w:sz="0" w:space="0" w:color="auto"/>
                    <w:bottom w:val="none" w:sz="0" w:space="0" w:color="auto"/>
                    <w:right w:val="none" w:sz="0" w:space="0" w:color="auto"/>
                  </w:divBdr>
                  <w:divsChild>
                    <w:div w:id="814878469">
                      <w:marLeft w:val="0"/>
                      <w:marRight w:val="0"/>
                      <w:marTop w:val="0"/>
                      <w:marBottom w:val="0"/>
                      <w:divBdr>
                        <w:top w:val="none" w:sz="0" w:space="0" w:color="auto"/>
                        <w:left w:val="none" w:sz="0" w:space="0" w:color="auto"/>
                        <w:bottom w:val="none" w:sz="0" w:space="0" w:color="auto"/>
                        <w:right w:val="none" w:sz="0" w:space="0" w:color="auto"/>
                      </w:divBdr>
                      <w:divsChild>
                        <w:div w:id="1273513183">
                          <w:marLeft w:val="0"/>
                          <w:marRight w:val="0"/>
                          <w:marTop w:val="0"/>
                          <w:marBottom w:val="0"/>
                          <w:divBdr>
                            <w:top w:val="none" w:sz="0" w:space="0" w:color="auto"/>
                            <w:left w:val="none" w:sz="0" w:space="0" w:color="auto"/>
                            <w:bottom w:val="none" w:sz="0" w:space="0" w:color="auto"/>
                            <w:right w:val="none" w:sz="0" w:space="0" w:color="auto"/>
                          </w:divBdr>
                          <w:divsChild>
                            <w:div w:id="17655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1832216945">
      <w:bodyDiv w:val="1"/>
      <w:marLeft w:val="0"/>
      <w:marRight w:val="0"/>
      <w:marTop w:val="0"/>
      <w:marBottom w:val="0"/>
      <w:divBdr>
        <w:top w:val="none" w:sz="0" w:space="0" w:color="auto"/>
        <w:left w:val="none" w:sz="0" w:space="0" w:color="auto"/>
        <w:bottom w:val="none" w:sz="0" w:space="0" w:color="auto"/>
        <w:right w:val="none" w:sz="0" w:space="0" w:color="auto"/>
      </w:divBdr>
      <w:divsChild>
        <w:div w:id="1493133182">
          <w:marLeft w:val="0"/>
          <w:marRight w:val="0"/>
          <w:marTop w:val="0"/>
          <w:marBottom w:val="0"/>
          <w:divBdr>
            <w:top w:val="none" w:sz="0" w:space="0" w:color="auto"/>
            <w:left w:val="none" w:sz="0" w:space="0" w:color="auto"/>
            <w:bottom w:val="none" w:sz="0" w:space="0" w:color="auto"/>
            <w:right w:val="none" w:sz="0" w:space="0" w:color="auto"/>
          </w:divBdr>
          <w:divsChild>
            <w:div w:id="1231579703">
              <w:marLeft w:val="0"/>
              <w:marRight w:val="0"/>
              <w:marTop w:val="0"/>
              <w:marBottom w:val="0"/>
              <w:divBdr>
                <w:top w:val="none" w:sz="0" w:space="0" w:color="auto"/>
                <w:left w:val="none" w:sz="0" w:space="0" w:color="auto"/>
                <w:bottom w:val="none" w:sz="0" w:space="0" w:color="auto"/>
                <w:right w:val="none" w:sz="0" w:space="0" w:color="auto"/>
              </w:divBdr>
              <w:divsChild>
                <w:div w:id="994377850">
                  <w:marLeft w:val="0"/>
                  <w:marRight w:val="0"/>
                  <w:marTop w:val="0"/>
                  <w:marBottom w:val="0"/>
                  <w:divBdr>
                    <w:top w:val="none" w:sz="0" w:space="0" w:color="auto"/>
                    <w:left w:val="none" w:sz="0" w:space="0" w:color="auto"/>
                    <w:bottom w:val="none" w:sz="0" w:space="0" w:color="auto"/>
                    <w:right w:val="none" w:sz="0" w:space="0" w:color="auto"/>
                  </w:divBdr>
                  <w:divsChild>
                    <w:div w:id="1356807554">
                      <w:marLeft w:val="0"/>
                      <w:marRight w:val="0"/>
                      <w:marTop w:val="0"/>
                      <w:marBottom w:val="0"/>
                      <w:divBdr>
                        <w:top w:val="none" w:sz="0" w:space="0" w:color="auto"/>
                        <w:left w:val="none" w:sz="0" w:space="0" w:color="auto"/>
                        <w:bottom w:val="none" w:sz="0" w:space="0" w:color="auto"/>
                        <w:right w:val="none" w:sz="0" w:space="0" w:color="auto"/>
                      </w:divBdr>
                      <w:divsChild>
                        <w:div w:id="316805185">
                          <w:marLeft w:val="0"/>
                          <w:marRight w:val="0"/>
                          <w:marTop w:val="0"/>
                          <w:marBottom w:val="0"/>
                          <w:divBdr>
                            <w:top w:val="none" w:sz="0" w:space="0" w:color="auto"/>
                            <w:left w:val="none" w:sz="0" w:space="0" w:color="auto"/>
                            <w:bottom w:val="none" w:sz="0" w:space="0" w:color="auto"/>
                            <w:right w:val="none" w:sz="0" w:space="0" w:color="auto"/>
                          </w:divBdr>
                          <w:divsChild>
                            <w:div w:id="4875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sb.gov.lv/statistikas-temas/darba-samaksa-menesalgas-apmera-noteiksana-33177.html" TargetMode="External"/><Relationship Id="rId18" Type="http://schemas.openxmlformats.org/officeDocument/2006/relationships/hyperlink" Target="mailto:solvita.strale@pkc.mk.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ecd.org/daf/ca/oecdguidelinesoncorporategovernanceofstate-ownedenterprises.htm" TargetMode="External"/><Relationship Id="rId2" Type="http://schemas.openxmlformats.org/officeDocument/2006/relationships/customXml" Target="../customXml/item2.xml"/><Relationship Id="rId16" Type="http://schemas.openxmlformats.org/officeDocument/2006/relationships/hyperlink" Target="http://www.oecd.org/daf/ca/oecdguidelinesoncorporategovernanceofstate-ownedenterprises.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v.lv/content/?id=1333"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ecd.org/daf/ca/oecdguidelinesoncorporategovernanceofstate-ownedenterpris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
    <DKP xmlns="2e5bb04e-596e-45bd-9003-43ca78b1ba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DDDCC67E-0AFD-4574-BB20-E1C86079BCCD}">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6167F6A1-9F14-476D-9581-B524E1F7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12131</Words>
  <Characters>6916</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projekts„Kārtība, kādā veic kandidātu atlasi valdes un padomes locekļu amatiem kapitālsabiedrībās, kurās valstij kā dalībniekam (akcionāram) ir tiesības izvirzīt valdes vai padomes locekļus”</vt:lpstr>
      <vt:lpstr>Likumprojekta „Grozījumi Gada pārskatu likumā"</vt:lpstr>
    </vt:vector>
  </TitlesOfParts>
  <Manager>P.Vilks</Manager>
  <Company>PKC</Company>
  <LinksUpToDate>false</LinksUpToDate>
  <CharactersWithSpaces>19009</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veic kandidātu atlasi valdes un padomes locekļu amatiem kapitālsabiedrībās, kurās valstij kā dalībniekam (akcionāram) ir tiesības izvirzīt valdes vai padomes locekļus”</dc:title>
  <dc:subject>Anotācija</dc:subject>
  <dc:creator>Solvita Strale</dc:creator>
  <cp:lastModifiedBy>Solvita Štāle</cp:lastModifiedBy>
  <cp:revision>5</cp:revision>
  <cp:lastPrinted>2015-09-14T09:56:00Z</cp:lastPrinted>
  <dcterms:created xsi:type="dcterms:W3CDTF">2015-09-15T12:17:00Z</dcterms:created>
  <dcterms:modified xsi:type="dcterms:W3CDTF">2015-09-15T12:58:00Z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