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D6" w:rsidRPr="00E84B87" w:rsidRDefault="001105D6" w:rsidP="0049746F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B87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1105D6" w:rsidRPr="00E84B87" w:rsidRDefault="001105D6" w:rsidP="0049746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4B87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:rsidR="0049746F" w:rsidRPr="00E84B87" w:rsidRDefault="0049746F" w:rsidP="0049746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D6" w:rsidRPr="00E84B87" w:rsidRDefault="001105D6" w:rsidP="001105D6">
      <w:pPr>
        <w:tabs>
          <w:tab w:val="right" w:pos="9000"/>
        </w:tabs>
        <w:spacing w:before="120" w:after="0" w:line="240" w:lineRule="auto"/>
        <w:ind w:right="-382"/>
        <w:rPr>
          <w:rFonts w:ascii="Times New Roman" w:hAnsi="Times New Roman" w:cs="Times New Roman"/>
          <w:sz w:val="24"/>
          <w:szCs w:val="24"/>
        </w:rPr>
      </w:pPr>
      <w:proofErr w:type="gramStart"/>
      <w:r w:rsidRPr="00E84B87">
        <w:rPr>
          <w:rFonts w:ascii="Times New Roman" w:hAnsi="Times New Roman" w:cs="Times New Roman"/>
          <w:sz w:val="24"/>
          <w:szCs w:val="24"/>
        </w:rPr>
        <w:t>2015.gada</w:t>
      </w:r>
      <w:proofErr w:type="gramEnd"/>
      <w:r w:rsidRPr="00E84B87">
        <w:rPr>
          <w:rFonts w:ascii="Times New Roman" w:hAnsi="Times New Roman" w:cs="Times New Roman"/>
          <w:sz w:val="24"/>
          <w:szCs w:val="24"/>
        </w:rPr>
        <w:t xml:space="preserve"> __. ___</w:t>
      </w:r>
      <w:r w:rsidRPr="00E84B87">
        <w:rPr>
          <w:rFonts w:ascii="Times New Roman" w:hAnsi="Times New Roman" w:cs="Times New Roman"/>
          <w:sz w:val="24"/>
          <w:szCs w:val="24"/>
        </w:rPr>
        <w:tab/>
        <w:t>Noteikumi Nr. __</w:t>
      </w:r>
    </w:p>
    <w:p w:rsidR="001105D6" w:rsidRPr="00E84B87" w:rsidRDefault="001105D6" w:rsidP="001105D6">
      <w:pPr>
        <w:tabs>
          <w:tab w:val="right" w:pos="9000"/>
        </w:tabs>
        <w:spacing w:before="120" w:after="0" w:line="240" w:lineRule="auto"/>
        <w:ind w:right="-382"/>
        <w:rPr>
          <w:rFonts w:ascii="Times New Roman" w:hAnsi="Times New Roman" w:cs="Times New Roman"/>
          <w:sz w:val="24"/>
          <w:szCs w:val="24"/>
        </w:rPr>
      </w:pPr>
      <w:r w:rsidRPr="00E84B87">
        <w:rPr>
          <w:rFonts w:ascii="Times New Roman" w:hAnsi="Times New Roman" w:cs="Times New Roman"/>
          <w:sz w:val="24"/>
          <w:szCs w:val="24"/>
        </w:rPr>
        <w:t>Rīgā</w:t>
      </w:r>
      <w:r w:rsidRPr="00E84B87">
        <w:rPr>
          <w:rFonts w:ascii="Times New Roman" w:hAnsi="Times New Roman" w:cs="Times New Roman"/>
          <w:sz w:val="24"/>
          <w:szCs w:val="24"/>
        </w:rPr>
        <w:tab/>
        <w:t>prot. Nr. __ __. §)</w:t>
      </w:r>
    </w:p>
    <w:p w:rsidR="002C7E22" w:rsidRPr="00E84B87" w:rsidRDefault="002C7E22" w:rsidP="001105D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A16F4C" w:rsidRPr="00E84B87" w:rsidRDefault="00A16F4C" w:rsidP="001105D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2C7E22" w:rsidRPr="00E84B87" w:rsidRDefault="002C7E22" w:rsidP="00C8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Noteikumi par </w:t>
      </w:r>
      <w:r w:rsidR="003E6612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>publisk</w:t>
      </w:r>
      <w:r w:rsidR="00587E9A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>as</w:t>
      </w:r>
      <w:r w:rsidR="003E6612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587E9A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>as</w:t>
      </w:r>
      <w:r w:rsidR="003E6612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>kapitālsabiedrīb</w:t>
      </w:r>
      <w:r w:rsidR="00F40F1F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>u</w:t>
      </w:r>
      <w:r w:rsidR="00B11F5D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un publiski privāt</w:t>
      </w:r>
      <w:r w:rsidR="00F40F1F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>o</w:t>
      </w:r>
      <w:r w:rsidR="00B11F5D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kapitālsabiedrīb</w:t>
      </w:r>
      <w:r w:rsidR="00F40F1F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>u</w:t>
      </w:r>
      <w:r w:rsidR="00B11F5D"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84B87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valdes un padomes locekļu maksimālo mēneša atlīdzības apmēru </w:t>
      </w:r>
    </w:p>
    <w:p w:rsidR="002C7E22" w:rsidRPr="00E84B87" w:rsidRDefault="002C7E22" w:rsidP="001105D6">
      <w:pPr>
        <w:spacing w:before="120" w:after="0" w:line="240" w:lineRule="auto"/>
        <w:ind w:left="3969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p w:rsidR="001105D6" w:rsidRPr="00E84B87" w:rsidRDefault="001105D6" w:rsidP="001105D6">
      <w:pPr>
        <w:spacing w:before="120" w:after="0" w:line="240" w:lineRule="auto"/>
        <w:ind w:left="3969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84B87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Izdoti saskaņā ar Publiskas personas kapitāla daļu un kapitālsabiedrību pārvaldības likuma </w:t>
      </w:r>
      <w:proofErr w:type="gramStart"/>
      <w:r w:rsidR="00CD1533" w:rsidRPr="00E84B87">
        <w:rPr>
          <w:rFonts w:ascii="Times New Roman" w:hAnsi="Times New Roman" w:cs="Times New Roman"/>
          <w:iCs/>
          <w:sz w:val="24"/>
          <w:szCs w:val="24"/>
          <w:lang w:eastAsia="lv-LV"/>
        </w:rPr>
        <w:t>79.panta</w:t>
      </w:r>
      <w:proofErr w:type="gramEnd"/>
      <w:r w:rsidR="00CD1533" w:rsidRPr="00E84B87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ceturto </w:t>
      </w:r>
      <w:r w:rsidRPr="00E84B87">
        <w:rPr>
          <w:rFonts w:ascii="Times New Roman" w:hAnsi="Times New Roman" w:cs="Times New Roman"/>
          <w:iCs/>
          <w:sz w:val="24"/>
          <w:szCs w:val="24"/>
          <w:lang w:eastAsia="lv-LV"/>
        </w:rPr>
        <w:t>daļu</w:t>
      </w:r>
      <w:r w:rsidR="00CD1533" w:rsidRPr="00E84B87">
        <w:rPr>
          <w:rFonts w:ascii="Times New Roman" w:hAnsi="Times New Roman" w:cs="Times New Roman"/>
          <w:iCs/>
          <w:sz w:val="24"/>
          <w:szCs w:val="24"/>
          <w:lang w:eastAsia="lv-LV"/>
        </w:rPr>
        <w:t>, 112.panta pirmo daļu un 117.panta pirmo daļu</w:t>
      </w:r>
    </w:p>
    <w:p w:rsidR="00CD1533" w:rsidRPr="00E84B87" w:rsidRDefault="00CD1533" w:rsidP="001105D6">
      <w:pPr>
        <w:spacing w:before="120" w:after="0" w:line="240" w:lineRule="auto"/>
        <w:ind w:left="3969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p w:rsidR="00893BB5" w:rsidRPr="00E84B87" w:rsidRDefault="00442EC8" w:rsidP="00893BB5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Noteikumi nosaka </w:t>
      </w:r>
      <w:r w:rsidR="003E6612" w:rsidRPr="00E84B87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publisk</w:t>
      </w:r>
      <w:r w:rsidR="00944864" w:rsidRPr="00E84B87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as</w:t>
      </w:r>
      <w:r w:rsidR="003E6612" w:rsidRPr="00E84B87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person</w:t>
      </w:r>
      <w:r w:rsidR="00944864" w:rsidRPr="00E84B87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as</w:t>
      </w:r>
      <w:r w:rsidR="003E6612" w:rsidRPr="00E84B87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>kapitālsabiedrīb</w:t>
      </w:r>
      <w:r w:rsidR="00F40F1F" w:rsidRPr="00E84B87"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2C7DAB" w:rsidRPr="00E84B87">
        <w:rPr>
          <w:rFonts w:ascii="Times New Roman" w:hAnsi="Times New Roman" w:cs="Times New Roman"/>
          <w:sz w:val="24"/>
          <w:szCs w:val="24"/>
          <w:lang w:eastAsia="lv-LV"/>
        </w:rPr>
        <w:t>un publiski privāt</w:t>
      </w:r>
      <w:r w:rsidR="00F40F1F" w:rsidRPr="00E84B87">
        <w:rPr>
          <w:rFonts w:ascii="Times New Roman" w:hAnsi="Times New Roman" w:cs="Times New Roman"/>
          <w:sz w:val="24"/>
          <w:szCs w:val="24"/>
          <w:lang w:eastAsia="lv-LV"/>
        </w:rPr>
        <w:t>o</w:t>
      </w:r>
      <w:r w:rsidR="002C7DAB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kapitālsabiedrīb</w:t>
      </w:r>
      <w:r w:rsidR="00F40F1F" w:rsidRPr="00E84B87"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="002C7DAB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>(turpmāk – kapitālsabiedrība) valdes un padomes locekļ</w:t>
      </w:r>
      <w:r w:rsidR="00C47651" w:rsidRPr="00E84B87">
        <w:rPr>
          <w:rFonts w:ascii="Times New Roman" w:hAnsi="Times New Roman" w:cs="Times New Roman"/>
          <w:sz w:val="24"/>
          <w:szCs w:val="24"/>
          <w:lang w:eastAsia="lv-LV"/>
        </w:rPr>
        <w:t>u maksimāl</w:t>
      </w:r>
      <w:r w:rsidR="00F40F1F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o </w:t>
      </w:r>
      <w:r w:rsidR="00C47651" w:rsidRPr="00E84B87">
        <w:rPr>
          <w:rFonts w:ascii="Times New Roman" w:hAnsi="Times New Roman" w:cs="Times New Roman"/>
          <w:sz w:val="24"/>
          <w:szCs w:val="24"/>
          <w:lang w:eastAsia="lv-LV"/>
        </w:rPr>
        <w:t>mēneša atlīdzības apmēr</w:t>
      </w:r>
      <w:r w:rsidR="00F40F1F" w:rsidRPr="00E84B87"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="000E590C" w:rsidRPr="00E84B87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C47651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944864" w:rsidRPr="00E84B87" w:rsidRDefault="00944864" w:rsidP="0094486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26A6D" w:rsidRPr="00E84B87" w:rsidRDefault="00442EC8" w:rsidP="007747D8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Noteikumu mērķis ir </w:t>
      </w:r>
      <w:r w:rsidR="007747D8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noteikt </w:t>
      </w:r>
      <w:r w:rsidR="00472CC6" w:rsidRPr="00E84B87">
        <w:rPr>
          <w:rFonts w:ascii="Times New Roman" w:hAnsi="Times New Roman" w:cs="Times New Roman"/>
          <w:sz w:val="24"/>
          <w:szCs w:val="24"/>
          <w:lang w:eastAsia="lv-LV"/>
        </w:rPr>
        <w:t>atklātu</w:t>
      </w:r>
      <w:r w:rsidR="00576444" w:rsidRPr="00E84B87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472CC6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576444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konkurētspējīgu </w:t>
      </w:r>
      <w:r w:rsidR="007747D8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un motivējošu </w:t>
      </w:r>
      <w:r w:rsidR="003E6612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mēneša </w:t>
      </w:r>
      <w:r w:rsidR="007747D8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atlīdzības sistēmu kapitālsabiedrību valdes un padomes locekļiem, lai </w:t>
      </w:r>
      <w:r w:rsidR="00944864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veicinātu </w:t>
      </w:r>
      <w:r w:rsidR="00300781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kapitālsabiedrību ilgtermiņu </w:t>
      </w:r>
      <w:r w:rsidR="00944864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finanšu un nefinanšu </w:t>
      </w:r>
      <w:r w:rsidR="00300781" w:rsidRPr="00E84B87">
        <w:rPr>
          <w:rFonts w:ascii="Times New Roman" w:hAnsi="Times New Roman" w:cs="Times New Roman"/>
          <w:sz w:val="24"/>
          <w:szCs w:val="24"/>
          <w:lang w:eastAsia="lv-LV"/>
        </w:rPr>
        <w:t>mērķu</w:t>
      </w:r>
      <w:r w:rsidR="00944864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sasniegšanu.</w:t>
      </w:r>
      <w:r w:rsidR="007747D8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3B646B" w:rsidRPr="00E84B87" w:rsidRDefault="003B646B" w:rsidP="003B64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E590C" w:rsidRPr="00E84B87" w:rsidRDefault="002A424E" w:rsidP="007747D8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Lai noteiktu kapitālsabiedrības </w:t>
      </w:r>
      <w:r w:rsidR="00AA466B" w:rsidRPr="00E84B87">
        <w:rPr>
          <w:rFonts w:ascii="Times New Roman" w:hAnsi="Times New Roman" w:cs="Times New Roman"/>
          <w:sz w:val="24"/>
          <w:szCs w:val="24"/>
          <w:lang w:eastAsia="lv-LV"/>
        </w:rPr>
        <w:t>valdes locekļu un padomes locekļu mēneša atlīdzību</w:t>
      </w:r>
      <w:r w:rsidR="000E590C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kapitālsabiedrības iedala četrās grupās no zemākās līdz augstākajai:</w:t>
      </w:r>
    </w:p>
    <w:p w:rsidR="003B646B" w:rsidRPr="00E84B87" w:rsidRDefault="003B646B" w:rsidP="00A26F7C">
      <w:pPr>
        <w:pStyle w:val="ListParagraph"/>
        <w:numPr>
          <w:ilvl w:val="1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mazas kapitālsabiedrības; </w:t>
      </w:r>
    </w:p>
    <w:p w:rsidR="003B646B" w:rsidRPr="00E84B87" w:rsidRDefault="003B646B" w:rsidP="00A26F7C">
      <w:pPr>
        <w:pStyle w:val="ListParagraph"/>
        <w:numPr>
          <w:ilvl w:val="1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vidējas kapitālsabiedrības; </w:t>
      </w:r>
    </w:p>
    <w:p w:rsidR="003B646B" w:rsidRPr="00E84B87" w:rsidRDefault="003B646B" w:rsidP="00A26F7C">
      <w:pPr>
        <w:pStyle w:val="ListParagraph"/>
        <w:numPr>
          <w:ilvl w:val="1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lielas kapitālsabiedrības; </w:t>
      </w:r>
    </w:p>
    <w:p w:rsidR="003B646B" w:rsidRPr="00E84B87" w:rsidRDefault="003B646B" w:rsidP="00A26F7C">
      <w:pPr>
        <w:pStyle w:val="ListParagraph"/>
        <w:numPr>
          <w:ilvl w:val="1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>īpaši lielas kapitālsabiedrības.</w:t>
      </w:r>
    </w:p>
    <w:p w:rsidR="003B646B" w:rsidRPr="00E84B87" w:rsidRDefault="003B646B" w:rsidP="003B646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B646B" w:rsidRPr="00E84B87" w:rsidRDefault="003B646B" w:rsidP="00EE2CEE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>Kapitālsabiedrības lielumu raksturo šādi kritēriji:</w:t>
      </w:r>
    </w:p>
    <w:p w:rsidR="003B646B" w:rsidRPr="00E84B87" w:rsidRDefault="003B646B" w:rsidP="00EE2CEE">
      <w:pPr>
        <w:pStyle w:val="ListParagraph"/>
        <w:numPr>
          <w:ilvl w:val="1"/>
          <w:numId w:val="3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>vidējais darbinieku skaits. To nosaka, saskaitot kapitālsabiedrībā uz darba līguma pamata strādājošos darbiniekus pārskata gada katra mēneša pēdējā datumā un summu dalot ar mēnešu skaitu pārskata gadā (turpmāk – vidējais darbinieku skaits);</w:t>
      </w:r>
    </w:p>
    <w:p w:rsidR="003B646B" w:rsidRPr="00E84B87" w:rsidRDefault="003B646B" w:rsidP="00A26F7C">
      <w:pPr>
        <w:pStyle w:val="ListParagraph"/>
        <w:numPr>
          <w:ilvl w:val="1"/>
          <w:numId w:val="3"/>
        </w:numPr>
        <w:spacing w:before="120" w:after="0" w:line="240" w:lineRule="auto"/>
        <w:ind w:left="1134" w:hanging="70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>finanšu rādītāji:</w:t>
      </w:r>
    </w:p>
    <w:p w:rsidR="003B646B" w:rsidRPr="00E84B87" w:rsidRDefault="00354735" w:rsidP="00504551">
      <w:pPr>
        <w:pStyle w:val="ListParagraph"/>
        <w:numPr>
          <w:ilvl w:val="2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B646B" w:rsidRPr="00E84B87">
        <w:rPr>
          <w:rFonts w:ascii="Times New Roman" w:eastAsia="Times New Roman" w:hAnsi="Times New Roman"/>
          <w:sz w:val="24"/>
          <w:szCs w:val="24"/>
          <w:lang w:eastAsia="lv-LV"/>
        </w:rPr>
        <w:t>bilances kopsumma;</w:t>
      </w:r>
    </w:p>
    <w:p w:rsidR="003B646B" w:rsidRPr="00E84B87" w:rsidRDefault="00354735" w:rsidP="000E0D6B">
      <w:pPr>
        <w:pStyle w:val="ListParagraph"/>
        <w:numPr>
          <w:ilvl w:val="2"/>
          <w:numId w:val="3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B646B" w:rsidRPr="00E84B87">
        <w:rPr>
          <w:rFonts w:ascii="Times New Roman" w:eastAsia="Times New Roman" w:hAnsi="Times New Roman"/>
          <w:sz w:val="24"/>
          <w:szCs w:val="24"/>
          <w:lang w:eastAsia="lv-LV"/>
        </w:rPr>
        <w:t>neto apgrozījums saskaņā ar pēdējo apstiprināto gada pārskatu (turpmāk – neto apgrozījums).</w:t>
      </w:r>
    </w:p>
    <w:p w:rsidR="003B646B" w:rsidRPr="00E84B87" w:rsidRDefault="003B646B" w:rsidP="003B6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B646B" w:rsidRPr="00E84B87" w:rsidRDefault="003B646B" w:rsidP="008816EF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Pieņem, ka jaundibinātai kapitālsabiedrībai līdz pirmā gada pārskata apstiprināšanai šo noteikumu </w:t>
      </w:r>
      <w:hyperlink r:id="rId9" w:anchor="p3" w:tgtFrame="_blank" w:history="1">
        <w:r w:rsidRPr="00E84B87">
          <w:rPr>
            <w:rFonts w:ascii="Times New Roman" w:eastAsia="Times New Roman" w:hAnsi="Times New Roman"/>
            <w:sz w:val="24"/>
            <w:szCs w:val="24"/>
            <w:lang w:eastAsia="lv-LV"/>
          </w:rPr>
          <w:t>4</w:t>
        </w:r>
      </w:hyperlink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>.punktā minētie kritēriji ir plānotie kapitālsabiedrības lielumu raksturojošie kritēriji pirmajam pārskata gadam.</w:t>
      </w:r>
    </w:p>
    <w:p w:rsidR="003B646B" w:rsidRPr="00E84B87" w:rsidRDefault="003B646B" w:rsidP="003B6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B646B" w:rsidRPr="00E84B87" w:rsidRDefault="003B646B" w:rsidP="00C6019A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Reizi gadā pēc gada pārskata apstiprināšanas kapitāla daļu turētājs izvērtē vidējo kapitālsabiedrības darbinieku skaitu un finanšu rādītājus (bilances kopsummu un neto apgrozījumu) un iedala kapitālsabiedrību attiecīgajā grupā:</w:t>
      </w:r>
    </w:p>
    <w:p w:rsidR="003B646B" w:rsidRPr="00E84B87" w:rsidRDefault="00884DB1" w:rsidP="008816EF">
      <w:pPr>
        <w:pStyle w:val="ListParagraph"/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>M</w:t>
      </w:r>
      <w:r w:rsidR="003B646B" w:rsidRPr="00E84B87">
        <w:rPr>
          <w:rFonts w:ascii="Times New Roman" w:hAnsi="Times New Roman"/>
          <w:sz w:val="24"/>
          <w:szCs w:val="24"/>
        </w:rPr>
        <w:t xml:space="preserve">azas kapitālsabiedrības, ja kapitālsabiedrība ir tāda kapitālsabiedrība, kura bilances datumā nepārsniedz vismaz divas no trim šajā daļā minēto kritēriju robežvērtībām: </w:t>
      </w:r>
    </w:p>
    <w:p w:rsidR="003B646B" w:rsidRPr="00E84B87" w:rsidRDefault="003B646B" w:rsidP="008816EF">
      <w:pPr>
        <w:pStyle w:val="ListParagraph"/>
        <w:numPr>
          <w:ilvl w:val="2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 xml:space="preserve">bilances kopsumma — 4 000 000 </w:t>
      </w:r>
      <w:proofErr w:type="spellStart"/>
      <w:r w:rsidRPr="00E84B8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E84B87">
        <w:rPr>
          <w:rFonts w:ascii="Times New Roman" w:hAnsi="Times New Roman"/>
          <w:sz w:val="24"/>
          <w:szCs w:val="24"/>
        </w:rPr>
        <w:t>;</w:t>
      </w:r>
    </w:p>
    <w:p w:rsidR="003B646B" w:rsidRPr="00E84B87" w:rsidRDefault="003B646B" w:rsidP="008816EF">
      <w:pPr>
        <w:pStyle w:val="ListParagraph"/>
        <w:numPr>
          <w:ilvl w:val="2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 xml:space="preserve">neto apgrozījums — 8 000 000 </w:t>
      </w:r>
      <w:proofErr w:type="spellStart"/>
      <w:r w:rsidRPr="00E84B8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E84B87">
        <w:rPr>
          <w:rFonts w:ascii="Times New Roman" w:hAnsi="Times New Roman"/>
          <w:sz w:val="24"/>
          <w:szCs w:val="24"/>
        </w:rPr>
        <w:t xml:space="preserve">; </w:t>
      </w:r>
    </w:p>
    <w:p w:rsidR="003B646B" w:rsidRPr="00E84B87" w:rsidRDefault="003B646B" w:rsidP="008816EF">
      <w:pPr>
        <w:pStyle w:val="ListParagraph"/>
        <w:numPr>
          <w:ilvl w:val="2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 xml:space="preserve">vidējais darbinieku skaits pārskata gadā — 50; </w:t>
      </w:r>
    </w:p>
    <w:p w:rsidR="003B646B" w:rsidRPr="00E84B87" w:rsidRDefault="003B646B" w:rsidP="00884DB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84DB1" w:rsidRPr="00E84B87" w:rsidRDefault="00884DB1" w:rsidP="008816EF">
      <w:pPr>
        <w:pStyle w:val="ListParagraph"/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 xml:space="preserve">Vidējas kapitālsabiedrības, ja kapitālsabiedrība ir tāda kapitālsabiedrība, kura nav maza kapitālsabiedrība un kura bilances datumā nepārsniedz vismaz divas no trim šajā daļā minēto kritēriju robežvērtībām: </w:t>
      </w:r>
    </w:p>
    <w:p w:rsidR="00884DB1" w:rsidRPr="00E84B87" w:rsidRDefault="00884DB1" w:rsidP="008816EF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 xml:space="preserve">6.2.1. bilances kopsumma — 20 000 000 </w:t>
      </w:r>
      <w:proofErr w:type="spellStart"/>
      <w:r w:rsidRPr="00E84B8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E84B87">
        <w:rPr>
          <w:rFonts w:ascii="Times New Roman" w:hAnsi="Times New Roman"/>
          <w:sz w:val="24"/>
          <w:szCs w:val="24"/>
        </w:rPr>
        <w:t xml:space="preserve">; </w:t>
      </w:r>
    </w:p>
    <w:p w:rsidR="00884DB1" w:rsidRPr="00E84B87" w:rsidRDefault="00884DB1" w:rsidP="008816EF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 xml:space="preserve">6.2.2. neto apgrozījums — 40 000 000 </w:t>
      </w:r>
      <w:proofErr w:type="spellStart"/>
      <w:r w:rsidRPr="00E84B8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E84B87">
        <w:rPr>
          <w:rFonts w:ascii="Times New Roman" w:hAnsi="Times New Roman"/>
          <w:sz w:val="24"/>
          <w:szCs w:val="24"/>
        </w:rPr>
        <w:t>;</w:t>
      </w:r>
    </w:p>
    <w:p w:rsidR="00884DB1" w:rsidRPr="00E84B87" w:rsidRDefault="00884DB1" w:rsidP="008816EF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 xml:space="preserve">6.2.3. vidējais darbinieku skaits pārskata gadā — 250; </w:t>
      </w:r>
    </w:p>
    <w:p w:rsidR="00884DB1" w:rsidRPr="00E84B87" w:rsidRDefault="00884DB1" w:rsidP="00884DB1">
      <w:pPr>
        <w:pStyle w:val="ListParagraph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84DB1" w:rsidRPr="00E84B87" w:rsidRDefault="00884DB1" w:rsidP="008816EF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 xml:space="preserve">6.3. Lielas kapitālsabiedrības, ja kapitālsabiedrība ir tāda kapitālsabiedrība, kura nav maza vai vidēja kapitālsabiedrība un kura bilances datumā nepārsniedz vismaz divas no trim šajā daļā minēto kritēriju robežvērtībām: </w:t>
      </w:r>
    </w:p>
    <w:p w:rsidR="00884DB1" w:rsidRPr="00E84B87" w:rsidRDefault="00884DB1" w:rsidP="008816EF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 xml:space="preserve">6.3.1. bilances kopsumma — 100 000 000 </w:t>
      </w:r>
      <w:proofErr w:type="spellStart"/>
      <w:r w:rsidRPr="00E84B8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E84B87">
        <w:rPr>
          <w:rFonts w:ascii="Times New Roman" w:hAnsi="Times New Roman"/>
          <w:sz w:val="24"/>
          <w:szCs w:val="24"/>
        </w:rPr>
        <w:t>;</w:t>
      </w:r>
    </w:p>
    <w:p w:rsidR="00884DB1" w:rsidRPr="00E84B87" w:rsidRDefault="00884DB1" w:rsidP="008816EF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 xml:space="preserve">6.3.2. neto apgrozījums — 200 000 000 </w:t>
      </w:r>
      <w:proofErr w:type="spellStart"/>
      <w:r w:rsidRPr="00E84B8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E84B87">
        <w:rPr>
          <w:rFonts w:ascii="Times New Roman" w:hAnsi="Times New Roman"/>
          <w:sz w:val="24"/>
          <w:szCs w:val="24"/>
        </w:rPr>
        <w:t>;</w:t>
      </w:r>
    </w:p>
    <w:p w:rsidR="00884DB1" w:rsidRPr="00E84B87" w:rsidRDefault="00884DB1" w:rsidP="008816EF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>6.3.3. vidējais darbinieku skaits pārskata gadā — 500;</w:t>
      </w:r>
    </w:p>
    <w:p w:rsidR="00884DB1" w:rsidRPr="00E84B87" w:rsidRDefault="00884DB1" w:rsidP="00884DB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46B" w:rsidRPr="00E84B87" w:rsidRDefault="003B646B" w:rsidP="008816EF">
      <w:pPr>
        <w:pStyle w:val="ListParagraph"/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>Īpaši lielas kapitālsabiedrības, ja kapitālsabiedrība ir tāda kapitālsabiedrība, kura bilances datumā pārsniedz vismaz divas no trim šajā daļā minēto kritēriju robežvērtībām:</w:t>
      </w:r>
    </w:p>
    <w:p w:rsidR="003B646B" w:rsidRPr="00E84B87" w:rsidRDefault="00354735" w:rsidP="008816EF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>6.4.1.</w:t>
      </w:r>
      <w:r w:rsidR="003B646B" w:rsidRPr="00E84B87">
        <w:rPr>
          <w:rFonts w:ascii="Times New Roman" w:hAnsi="Times New Roman"/>
          <w:sz w:val="24"/>
          <w:szCs w:val="24"/>
        </w:rPr>
        <w:t xml:space="preserve"> bilances kopsumma — 100 000 000 </w:t>
      </w:r>
      <w:proofErr w:type="spellStart"/>
      <w:r w:rsidR="003B646B" w:rsidRPr="00E84B8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3B646B" w:rsidRPr="00E84B87">
        <w:rPr>
          <w:rFonts w:ascii="Times New Roman" w:hAnsi="Times New Roman"/>
          <w:sz w:val="24"/>
          <w:szCs w:val="24"/>
        </w:rPr>
        <w:t>;</w:t>
      </w:r>
    </w:p>
    <w:p w:rsidR="003B646B" w:rsidRPr="00E84B87" w:rsidRDefault="00354735" w:rsidP="008816EF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>6.4.2.</w:t>
      </w:r>
      <w:r w:rsidR="003B646B" w:rsidRPr="00E84B87">
        <w:rPr>
          <w:rFonts w:ascii="Times New Roman" w:hAnsi="Times New Roman"/>
          <w:sz w:val="24"/>
          <w:szCs w:val="24"/>
        </w:rPr>
        <w:t xml:space="preserve"> neto apgrozījums — 200 000 000 </w:t>
      </w:r>
      <w:proofErr w:type="spellStart"/>
      <w:r w:rsidR="003B646B" w:rsidRPr="00E84B8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3B646B" w:rsidRPr="00E84B87">
        <w:rPr>
          <w:rFonts w:ascii="Times New Roman" w:hAnsi="Times New Roman"/>
          <w:sz w:val="24"/>
          <w:szCs w:val="24"/>
        </w:rPr>
        <w:t>;</w:t>
      </w:r>
    </w:p>
    <w:p w:rsidR="003B646B" w:rsidRPr="00E84B87" w:rsidRDefault="00354735" w:rsidP="008816EF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>6</w:t>
      </w:r>
      <w:r w:rsidR="003B646B" w:rsidRPr="00E84B87">
        <w:rPr>
          <w:rFonts w:ascii="Times New Roman" w:hAnsi="Times New Roman"/>
          <w:sz w:val="24"/>
          <w:szCs w:val="24"/>
        </w:rPr>
        <w:t>.4.3. vidējais darbinieku skaits pārskata gadā — 500.</w:t>
      </w:r>
    </w:p>
    <w:p w:rsidR="00EE4071" w:rsidRPr="00E84B87" w:rsidRDefault="00EE4071" w:rsidP="00EE4071">
      <w:pPr>
        <w:pStyle w:val="ListParagrap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8345F" w:rsidRPr="00E84B87" w:rsidRDefault="00947420" w:rsidP="00AF26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>Kapitālsabiedrības</w:t>
      </w:r>
      <w:r w:rsidR="001E120E"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 valdes priekšsēdētājam </w:t>
      </w:r>
      <w:r w:rsidR="00AF26F1" w:rsidRPr="00E84B87">
        <w:rPr>
          <w:rFonts w:ascii="Times New Roman" w:eastAsia="Times New Roman" w:hAnsi="Times New Roman"/>
          <w:sz w:val="24"/>
          <w:szCs w:val="24"/>
          <w:lang w:eastAsia="lv-LV"/>
        </w:rPr>
        <w:t>nosaka mēneša atlīdzību</w:t>
      </w:r>
      <w:r w:rsidR="00A16F4C"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 saskaņā ar šo noteikumu pielikumu</w:t>
      </w:r>
      <w:r w:rsidR="00AF26F1"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, nepārsniedzot </w:t>
      </w:r>
      <w:r w:rsidR="00A16F4C"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tajā </w:t>
      </w:r>
      <w:r w:rsidR="00AF26F1" w:rsidRPr="00E84B87">
        <w:rPr>
          <w:rFonts w:ascii="Times New Roman" w:eastAsia="Times New Roman" w:hAnsi="Times New Roman"/>
          <w:sz w:val="24"/>
          <w:szCs w:val="24"/>
          <w:lang w:eastAsia="lv-LV"/>
        </w:rPr>
        <w:t>norādīto</w:t>
      </w:r>
      <w:r w:rsidR="00A16F4C"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 maksimālo mēneša atlīdzības apmēru.</w:t>
      </w:r>
      <w:r w:rsidR="00AF26F1"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601C4B" w:rsidRPr="00E84B87" w:rsidRDefault="00601C4B" w:rsidP="00601C4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E84B87" w:rsidRPr="00011F22" w:rsidRDefault="00E84B87" w:rsidP="00E84B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11F22">
        <w:rPr>
          <w:rFonts w:ascii="Times New Roman" w:hAnsi="Times New Roman"/>
          <w:sz w:val="24"/>
          <w:szCs w:val="24"/>
          <w:lang w:eastAsia="lv-LV"/>
        </w:rPr>
        <w:t xml:space="preserve">Ja kapitālsabiedrības valdes priekšsēdētājs </w:t>
      </w:r>
      <w:r w:rsidR="008C0397">
        <w:rPr>
          <w:rFonts w:ascii="Times New Roman" w:hAnsi="Times New Roman"/>
          <w:sz w:val="24"/>
          <w:szCs w:val="24"/>
          <w:lang w:eastAsia="lv-LV"/>
        </w:rPr>
        <w:t xml:space="preserve">vai valdes loceklis </w:t>
      </w:r>
      <w:r w:rsidRPr="00011F22">
        <w:rPr>
          <w:rFonts w:ascii="Times New Roman" w:hAnsi="Times New Roman"/>
          <w:sz w:val="24"/>
          <w:szCs w:val="24"/>
          <w:lang w:eastAsia="lv-LV"/>
        </w:rPr>
        <w:t xml:space="preserve">kapitālsabiedrībā pilda arī citus amata pienākumus, tad atlīdzības īpatsvars par valdes priekšsēdētāja </w:t>
      </w:r>
      <w:r w:rsidR="008C0397">
        <w:rPr>
          <w:rFonts w:ascii="Times New Roman" w:hAnsi="Times New Roman"/>
          <w:sz w:val="24"/>
          <w:szCs w:val="24"/>
          <w:lang w:eastAsia="lv-LV"/>
        </w:rPr>
        <w:t xml:space="preserve">vai valdes locekļa </w:t>
      </w:r>
      <w:r w:rsidRPr="00011F22">
        <w:rPr>
          <w:rFonts w:ascii="Times New Roman" w:hAnsi="Times New Roman"/>
          <w:sz w:val="24"/>
          <w:szCs w:val="24"/>
          <w:lang w:eastAsia="lv-LV"/>
        </w:rPr>
        <w:t xml:space="preserve">amata pienākumu izpildi nav mazāks par 60 procentiem no kopējās atlīdzības kapitālsabiedrībā. </w:t>
      </w:r>
    </w:p>
    <w:p w:rsidR="00E84B87" w:rsidRDefault="00E84B87" w:rsidP="00E84B8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11F22" w:rsidRPr="00011F22" w:rsidRDefault="00011F22" w:rsidP="002A4883">
      <w:pPr>
        <w:pStyle w:val="ListParagraph"/>
        <w:numPr>
          <w:ilvl w:val="0"/>
          <w:numId w:val="15"/>
        </w:numPr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11F22">
        <w:rPr>
          <w:rFonts w:ascii="Times New Roman" w:hAnsi="Times New Roman" w:cs="Times New Roman"/>
          <w:sz w:val="24"/>
          <w:szCs w:val="24"/>
          <w:lang w:eastAsia="lv-LV"/>
        </w:rPr>
        <w:t xml:space="preserve">Kapitālsabiedrības valdes loceklim nosaka mēneša atlīdzību līdz 90 procentiem no valdes priekšsēdētāja mēneša atlīdzības. </w:t>
      </w:r>
    </w:p>
    <w:p w:rsidR="00011F22" w:rsidRPr="00E84B87" w:rsidRDefault="00011F22" w:rsidP="002A4883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84B87" w:rsidRPr="00011F22" w:rsidRDefault="00E84B87" w:rsidP="002A4883">
      <w:pPr>
        <w:pStyle w:val="ListParagraph"/>
        <w:numPr>
          <w:ilvl w:val="0"/>
          <w:numId w:val="15"/>
        </w:numPr>
        <w:spacing w:before="120"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gramStart"/>
      <w:r w:rsidRPr="00011F22">
        <w:rPr>
          <w:rFonts w:ascii="Times New Roman" w:hAnsi="Times New Roman"/>
          <w:sz w:val="24"/>
          <w:szCs w:val="24"/>
          <w:lang w:eastAsia="lv-LV"/>
        </w:rPr>
        <w:t>Valdes priekšsēdētājam un valdes loceklim nepieciešama dalībnieku (akcionāru) sapulces vai padomes</w:t>
      </w:r>
      <w:proofErr w:type="gramEnd"/>
      <w:r w:rsidRPr="00011F22">
        <w:rPr>
          <w:rFonts w:ascii="Times New Roman" w:hAnsi="Times New Roman"/>
          <w:sz w:val="24"/>
          <w:szCs w:val="24"/>
          <w:lang w:eastAsia="lv-LV"/>
        </w:rPr>
        <w:t xml:space="preserve"> (kurā tā ir izveidota) piekrišana mēneša atlīdzības saņemšanai par citu amata pienākumu izpildi kapitālsabiedrībā, kurā tas ieņem valdes priekšsēdētāja vai valdes locekļa amatu.</w:t>
      </w:r>
    </w:p>
    <w:p w:rsidR="00E84B87" w:rsidRPr="00E84B87" w:rsidRDefault="00E84B87" w:rsidP="002A488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4936" w:rsidRPr="00E84B87" w:rsidRDefault="0062626B" w:rsidP="002A4883">
      <w:pPr>
        <w:pStyle w:val="ListParagraph"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84B87">
        <w:rPr>
          <w:rFonts w:ascii="Times New Roman" w:hAnsi="Times New Roman" w:cs="Times New Roman"/>
          <w:sz w:val="24"/>
          <w:szCs w:val="24"/>
          <w:lang w:eastAsia="lv-LV"/>
        </w:rPr>
        <w:lastRenderedPageBreak/>
        <w:t>Kapitālsabiedrības padomes priekšsēdētāja mēneša</w:t>
      </w:r>
      <w:r w:rsidR="00720561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atlīdzību 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>nosaka līdz 20</w:t>
      </w:r>
      <w:r w:rsidR="00720561" w:rsidRPr="00E84B87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procentiem no </w:t>
      </w:r>
      <w:r w:rsidR="00720561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kapitālsabiedrības 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>valdes priekšsēdētāja mēneša</w:t>
      </w:r>
      <w:r w:rsidR="00720561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atlīdzības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>, bet ne mazāku par valstī noteikto minimālo mēneša darba algu.</w:t>
      </w:r>
    </w:p>
    <w:p w:rsidR="0062626B" w:rsidRPr="00E84B87" w:rsidRDefault="0062626B" w:rsidP="002A4883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4604D" w:rsidRPr="00E84B87" w:rsidRDefault="000529E6" w:rsidP="002A4883">
      <w:pPr>
        <w:pStyle w:val="ListParagraph"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84B87">
        <w:rPr>
          <w:rFonts w:ascii="Times New Roman" w:hAnsi="Times New Roman" w:cs="Times New Roman"/>
          <w:sz w:val="24"/>
          <w:szCs w:val="24"/>
          <w:lang w:eastAsia="lv-LV"/>
        </w:rPr>
        <w:t>Kapitālsabiedrības padomes priekšsēdētāja vietnieka un padomes locekļa mēneša</w:t>
      </w:r>
      <w:r w:rsidR="00720561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atlīdzību 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>nosaka līdz 15 procentiem no kapitālsabiedrības valdes priekšsēdētāja mēneša</w:t>
      </w:r>
      <w:r w:rsidR="00720561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atlīdzīb</w:t>
      </w:r>
      <w:r w:rsidR="00802C66" w:rsidRPr="00E84B87">
        <w:rPr>
          <w:rFonts w:ascii="Times New Roman" w:hAnsi="Times New Roman" w:cs="Times New Roman"/>
          <w:sz w:val="24"/>
          <w:szCs w:val="24"/>
          <w:lang w:eastAsia="lv-LV"/>
        </w:rPr>
        <w:t>as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>, bet ne mazāku par valstī noteikto minimālo mēneša darba algu.</w:t>
      </w:r>
    </w:p>
    <w:p w:rsidR="00E4604D" w:rsidRPr="00E84B87" w:rsidRDefault="00E4604D" w:rsidP="002A4883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  <w:lang w:eastAsia="lv-LV"/>
        </w:rPr>
      </w:pPr>
    </w:p>
    <w:p w:rsidR="00765418" w:rsidRPr="00E84B87" w:rsidRDefault="00DC2388" w:rsidP="002A4883">
      <w:pPr>
        <w:pStyle w:val="ListParagraph"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Kapitālsabiedrības dalībnieku (akcionāru) sapulce, vai padome (ja tāda ir izveidota) šo noteikumu pielikuma </w:t>
      </w:r>
      <w:r w:rsidR="00C6019A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tabulas 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4.ailē norādīto kapitālsabiedrības valdes priekšsēdētāja mēneša atlīdzības maksimālo apmēru pārskata vienu reizi </w:t>
      </w:r>
      <w:r w:rsidR="00E4604D" w:rsidRPr="00E84B87">
        <w:rPr>
          <w:rFonts w:ascii="Times New Roman" w:hAnsi="Times New Roman" w:cs="Times New Roman"/>
          <w:sz w:val="24"/>
          <w:szCs w:val="24"/>
          <w:lang w:eastAsia="lv-LV"/>
        </w:rPr>
        <w:t>gad</w:t>
      </w:r>
      <w:r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ā </w:t>
      </w:r>
      <w:r w:rsidR="000E0D6B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pēc </w:t>
      </w:r>
      <w:r w:rsidR="00E4604D" w:rsidRPr="00E84B87">
        <w:rPr>
          <w:rFonts w:ascii="Times New Roman" w:hAnsi="Times New Roman"/>
          <w:sz w:val="24"/>
          <w:szCs w:val="24"/>
        </w:rPr>
        <w:t>Centrālās statistikas pārvaldes statistikas paziņojum</w:t>
      </w:r>
      <w:r w:rsidR="000E0D6B" w:rsidRPr="00E84B87">
        <w:rPr>
          <w:rFonts w:ascii="Times New Roman" w:hAnsi="Times New Roman"/>
          <w:sz w:val="24"/>
          <w:szCs w:val="24"/>
        </w:rPr>
        <w:t>a</w:t>
      </w:r>
      <w:r w:rsidR="00E4604D" w:rsidRPr="00E84B87">
        <w:rPr>
          <w:rFonts w:ascii="Times New Roman" w:hAnsi="Times New Roman"/>
          <w:sz w:val="24"/>
          <w:szCs w:val="24"/>
        </w:rPr>
        <w:t xml:space="preserve"> </w:t>
      </w:r>
      <w:r w:rsidR="000E0D6B" w:rsidRPr="00E84B87">
        <w:rPr>
          <w:rFonts w:ascii="Times New Roman" w:hAnsi="Times New Roman"/>
          <w:sz w:val="24"/>
          <w:szCs w:val="24"/>
        </w:rPr>
        <w:t xml:space="preserve">par </w:t>
      </w:r>
      <w:r w:rsidR="00E4604D" w:rsidRPr="00E84B87">
        <w:rPr>
          <w:rFonts w:ascii="Times New Roman" w:hAnsi="Times New Roman"/>
          <w:sz w:val="24"/>
          <w:szCs w:val="24"/>
        </w:rPr>
        <w:t xml:space="preserve">valstī </w:t>
      </w:r>
      <w:r w:rsidR="00E4604D" w:rsidRPr="00E84B8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strādājošo iepriekšējā gada mēneša vidējās darba samaksas apmēru </w:t>
      </w:r>
      <w:r w:rsidR="0062177D" w:rsidRPr="00E84B87">
        <w:rPr>
          <w:rFonts w:ascii="Times New Roman" w:eastAsia="Times New Roman" w:hAnsi="Times New Roman"/>
          <w:bCs/>
          <w:sz w:val="24"/>
          <w:szCs w:val="24"/>
          <w:lang w:eastAsia="lv-LV"/>
        </w:rPr>
        <w:t>par attiecīgo gadu</w:t>
      </w:r>
      <w:r w:rsidR="000E0D6B" w:rsidRPr="00E84B8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publicēšanas</w:t>
      </w:r>
      <w:r w:rsidR="0062177D" w:rsidRPr="00E84B8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piemērojot šo noteikumu pielikuma </w:t>
      </w:r>
      <w:r w:rsidR="00C6019A" w:rsidRPr="00E84B87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tabulas </w:t>
      </w:r>
      <w:r w:rsidR="00AE445F" w:rsidRPr="00E84B87">
        <w:rPr>
          <w:rFonts w:ascii="Times New Roman" w:eastAsia="Times New Roman" w:hAnsi="Times New Roman"/>
          <w:bCs/>
          <w:sz w:val="24"/>
          <w:szCs w:val="24"/>
          <w:lang w:eastAsia="lv-LV"/>
        </w:rPr>
        <w:t>3</w:t>
      </w:r>
      <w:r w:rsidR="0062177D" w:rsidRPr="00E84B87">
        <w:rPr>
          <w:rFonts w:ascii="Times New Roman" w:eastAsia="Times New Roman" w:hAnsi="Times New Roman"/>
          <w:bCs/>
          <w:sz w:val="24"/>
          <w:szCs w:val="24"/>
          <w:lang w:eastAsia="lv-LV"/>
        </w:rPr>
        <w:t>.ailē norādīto koeficientu.</w:t>
      </w:r>
      <w:r w:rsidR="0062177D" w:rsidRPr="00E84B8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FD31FE" w:rsidRPr="00E84B87" w:rsidRDefault="00FD31FE" w:rsidP="00BC4B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D6B" w:rsidRDefault="000E0D6B" w:rsidP="00BC4B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883" w:rsidRPr="00E84B87" w:rsidRDefault="002A4883" w:rsidP="00BC4B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D6B" w:rsidRPr="00E84B87" w:rsidRDefault="000E0D6B" w:rsidP="000E0D6B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>Ministru prezidente</w:t>
      </w: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ab/>
        <w:t>Laimdota Straujuma</w:t>
      </w:r>
    </w:p>
    <w:p w:rsidR="000E0D6B" w:rsidRPr="00E84B87" w:rsidRDefault="000E0D6B" w:rsidP="000E0D6B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E0D6B" w:rsidRPr="00E84B87" w:rsidRDefault="000E0D6B" w:rsidP="000E0D6B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E0D6B" w:rsidRPr="00E84B87" w:rsidRDefault="000E0D6B" w:rsidP="000E0D6B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 xml:space="preserve">Finanšu ministrs </w:t>
      </w: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84B87">
        <w:rPr>
          <w:rFonts w:ascii="Times New Roman" w:eastAsia="Times New Roman" w:hAnsi="Times New Roman"/>
          <w:sz w:val="24"/>
          <w:szCs w:val="24"/>
          <w:lang w:eastAsia="lv-LV"/>
        </w:rPr>
        <w:tab/>
        <w:t>Jānis Reirs</w:t>
      </w:r>
    </w:p>
    <w:p w:rsidR="000E0D6B" w:rsidRPr="00E84B87" w:rsidRDefault="000E0D6B" w:rsidP="000E0D6B">
      <w:pPr>
        <w:spacing w:after="0" w:line="240" w:lineRule="auto"/>
        <w:ind w:right="-340"/>
        <w:jc w:val="both"/>
        <w:rPr>
          <w:rFonts w:ascii="Times New Roman" w:hAnsi="Times New Roman"/>
          <w:sz w:val="24"/>
          <w:szCs w:val="24"/>
        </w:rPr>
      </w:pPr>
    </w:p>
    <w:p w:rsidR="00D5224F" w:rsidRPr="00E84B87" w:rsidRDefault="00D5224F" w:rsidP="000E0D6B">
      <w:pPr>
        <w:spacing w:after="0" w:line="240" w:lineRule="auto"/>
        <w:ind w:right="-340"/>
        <w:jc w:val="both"/>
        <w:rPr>
          <w:rFonts w:ascii="Times New Roman" w:hAnsi="Times New Roman"/>
          <w:sz w:val="24"/>
          <w:szCs w:val="24"/>
        </w:rPr>
      </w:pPr>
    </w:p>
    <w:p w:rsidR="000E0D6B" w:rsidRPr="00E84B87" w:rsidRDefault="000E0D6B" w:rsidP="000E0D6B">
      <w:pPr>
        <w:spacing w:after="0" w:line="240" w:lineRule="auto"/>
        <w:ind w:right="-340"/>
        <w:jc w:val="both"/>
        <w:rPr>
          <w:rFonts w:ascii="Times New Roman" w:hAnsi="Times New Roman"/>
          <w:sz w:val="24"/>
          <w:szCs w:val="24"/>
        </w:rPr>
      </w:pPr>
      <w:r w:rsidRPr="00E84B87">
        <w:rPr>
          <w:rFonts w:ascii="Times New Roman" w:hAnsi="Times New Roman"/>
          <w:sz w:val="24"/>
          <w:szCs w:val="24"/>
        </w:rPr>
        <w:t>Vīza:</w:t>
      </w:r>
    </w:p>
    <w:p w:rsidR="000E0D6B" w:rsidRPr="00E84B87" w:rsidRDefault="000E0D6B" w:rsidP="000E0D6B">
      <w:pPr>
        <w:spacing w:after="0" w:line="240" w:lineRule="auto"/>
        <w:ind w:right="-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B87">
        <w:rPr>
          <w:rFonts w:ascii="Times New Roman" w:hAnsi="Times New Roman"/>
          <w:sz w:val="24"/>
          <w:szCs w:val="24"/>
        </w:rPr>
        <w:t>Pārresoru</w:t>
      </w:r>
      <w:proofErr w:type="spellEnd"/>
      <w:r w:rsidRPr="00E84B87">
        <w:rPr>
          <w:rFonts w:ascii="Times New Roman" w:hAnsi="Times New Roman"/>
          <w:sz w:val="24"/>
          <w:szCs w:val="24"/>
        </w:rPr>
        <w:t xml:space="preserve"> koordinācijas centra vadītājs</w:t>
      </w:r>
      <w:r w:rsidRPr="00E84B87">
        <w:rPr>
          <w:rFonts w:ascii="Times New Roman" w:hAnsi="Times New Roman"/>
          <w:sz w:val="24"/>
          <w:szCs w:val="24"/>
        </w:rPr>
        <w:tab/>
      </w:r>
      <w:r w:rsidRPr="00E84B87">
        <w:rPr>
          <w:rFonts w:ascii="Times New Roman" w:hAnsi="Times New Roman"/>
          <w:sz w:val="24"/>
          <w:szCs w:val="24"/>
        </w:rPr>
        <w:tab/>
      </w:r>
      <w:r w:rsidRPr="00E84B87">
        <w:rPr>
          <w:rFonts w:ascii="Times New Roman" w:hAnsi="Times New Roman"/>
          <w:sz w:val="24"/>
          <w:szCs w:val="24"/>
        </w:rPr>
        <w:tab/>
      </w:r>
      <w:r w:rsidRPr="00E84B87">
        <w:rPr>
          <w:rFonts w:ascii="Times New Roman" w:hAnsi="Times New Roman"/>
          <w:sz w:val="24"/>
          <w:szCs w:val="24"/>
        </w:rPr>
        <w:tab/>
      </w:r>
      <w:r w:rsidR="00D5224F" w:rsidRPr="00E84B87">
        <w:rPr>
          <w:rFonts w:ascii="Times New Roman" w:hAnsi="Times New Roman"/>
          <w:sz w:val="24"/>
          <w:szCs w:val="24"/>
        </w:rPr>
        <w:tab/>
      </w:r>
      <w:r w:rsidRPr="00E84B87">
        <w:rPr>
          <w:rFonts w:ascii="Times New Roman" w:hAnsi="Times New Roman"/>
          <w:sz w:val="24"/>
          <w:szCs w:val="24"/>
        </w:rPr>
        <w:t>Pēteris Vilks</w:t>
      </w:r>
    </w:p>
    <w:p w:rsidR="000E0D6B" w:rsidRPr="00E84B87" w:rsidRDefault="000E0D6B" w:rsidP="000E0D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D6B" w:rsidRPr="00E84B87" w:rsidRDefault="000E0D6B" w:rsidP="00BC4B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B95" w:rsidRPr="002A4883" w:rsidRDefault="00BC4B95" w:rsidP="00BC4B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48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0E0D6B" w:rsidRPr="002A488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A4883">
        <w:rPr>
          <w:rFonts w:ascii="Times New Roman" w:eastAsia="Times New Roman" w:hAnsi="Times New Roman" w:cs="Times New Roman"/>
          <w:sz w:val="20"/>
          <w:szCs w:val="20"/>
        </w:rPr>
        <w:t xml:space="preserve">.09.2015. </w:t>
      </w:r>
      <w:r w:rsidR="004610CF" w:rsidRPr="002A4883">
        <w:rPr>
          <w:rFonts w:ascii="Times New Roman" w:eastAsia="Times New Roman" w:hAnsi="Times New Roman" w:cs="Times New Roman"/>
          <w:sz w:val="20"/>
          <w:szCs w:val="20"/>
        </w:rPr>
        <w:t>15.06</w:t>
      </w:r>
    </w:p>
    <w:p w:rsidR="00BC4B95" w:rsidRPr="002A4883" w:rsidRDefault="008C0397" w:rsidP="00BC4B95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660</w:t>
      </w:r>
    </w:p>
    <w:p w:rsidR="00BC4B95" w:rsidRPr="002A4883" w:rsidRDefault="00BC4B95" w:rsidP="00BC4B95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883">
        <w:rPr>
          <w:rFonts w:ascii="Times New Roman" w:eastAsia="Times New Roman" w:hAnsi="Times New Roman" w:cs="Times New Roman"/>
          <w:sz w:val="20"/>
          <w:szCs w:val="20"/>
        </w:rPr>
        <w:t xml:space="preserve">Solvita </w:t>
      </w:r>
      <w:proofErr w:type="spellStart"/>
      <w:r w:rsidRPr="002A4883">
        <w:rPr>
          <w:rFonts w:ascii="Times New Roman" w:eastAsia="Times New Roman" w:hAnsi="Times New Roman" w:cs="Times New Roman"/>
          <w:sz w:val="20"/>
          <w:szCs w:val="20"/>
        </w:rPr>
        <w:t>Štrāle</w:t>
      </w:r>
      <w:proofErr w:type="spellEnd"/>
    </w:p>
    <w:p w:rsidR="00BC4B95" w:rsidRPr="002A4883" w:rsidRDefault="00BC4B95" w:rsidP="00BC4B95">
      <w:pPr>
        <w:widowControl w:val="0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 w:rsidRPr="002A4883">
        <w:rPr>
          <w:rFonts w:ascii="Times New Roman" w:eastAsia="Times New Roman" w:hAnsi="Times New Roman" w:cs="Times New Roman"/>
          <w:sz w:val="20"/>
          <w:szCs w:val="20"/>
        </w:rPr>
        <w:t xml:space="preserve">67082920, </w:t>
      </w:r>
      <w:hyperlink r:id="rId10" w:history="1">
        <w:r w:rsidRPr="002A488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solvita.strale@pkc.mk.gov.lv</w:t>
        </w:r>
      </w:hyperlink>
      <w:bookmarkStart w:id="0" w:name="_GoBack"/>
      <w:bookmarkEnd w:id="0"/>
    </w:p>
    <w:sectPr w:rsidR="00BC4B95" w:rsidRPr="002A4883" w:rsidSect="00CB3BB7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5E" w:rsidRDefault="00D7565E" w:rsidP="001105D6">
      <w:pPr>
        <w:spacing w:after="0" w:line="240" w:lineRule="auto"/>
      </w:pPr>
      <w:r>
        <w:separator/>
      </w:r>
    </w:p>
  </w:endnote>
  <w:endnote w:type="continuationSeparator" w:id="0">
    <w:p w:rsidR="00D7565E" w:rsidRDefault="00D7565E" w:rsidP="001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24" w:rsidRDefault="001A0024" w:rsidP="001A0024">
    <w:pPr>
      <w:spacing w:before="120"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C472AF">
      <w:rPr>
        <w:rFonts w:ascii="Times New Roman" w:hAnsi="Times New Roman" w:cs="Times New Roman"/>
        <w:sz w:val="16"/>
        <w:szCs w:val="16"/>
      </w:rPr>
      <w:t>PKCNot_</w:t>
    </w:r>
    <w:r>
      <w:rPr>
        <w:rFonts w:ascii="Times New Roman" w:hAnsi="Times New Roman" w:cs="Times New Roman"/>
        <w:sz w:val="16"/>
        <w:szCs w:val="16"/>
      </w:rPr>
      <w:t>1</w:t>
    </w:r>
    <w:r w:rsidR="00DC2388">
      <w:rPr>
        <w:rFonts w:ascii="Times New Roman" w:hAnsi="Times New Roman" w:cs="Times New Roman"/>
        <w:sz w:val="16"/>
        <w:szCs w:val="16"/>
      </w:rPr>
      <w:t>5</w:t>
    </w:r>
    <w:r>
      <w:rPr>
        <w:rFonts w:ascii="Times New Roman" w:hAnsi="Times New Roman" w:cs="Times New Roman"/>
        <w:sz w:val="16"/>
        <w:szCs w:val="16"/>
      </w:rPr>
      <w:t>092015</w:t>
    </w:r>
    <w:r w:rsidRPr="00C472AF">
      <w:rPr>
        <w:rFonts w:ascii="Times New Roman" w:hAnsi="Times New Roman" w:cs="Times New Roman"/>
        <w:sz w:val="16"/>
        <w:szCs w:val="16"/>
      </w:rPr>
      <w:t>_</w:t>
    </w:r>
    <w:r>
      <w:rPr>
        <w:rFonts w:ascii="Times New Roman" w:hAnsi="Times New Roman" w:cs="Times New Roman"/>
        <w:sz w:val="16"/>
        <w:szCs w:val="16"/>
      </w:rPr>
      <w:t>atlidz</w:t>
    </w:r>
    <w:r w:rsidR="006957DC">
      <w:rPr>
        <w:rFonts w:ascii="Times New Roman" w:hAnsi="Times New Roman" w:cs="Times New Roman"/>
        <w:sz w:val="16"/>
        <w:szCs w:val="16"/>
      </w:rPr>
      <w:t>iba</w:t>
    </w:r>
    <w:r w:rsidRPr="00C472AF">
      <w:rPr>
        <w:rFonts w:ascii="Times New Roman" w:hAnsi="Times New Roman" w:cs="Times New Roman"/>
        <w:sz w:val="16"/>
        <w:szCs w:val="16"/>
      </w:rPr>
      <w:t>; Ministru kabineta noteikumu projekts „</w:t>
    </w:r>
    <w:r>
      <w:rPr>
        <w:rFonts w:ascii="Times New Roman" w:hAnsi="Times New Roman" w:cs="Times New Roman"/>
        <w:sz w:val="16"/>
        <w:szCs w:val="16"/>
      </w:rPr>
      <w:t>Noteikumi par publiskas personas kapitālsabiedrību un publiski privāto kapitālsabiedrību valdes un padomes locekļu maksimālo mēneša atlīdzības apmēru”</w:t>
    </w:r>
  </w:p>
  <w:p w:rsidR="0045522C" w:rsidRPr="001A0024" w:rsidRDefault="0045522C" w:rsidP="001A0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2C" w:rsidRDefault="0045522C" w:rsidP="00EA00C7">
    <w:pPr>
      <w:spacing w:before="120"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C472AF">
      <w:rPr>
        <w:rFonts w:ascii="Times New Roman" w:hAnsi="Times New Roman" w:cs="Times New Roman"/>
        <w:sz w:val="16"/>
        <w:szCs w:val="16"/>
      </w:rPr>
      <w:t>PKCNot_</w:t>
    </w:r>
    <w:r w:rsidR="00BA18BA">
      <w:rPr>
        <w:rFonts w:ascii="Times New Roman" w:hAnsi="Times New Roman" w:cs="Times New Roman"/>
        <w:sz w:val="16"/>
        <w:szCs w:val="16"/>
      </w:rPr>
      <w:t>1</w:t>
    </w:r>
    <w:r w:rsidR="000E0D6B">
      <w:rPr>
        <w:rFonts w:ascii="Times New Roman" w:hAnsi="Times New Roman" w:cs="Times New Roman"/>
        <w:sz w:val="16"/>
        <w:szCs w:val="16"/>
      </w:rPr>
      <w:t>5</w:t>
    </w:r>
    <w:r w:rsidR="00BA18BA">
      <w:rPr>
        <w:rFonts w:ascii="Times New Roman" w:hAnsi="Times New Roman" w:cs="Times New Roman"/>
        <w:sz w:val="16"/>
        <w:szCs w:val="16"/>
      </w:rPr>
      <w:t>092015</w:t>
    </w:r>
    <w:r w:rsidRPr="00C472AF">
      <w:rPr>
        <w:rFonts w:ascii="Times New Roman" w:hAnsi="Times New Roman" w:cs="Times New Roman"/>
        <w:sz w:val="16"/>
        <w:szCs w:val="16"/>
      </w:rPr>
      <w:t>_</w:t>
    </w:r>
    <w:r>
      <w:rPr>
        <w:rFonts w:ascii="Times New Roman" w:hAnsi="Times New Roman" w:cs="Times New Roman"/>
        <w:sz w:val="16"/>
        <w:szCs w:val="16"/>
      </w:rPr>
      <w:t>atlidz</w:t>
    </w:r>
    <w:r w:rsidR="006957DC">
      <w:rPr>
        <w:rFonts w:ascii="Times New Roman" w:hAnsi="Times New Roman" w:cs="Times New Roman"/>
        <w:sz w:val="16"/>
        <w:szCs w:val="16"/>
      </w:rPr>
      <w:t>iba</w:t>
    </w:r>
    <w:r w:rsidRPr="00C472AF">
      <w:rPr>
        <w:rFonts w:ascii="Times New Roman" w:hAnsi="Times New Roman" w:cs="Times New Roman"/>
        <w:sz w:val="16"/>
        <w:szCs w:val="16"/>
      </w:rPr>
      <w:t>; Ministru kabineta noteikumu projekts „</w:t>
    </w:r>
    <w:r>
      <w:rPr>
        <w:rFonts w:ascii="Times New Roman" w:hAnsi="Times New Roman" w:cs="Times New Roman"/>
        <w:sz w:val="16"/>
        <w:szCs w:val="16"/>
      </w:rPr>
      <w:t xml:space="preserve">Noteikumi par </w:t>
    </w:r>
    <w:r w:rsidR="003E6612">
      <w:rPr>
        <w:rFonts w:ascii="Times New Roman" w:hAnsi="Times New Roman" w:cs="Times New Roman"/>
        <w:sz w:val="16"/>
        <w:szCs w:val="16"/>
      </w:rPr>
      <w:t>publisk</w:t>
    </w:r>
    <w:r w:rsidR="00BA18BA">
      <w:rPr>
        <w:rFonts w:ascii="Times New Roman" w:hAnsi="Times New Roman" w:cs="Times New Roman"/>
        <w:sz w:val="16"/>
        <w:szCs w:val="16"/>
      </w:rPr>
      <w:t>as</w:t>
    </w:r>
    <w:r w:rsidR="003E6612">
      <w:rPr>
        <w:rFonts w:ascii="Times New Roman" w:hAnsi="Times New Roman" w:cs="Times New Roman"/>
        <w:sz w:val="16"/>
        <w:szCs w:val="16"/>
      </w:rPr>
      <w:t xml:space="preserve"> person</w:t>
    </w:r>
    <w:r w:rsidR="00BA18BA">
      <w:rPr>
        <w:rFonts w:ascii="Times New Roman" w:hAnsi="Times New Roman" w:cs="Times New Roman"/>
        <w:sz w:val="16"/>
        <w:szCs w:val="16"/>
      </w:rPr>
      <w:t>as</w:t>
    </w:r>
    <w:r w:rsidR="003E661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kapitālsabiedrīb</w:t>
    </w:r>
    <w:r w:rsidR="00F40F1F">
      <w:rPr>
        <w:rFonts w:ascii="Times New Roman" w:hAnsi="Times New Roman" w:cs="Times New Roman"/>
        <w:sz w:val="16"/>
        <w:szCs w:val="16"/>
      </w:rPr>
      <w:t>u</w:t>
    </w:r>
    <w:r>
      <w:rPr>
        <w:rFonts w:ascii="Times New Roman" w:hAnsi="Times New Roman" w:cs="Times New Roman"/>
        <w:sz w:val="16"/>
        <w:szCs w:val="16"/>
      </w:rPr>
      <w:t xml:space="preserve"> </w:t>
    </w:r>
    <w:r w:rsidR="00BA18BA">
      <w:rPr>
        <w:rFonts w:ascii="Times New Roman" w:hAnsi="Times New Roman" w:cs="Times New Roman"/>
        <w:sz w:val="16"/>
        <w:szCs w:val="16"/>
      </w:rPr>
      <w:t>un publiski privāt</w:t>
    </w:r>
    <w:r w:rsidR="00F40F1F">
      <w:rPr>
        <w:rFonts w:ascii="Times New Roman" w:hAnsi="Times New Roman" w:cs="Times New Roman"/>
        <w:sz w:val="16"/>
        <w:szCs w:val="16"/>
      </w:rPr>
      <w:t>o</w:t>
    </w:r>
    <w:r w:rsidR="00BA18BA">
      <w:rPr>
        <w:rFonts w:ascii="Times New Roman" w:hAnsi="Times New Roman" w:cs="Times New Roman"/>
        <w:sz w:val="16"/>
        <w:szCs w:val="16"/>
      </w:rPr>
      <w:t xml:space="preserve"> kapitālsabiedrīb</w:t>
    </w:r>
    <w:r w:rsidR="00F40F1F">
      <w:rPr>
        <w:rFonts w:ascii="Times New Roman" w:hAnsi="Times New Roman" w:cs="Times New Roman"/>
        <w:sz w:val="16"/>
        <w:szCs w:val="16"/>
      </w:rPr>
      <w:t>u</w:t>
    </w:r>
    <w:r w:rsidR="00BA18BA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valdes un padomes locekļu maksimālo mēneša atlīdzības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5E" w:rsidRDefault="00D7565E" w:rsidP="001105D6">
      <w:pPr>
        <w:spacing w:after="0" w:line="240" w:lineRule="auto"/>
      </w:pPr>
      <w:r>
        <w:separator/>
      </w:r>
    </w:p>
  </w:footnote>
  <w:footnote w:type="continuationSeparator" w:id="0">
    <w:p w:rsidR="00D7565E" w:rsidRDefault="00D7565E" w:rsidP="0011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417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522C" w:rsidRDefault="004552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3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522C" w:rsidRDefault="00455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E11"/>
    <w:multiLevelType w:val="hybridMultilevel"/>
    <w:tmpl w:val="E5C6694C"/>
    <w:lvl w:ilvl="0" w:tplc="8E165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AAD"/>
    <w:multiLevelType w:val="hybridMultilevel"/>
    <w:tmpl w:val="AB6E1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4498"/>
    <w:multiLevelType w:val="multilevel"/>
    <w:tmpl w:val="A0F43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EDA7757"/>
    <w:multiLevelType w:val="hybridMultilevel"/>
    <w:tmpl w:val="684CC024"/>
    <w:lvl w:ilvl="0" w:tplc="0426000F">
      <w:start w:val="9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2584"/>
    <w:multiLevelType w:val="multilevel"/>
    <w:tmpl w:val="6204A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F90179D"/>
    <w:multiLevelType w:val="multilevel"/>
    <w:tmpl w:val="6204A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012EB6"/>
    <w:multiLevelType w:val="hybridMultilevel"/>
    <w:tmpl w:val="74EAB182"/>
    <w:lvl w:ilvl="0" w:tplc="BFD01204">
      <w:start w:val="11"/>
      <w:numFmt w:val="decimal"/>
      <w:lvlText w:val="%1."/>
      <w:lvlJc w:val="left"/>
      <w:pPr>
        <w:ind w:left="1095" w:hanging="375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205C1"/>
    <w:multiLevelType w:val="multilevel"/>
    <w:tmpl w:val="ECA2B0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F80977"/>
    <w:multiLevelType w:val="multilevel"/>
    <w:tmpl w:val="28606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C62B80"/>
    <w:multiLevelType w:val="hybridMultilevel"/>
    <w:tmpl w:val="52F26AD8"/>
    <w:lvl w:ilvl="0" w:tplc="3B269E34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2097"/>
    <w:multiLevelType w:val="multilevel"/>
    <w:tmpl w:val="6204A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B8775D"/>
    <w:multiLevelType w:val="hybridMultilevel"/>
    <w:tmpl w:val="17403CD0"/>
    <w:lvl w:ilvl="0" w:tplc="D4624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65A37"/>
    <w:multiLevelType w:val="multilevel"/>
    <w:tmpl w:val="A6A8221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776365A0"/>
    <w:multiLevelType w:val="multilevel"/>
    <w:tmpl w:val="6204A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A431D4D"/>
    <w:multiLevelType w:val="multilevel"/>
    <w:tmpl w:val="3ADA238C"/>
    <w:lvl w:ilvl="0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C6"/>
    <w:rsid w:val="00011F22"/>
    <w:rsid w:val="0002469A"/>
    <w:rsid w:val="0003058A"/>
    <w:rsid w:val="00042F9B"/>
    <w:rsid w:val="00047609"/>
    <w:rsid w:val="000529E6"/>
    <w:rsid w:val="00060274"/>
    <w:rsid w:val="000602EE"/>
    <w:rsid w:val="00067398"/>
    <w:rsid w:val="0007090D"/>
    <w:rsid w:val="00083A4C"/>
    <w:rsid w:val="000A76CA"/>
    <w:rsid w:val="000A7B99"/>
    <w:rsid w:val="000C164C"/>
    <w:rsid w:val="000C5C42"/>
    <w:rsid w:val="000C70EE"/>
    <w:rsid w:val="000D6FA8"/>
    <w:rsid w:val="000E0D6B"/>
    <w:rsid w:val="000E590C"/>
    <w:rsid w:val="000F7695"/>
    <w:rsid w:val="00102ABE"/>
    <w:rsid w:val="001105D6"/>
    <w:rsid w:val="00122974"/>
    <w:rsid w:val="001264C3"/>
    <w:rsid w:val="00133600"/>
    <w:rsid w:val="001340F3"/>
    <w:rsid w:val="001716D5"/>
    <w:rsid w:val="00180522"/>
    <w:rsid w:val="0018318A"/>
    <w:rsid w:val="00186E45"/>
    <w:rsid w:val="00190BAE"/>
    <w:rsid w:val="001A0024"/>
    <w:rsid w:val="001A49BC"/>
    <w:rsid w:val="001E120E"/>
    <w:rsid w:val="001E1E34"/>
    <w:rsid w:val="001E4895"/>
    <w:rsid w:val="0020311F"/>
    <w:rsid w:val="0021282F"/>
    <w:rsid w:val="002203F9"/>
    <w:rsid w:val="002339E9"/>
    <w:rsid w:val="00235785"/>
    <w:rsid w:val="0024579B"/>
    <w:rsid w:val="002709DB"/>
    <w:rsid w:val="002734AD"/>
    <w:rsid w:val="002A424E"/>
    <w:rsid w:val="002A4883"/>
    <w:rsid w:val="002B33BA"/>
    <w:rsid w:val="002B3953"/>
    <w:rsid w:val="002C7DAB"/>
    <w:rsid w:val="002C7E22"/>
    <w:rsid w:val="002F1E19"/>
    <w:rsid w:val="00300781"/>
    <w:rsid w:val="0030338D"/>
    <w:rsid w:val="00324500"/>
    <w:rsid w:val="00345A4C"/>
    <w:rsid w:val="003470F6"/>
    <w:rsid w:val="00354735"/>
    <w:rsid w:val="003555FB"/>
    <w:rsid w:val="003643A2"/>
    <w:rsid w:val="00377D15"/>
    <w:rsid w:val="00381641"/>
    <w:rsid w:val="00384090"/>
    <w:rsid w:val="003859F4"/>
    <w:rsid w:val="00390B83"/>
    <w:rsid w:val="003A397C"/>
    <w:rsid w:val="003A39E5"/>
    <w:rsid w:val="003B646B"/>
    <w:rsid w:val="003C2BEA"/>
    <w:rsid w:val="003D6532"/>
    <w:rsid w:val="003D70CC"/>
    <w:rsid w:val="003E6275"/>
    <w:rsid w:val="003E6612"/>
    <w:rsid w:val="0040788D"/>
    <w:rsid w:val="0041683E"/>
    <w:rsid w:val="004215BD"/>
    <w:rsid w:val="004316FC"/>
    <w:rsid w:val="00441E32"/>
    <w:rsid w:val="00442EC8"/>
    <w:rsid w:val="00451ED7"/>
    <w:rsid w:val="0045522C"/>
    <w:rsid w:val="004610CF"/>
    <w:rsid w:val="00461AA2"/>
    <w:rsid w:val="00472CC6"/>
    <w:rsid w:val="00490EF8"/>
    <w:rsid w:val="0049746F"/>
    <w:rsid w:val="004B5344"/>
    <w:rsid w:val="004B5EDE"/>
    <w:rsid w:val="004D06E4"/>
    <w:rsid w:val="004D089B"/>
    <w:rsid w:val="004D33F6"/>
    <w:rsid w:val="004D74EA"/>
    <w:rsid w:val="004E20CC"/>
    <w:rsid w:val="00504551"/>
    <w:rsid w:val="00522E19"/>
    <w:rsid w:val="005450D7"/>
    <w:rsid w:val="00561AB8"/>
    <w:rsid w:val="00573C29"/>
    <w:rsid w:val="00576444"/>
    <w:rsid w:val="0058580C"/>
    <w:rsid w:val="00587E9A"/>
    <w:rsid w:val="005C7129"/>
    <w:rsid w:val="005F4495"/>
    <w:rsid w:val="005F49B8"/>
    <w:rsid w:val="005F7EF1"/>
    <w:rsid w:val="00601C4B"/>
    <w:rsid w:val="00602B0B"/>
    <w:rsid w:val="00606215"/>
    <w:rsid w:val="00607FB0"/>
    <w:rsid w:val="00614653"/>
    <w:rsid w:val="00615961"/>
    <w:rsid w:val="00617C9E"/>
    <w:rsid w:val="0062128C"/>
    <w:rsid w:val="0062177D"/>
    <w:rsid w:val="00622916"/>
    <w:rsid w:val="0062497C"/>
    <w:rsid w:val="0062626B"/>
    <w:rsid w:val="00637FF8"/>
    <w:rsid w:val="00665DD4"/>
    <w:rsid w:val="00681436"/>
    <w:rsid w:val="00681696"/>
    <w:rsid w:val="006957DC"/>
    <w:rsid w:val="006B1D61"/>
    <w:rsid w:val="006B75E1"/>
    <w:rsid w:val="006C0305"/>
    <w:rsid w:val="006D5D65"/>
    <w:rsid w:val="006E19C6"/>
    <w:rsid w:val="006F11F7"/>
    <w:rsid w:val="006F36D5"/>
    <w:rsid w:val="006F3865"/>
    <w:rsid w:val="0070381E"/>
    <w:rsid w:val="00714253"/>
    <w:rsid w:val="00714936"/>
    <w:rsid w:val="007154E6"/>
    <w:rsid w:val="00716EA7"/>
    <w:rsid w:val="00720561"/>
    <w:rsid w:val="007300F6"/>
    <w:rsid w:val="00731293"/>
    <w:rsid w:val="00731E26"/>
    <w:rsid w:val="007452A6"/>
    <w:rsid w:val="00750B1F"/>
    <w:rsid w:val="00760B94"/>
    <w:rsid w:val="00765418"/>
    <w:rsid w:val="007747D8"/>
    <w:rsid w:val="00781984"/>
    <w:rsid w:val="0078345F"/>
    <w:rsid w:val="007912C3"/>
    <w:rsid w:val="007A1CE8"/>
    <w:rsid w:val="00800B39"/>
    <w:rsid w:val="00802C66"/>
    <w:rsid w:val="008265D3"/>
    <w:rsid w:val="00827420"/>
    <w:rsid w:val="00835935"/>
    <w:rsid w:val="00842B1D"/>
    <w:rsid w:val="00855872"/>
    <w:rsid w:val="00860917"/>
    <w:rsid w:val="00860C7D"/>
    <w:rsid w:val="008701C5"/>
    <w:rsid w:val="008702C4"/>
    <w:rsid w:val="00876CD1"/>
    <w:rsid w:val="008816EF"/>
    <w:rsid w:val="0088232B"/>
    <w:rsid w:val="00884DB1"/>
    <w:rsid w:val="00893BB5"/>
    <w:rsid w:val="008A13E0"/>
    <w:rsid w:val="008A18EB"/>
    <w:rsid w:val="008A5FA5"/>
    <w:rsid w:val="008A67AE"/>
    <w:rsid w:val="008C0397"/>
    <w:rsid w:val="008C7CEF"/>
    <w:rsid w:val="008D2E59"/>
    <w:rsid w:val="008D3BCB"/>
    <w:rsid w:val="008E0733"/>
    <w:rsid w:val="008E1C1C"/>
    <w:rsid w:val="00905A5C"/>
    <w:rsid w:val="00905D7D"/>
    <w:rsid w:val="00917EAA"/>
    <w:rsid w:val="00926397"/>
    <w:rsid w:val="009326F1"/>
    <w:rsid w:val="00933C57"/>
    <w:rsid w:val="00944864"/>
    <w:rsid w:val="00947420"/>
    <w:rsid w:val="00952115"/>
    <w:rsid w:val="00953C31"/>
    <w:rsid w:val="009601D4"/>
    <w:rsid w:val="00963B11"/>
    <w:rsid w:val="009734E3"/>
    <w:rsid w:val="009930D2"/>
    <w:rsid w:val="009B45E2"/>
    <w:rsid w:val="009B4C92"/>
    <w:rsid w:val="009E4D99"/>
    <w:rsid w:val="00A10440"/>
    <w:rsid w:val="00A16F4C"/>
    <w:rsid w:val="00A21927"/>
    <w:rsid w:val="00A26A6D"/>
    <w:rsid w:val="00A26F7C"/>
    <w:rsid w:val="00A27C52"/>
    <w:rsid w:val="00A3271B"/>
    <w:rsid w:val="00A731AF"/>
    <w:rsid w:val="00A74B04"/>
    <w:rsid w:val="00A8656E"/>
    <w:rsid w:val="00AA42FA"/>
    <w:rsid w:val="00AA466B"/>
    <w:rsid w:val="00AB0381"/>
    <w:rsid w:val="00AB0E29"/>
    <w:rsid w:val="00AB79E2"/>
    <w:rsid w:val="00AC4190"/>
    <w:rsid w:val="00AD0702"/>
    <w:rsid w:val="00AE445F"/>
    <w:rsid w:val="00AF26F1"/>
    <w:rsid w:val="00AF2EB6"/>
    <w:rsid w:val="00AF6BAD"/>
    <w:rsid w:val="00B0752B"/>
    <w:rsid w:val="00B07C67"/>
    <w:rsid w:val="00B11F5D"/>
    <w:rsid w:val="00B14E8F"/>
    <w:rsid w:val="00B250A3"/>
    <w:rsid w:val="00B26566"/>
    <w:rsid w:val="00B42A22"/>
    <w:rsid w:val="00B50660"/>
    <w:rsid w:val="00B63B74"/>
    <w:rsid w:val="00B66761"/>
    <w:rsid w:val="00B8690E"/>
    <w:rsid w:val="00B93A7C"/>
    <w:rsid w:val="00B96BEE"/>
    <w:rsid w:val="00BA017C"/>
    <w:rsid w:val="00BA18BA"/>
    <w:rsid w:val="00BA4E78"/>
    <w:rsid w:val="00BA5C37"/>
    <w:rsid w:val="00BB694B"/>
    <w:rsid w:val="00BC4B95"/>
    <w:rsid w:val="00BE587F"/>
    <w:rsid w:val="00BE5D82"/>
    <w:rsid w:val="00BE72C9"/>
    <w:rsid w:val="00C1703C"/>
    <w:rsid w:val="00C2602B"/>
    <w:rsid w:val="00C353B7"/>
    <w:rsid w:val="00C472AF"/>
    <w:rsid w:val="00C47651"/>
    <w:rsid w:val="00C6019A"/>
    <w:rsid w:val="00C71E51"/>
    <w:rsid w:val="00C7767D"/>
    <w:rsid w:val="00C874C6"/>
    <w:rsid w:val="00CA36F6"/>
    <w:rsid w:val="00CA7AFA"/>
    <w:rsid w:val="00CA7ED8"/>
    <w:rsid w:val="00CB3BB7"/>
    <w:rsid w:val="00CB69D0"/>
    <w:rsid w:val="00CC7F1C"/>
    <w:rsid w:val="00CD09AD"/>
    <w:rsid w:val="00CD1533"/>
    <w:rsid w:val="00CD46DB"/>
    <w:rsid w:val="00CE1576"/>
    <w:rsid w:val="00CF3B61"/>
    <w:rsid w:val="00D13B96"/>
    <w:rsid w:val="00D1472A"/>
    <w:rsid w:val="00D21009"/>
    <w:rsid w:val="00D24EB0"/>
    <w:rsid w:val="00D5224F"/>
    <w:rsid w:val="00D54E9E"/>
    <w:rsid w:val="00D65744"/>
    <w:rsid w:val="00D7350A"/>
    <w:rsid w:val="00D7565E"/>
    <w:rsid w:val="00DC2388"/>
    <w:rsid w:val="00DC332B"/>
    <w:rsid w:val="00DC3420"/>
    <w:rsid w:val="00DC78AB"/>
    <w:rsid w:val="00DE50B6"/>
    <w:rsid w:val="00DE62F0"/>
    <w:rsid w:val="00E00404"/>
    <w:rsid w:val="00E00476"/>
    <w:rsid w:val="00E01F16"/>
    <w:rsid w:val="00E04AFA"/>
    <w:rsid w:val="00E1352B"/>
    <w:rsid w:val="00E21E16"/>
    <w:rsid w:val="00E26B63"/>
    <w:rsid w:val="00E4604D"/>
    <w:rsid w:val="00E50EB5"/>
    <w:rsid w:val="00E6240A"/>
    <w:rsid w:val="00E73D3A"/>
    <w:rsid w:val="00E82885"/>
    <w:rsid w:val="00E8368B"/>
    <w:rsid w:val="00E84B87"/>
    <w:rsid w:val="00E91E95"/>
    <w:rsid w:val="00EA00C7"/>
    <w:rsid w:val="00EA0C16"/>
    <w:rsid w:val="00EA61D3"/>
    <w:rsid w:val="00EA77AA"/>
    <w:rsid w:val="00EB4634"/>
    <w:rsid w:val="00EC0B2A"/>
    <w:rsid w:val="00ED4DFF"/>
    <w:rsid w:val="00EE2CEE"/>
    <w:rsid w:val="00EE4071"/>
    <w:rsid w:val="00EF5000"/>
    <w:rsid w:val="00EF5684"/>
    <w:rsid w:val="00F30F85"/>
    <w:rsid w:val="00F358C6"/>
    <w:rsid w:val="00F40F1F"/>
    <w:rsid w:val="00F4439C"/>
    <w:rsid w:val="00F472FA"/>
    <w:rsid w:val="00F52C01"/>
    <w:rsid w:val="00F56B49"/>
    <w:rsid w:val="00F65BBA"/>
    <w:rsid w:val="00F66558"/>
    <w:rsid w:val="00F87C5E"/>
    <w:rsid w:val="00FB5183"/>
    <w:rsid w:val="00FC1CE1"/>
    <w:rsid w:val="00FC4FCC"/>
    <w:rsid w:val="00FD31FE"/>
    <w:rsid w:val="00FE097E"/>
    <w:rsid w:val="00FE796F"/>
    <w:rsid w:val="00FE7CC2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6"/>
  </w:style>
  <w:style w:type="paragraph" w:styleId="Heading6">
    <w:name w:val="heading 6"/>
    <w:aliases w:val="Virsraksts2"/>
    <w:basedOn w:val="Normal"/>
    <w:next w:val="Normal"/>
    <w:link w:val="Heading6Char"/>
    <w:qFormat/>
    <w:rsid w:val="00E91E9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D6"/>
  </w:style>
  <w:style w:type="paragraph" w:styleId="Footer">
    <w:name w:val="footer"/>
    <w:basedOn w:val="Normal"/>
    <w:link w:val="FooterChar"/>
    <w:uiPriority w:val="99"/>
    <w:unhideWhenUsed/>
    <w:rsid w:val="00110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D6"/>
  </w:style>
  <w:style w:type="paragraph" w:styleId="BalloonText">
    <w:name w:val="Balloon Text"/>
    <w:basedOn w:val="Normal"/>
    <w:link w:val="BalloonTextChar"/>
    <w:uiPriority w:val="99"/>
    <w:semiHidden/>
    <w:unhideWhenUsed/>
    <w:rsid w:val="0083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9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5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7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164C"/>
    <w:pPr>
      <w:ind w:left="720"/>
      <w:contextualSpacing/>
    </w:pPr>
  </w:style>
  <w:style w:type="table" w:styleId="TableGrid">
    <w:name w:val="Table Grid"/>
    <w:basedOn w:val="TableNormal"/>
    <w:uiPriority w:val="59"/>
    <w:rsid w:val="00A2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083A4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87C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7C5E"/>
    <w:rPr>
      <w:b/>
      <w:bCs/>
    </w:rPr>
  </w:style>
  <w:style w:type="paragraph" w:styleId="NormalWeb">
    <w:name w:val="Normal (Web)"/>
    <w:basedOn w:val="Normal"/>
    <w:uiPriority w:val="99"/>
    <w:unhideWhenUsed/>
    <w:rsid w:val="00F8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5F49B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Heading6Char">
    <w:name w:val="Heading 6 Char"/>
    <w:aliases w:val="Virsraksts2 Char"/>
    <w:basedOn w:val="DefaultParagraphFont"/>
    <w:link w:val="Heading6"/>
    <w:rsid w:val="00E91E95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customStyle="1" w:styleId="Default">
    <w:name w:val="Default"/>
    <w:rsid w:val="006F36D5"/>
    <w:pPr>
      <w:autoSpaceDE w:val="0"/>
      <w:autoSpaceDN w:val="0"/>
      <w:adjustRightInd w:val="0"/>
      <w:spacing w:after="0" w:line="240" w:lineRule="auto"/>
    </w:pPr>
    <w:rPr>
      <w:rFonts w:ascii="Dutch TL" w:hAnsi="Dutch TL" w:cs="Dutch T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11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1F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6"/>
  </w:style>
  <w:style w:type="paragraph" w:styleId="Heading6">
    <w:name w:val="heading 6"/>
    <w:aliases w:val="Virsraksts2"/>
    <w:basedOn w:val="Normal"/>
    <w:next w:val="Normal"/>
    <w:link w:val="Heading6Char"/>
    <w:qFormat/>
    <w:rsid w:val="00E91E9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D6"/>
  </w:style>
  <w:style w:type="paragraph" w:styleId="Footer">
    <w:name w:val="footer"/>
    <w:basedOn w:val="Normal"/>
    <w:link w:val="FooterChar"/>
    <w:uiPriority w:val="99"/>
    <w:unhideWhenUsed/>
    <w:rsid w:val="00110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D6"/>
  </w:style>
  <w:style w:type="paragraph" w:styleId="BalloonText">
    <w:name w:val="Balloon Text"/>
    <w:basedOn w:val="Normal"/>
    <w:link w:val="BalloonTextChar"/>
    <w:uiPriority w:val="99"/>
    <w:semiHidden/>
    <w:unhideWhenUsed/>
    <w:rsid w:val="0083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9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5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7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164C"/>
    <w:pPr>
      <w:ind w:left="720"/>
      <w:contextualSpacing/>
    </w:pPr>
  </w:style>
  <w:style w:type="table" w:styleId="TableGrid">
    <w:name w:val="Table Grid"/>
    <w:basedOn w:val="TableNormal"/>
    <w:uiPriority w:val="59"/>
    <w:rsid w:val="00A2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083A4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87C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7C5E"/>
    <w:rPr>
      <w:b/>
      <w:bCs/>
    </w:rPr>
  </w:style>
  <w:style w:type="paragraph" w:styleId="NormalWeb">
    <w:name w:val="Normal (Web)"/>
    <w:basedOn w:val="Normal"/>
    <w:uiPriority w:val="99"/>
    <w:unhideWhenUsed/>
    <w:rsid w:val="00F8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5F49B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Heading6Char">
    <w:name w:val="Heading 6 Char"/>
    <w:aliases w:val="Virsraksts2 Char"/>
    <w:basedOn w:val="DefaultParagraphFont"/>
    <w:link w:val="Heading6"/>
    <w:rsid w:val="00E91E95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customStyle="1" w:styleId="Default">
    <w:name w:val="Default"/>
    <w:rsid w:val="006F36D5"/>
    <w:pPr>
      <w:autoSpaceDE w:val="0"/>
      <w:autoSpaceDN w:val="0"/>
      <w:adjustRightInd w:val="0"/>
      <w:spacing w:after="0" w:line="240" w:lineRule="auto"/>
    </w:pPr>
    <w:rPr>
      <w:rFonts w:ascii="Dutch TL" w:hAnsi="Dutch TL" w:cs="Dutch T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11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1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845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3085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0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8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22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337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9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7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3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0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54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92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lvita.strale@pkc.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.likumi.lv/doc.php?id=207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BA41-4CC2-4559-A762-0F3E3476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3454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„Kārtība, kādā veic kandidātu atlasi valdes un padomes locekļu amatiem kapitālsabiedrībās, kurās valstij kā dalībniekam (akcionāram) ir tiesības izvirzīt valdes vai padomes locekļus”</vt:lpstr>
    </vt:vector>
  </TitlesOfParts>
  <Manager>P.Vilks</Manager>
  <Company>PKC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veic kandidātu atlasi valdes un padomes locekļu amatiem kapitālsabiedrībās, kurās valstij kā dalībniekam (akcionāram) ir tiesības izvirzīt valdes vai padomes locekļus”</dc:title>
  <dc:subject>Noteikumu projekts</dc:subject>
  <dc:creator>Vladislavs Vesperis, 67082812, vladislavs.vesperis@pkc.mk.gov.lv</dc:creator>
  <cp:lastModifiedBy>Solvita Štāle</cp:lastModifiedBy>
  <cp:revision>11</cp:revision>
  <cp:lastPrinted>2015-08-13T14:25:00Z</cp:lastPrinted>
  <dcterms:created xsi:type="dcterms:W3CDTF">2015-09-15T11:21:00Z</dcterms:created>
  <dcterms:modified xsi:type="dcterms:W3CDTF">2015-09-15T12:57:00Z</dcterms:modified>
</cp:coreProperties>
</file>