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5B" w:rsidRDefault="008123E2" w:rsidP="00686D5B">
      <w:pPr>
        <w:pStyle w:val="Title"/>
        <w:rPr>
          <w:sz w:val="24"/>
          <w:szCs w:val="24"/>
        </w:rPr>
      </w:pPr>
      <w:r w:rsidRPr="00686D5B">
        <w:rPr>
          <w:sz w:val="24"/>
          <w:szCs w:val="24"/>
        </w:rPr>
        <w:t xml:space="preserve">Ministru kabineta noteikumu projekta </w:t>
      </w:r>
    </w:p>
    <w:p w:rsidR="00686D5B" w:rsidRDefault="00686D5B" w:rsidP="00686D5B">
      <w:pPr>
        <w:pStyle w:val="Title"/>
        <w:rPr>
          <w:sz w:val="24"/>
          <w:szCs w:val="24"/>
        </w:rPr>
      </w:pPr>
      <w:r w:rsidRPr="00686D5B">
        <w:rPr>
          <w:sz w:val="24"/>
          <w:szCs w:val="24"/>
        </w:rPr>
        <w:t>„Grozījumi Ministru kabineta 2006.gada 14.februāra noteikumos Nr.139 ”</w:t>
      </w:r>
      <w:r w:rsidRPr="00686D5B">
        <w:rPr>
          <w:bCs w:val="0"/>
          <w:sz w:val="24"/>
          <w:szCs w:val="24"/>
        </w:rPr>
        <w:t>Noteikumi par atsevišķu bīstamas ķīmiskas vielas saturošu iekārtu un produktu lietošanas un marķēšanas prasībām un par videi kaitīgo preču sarakstu””</w:t>
      </w:r>
      <w:r w:rsidRPr="00686D5B">
        <w:rPr>
          <w:sz w:val="24"/>
          <w:szCs w:val="24"/>
        </w:rPr>
        <w:t xml:space="preserve"> </w:t>
      </w:r>
    </w:p>
    <w:p w:rsidR="003A294F" w:rsidRPr="00686D5B" w:rsidRDefault="008123E2" w:rsidP="00686D5B">
      <w:pPr>
        <w:pStyle w:val="Title"/>
        <w:rPr>
          <w:sz w:val="24"/>
          <w:szCs w:val="24"/>
        </w:rPr>
      </w:pPr>
      <w:r w:rsidRPr="00686D5B">
        <w:rPr>
          <w:sz w:val="24"/>
          <w:szCs w:val="24"/>
        </w:rPr>
        <w:t>sākotnējās ietekmes novērtējuma ziņojums (anotācija)</w:t>
      </w:r>
    </w:p>
    <w:p w:rsidR="003A294F" w:rsidRDefault="003A294F"/>
    <w:tbl>
      <w:tblPr>
        <w:tblW w:w="0" w:type="auto"/>
        <w:tblInd w:w="-18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96"/>
        <w:gridCol w:w="2586"/>
        <w:gridCol w:w="6485"/>
      </w:tblGrid>
      <w:tr w:rsidR="003A294F" w:rsidTr="009E195A">
        <w:tc>
          <w:tcPr>
            <w:tcW w:w="946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jc w:val="center"/>
            </w:pPr>
            <w:r>
              <w:rPr>
                <w:b/>
              </w:rPr>
              <w:t>I. Tiesību akta projekta izstrādes nepieciešamība</w:t>
            </w:r>
          </w:p>
        </w:tc>
      </w:tr>
      <w:tr w:rsidR="003A294F" w:rsidTr="001C1A2A">
        <w:tc>
          <w:tcPr>
            <w:tcW w:w="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jc w:val="center"/>
            </w:pPr>
            <w:r>
              <w:t>1.</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r>
              <w:t>Pamatojums</w:t>
            </w: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686D5B" w:rsidP="008676FE">
            <w:pPr>
              <w:jc w:val="both"/>
            </w:pPr>
            <w:r w:rsidRPr="00F10C17">
              <w:t>Ministru kabineta noteikumu projekts „Grozījumi Ministru kabineta 2006.gada 14.februāra noteikumos Nr.139 ”</w:t>
            </w:r>
            <w:r w:rsidRPr="00F10C17">
              <w:rPr>
                <w:bCs/>
                <w:lang w:eastAsia="en-US"/>
              </w:rPr>
              <w:t>Noteikumi par atsevišķu bīstamas ķīmiskas vielas saturošu iekārtu un produktu lietošanas un marķēšanas prasībām un par videi kaitīgo preču sarakstu””</w:t>
            </w:r>
            <w:r>
              <w:rPr>
                <w:bCs/>
                <w:lang w:eastAsia="en-US"/>
              </w:rPr>
              <w:t xml:space="preserve"> (turpmāk – noteikumu projekts)</w:t>
            </w:r>
            <w:r>
              <w:t xml:space="preserve"> ir </w:t>
            </w:r>
            <w:r w:rsidR="008676FE">
              <w:t xml:space="preserve">sagatavots </w:t>
            </w:r>
            <w:r w:rsidR="008676FE">
              <w:rPr>
                <w:bCs/>
              </w:rPr>
              <w:t>atbilstoši Ministru kabineta 2015.gada 3.marta</w:t>
            </w:r>
            <w:r w:rsidR="008676FE" w:rsidRPr="00FB1366">
              <w:rPr>
                <w:bCs/>
              </w:rPr>
              <w:t xml:space="preserve"> sēdes prot</w:t>
            </w:r>
            <w:r w:rsidR="008676FE">
              <w:rPr>
                <w:bCs/>
              </w:rPr>
              <w:t>okollēmuma (protokols Nr.12</w:t>
            </w:r>
            <w:r w:rsidR="008676FE" w:rsidRPr="00FB1366">
              <w:rPr>
                <w:bCs/>
              </w:rPr>
              <w:t>.</w:t>
            </w:r>
            <w:r w:rsidR="008676FE">
              <w:rPr>
                <w:bCs/>
              </w:rPr>
              <w:t>, 32.</w:t>
            </w:r>
            <w:r w:rsidR="008676FE" w:rsidRPr="00FB1366">
              <w:rPr>
                <w:bCs/>
              </w:rPr>
              <w:t>§)</w:t>
            </w:r>
            <w:r w:rsidR="008676FE">
              <w:rPr>
                <w:bCs/>
              </w:rPr>
              <w:t xml:space="preserve"> 9.2.apakšpunktam</w:t>
            </w:r>
            <w:r>
              <w:t xml:space="preserve">, lai nodrošinātu </w:t>
            </w:r>
            <w:r w:rsidRPr="00686D5B">
              <w:rPr>
                <w:rStyle w:val="StrongEmphasis"/>
                <w:b w:val="0"/>
                <w:bCs w:val="0"/>
              </w:rPr>
              <w:t>Eiropas Parlamenta un Padomes 2013. gada 20.novembra Direktīvas 2013/56/ES, ar ko groza Eiropas Parlamenta un Padomes Direktīvu 2006/66/EK par baterijām un akumulatoriem, un bateriju un akumulatoru atkritumiem attiecībā uz tādu kadmiju saturošu pārnēsājamu bateriju un akumulatoru laišanu tirgū, kurus paredzēts izmantot bezvada elektriskajos instrumentos, kā arī attiecībā uz podziņelementu ar nelielu dzīvsudraba saturu laišanu tirgū un ar ko atceļ Komisijas Lēmumu 2009/603/EK (turpmāk- Direktīva 2013/56/ES).</w:t>
            </w:r>
            <w:r>
              <w:rPr>
                <w:rStyle w:val="StrongEmphasis"/>
                <w:b w:val="0"/>
                <w:bCs w:val="0"/>
              </w:rPr>
              <w:t xml:space="preserve"> Saskaņā ar Direktīvas 3.panta 1.punktu, dalībvalstīm Direktīvas prasības ir jātransponē līdz 2015.gada 1.jūlijam.</w:t>
            </w:r>
          </w:p>
        </w:tc>
      </w:tr>
      <w:tr w:rsidR="003A294F" w:rsidTr="001C1A2A">
        <w:tc>
          <w:tcPr>
            <w:tcW w:w="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jc w:val="center"/>
            </w:pPr>
            <w:r>
              <w:t>2.</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rsidP="002075D8">
            <w:pPr>
              <w:jc w:val="both"/>
            </w:pPr>
            <w:r>
              <w:t>Pašreizējā situācija un problēmas, kuru risināšanai tiesību akta projekts izstrādāts, tiesiskā regulējuma mērķis un būtība</w:t>
            </w: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031E" w:rsidRPr="002075D8" w:rsidRDefault="0038490C" w:rsidP="0066031E">
            <w:pPr>
              <w:jc w:val="both"/>
            </w:pPr>
            <w:r w:rsidRPr="00F10C17">
              <w:t>Ministru kabineta 2006.gada 14.februāra noteikumos Nr.139 ”</w:t>
            </w:r>
            <w:r w:rsidRPr="00F10C17">
              <w:rPr>
                <w:bCs/>
                <w:lang w:eastAsia="en-US"/>
              </w:rPr>
              <w:t>Noteikumi par atsevišķu bīstamas ķīmiskas vielas saturošu iekārtu un produktu lietošanas un marķēšanas prasībām un par videi kaitīgo preču sarakstu”</w:t>
            </w:r>
            <w:r>
              <w:rPr>
                <w:bCs/>
                <w:lang w:eastAsia="en-US"/>
              </w:rPr>
              <w:t xml:space="preserve"> (turpmāk – MK noteikumi Nr.139) ir noteiktas p</w:t>
            </w:r>
            <w:r>
              <w:t xml:space="preserve">rasības bateriju un akumulatoru laišanai tirgū saistībā uz dzīvsudraba un kadmija saturu attiecīgajās baterijās un akumulatoros, tomēr pašreiz spēkā esošie MK noteikumi Nr.139 nesatur direktīvā 2013/56/ES noteiktos ierobežojumus dzīvsudraba un kadmija saturam baterijās un akumulatoros, kā arī nav paredzēts, ka  baterijas un akumulatorus, kas neatbilst šo noteikumu prasībām, bet, kas likumīgi laisti tirgū pirms attiecīgo aizliegumu piemērošanas dienas, drīkst turpināt tirgot, līdz beidzas to krājumi.   </w:t>
            </w:r>
            <w:r w:rsidR="0066031E">
              <w:t>MK noteikumi Nr.139 ietver arī prasības saistībā ar izlietoto bateriju un akumulatoru izņemšanu n</w:t>
            </w:r>
            <w:r w:rsidR="009B24BE">
              <w:t>o iekārtām, kuras pašreiz</w:t>
            </w:r>
            <w:r w:rsidR="0066031E">
              <w:t xml:space="preserve"> neatbilst direktīvā 2013/56/ES noteiktajam. </w:t>
            </w:r>
          </w:p>
          <w:p w:rsidR="00A030D0" w:rsidRDefault="0066031E" w:rsidP="00393E05">
            <w:pPr>
              <w:jc w:val="both"/>
            </w:pPr>
            <w:r>
              <w:t>Noteiku</w:t>
            </w:r>
            <w:r w:rsidR="00A030D0">
              <w:t xml:space="preserve">mu projekts nodrošinās šādu </w:t>
            </w:r>
            <w:r w:rsidR="000C2582">
              <w:t>Direktīva</w:t>
            </w:r>
            <w:r w:rsidR="00A030D0">
              <w:t>s</w:t>
            </w:r>
            <w:r w:rsidR="000C2582">
              <w:t xml:space="preserve"> 2013/56/ES </w:t>
            </w:r>
            <w:r w:rsidR="00A030D0">
              <w:t xml:space="preserve">prasību pārņemšanu : </w:t>
            </w:r>
          </w:p>
          <w:p w:rsidR="00A030D0" w:rsidRDefault="00A030D0" w:rsidP="00393E05">
            <w:pPr>
              <w:jc w:val="both"/>
            </w:pPr>
            <w:r>
              <w:t>1)</w:t>
            </w:r>
            <w:r w:rsidR="000C2582">
              <w:t>līdz 2015.gada 1.oktobrim ir atļauts laist tirgū po</w:t>
            </w:r>
            <w:r>
              <w:t xml:space="preserve">gveida </w:t>
            </w:r>
            <w:r w:rsidR="000C2582">
              <w:t>elementus, kuru svarā nav vairāk kā 2 % dzīvsudraba</w:t>
            </w:r>
            <w:r>
              <w:t>;</w:t>
            </w:r>
          </w:p>
          <w:p w:rsidR="00A030D0" w:rsidRDefault="00A030D0" w:rsidP="00393E05">
            <w:pPr>
              <w:jc w:val="both"/>
            </w:pPr>
            <w:r>
              <w:t xml:space="preserve">2) </w:t>
            </w:r>
            <w:r w:rsidR="000C2582">
              <w:t xml:space="preserve">līdz 2016.gada 31.decembrim ir atļauts laist tirgū pārnēsājamas, tostarp arī ierīcēs iestrādātas, baterijas vai </w:t>
            </w:r>
            <w:r w:rsidR="000C2582">
              <w:lastRenderedPageBreak/>
              <w:t>akumulatorus, kuru svarā ir vairāk nekā 0,002 % kadmija, kas domāti lietojumam bezvada elektriskajos instrumentos</w:t>
            </w:r>
            <w:r>
              <w:t>;</w:t>
            </w:r>
          </w:p>
          <w:p w:rsidR="003A294F" w:rsidRDefault="00A030D0" w:rsidP="00393E05">
            <w:pPr>
              <w:jc w:val="both"/>
            </w:pPr>
            <w:r>
              <w:t xml:space="preserve">3) </w:t>
            </w:r>
            <w:r w:rsidR="000C2582">
              <w:t xml:space="preserve">Baterijas un akumulatorus, kas neatbilst </w:t>
            </w:r>
            <w:r>
              <w:t xml:space="preserve">minētajām </w:t>
            </w:r>
            <w:r w:rsidR="000C2582">
              <w:t>prasībām</w:t>
            </w:r>
            <w:r>
              <w:t xml:space="preserve"> (t.i., kurās ir lielāks dzīvsudraba vai kadmija saturs)</w:t>
            </w:r>
            <w:r w:rsidR="000C2582">
              <w:t>, bet kas likumīgi laisti tirgū pirms attiecīgo aizliegumu piemērošanas dienas, drīkst turpināt tirgot, līdz beidzas to krājumi</w:t>
            </w:r>
            <w:r w:rsidR="00836D8B">
              <w:t>;</w:t>
            </w:r>
          </w:p>
          <w:p w:rsidR="000C2582" w:rsidRDefault="00A030D0" w:rsidP="00393E05">
            <w:pPr>
              <w:jc w:val="both"/>
            </w:pPr>
            <w:r>
              <w:t xml:space="preserve">4) </w:t>
            </w:r>
            <w:r w:rsidR="000C2582">
              <w:t>prasības</w:t>
            </w:r>
            <w:r>
              <w:t xml:space="preserve"> iekārtu konstruēšanai, lai nodrošinātu</w:t>
            </w:r>
            <w:r w:rsidR="000C2582">
              <w:t xml:space="preserve"> izlietotu bateriju un akumulatoru izņemšan</w:t>
            </w:r>
            <w:r>
              <w:t>u</w:t>
            </w:r>
            <w:r w:rsidR="000C2582">
              <w:t xml:space="preserve"> no iekārtām. </w:t>
            </w:r>
          </w:p>
          <w:p w:rsidR="003A294F" w:rsidRDefault="003A294F" w:rsidP="009B24BE">
            <w:pPr>
              <w:jc w:val="both"/>
            </w:pPr>
          </w:p>
          <w:p w:rsidR="00B8744D" w:rsidRPr="009E195A" w:rsidRDefault="00793E5A" w:rsidP="009B24BE">
            <w:pPr>
              <w:jc w:val="both"/>
            </w:pPr>
            <w:r w:rsidRPr="005024A1">
              <w:t>Direktīvas 2006/66/EK par baterijām un akumulatoriem, un bateriju un akumulatoru atkritumiem un ar ko atceļ Direktīvu 91/157/EEK 3.panta 14.punkts nosaka, ka “laist tirgū” ir ir par maksu vai bez maksas piegādāt vai darīt pieejamu trešai personai Kopienā, un tas ietver importu Kopienas muitas teritorijā. Minētā definīcija ir transponēta arī Atkritumu apsaimniekošanas likuma 32.pantā, kur ir noteikts, ka laišana tirgū nozīmē to, ka baterijas vai akumulatori par maksu vai bez maksas tiek piegādāti vai padarīti pieejami trešajām personām Eiropas Savienības teritorijā, arī importēšanu Eiropas Savienības muitas teritorijā. Noteikumu projekts paredz, ka Latvijā ir atļauts tirgot tās baterijas un akumulatorus, kuras ir likumīgi laistas tirgū līdz brīdim, kad tas ir atļauts atbilstoši noteikumu projektā noteiktajiem termiņiem. Tas nozīmē, ka ir atļauts tirgot baterijas un akumulatorus, kuri pēc noteikumu projektā noteiktajiem termiņiem vairs neatbildīs noteikumu prasībām, līdz brīdim, kamēr ir pārdoti to krājumi.</w:t>
            </w:r>
          </w:p>
        </w:tc>
      </w:tr>
      <w:tr w:rsidR="003A294F" w:rsidTr="001C1A2A">
        <w:tc>
          <w:tcPr>
            <w:tcW w:w="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jc w:val="center"/>
            </w:pPr>
            <w:r>
              <w:lastRenderedPageBreak/>
              <w:t>3.</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r>
              <w:t>Projekta izstrādē iesaistītās institūcijas</w:t>
            </w: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686D5B">
            <w:pPr>
              <w:pStyle w:val="naiskr"/>
              <w:jc w:val="both"/>
            </w:pPr>
            <w:r>
              <w:t>Vides aizsardzības un reģionālās attīstības ministrija</w:t>
            </w:r>
          </w:p>
        </w:tc>
      </w:tr>
      <w:tr w:rsidR="003A294F" w:rsidTr="001C1A2A">
        <w:trPr>
          <w:trHeight w:val="571"/>
        </w:trPr>
        <w:tc>
          <w:tcPr>
            <w:tcW w:w="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jc w:val="center"/>
            </w:pPr>
            <w:r>
              <w:t>4.</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r>
              <w:t>Cita informācija</w:t>
            </w:r>
          </w:p>
        </w:tc>
        <w:tc>
          <w:tcPr>
            <w:tcW w:w="6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C13BBA">
            <w:pPr>
              <w:jc w:val="both"/>
            </w:pPr>
            <w:r>
              <w:t>Nav.</w:t>
            </w:r>
          </w:p>
        </w:tc>
      </w:tr>
    </w:tbl>
    <w:p w:rsidR="003A294F" w:rsidRDefault="003A294F">
      <w:pPr>
        <w:jc w:val="center"/>
      </w:pPr>
    </w:p>
    <w:tbl>
      <w:tblPr>
        <w:tblW w:w="9430" w:type="dxa"/>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00"/>
        <w:gridCol w:w="11"/>
        <w:gridCol w:w="2399"/>
        <w:gridCol w:w="6520"/>
      </w:tblGrid>
      <w:tr w:rsidR="003A294F" w:rsidTr="002A79C6">
        <w:tc>
          <w:tcPr>
            <w:tcW w:w="943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jc w:val="center"/>
            </w:pPr>
            <w:r>
              <w:rPr>
                <w:b/>
              </w:rPr>
              <w:t>II. Tiesību akta projekta ietekme uz sabiedrību</w:t>
            </w:r>
          </w:p>
        </w:tc>
      </w:tr>
      <w:tr w:rsidR="003A294F" w:rsidTr="002A79C6">
        <w:tc>
          <w:tcPr>
            <w:tcW w:w="5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jc w:val="center"/>
            </w:pPr>
            <w:r>
              <w:t>1.</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rsidP="002075D8">
            <w:pPr>
              <w:jc w:val="both"/>
            </w:pPr>
            <w:r>
              <w:t>Sabiedrības mērķgrupas, kuras tiesiskais regulējums ietekmē vai varētu ietekmēt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3C66" w:rsidRDefault="00C13BBA" w:rsidP="00563C66">
            <w:pPr>
              <w:pStyle w:val="ListParagraph"/>
              <w:numPr>
                <w:ilvl w:val="0"/>
                <w:numId w:val="3"/>
              </w:numPr>
              <w:jc w:val="both"/>
            </w:pPr>
            <w:r w:rsidRPr="00686608">
              <w:t>Personas,</w:t>
            </w:r>
            <w:r>
              <w:t xml:space="preserve"> kuras </w:t>
            </w:r>
            <w:r w:rsidR="001F3EBA">
              <w:t>lieto iekārtas, kurās ir ievietoti po</w:t>
            </w:r>
            <w:r w:rsidR="00836D8B">
              <w:t xml:space="preserve">gveida </w:t>
            </w:r>
            <w:r w:rsidR="001F3EBA">
              <w:t xml:space="preserve">elementi, kuru svarā nav vairāk kā 2% dzīvsudraba vai bezvada elektriskos instrumentus, kuros iestrādātas baterijas vai </w:t>
            </w:r>
            <w:r w:rsidR="0066031E">
              <w:t>akumulatori</w:t>
            </w:r>
            <w:r w:rsidR="001F3EBA">
              <w:t>, kuru svarā ir vairāk nekā 0,002 % kadmija</w:t>
            </w:r>
            <w:r w:rsidR="00563C66">
              <w:t xml:space="preserve"> </w:t>
            </w:r>
            <w:r w:rsidR="00563C66" w:rsidRPr="00686608">
              <w:t>– visi Latvijas iedzīvotāji</w:t>
            </w:r>
            <w:r w:rsidR="00563C66">
              <w:t>;</w:t>
            </w:r>
          </w:p>
          <w:p w:rsidR="00643061" w:rsidRDefault="00563C66" w:rsidP="00563C66">
            <w:pPr>
              <w:pStyle w:val="ListParagraph"/>
              <w:numPr>
                <w:ilvl w:val="0"/>
                <w:numId w:val="3"/>
              </w:numPr>
              <w:jc w:val="both"/>
            </w:pPr>
            <w:r w:rsidRPr="00686608">
              <w:t>6</w:t>
            </w:r>
            <w:r>
              <w:t xml:space="preserve"> videi kaitīgo preču atkritumu apsaimniekotāji, kam ir tiesības saviem līgumpartneriem piešķirt atbrīvojumu no dabas resursu nodokļa samaksas par videi kaitīgām precēm;</w:t>
            </w:r>
          </w:p>
          <w:p w:rsidR="00563C66" w:rsidRDefault="008E0800" w:rsidP="00563C66">
            <w:pPr>
              <w:pStyle w:val="ListParagraph"/>
              <w:numPr>
                <w:ilvl w:val="0"/>
                <w:numId w:val="3"/>
              </w:numPr>
              <w:jc w:val="both"/>
            </w:pPr>
            <w:r>
              <w:t>900 dabas resursu nodokļa maksātāji, kuri</w:t>
            </w:r>
            <w:r w:rsidR="00563C66">
              <w:t xml:space="preserve"> laiž tirgū baterijas un akumulatorus un </w:t>
            </w:r>
            <w:r w:rsidR="0066031E">
              <w:t xml:space="preserve">kuri </w:t>
            </w:r>
            <w:r w:rsidR="00563C66">
              <w:t xml:space="preserve">ir </w:t>
            </w:r>
            <w:r w:rsidR="0066031E">
              <w:t xml:space="preserve">saņēmuši </w:t>
            </w:r>
            <w:r w:rsidR="00563C66">
              <w:t>atbrīvojumu no dabas resursu nodokļa samaksas par videi kaitīgām precēm</w:t>
            </w:r>
            <w:r>
              <w:t>;</w:t>
            </w:r>
          </w:p>
          <w:p w:rsidR="00922727" w:rsidRDefault="000B4AFF" w:rsidP="001F3EBA">
            <w:pPr>
              <w:pStyle w:val="ListParagraph"/>
              <w:numPr>
                <w:ilvl w:val="0"/>
                <w:numId w:val="3"/>
              </w:numPr>
              <w:jc w:val="both"/>
            </w:pPr>
            <w:r w:rsidRPr="00686608">
              <w:t>5</w:t>
            </w:r>
            <w:r>
              <w:t xml:space="preserve"> bīstamo atkritumu apsaimniekošanas komersanti, kuri veic pārnēsājamo bateriju un akumulatoru atkritumu pārvadājumus, lai minētos atkritumus nogādātu pārstrādei citās Eiropas Savienības valstīs, tā kā Latvijā nav pārstrādes iekārtu šādu atkritumu pārstrādei. </w:t>
            </w:r>
          </w:p>
        </w:tc>
      </w:tr>
      <w:tr w:rsidR="003A294F" w:rsidTr="002A79C6">
        <w:tc>
          <w:tcPr>
            <w:tcW w:w="5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294F" w:rsidRDefault="008123E2">
            <w:pPr>
              <w:jc w:val="center"/>
            </w:pPr>
            <w:r>
              <w:t>2.</w:t>
            </w:r>
          </w:p>
        </w:tc>
        <w:tc>
          <w:tcPr>
            <w:tcW w:w="2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A294F" w:rsidRDefault="008123E2" w:rsidP="002075D8">
            <w:pPr>
              <w:jc w:val="both"/>
            </w:pPr>
            <w:r>
              <w:t>Tiesiskā regulējuma ietekme uz tautsaimniecību un administratīvo slogu</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75E49" w:rsidRPr="00C75E49" w:rsidRDefault="000B4AFF" w:rsidP="002A79C6">
            <w:pPr>
              <w:tabs>
                <w:tab w:val="clear" w:pos="720"/>
              </w:tabs>
              <w:suppressAutoHyphens w:val="0"/>
              <w:spacing w:line="240" w:lineRule="auto"/>
              <w:jc w:val="both"/>
            </w:pPr>
            <w:r>
              <w:t xml:space="preserve">Nav paredzams, ka </w:t>
            </w:r>
            <w:r w:rsidR="009D790C">
              <w:t xml:space="preserve">ar </w:t>
            </w:r>
            <w:r w:rsidR="000B5E9A">
              <w:t>direktīv</w:t>
            </w:r>
            <w:r w:rsidR="009D790C">
              <w:t>u</w:t>
            </w:r>
            <w:r w:rsidR="000B5E9A">
              <w:t xml:space="preserve"> 2013/56/ES</w:t>
            </w:r>
            <w:r>
              <w:t xml:space="preserve"> </w:t>
            </w:r>
            <w:r w:rsidR="000B5E9A">
              <w:t>transponētās prasības noteikumu pr</w:t>
            </w:r>
            <w:r w:rsidR="009D790C">
              <w:t xml:space="preserve">ojektā </w:t>
            </w:r>
            <w:r>
              <w:t>būtiski ietekmēs tautsaimniecību</w:t>
            </w:r>
            <w:r w:rsidR="00DA29AF">
              <w:t xml:space="preserve">, </w:t>
            </w:r>
            <w:r w:rsidR="009D790C">
              <w:t xml:space="preserve">ņemot vērā, ka </w:t>
            </w:r>
            <w:r w:rsidR="00DA29AF">
              <w:t>ir iespējas izmantot citas baterijas un akumulatorus, ar kuriem var aizstāt po</w:t>
            </w:r>
            <w:r w:rsidR="00836D8B">
              <w:t xml:space="preserve">gveida </w:t>
            </w:r>
            <w:r w:rsidR="00DA29AF">
              <w:t>elementus</w:t>
            </w:r>
            <w:r w:rsidR="009D790C">
              <w:t xml:space="preserve"> un to </w:t>
            </w:r>
            <w:r w:rsidR="00DA29AF">
              <w:t>svarā nav vairāk kā 2% dzīvsudraba</w:t>
            </w:r>
            <w:r w:rsidR="009D790C">
              <w:t>.</w:t>
            </w:r>
            <w:r w:rsidR="00DA29AF">
              <w:t xml:space="preserve"> </w:t>
            </w:r>
            <w:r w:rsidR="009D790C">
              <w:t>Tas pats attiecas uz pārnēsājamajām</w:t>
            </w:r>
            <w:r w:rsidR="00DA29AF">
              <w:t xml:space="preserve">, arī ierīcēs </w:t>
            </w:r>
            <w:r w:rsidR="009D790C">
              <w:t>iestrādātajām</w:t>
            </w:r>
            <w:r w:rsidR="00DA29AF">
              <w:t xml:space="preserve">, </w:t>
            </w:r>
            <w:r w:rsidR="009D790C">
              <w:t xml:space="preserve">baterijām </w:t>
            </w:r>
            <w:r w:rsidR="00DA29AF">
              <w:t xml:space="preserve">vai </w:t>
            </w:r>
            <w:r w:rsidR="009D790C">
              <w:t>akumulatoriem</w:t>
            </w:r>
            <w:r w:rsidR="00DA29AF">
              <w:t>, kuru svarā ir vairāk nekā 0,002 % kadmija, kas domāti lietojumam bezvada elektriskajos instrumentos</w:t>
            </w:r>
            <w:r w:rsidR="009D790C">
              <w:t>.</w:t>
            </w:r>
            <w:r w:rsidR="00DA29AF">
              <w:t xml:space="preserve"> (sk.pētījumu </w:t>
            </w:r>
            <w:r w:rsidR="00C75E49">
              <w:t>“</w:t>
            </w:r>
            <w:r w:rsidR="00C75E49" w:rsidRPr="00C75E49">
              <w:t>Comparative Life-Cycle Assessment of nickel-cadmium (NiCd) batteries used in Cordless Power Tools (CPTs) vs. their alternatives nickel-metal hydride (NiMH) and lithium-ion (Li-ion) batteries</w:t>
            </w:r>
            <w:r w:rsidR="00C75E49">
              <w:t>”</w:t>
            </w:r>
          </w:p>
          <w:p w:rsidR="0066031E" w:rsidRDefault="002F08B0" w:rsidP="00DA29AF">
            <w:pPr>
              <w:jc w:val="both"/>
            </w:pPr>
            <w:hyperlink r:id="rId7" w:history="1">
              <w:r w:rsidR="00C75E49" w:rsidRPr="008A65B2">
                <w:rPr>
                  <w:rStyle w:val="Hyperlink"/>
                </w:rPr>
                <w:t>http://ec.europa.eu/environment/waste/batteries/pdf/report_12.pdf</w:t>
              </w:r>
            </w:hyperlink>
            <w:r w:rsidR="00C75E49">
              <w:t xml:space="preserve"> )</w:t>
            </w:r>
            <w:r w:rsidR="00DA29AF">
              <w:t xml:space="preserve">. </w:t>
            </w:r>
          </w:p>
          <w:p w:rsidR="001E3560" w:rsidRDefault="001E3560" w:rsidP="00DA29AF">
            <w:pPr>
              <w:jc w:val="both"/>
            </w:pPr>
          </w:p>
          <w:p w:rsidR="001E3560" w:rsidRDefault="001E3560" w:rsidP="00DA29AF">
            <w:pPr>
              <w:jc w:val="both"/>
            </w:pPr>
            <w:r>
              <w:t>Netiek ieviestas jaunas administratīvas procedūras.</w:t>
            </w:r>
          </w:p>
          <w:p w:rsidR="001E3560" w:rsidRDefault="001E3560" w:rsidP="00DA29AF">
            <w:pPr>
              <w:jc w:val="both"/>
            </w:pPr>
          </w:p>
          <w:p w:rsidR="001E3560" w:rsidRDefault="000B5E9A" w:rsidP="00DA29AF">
            <w:pPr>
              <w:jc w:val="both"/>
            </w:pPr>
            <w:r>
              <w:t xml:space="preserve">Papildus jāņem </w:t>
            </w:r>
            <w:r w:rsidR="00DA29AF">
              <w:t xml:space="preserve">vērā, ka noteikumu </w:t>
            </w:r>
            <w:r>
              <w:t>projektā paredzēto grozījumu spēkā stāšanās rezultātā</w:t>
            </w:r>
            <w:r w:rsidR="00DA29AF">
              <w:t>, baterijas un akumulatorus, kas neatbilst šo noteikumu prasībām, bet</w:t>
            </w:r>
            <w:r>
              <w:t>,</w:t>
            </w:r>
            <w:r w:rsidR="00DA29AF">
              <w:t xml:space="preserve"> kas </w:t>
            </w:r>
            <w:r w:rsidR="0066031E">
              <w:t xml:space="preserve">saskaņā ar normatīvo aktu prasībām </w:t>
            </w:r>
            <w:r w:rsidR="00DA29AF">
              <w:t>laisti tirgū pirms attiecīgo aizliegumu piemērošanas dienas, drīkst</w:t>
            </w:r>
            <w:r>
              <w:t>ēs</w:t>
            </w:r>
            <w:r w:rsidR="00DA29AF">
              <w:t xml:space="preserve"> turpināt tirgot, līdz beidzas to krājumi.  </w:t>
            </w:r>
            <w:r w:rsidR="00793E5A">
              <w:t xml:space="preserve">Tādejādi tiek nodrošināta tiesiskā paļāvība gan bateriju un akumulatoru ražotājiem, gan to tirgotājiem, paredzot iespēju realizēt visas saražotās baterijas un akumulatorus, un tādejādi novēršot administratīvo slogu, ja minētās baterijas un akumulatori būtu jāizņem no tirgus. </w:t>
            </w:r>
          </w:p>
          <w:p w:rsidR="001E3560" w:rsidRDefault="001E3560" w:rsidP="00DA29AF">
            <w:pPr>
              <w:jc w:val="both"/>
            </w:pPr>
          </w:p>
          <w:p w:rsidR="001E3560" w:rsidRDefault="001E3560" w:rsidP="00DA29AF">
            <w:pPr>
              <w:jc w:val="both"/>
            </w:pPr>
            <w:r>
              <w:t>Noteikumu projekta prasību realizācijas rezultātā samazināsies kadmija un dzīvsudraba daudzumi, kas varētu nonākt vidē un radīt vides piesārņojumu. Vienlaikus tiks veicināta arī tādu alternatīvu bateriju un akumulatoru ražošanas attīstība, kuru ražošanai nav nepieciešams izmantot kadmiju un dzīvsudrabu. Tādejādi nav paredzams, ka noteikumu projekta prasību realizācija varētu negatīvi ietekmēt Latvijas iedzīvotāju, vides vai publiskā sektora intereses.</w:t>
            </w:r>
          </w:p>
          <w:p w:rsidR="000B4AFF" w:rsidRDefault="000B4AFF"/>
          <w:p w:rsidR="003A294F" w:rsidRDefault="003A294F" w:rsidP="002075D8"/>
        </w:tc>
      </w:tr>
      <w:tr w:rsidR="003A294F" w:rsidTr="002A79C6">
        <w:tc>
          <w:tcPr>
            <w:tcW w:w="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jc w:val="center"/>
            </w:pPr>
            <w:r>
              <w:t>3.</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r>
              <w:t>Administratīvo izmaksu monetārs novērtējums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jc w:val="both"/>
            </w:pPr>
            <w:r>
              <w:t>Noteikumu projekts šo jomu neskar, tā kā netiek ieviestas jaunas administratīvās procedūras.</w:t>
            </w:r>
          </w:p>
        </w:tc>
      </w:tr>
      <w:tr w:rsidR="003A294F" w:rsidTr="002A79C6">
        <w:tc>
          <w:tcPr>
            <w:tcW w:w="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jc w:val="center"/>
            </w:pPr>
            <w:r>
              <w:t>4.</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r>
              <w:t>Cita informācija</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jc w:val="both"/>
            </w:pPr>
            <w:r>
              <w:t>Nav.</w:t>
            </w:r>
          </w:p>
        </w:tc>
      </w:tr>
    </w:tbl>
    <w:p w:rsidR="003A294F" w:rsidRDefault="003A294F"/>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2"/>
        <w:gridCol w:w="6311"/>
      </w:tblGrid>
      <w:tr w:rsidR="00147A87" w:rsidTr="00B21400">
        <w:trPr>
          <w:jc w:val="center"/>
        </w:trPr>
        <w:tc>
          <w:tcPr>
            <w:tcW w:w="9283" w:type="dxa"/>
            <w:gridSpan w:val="2"/>
          </w:tcPr>
          <w:p w:rsidR="00147A87" w:rsidRDefault="00147A87" w:rsidP="00147A87">
            <w:pPr>
              <w:pStyle w:val="naisnod"/>
              <w:spacing w:before="0" w:after="0"/>
            </w:pPr>
            <w:r>
              <w:rPr>
                <w:sz w:val="22"/>
              </w:rPr>
              <w:t>IV. Tiesību akta projekta ietekme uz spēkā esošo tiesību normu sistēmu</w:t>
            </w:r>
          </w:p>
        </w:tc>
      </w:tr>
      <w:tr w:rsidR="00147A87" w:rsidRPr="00D200DF" w:rsidTr="00B21400">
        <w:trPr>
          <w:jc w:val="center"/>
        </w:trPr>
        <w:tc>
          <w:tcPr>
            <w:tcW w:w="2972" w:type="dxa"/>
          </w:tcPr>
          <w:p w:rsidR="00147A87" w:rsidRPr="002F1307" w:rsidRDefault="00147A87" w:rsidP="00147A87">
            <w:pPr>
              <w:pStyle w:val="naiskr"/>
              <w:tabs>
                <w:tab w:val="left" w:pos="2628"/>
              </w:tabs>
              <w:spacing w:before="0" w:after="0"/>
              <w:jc w:val="both"/>
            </w:pPr>
            <w:r w:rsidRPr="002F1307">
              <w:t>Nepieciešamie saistītie tiesību aktu projekti</w:t>
            </w:r>
          </w:p>
        </w:tc>
        <w:tc>
          <w:tcPr>
            <w:tcW w:w="6311" w:type="dxa"/>
          </w:tcPr>
          <w:p w:rsidR="00147A87" w:rsidRPr="00D200DF" w:rsidRDefault="00E16D8A" w:rsidP="00E16D8A">
            <w:pPr>
              <w:pStyle w:val="naisf"/>
              <w:spacing w:before="0" w:after="0"/>
              <w:ind w:firstLine="0"/>
            </w:pPr>
            <w:r>
              <w:t xml:space="preserve">Lai transponētu visas direktīvā </w:t>
            </w:r>
            <w:r w:rsidRPr="00686D5B">
              <w:rPr>
                <w:rStyle w:val="StrongEmphasis"/>
                <w:b w:val="0"/>
                <w:bCs w:val="0"/>
              </w:rPr>
              <w:t>2013/56/ES</w:t>
            </w:r>
            <w:r>
              <w:t xml:space="preserve"> noteiktās prasības, ir izstrādāts</w:t>
            </w:r>
            <w:r w:rsidR="00624408">
              <w:t xml:space="preserve"> </w:t>
            </w:r>
            <w:r>
              <w:t>Noteikumu projekts „</w:t>
            </w:r>
            <w:r w:rsidRPr="00A2024B">
              <w:t xml:space="preserve">Grozījumi </w:t>
            </w:r>
            <w:r w:rsidR="006F08ED" w:rsidRPr="00A2024B">
              <w:rPr>
                <w:bCs/>
              </w:rPr>
              <w:t>Ministru kabineta</w:t>
            </w:r>
            <w:r w:rsidR="006F08ED" w:rsidRPr="00A2024B">
              <w:rPr>
                <w:rFonts w:ascii="Verdana" w:eastAsia="Calibri" w:hAnsi="Verdana" w:cs="Verdana"/>
                <w:color w:val="656565"/>
                <w:sz w:val="16"/>
                <w:szCs w:val="16"/>
                <w:lang w:eastAsia="en-US"/>
              </w:rPr>
              <w:t xml:space="preserve"> </w:t>
            </w:r>
            <w:r w:rsidR="006F08ED" w:rsidRPr="00A2024B">
              <w:rPr>
                <w:rFonts w:eastAsia="Calibri"/>
                <w:lang w:eastAsia="en-US"/>
              </w:rPr>
              <w:t>2011.gada 21.jūnija noteikumos Nr.485 „Atsevišķu veidu bīstamo atkritumu apsaimniekošanas kārtība””</w:t>
            </w:r>
            <w:r w:rsidR="00624408">
              <w:t xml:space="preserve">, </w:t>
            </w:r>
            <w:r>
              <w:t xml:space="preserve">precizējot </w:t>
            </w:r>
            <w:r w:rsidR="00624408">
              <w:t>kārtību, kādā tiek sagatavoti ziņojumi Eiropas Komisijai. Noteikumu projektu paredzēts izsludināt valsts sek</w:t>
            </w:r>
            <w:r w:rsidR="00686608">
              <w:t>retāru sanāksmē 2015.gada maijā</w:t>
            </w:r>
            <w:r w:rsidR="00624408">
              <w:t xml:space="preserve">. </w:t>
            </w:r>
          </w:p>
        </w:tc>
      </w:tr>
      <w:tr w:rsidR="00147A87" w:rsidRPr="002F1307" w:rsidTr="00B21400">
        <w:trPr>
          <w:jc w:val="center"/>
        </w:trPr>
        <w:tc>
          <w:tcPr>
            <w:tcW w:w="2972" w:type="dxa"/>
          </w:tcPr>
          <w:p w:rsidR="00147A87" w:rsidRPr="002F1307" w:rsidRDefault="00147A87" w:rsidP="00147A87">
            <w:pPr>
              <w:pStyle w:val="naiskr"/>
              <w:tabs>
                <w:tab w:val="left" w:pos="2628"/>
              </w:tabs>
              <w:spacing w:before="0" w:after="0"/>
              <w:jc w:val="both"/>
            </w:pPr>
            <w:r>
              <w:t>Atbildīgā institūcija</w:t>
            </w:r>
          </w:p>
        </w:tc>
        <w:tc>
          <w:tcPr>
            <w:tcW w:w="6311" w:type="dxa"/>
          </w:tcPr>
          <w:p w:rsidR="00147A87" w:rsidRPr="002F1307" w:rsidRDefault="00147A87" w:rsidP="00147A87">
            <w:pPr>
              <w:jc w:val="both"/>
            </w:pPr>
            <w:r>
              <w:t>Vides aizsardzības un reģionālās attīstības ministrija</w:t>
            </w:r>
            <w:r w:rsidR="00E16D8A">
              <w:t>.</w:t>
            </w:r>
          </w:p>
        </w:tc>
      </w:tr>
      <w:tr w:rsidR="00147A87" w:rsidRPr="002F1307" w:rsidTr="00B21400">
        <w:trPr>
          <w:jc w:val="center"/>
        </w:trPr>
        <w:tc>
          <w:tcPr>
            <w:tcW w:w="2972" w:type="dxa"/>
          </w:tcPr>
          <w:p w:rsidR="00147A87" w:rsidRDefault="00147A87" w:rsidP="00147A87">
            <w:pPr>
              <w:pStyle w:val="naiskr"/>
              <w:tabs>
                <w:tab w:val="left" w:pos="2628"/>
              </w:tabs>
              <w:spacing w:before="0" w:after="0"/>
              <w:jc w:val="both"/>
            </w:pPr>
            <w:r>
              <w:t>Cita informācija</w:t>
            </w:r>
          </w:p>
        </w:tc>
        <w:tc>
          <w:tcPr>
            <w:tcW w:w="6311" w:type="dxa"/>
          </w:tcPr>
          <w:p w:rsidR="00147A87" w:rsidRDefault="00147A87" w:rsidP="00147A87">
            <w:pPr>
              <w:jc w:val="both"/>
            </w:pPr>
            <w:r>
              <w:t>Nav.</w:t>
            </w:r>
          </w:p>
        </w:tc>
      </w:tr>
    </w:tbl>
    <w:p w:rsidR="00147A87" w:rsidRDefault="00147A87"/>
    <w:p w:rsidR="003A294F" w:rsidRDefault="003A294F"/>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21"/>
        <w:gridCol w:w="2661"/>
        <w:gridCol w:w="6127"/>
      </w:tblGrid>
      <w:tr w:rsidR="003A294F" w:rsidTr="00B21400">
        <w:trPr>
          <w:jc w:val="center"/>
        </w:trPr>
        <w:tc>
          <w:tcPr>
            <w:tcW w:w="92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pStyle w:val="naisnod"/>
              <w:spacing w:before="0" w:after="0"/>
            </w:pPr>
            <w:r>
              <w:t>V. Tiesību akta projekta atbilstība Latvijas Republikas starptautiskajām saistībām</w:t>
            </w:r>
          </w:p>
        </w:tc>
      </w:tr>
      <w:tr w:rsidR="003A294F" w:rsidTr="00B21400">
        <w:trPr>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pStyle w:val="naiskr"/>
              <w:tabs>
                <w:tab w:val="left" w:pos="2628"/>
              </w:tabs>
              <w:spacing w:before="0" w:after="0"/>
              <w:jc w:val="both"/>
            </w:pPr>
            <w:r>
              <w:t>1.</w:t>
            </w:r>
          </w:p>
        </w:tc>
        <w:tc>
          <w:tcPr>
            <w:tcW w:w="2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pStyle w:val="naiskr"/>
              <w:tabs>
                <w:tab w:val="left" w:pos="2628"/>
              </w:tabs>
              <w:spacing w:before="0" w:after="0"/>
              <w:jc w:val="both"/>
            </w:pPr>
            <w:r>
              <w:t>Saistības pret Eiropas Savienību</w:t>
            </w:r>
          </w:p>
        </w:tc>
        <w:tc>
          <w:tcPr>
            <w:tcW w:w="6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pStyle w:val="naisc"/>
              <w:spacing w:before="0" w:after="0"/>
              <w:jc w:val="both"/>
            </w:pPr>
            <w:r>
              <w:rPr>
                <w:bCs/>
              </w:rPr>
              <w:t xml:space="preserve">Direktīva 2013/56/ES </w:t>
            </w:r>
            <w:r>
              <w:t>(</w:t>
            </w:r>
            <w:r>
              <w:rPr>
                <w:rStyle w:val="Emphasis"/>
              </w:rPr>
              <w:t>OV L 329, 10.12.2013., 5. lpp.</w:t>
            </w:r>
            <w:r>
              <w:rPr>
                <w:rStyle w:val="Emphasis"/>
                <w:i w:val="0"/>
              </w:rPr>
              <w:t>)</w:t>
            </w:r>
          </w:p>
          <w:p w:rsidR="003A294F" w:rsidRDefault="003A294F">
            <w:pPr>
              <w:pStyle w:val="naisc"/>
              <w:spacing w:before="0" w:after="0"/>
              <w:jc w:val="both"/>
            </w:pPr>
          </w:p>
        </w:tc>
      </w:tr>
      <w:tr w:rsidR="003A294F" w:rsidTr="00B21400">
        <w:trPr>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pStyle w:val="naiskr"/>
              <w:tabs>
                <w:tab w:val="left" w:pos="2628"/>
              </w:tabs>
              <w:spacing w:before="0" w:after="0"/>
              <w:jc w:val="both"/>
            </w:pPr>
            <w:r>
              <w:t>2.</w:t>
            </w:r>
          </w:p>
        </w:tc>
        <w:tc>
          <w:tcPr>
            <w:tcW w:w="2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pStyle w:val="naiskr"/>
              <w:tabs>
                <w:tab w:val="left" w:pos="2628"/>
              </w:tabs>
              <w:spacing w:before="0" w:after="0"/>
              <w:jc w:val="both"/>
            </w:pPr>
            <w:r>
              <w:t>Citas starptautiskās saistības</w:t>
            </w:r>
          </w:p>
        </w:tc>
        <w:tc>
          <w:tcPr>
            <w:tcW w:w="6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pStyle w:val="naiskr"/>
              <w:tabs>
                <w:tab w:val="left" w:pos="2628"/>
              </w:tabs>
              <w:spacing w:before="0" w:after="0"/>
              <w:jc w:val="both"/>
            </w:pPr>
            <w:r>
              <w:t>Projekts šo jomu neskar.</w:t>
            </w:r>
          </w:p>
        </w:tc>
      </w:tr>
      <w:tr w:rsidR="003A294F" w:rsidTr="00B21400">
        <w:trPr>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pStyle w:val="naiskr"/>
              <w:tabs>
                <w:tab w:val="left" w:pos="2628"/>
              </w:tabs>
              <w:spacing w:before="0" w:after="0"/>
              <w:jc w:val="both"/>
            </w:pPr>
            <w:r>
              <w:t>3.</w:t>
            </w:r>
          </w:p>
        </w:tc>
        <w:tc>
          <w:tcPr>
            <w:tcW w:w="2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pStyle w:val="naiskr"/>
              <w:tabs>
                <w:tab w:val="left" w:pos="2628"/>
              </w:tabs>
              <w:spacing w:before="0" w:after="0"/>
              <w:jc w:val="both"/>
            </w:pPr>
            <w:r>
              <w:t>Cita informācija</w:t>
            </w:r>
          </w:p>
        </w:tc>
        <w:tc>
          <w:tcPr>
            <w:tcW w:w="6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A294F" w:rsidRDefault="008123E2">
            <w:pPr>
              <w:pStyle w:val="naiskr"/>
              <w:tabs>
                <w:tab w:val="left" w:pos="2628"/>
              </w:tabs>
              <w:spacing w:before="0" w:after="0"/>
              <w:jc w:val="both"/>
            </w:pPr>
            <w:r>
              <w:t>Nav.</w:t>
            </w:r>
          </w:p>
        </w:tc>
      </w:tr>
    </w:tbl>
    <w:p w:rsidR="003A294F" w:rsidRDefault="003A294F">
      <w:pPr>
        <w:pStyle w:val="naisf"/>
        <w:spacing w:before="0" w:after="0"/>
        <w:ind w:firstLine="0"/>
      </w:pPr>
    </w:p>
    <w:tbl>
      <w:tblPr>
        <w:tblW w:w="9209"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547"/>
        <w:gridCol w:w="1984"/>
        <w:gridCol w:w="1560"/>
        <w:gridCol w:w="3118"/>
      </w:tblGrid>
      <w:tr w:rsidR="003A294F" w:rsidTr="00B21400">
        <w:trPr>
          <w:trHeight w:val="523"/>
          <w:jc w:val="center"/>
        </w:trPr>
        <w:tc>
          <w:tcPr>
            <w:tcW w:w="92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3A294F" w:rsidRDefault="008123E2">
            <w:pPr>
              <w:pStyle w:val="naisnod"/>
              <w:spacing w:before="0" w:after="0"/>
            </w:pPr>
            <w:r>
              <w:t>1.tabula</w:t>
            </w:r>
          </w:p>
          <w:p w:rsidR="003A294F" w:rsidRDefault="008123E2">
            <w:pPr>
              <w:pStyle w:val="naisnod"/>
              <w:spacing w:before="0" w:after="0"/>
            </w:pPr>
            <w:r>
              <w:t>Tiesību akta projekta atbilstība ES tiesību aktiem</w:t>
            </w:r>
          </w:p>
        </w:tc>
      </w:tr>
      <w:tr w:rsidR="003A294F" w:rsidTr="00B21400">
        <w:trPr>
          <w:trHeight w:val="1252"/>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3A294F" w:rsidRDefault="008123E2">
            <w:pPr>
              <w:pStyle w:val="naiskr"/>
              <w:spacing w:before="0" w:after="0"/>
              <w:ind w:hanging="10"/>
              <w:jc w:val="both"/>
            </w:pPr>
            <w:r>
              <w:t>Attiecīgā ES tiesību akta datums, numurs un nosaukums</w:t>
            </w:r>
          </w:p>
        </w:tc>
        <w:tc>
          <w:tcPr>
            <w:tcW w:w="666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3A294F" w:rsidRDefault="008123E2">
            <w:pPr>
              <w:pStyle w:val="naisc"/>
              <w:spacing w:before="0" w:after="0"/>
              <w:jc w:val="both"/>
            </w:pPr>
            <w:r>
              <w:rPr>
                <w:bCs/>
              </w:rPr>
              <w:t xml:space="preserve">Direktīva 2013/56/ES </w:t>
            </w:r>
            <w:r>
              <w:t>(</w:t>
            </w:r>
            <w:r>
              <w:rPr>
                <w:rStyle w:val="Emphasis"/>
              </w:rPr>
              <w:t>OV L 329, 10.12.2013., 5. lpp.</w:t>
            </w:r>
            <w:r>
              <w:rPr>
                <w:rStyle w:val="Emphasis"/>
                <w:i w:val="0"/>
              </w:rPr>
              <w:t>)</w:t>
            </w:r>
          </w:p>
        </w:tc>
      </w:tr>
      <w:tr w:rsidR="003A294F" w:rsidTr="00B21400">
        <w:trPr>
          <w:trHeight w:val="165"/>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3A294F" w:rsidRDefault="008123E2" w:rsidP="002075D8">
            <w:pPr>
              <w:pStyle w:val="naiskr"/>
              <w:spacing w:before="0" w:after="0"/>
              <w:jc w:val="center"/>
            </w:pPr>
            <w:r>
              <w:t>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3A294F" w:rsidRDefault="008123E2" w:rsidP="002075D8">
            <w:pPr>
              <w:pStyle w:val="naiskr"/>
              <w:spacing w:before="0" w:after="0"/>
              <w:jc w:val="center"/>
            </w:pPr>
            <w:r>
              <w:t>B</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3A294F" w:rsidRDefault="008123E2" w:rsidP="002075D8">
            <w:pPr>
              <w:pStyle w:val="naiskr"/>
              <w:spacing w:before="0" w:after="0"/>
              <w:jc w:val="center"/>
            </w:pPr>
            <w:r>
              <w:t>C</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3A294F" w:rsidRDefault="008123E2" w:rsidP="002075D8">
            <w:pPr>
              <w:pStyle w:val="naiskr"/>
              <w:spacing w:before="0" w:after="0"/>
              <w:jc w:val="center"/>
            </w:pPr>
            <w:r>
              <w:t>D</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1.daļas a)punkts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0030EF">
            <w:pPr>
              <w:pStyle w:val="naiskr"/>
              <w:spacing w:before="0" w:after="0"/>
              <w:jc w:val="both"/>
            </w:pPr>
            <w:r>
              <w:t>2.punkts</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46B78" w:rsidP="002075D8">
            <w:pPr>
              <w:pStyle w:val="naiskr"/>
              <w:spacing w:before="0" w:after="0"/>
              <w:jc w:val="center"/>
            </w:pPr>
            <w:r>
              <w:t>I</w:t>
            </w:r>
            <w:r w:rsidR="009D790C">
              <w:t xml:space="preserve">eviests </w:t>
            </w:r>
            <w:r w:rsidR="000030EF">
              <w:t>pilnībā</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4B44DE">
            <w:pPr>
              <w:pStyle w:val="naiskr"/>
              <w:spacing w:before="0" w:after="0"/>
              <w:jc w:val="both"/>
            </w:pPr>
            <w:r>
              <w:t>Neparedz stingrākas prasības.</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1.daļas b)punkts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0030EF">
            <w:pPr>
              <w:pStyle w:val="naiskr"/>
              <w:spacing w:before="0" w:after="0"/>
              <w:jc w:val="both"/>
            </w:pPr>
            <w:r>
              <w:t>2.punkts</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46B78" w:rsidP="002075D8">
            <w:pPr>
              <w:pStyle w:val="naiskr"/>
              <w:spacing w:before="0" w:after="0"/>
              <w:jc w:val="center"/>
            </w:pPr>
            <w:r>
              <w:t>I</w:t>
            </w:r>
            <w:r w:rsidR="009D790C">
              <w:t xml:space="preserve">eviests </w:t>
            </w:r>
            <w:r w:rsidR="000030EF">
              <w:t>pilnībā</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4B44DE">
            <w:pPr>
              <w:pStyle w:val="naiskr"/>
              <w:spacing w:before="0" w:after="0"/>
              <w:jc w:val="both"/>
            </w:pPr>
            <w:r>
              <w:t>Neparedz stingrākas prasības</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1.daļas c)punkts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rsidP="002075D8">
            <w:pPr>
              <w:pStyle w:val="naiskr"/>
              <w:spacing w:before="0" w:after="0"/>
              <w:jc w:val="center"/>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Attiecas uz Eiropas Komisijas pilnvarām</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2.daļa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0030EF">
            <w:pPr>
              <w:pStyle w:val="naiskr"/>
              <w:spacing w:before="0" w:after="0"/>
              <w:jc w:val="both"/>
            </w:pPr>
            <w:r>
              <w:t>3.punkts</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0213A0" w:rsidP="002075D8">
            <w:pPr>
              <w:pStyle w:val="naiskr"/>
              <w:spacing w:before="0" w:after="0"/>
              <w:jc w:val="center"/>
            </w:pPr>
            <w:r>
              <w:t>Ieviests pilnībā</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3.daļa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rsidP="002075D8">
            <w:pPr>
              <w:pStyle w:val="naiskr"/>
              <w:spacing w:before="0" w:after="0"/>
              <w:jc w:val="center"/>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Attiecas uz Eiropas Komisijas pilnvarām</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4.daļa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0030EF">
            <w:pPr>
              <w:pStyle w:val="naiskr"/>
              <w:spacing w:before="0" w:after="0"/>
              <w:jc w:val="both"/>
            </w:pPr>
            <w:r>
              <w:t>1.punkts</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0213A0" w:rsidP="002075D8">
            <w:pPr>
              <w:pStyle w:val="naiskr"/>
              <w:spacing w:before="0" w:after="0"/>
              <w:jc w:val="center"/>
            </w:pPr>
            <w:r>
              <w:t>Ieviests pilnībā</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5.daļa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rsidP="002075D8">
            <w:pPr>
              <w:pStyle w:val="naiskr"/>
              <w:spacing w:before="0" w:after="0"/>
              <w:jc w:val="center"/>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Attiecas uz Eiropas Komisijas pilnvarām</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6.daļa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rsidP="002075D8">
            <w:pPr>
              <w:pStyle w:val="naiskr"/>
              <w:spacing w:before="0" w:after="0"/>
              <w:jc w:val="center"/>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Attiecas uz Eiropas Komisijas pienākumiem.</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7.daļa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rsidP="002075D8">
            <w:pPr>
              <w:pStyle w:val="naiskr"/>
              <w:spacing w:before="0" w:after="0"/>
              <w:jc w:val="center"/>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Attiecas uz Eiropas Komisijas pilnvarām</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8.daļa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0030EF">
            <w:pPr>
              <w:pStyle w:val="naiskr"/>
              <w:spacing w:before="0" w:after="0"/>
              <w:jc w:val="both"/>
            </w:pPr>
            <w:r>
              <w:t xml:space="preserve">Ministru kabineta 2014.gada 17.jūnija noteikumu Nr.331 “Elektrisko un elektronisko iekārtu un bateriju vai akumulatoru ražotāju reģistrācijas kārtība un samaksas kārtība par datu uzturēšanu” </w:t>
            </w:r>
            <w:r w:rsidR="00624408">
              <w:t xml:space="preserve">(turpmāk – MK noteikumi Nr.331) </w:t>
            </w:r>
            <w:r>
              <w:t>I un III nodaļa, 1., 2.pielikums</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46B78" w:rsidP="002075D8">
            <w:pPr>
              <w:pStyle w:val="naiskr"/>
              <w:spacing w:before="0" w:after="0"/>
              <w:jc w:val="center"/>
            </w:pPr>
            <w:r>
              <w:t>I</w:t>
            </w:r>
            <w:r w:rsidR="000213A0">
              <w:t xml:space="preserve">eviests </w:t>
            </w:r>
            <w:r w:rsidR="000030EF">
              <w:t>pilnībā</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 xml:space="preserve">1.panta 9.daļa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0213A0">
            <w:pPr>
              <w:pStyle w:val="naiskr"/>
              <w:spacing w:before="0" w:after="0"/>
              <w:jc w:val="both"/>
            </w:pPr>
            <w:r>
              <w:t>Netiks pārņemts</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C273C1">
            <w:pPr>
              <w:pStyle w:val="naiskr"/>
              <w:spacing w:before="0" w:after="0"/>
              <w:jc w:val="both"/>
            </w:pPr>
            <w:r>
              <w:t>Direktīvas 2006/66/EK 18.panta 1.daļa nosaka, ka dalībvalstis var atbrīvot ražotājus, kuri, atkarībā no valsts tirgus apmēriem, baterijas un akumulatorus valsts tirgū tirgo mazos daudzumos, no 16. panta 1. punkta prasībām ar nosacījumu, ka tas netraucē savākšanas un pārstrādes shēmu pareizu darbību saskaņā ar 8. un 12. pantu. Tā kā dalībvalstīm šajā tiesību normā ir rīcības brīvība uz attiecīgās normas pārņemšanu, un Latvija ir izvēlējusies nepārņemt attiecīgo tiesību normu, tad netiks pārņemta arī direktīvas 2013/56/EK 1.panta 9.daļa, kurā tiek precizēta Direktīvas 2006/66/EK 18.panta 1.daļas piemērošana.</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10.daļas a)punkta 1.teikums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C273C1">
            <w:pPr>
              <w:pStyle w:val="naiskr"/>
              <w:spacing w:before="0" w:after="0"/>
              <w:jc w:val="both"/>
            </w:pPr>
            <w:r>
              <w:t xml:space="preserve">MK </w:t>
            </w:r>
            <w:r w:rsidR="008123E2">
              <w:t xml:space="preserve">noteikumu </w:t>
            </w:r>
            <w:r>
              <w:t xml:space="preserve">Nr.139 </w:t>
            </w:r>
            <w:r w:rsidR="008123E2">
              <w:t>19.un 24.punkts</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9D790C">
            <w:pPr>
              <w:pStyle w:val="naiskr"/>
              <w:spacing w:before="0" w:after="0"/>
              <w:jc w:val="both"/>
            </w:pPr>
            <w:r>
              <w:t xml:space="preserve">Ieviests </w:t>
            </w:r>
            <w:r w:rsidR="000213A0">
              <w:t>pilnībā</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C37B5E">
            <w:pPr>
              <w:pStyle w:val="naiskr"/>
              <w:spacing w:before="0" w:after="0"/>
              <w:jc w:val="both"/>
            </w:pPr>
            <w:r>
              <w:t>Neparedz stingrākas prasības.</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10.daļas a)punkta 2.teikums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Attiecas uz Eiropas Komisijas pilnvarām</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10.daļas b)punkts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Attiecas uz Eiropas Komisijas pilnvarām</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11.daļas 1.teikums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0213A0">
            <w:pPr>
              <w:pStyle w:val="naiskr"/>
              <w:spacing w:before="0" w:after="0"/>
              <w:jc w:val="both"/>
            </w:pPr>
            <w:r>
              <w:t>Nav pārņemts</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624408">
            <w:pPr>
              <w:pStyle w:val="naiskr"/>
              <w:spacing w:before="0" w:after="0"/>
              <w:jc w:val="both"/>
            </w:pPr>
            <w:r>
              <w:t>Minētā prasība tiks pārņemta, izdarot grozījumus MK noteikumos Nr.485</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11.daļas 2.teikums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Attiecas uz Eiropas Komisijas pilnvarām</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12.daļa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Attiecas uz Eiropas Komisijas pilnvarām</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13.daļa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Attiecas uz komitoloģijas procedūru.</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1.panta 14.daļa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624408">
            <w:pPr>
              <w:pStyle w:val="naiskr"/>
              <w:spacing w:before="0" w:after="0"/>
              <w:jc w:val="both"/>
            </w:pPr>
            <w:r>
              <w:t>MK noteikumu Nr.331 3., 4., 5., 23., 29., 30, 31., 36., 37.punkts, 1., 2.pielikums</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4B44DE">
            <w:pPr>
              <w:pStyle w:val="naiskr"/>
              <w:spacing w:before="0" w:after="0"/>
              <w:jc w:val="both"/>
            </w:pPr>
            <w:r>
              <w:t xml:space="preserve">Ieviests </w:t>
            </w:r>
            <w:r w:rsidR="00624408">
              <w:t>pilnībā</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2.pants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Tiek atcelts Komisijas lēmums 2009/603/EK.</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3.panta 1.daļa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624408">
            <w:pPr>
              <w:pStyle w:val="naiskr"/>
              <w:spacing w:before="0" w:after="0"/>
              <w:jc w:val="both"/>
            </w:pPr>
            <w:r>
              <w:t>Termiņš direktīvas 2013/56/ES prasību transponēšanai dalībvalstu normatīvajos aktos.</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3.panta 2.daļa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Atsauce uz ES direktīvām</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4B44DE">
            <w:pPr>
              <w:pStyle w:val="naiskr"/>
              <w:spacing w:before="0" w:after="0"/>
              <w:jc w:val="both"/>
            </w:pPr>
            <w:r>
              <w:t xml:space="preserve">Ieviests </w:t>
            </w:r>
            <w:r w:rsidR="00624408">
              <w:t>pilnībā</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3.panta 3.daļa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6C68B5">
            <w:pPr>
              <w:pStyle w:val="naiskr"/>
              <w:spacing w:before="0" w:after="0"/>
              <w:jc w:val="both"/>
            </w:pPr>
            <w:r>
              <w:t>Dalībvalstu pienākums paziņot Eiropas Komisijai to normatīvo aktu galvenās prasības, ar kurām tiek pārņemta direktīva 2013/56/ES</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4.pants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6C68B5">
            <w:pPr>
              <w:pStyle w:val="naiskr"/>
              <w:spacing w:before="0" w:after="0"/>
              <w:jc w:val="both"/>
            </w:pPr>
            <w:r>
              <w:t>Direktīvas 2013/56/ES s</w:t>
            </w:r>
            <w:r w:rsidR="008123E2">
              <w:t>pēkā stāšanās nosacījumi</w:t>
            </w:r>
          </w:p>
        </w:tc>
      </w:tr>
      <w:tr w:rsidR="003A294F" w:rsidTr="00B21400">
        <w:trPr>
          <w:trHeight w:val="31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8123E2">
            <w:pPr>
              <w:pStyle w:val="naiskr"/>
              <w:spacing w:before="0" w:after="0"/>
              <w:jc w:val="both"/>
            </w:pPr>
            <w:r>
              <w:t>5.pants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3A294F">
            <w:pPr>
              <w:pStyle w:val="naiskr"/>
              <w:spacing w:before="0" w:after="0"/>
              <w:jc w:val="both"/>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0213A0">
            <w:pPr>
              <w:pStyle w:val="naiskr"/>
              <w:spacing w:before="0" w:after="0"/>
              <w:jc w:val="both"/>
            </w:pPr>
            <w:r>
              <w:t>Nav jāpārņem</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3A294F" w:rsidRDefault="006C68B5">
            <w:pPr>
              <w:pStyle w:val="naiskr"/>
              <w:spacing w:before="0" w:after="0"/>
              <w:jc w:val="both"/>
            </w:pPr>
            <w:r>
              <w:t>Direktīvas 2013/56/ES a</w:t>
            </w:r>
            <w:r w:rsidR="008123E2">
              <w:t>dresāti</w:t>
            </w:r>
          </w:p>
        </w:tc>
      </w:tr>
    </w:tbl>
    <w:p w:rsidR="003A294F" w:rsidRDefault="003A294F">
      <w:pPr>
        <w:pStyle w:val="naisf"/>
        <w:spacing w:before="0" w:after="0"/>
        <w:ind w:firstLine="0"/>
      </w:pPr>
    </w:p>
    <w:tbl>
      <w:tblPr>
        <w:tblStyle w:val="TableGrid"/>
        <w:tblW w:w="0" w:type="auto"/>
        <w:tblLook w:val="04A0"/>
      </w:tblPr>
      <w:tblGrid>
        <w:gridCol w:w="4643"/>
        <w:gridCol w:w="4644"/>
      </w:tblGrid>
      <w:tr w:rsidR="00974C34" w:rsidTr="00974C34">
        <w:tc>
          <w:tcPr>
            <w:tcW w:w="4643" w:type="dxa"/>
          </w:tcPr>
          <w:p w:rsidR="00974C34" w:rsidRPr="00410C66" w:rsidRDefault="00974C34" w:rsidP="00974C34">
            <w:pPr>
              <w:pStyle w:val="naiskr"/>
              <w:spacing w:before="0" w:after="0"/>
              <w:jc w:val="both"/>
              <w:rPr>
                <w:sz w:val="24"/>
                <w:szCs w:val="24"/>
              </w:rPr>
            </w:pPr>
            <w:r w:rsidRPr="00410C66">
              <w:rPr>
                <w:sz w:val="24"/>
                <w:szCs w:val="24"/>
              </w:rPr>
              <w:t>Kā ir izmantota ES tiesību aktā paredzētā rīcības brīvība dalībvalstij pārņemt vai ieviest noteiktas ES tiesību akta normas.</w:t>
            </w:r>
          </w:p>
          <w:p w:rsidR="00974C34" w:rsidRPr="00410C66" w:rsidRDefault="00974C34" w:rsidP="00974C34">
            <w:pPr>
              <w:pStyle w:val="naisf"/>
              <w:spacing w:before="0" w:after="0"/>
              <w:ind w:firstLine="0"/>
              <w:rPr>
                <w:sz w:val="24"/>
                <w:szCs w:val="24"/>
              </w:rPr>
            </w:pPr>
            <w:r w:rsidRPr="00410C66">
              <w:rPr>
                <w:sz w:val="24"/>
                <w:szCs w:val="24"/>
              </w:rPr>
              <w:t>Kādēļ?</w:t>
            </w:r>
          </w:p>
        </w:tc>
        <w:tc>
          <w:tcPr>
            <w:tcW w:w="4644" w:type="dxa"/>
          </w:tcPr>
          <w:p w:rsidR="00974C34" w:rsidRPr="00410C66" w:rsidRDefault="006C68B5" w:rsidP="00EC65ED">
            <w:pPr>
              <w:pStyle w:val="naisf"/>
              <w:spacing w:before="0" w:after="0"/>
              <w:ind w:firstLine="0"/>
              <w:rPr>
                <w:sz w:val="24"/>
                <w:szCs w:val="24"/>
              </w:rPr>
            </w:pPr>
            <w:r w:rsidRPr="00410C66">
              <w:rPr>
                <w:sz w:val="24"/>
                <w:szCs w:val="24"/>
              </w:rPr>
              <w:t xml:space="preserve">Direktīvas 2006/66/EK 18.panta </w:t>
            </w:r>
            <w:r w:rsidR="00410C66" w:rsidRPr="00410C66">
              <w:rPr>
                <w:sz w:val="24"/>
                <w:szCs w:val="24"/>
              </w:rPr>
              <w:t xml:space="preserve">pirmā </w:t>
            </w:r>
            <w:r w:rsidRPr="00410C66">
              <w:rPr>
                <w:sz w:val="24"/>
                <w:szCs w:val="24"/>
              </w:rPr>
              <w:t xml:space="preserve">daļa nosaka, ka dalībvalstis var atbrīvot ražotājus, kuri, atkarībā no valsts tirgus apmēriem, baterijas un akumulatorus valsts tirgū tirgo mazos daudzumos, no 16. panta 1. punkta prasībām ar nosacījumu, ka tas netraucē savākšanas un pārstrādes shēmu pareizu darbību saskaņā ar 8. un 12. pantu. Tā kā dalībvalstīm šajā tiesību normā ir rīcības brīvība uz attiecīgās normas pārņemšanu, un Latvija ir izvēlējusies nepārņemt attiecīgo tiesību normu, tad netiks pārņemta arī direktīvas 2013/56/EK 1.panta </w:t>
            </w:r>
            <w:r w:rsidR="00EC65ED">
              <w:rPr>
                <w:sz w:val="24"/>
                <w:szCs w:val="24"/>
              </w:rPr>
              <w:t xml:space="preserve">devītā </w:t>
            </w:r>
            <w:r w:rsidRPr="00410C66">
              <w:rPr>
                <w:sz w:val="24"/>
                <w:szCs w:val="24"/>
              </w:rPr>
              <w:t xml:space="preserve">daļa, kurā tiek precizēta Direktīvas 2006/66/EK 18.panta </w:t>
            </w:r>
            <w:r w:rsidR="00EC65ED">
              <w:rPr>
                <w:sz w:val="24"/>
                <w:szCs w:val="24"/>
              </w:rPr>
              <w:t xml:space="preserve">pirmās </w:t>
            </w:r>
            <w:r w:rsidRPr="00410C66">
              <w:rPr>
                <w:sz w:val="24"/>
                <w:szCs w:val="24"/>
              </w:rPr>
              <w:t>daļas piemērošana.</w:t>
            </w:r>
          </w:p>
        </w:tc>
      </w:tr>
      <w:tr w:rsidR="00974C34" w:rsidTr="00974C34">
        <w:tc>
          <w:tcPr>
            <w:tcW w:w="4643" w:type="dxa"/>
          </w:tcPr>
          <w:p w:rsidR="00974C34" w:rsidRPr="00410C66" w:rsidRDefault="00974C34">
            <w:pPr>
              <w:pStyle w:val="naisf"/>
              <w:spacing w:before="0" w:after="0"/>
              <w:ind w:firstLine="0"/>
              <w:rPr>
                <w:sz w:val="24"/>
                <w:szCs w:val="24"/>
              </w:rPr>
            </w:pPr>
            <w:r w:rsidRPr="00410C66">
              <w:rPr>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644" w:type="dxa"/>
          </w:tcPr>
          <w:p w:rsidR="00974C34" w:rsidRPr="00410C66" w:rsidRDefault="00922727">
            <w:pPr>
              <w:pStyle w:val="naisf"/>
              <w:spacing w:before="0" w:after="0"/>
              <w:ind w:firstLine="0"/>
              <w:rPr>
                <w:sz w:val="24"/>
                <w:szCs w:val="24"/>
              </w:rPr>
            </w:pPr>
            <w:r w:rsidRPr="00410C66">
              <w:rPr>
                <w:sz w:val="24"/>
                <w:szCs w:val="24"/>
              </w:rPr>
              <w:t>Nav attiecināms.</w:t>
            </w:r>
          </w:p>
        </w:tc>
      </w:tr>
      <w:tr w:rsidR="00974C34" w:rsidTr="00974C34">
        <w:tc>
          <w:tcPr>
            <w:tcW w:w="4643" w:type="dxa"/>
          </w:tcPr>
          <w:p w:rsidR="00974C34" w:rsidRPr="00410C66" w:rsidRDefault="00974C34">
            <w:pPr>
              <w:pStyle w:val="naisf"/>
              <w:spacing w:before="0" w:after="0"/>
              <w:ind w:firstLine="0"/>
              <w:rPr>
                <w:sz w:val="24"/>
                <w:szCs w:val="24"/>
              </w:rPr>
            </w:pPr>
            <w:r w:rsidRPr="00410C66">
              <w:rPr>
                <w:sz w:val="24"/>
                <w:szCs w:val="24"/>
              </w:rPr>
              <w:t>Cita informācija</w:t>
            </w:r>
          </w:p>
        </w:tc>
        <w:tc>
          <w:tcPr>
            <w:tcW w:w="4644" w:type="dxa"/>
          </w:tcPr>
          <w:p w:rsidR="00974C34" w:rsidRPr="00410C66" w:rsidRDefault="00922727">
            <w:pPr>
              <w:pStyle w:val="naisf"/>
              <w:spacing w:before="0" w:after="0"/>
              <w:ind w:firstLine="0"/>
              <w:rPr>
                <w:sz w:val="24"/>
                <w:szCs w:val="24"/>
              </w:rPr>
            </w:pPr>
            <w:r w:rsidRPr="00410C66">
              <w:rPr>
                <w:sz w:val="24"/>
                <w:szCs w:val="24"/>
              </w:rPr>
              <w:t>Nav.</w:t>
            </w:r>
          </w:p>
        </w:tc>
      </w:tr>
    </w:tbl>
    <w:p w:rsidR="009C34D4" w:rsidRDefault="009C34D4">
      <w:pPr>
        <w:pStyle w:val="naisf"/>
        <w:spacing w:before="0" w:after="0"/>
        <w:ind w:firstLine="0"/>
      </w:pPr>
    </w:p>
    <w:p w:rsidR="009C34D4" w:rsidRDefault="009C34D4">
      <w:pPr>
        <w:pStyle w:val="naisf"/>
        <w:spacing w:before="0" w:after="0"/>
        <w:ind w:firstLine="0"/>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11"/>
        <w:gridCol w:w="3724"/>
        <w:gridCol w:w="4746"/>
      </w:tblGrid>
      <w:tr w:rsidR="003A294F" w:rsidTr="00B21400">
        <w:trPr>
          <w:jc w:val="center"/>
        </w:trPr>
        <w:tc>
          <w:tcPr>
            <w:tcW w:w="920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A294F" w:rsidRDefault="008123E2">
            <w:pPr>
              <w:pStyle w:val="naisnod"/>
              <w:spacing w:before="0" w:after="0"/>
              <w:ind w:left="57" w:right="57"/>
            </w:pPr>
            <w:r>
              <w:t>VI. Sabiedrības līdzdalība un komunikācijas aktivitātes</w:t>
            </w:r>
          </w:p>
        </w:tc>
      </w:tr>
      <w:tr w:rsidR="003A294F" w:rsidTr="00B21400">
        <w:trPr>
          <w:trHeight w:val="553"/>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A294F" w:rsidRDefault="008123E2">
            <w:pPr>
              <w:pStyle w:val="naiskr"/>
              <w:spacing w:before="0" w:after="0"/>
              <w:ind w:left="57" w:right="57"/>
            </w:pPr>
            <w:r>
              <w:rPr>
                <w:bCs/>
              </w:rPr>
              <w:t>1.</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A294F" w:rsidRDefault="008123E2" w:rsidP="002075D8">
            <w:pPr>
              <w:pStyle w:val="naiskr"/>
              <w:tabs>
                <w:tab w:val="left" w:pos="227"/>
              </w:tabs>
              <w:spacing w:before="0" w:after="0"/>
              <w:ind w:left="57" w:right="57"/>
              <w:jc w:val="both"/>
            </w:pPr>
            <w:r>
              <w:t>Plānotās sabiedrības līdzdalības un komunikācijas aktivitātes saistībā ar projektu</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30724" w:rsidRDefault="001C2900" w:rsidP="001C2900">
            <w:pPr>
              <w:pStyle w:val="naiskr"/>
              <w:spacing w:before="0" w:after="0"/>
              <w:ind w:left="57" w:right="57"/>
              <w:jc w:val="both"/>
            </w:pPr>
            <w:r w:rsidRPr="006E3559">
              <w:t>Lai nodrošinātu sabiedrības līdzdalību,</w:t>
            </w:r>
            <w:r>
              <w:t xml:space="preserve"> noteikumu </w:t>
            </w:r>
            <w:r w:rsidR="00922727">
              <w:t xml:space="preserve">projekts 2015.gada </w:t>
            </w:r>
            <w:r w:rsidR="002A79C6">
              <w:t>2</w:t>
            </w:r>
            <w:r w:rsidR="00410927">
              <w:t>.</w:t>
            </w:r>
            <w:r w:rsidR="00C37B5E">
              <w:t xml:space="preserve">aprīlī </w:t>
            </w:r>
            <w:r w:rsidR="008123E2">
              <w:t xml:space="preserve">ir </w:t>
            </w:r>
            <w:r w:rsidR="00C37B5E">
              <w:t xml:space="preserve">ievietots </w:t>
            </w:r>
            <w:r w:rsidR="008123E2">
              <w:t xml:space="preserve">VARAM </w:t>
            </w:r>
            <w:r w:rsidR="00C37B5E">
              <w:t>publiskajā tīmekļa vietnē</w:t>
            </w:r>
            <w:r w:rsidR="008123E2">
              <w:t xml:space="preserve"> </w:t>
            </w:r>
            <w:hyperlink r:id="rId8">
              <w:r w:rsidR="008123E2" w:rsidRPr="009E195A">
                <w:rPr>
                  <w:rStyle w:val="InternetLink"/>
                  <w:lang w:val="lv-LV"/>
                </w:rPr>
                <w:t>www.varam.gov.lv</w:t>
              </w:r>
            </w:hyperlink>
            <w:r>
              <w:t xml:space="preserve"> sadaļā</w:t>
            </w:r>
            <w:r w:rsidR="00530724">
              <w:t xml:space="preserve"> “Sabiedrības līdzdalība: </w:t>
            </w:r>
            <w:r w:rsidR="00530724" w:rsidRPr="00D25BA8">
              <w:t>Paziņojumi par līdzdalības iespējām attīstības plānošanas dokumenta vai tiesību akta izstrādes procesā</w:t>
            </w:r>
            <w:r w:rsidR="00530724">
              <w:t xml:space="preserve">”, </w:t>
            </w:r>
            <w:r w:rsidR="00530724" w:rsidRPr="006E3559">
              <w:t>aicinot sabiedrību izteikt savu viedokli, izmantojot interneta pakalpojumus</w:t>
            </w:r>
            <w:r w:rsidR="00530724">
              <w:t xml:space="preserve"> līdz 2015.gada 23.aprīlim.</w:t>
            </w:r>
          </w:p>
          <w:tbl>
            <w:tblPr>
              <w:tblW w:w="0" w:type="auto"/>
              <w:tblCellSpacing w:w="0" w:type="dxa"/>
              <w:tblCellMar>
                <w:left w:w="0" w:type="dxa"/>
                <w:right w:w="0" w:type="dxa"/>
              </w:tblCellMar>
              <w:tblLook w:val="04A0"/>
            </w:tblPr>
            <w:tblGrid>
              <w:gridCol w:w="6"/>
              <w:gridCol w:w="6"/>
            </w:tblGrid>
            <w:tr w:rsidR="00530724" w:rsidTr="00530724">
              <w:trPr>
                <w:tblCellSpacing w:w="0" w:type="dxa"/>
              </w:trPr>
              <w:tc>
                <w:tcPr>
                  <w:tcW w:w="0" w:type="auto"/>
                  <w:vAlign w:val="bottom"/>
                  <w:hideMark/>
                </w:tcPr>
                <w:p w:rsidR="00530724" w:rsidRDefault="00530724" w:rsidP="00530724">
                  <w:pPr>
                    <w:tabs>
                      <w:tab w:val="clear" w:pos="720"/>
                    </w:tabs>
                    <w:suppressAutoHyphens w:val="0"/>
                    <w:spacing w:line="240" w:lineRule="auto"/>
                    <w:rPr>
                      <w:sz w:val="20"/>
                      <w:szCs w:val="20"/>
                    </w:rPr>
                  </w:pPr>
                </w:p>
              </w:tc>
              <w:tc>
                <w:tcPr>
                  <w:tcW w:w="0" w:type="auto"/>
                  <w:vAlign w:val="bottom"/>
                  <w:hideMark/>
                </w:tcPr>
                <w:p w:rsidR="00530724" w:rsidRDefault="00530724" w:rsidP="00530724"/>
              </w:tc>
            </w:tr>
          </w:tbl>
          <w:p w:rsidR="003A294F" w:rsidRDefault="003A294F" w:rsidP="001C2900">
            <w:pPr>
              <w:pStyle w:val="naiskr"/>
              <w:spacing w:before="0" w:after="0"/>
              <w:ind w:left="57" w:right="57"/>
              <w:jc w:val="both"/>
            </w:pPr>
          </w:p>
        </w:tc>
      </w:tr>
      <w:tr w:rsidR="003A294F" w:rsidTr="00B21400">
        <w:trPr>
          <w:trHeight w:val="339"/>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A294F" w:rsidRDefault="008123E2">
            <w:pPr>
              <w:pStyle w:val="naiskr"/>
              <w:spacing w:before="0" w:after="0"/>
              <w:ind w:left="57" w:right="57"/>
            </w:pPr>
            <w:r>
              <w:rPr>
                <w:bCs/>
              </w:rPr>
              <w:t>2.</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A294F" w:rsidRDefault="008123E2" w:rsidP="002075D8">
            <w:pPr>
              <w:pStyle w:val="naiskr"/>
              <w:spacing w:before="0" w:after="0"/>
              <w:ind w:left="57" w:right="57"/>
              <w:jc w:val="both"/>
            </w:pPr>
            <w:r>
              <w:t xml:space="preserve">Sabiedrības līdzdalība projekta izstrādē </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A294F" w:rsidRDefault="00C37B5E" w:rsidP="00922727">
            <w:pPr>
              <w:pStyle w:val="naiskr"/>
              <w:spacing w:before="0" w:after="0"/>
              <w:ind w:right="57"/>
              <w:jc w:val="both"/>
            </w:pPr>
            <w:r w:rsidRPr="00BE3C64">
              <w:t>Priekšlikumi vai iebildumi par noteikumu projektu pašreiz nav saņemti.</w:t>
            </w:r>
            <w:r>
              <w:t xml:space="preserve"> </w:t>
            </w:r>
          </w:p>
        </w:tc>
      </w:tr>
      <w:tr w:rsidR="003A294F" w:rsidTr="00B21400">
        <w:trPr>
          <w:trHeight w:val="375"/>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A294F" w:rsidRDefault="008123E2">
            <w:pPr>
              <w:pStyle w:val="naiskr"/>
              <w:spacing w:before="0" w:after="0"/>
              <w:ind w:left="57" w:right="57"/>
            </w:pPr>
            <w:r>
              <w:rPr>
                <w:bCs/>
              </w:rPr>
              <w:t>3.</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A294F" w:rsidRDefault="008123E2" w:rsidP="002075D8">
            <w:pPr>
              <w:pStyle w:val="naiskr"/>
              <w:spacing w:before="0" w:after="0"/>
              <w:ind w:left="57" w:right="57"/>
              <w:jc w:val="both"/>
            </w:pPr>
            <w:r>
              <w:t xml:space="preserve">Sabiedrības līdzdalības rezultāti </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A294F" w:rsidRDefault="001C2900" w:rsidP="001C2900">
            <w:pPr>
              <w:pStyle w:val="naiskr"/>
              <w:spacing w:before="0" w:after="0"/>
              <w:ind w:right="57"/>
              <w:jc w:val="both"/>
            </w:pPr>
            <w:r>
              <w:t xml:space="preserve">Ja viedoklis tiks izteikts, punkts </w:t>
            </w:r>
            <w:r w:rsidR="00922727">
              <w:t>tiks papildināt</w:t>
            </w:r>
            <w:r w:rsidR="00C860CE">
              <w:t>s</w:t>
            </w:r>
            <w:r>
              <w:t>.</w:t>
            </w:r>
            <w:r w:rsidR="00922727">
              <w:t xml:space="preserve"> </w:t>
            </w:r>
          </w:p>
        </w:tc>
      </w:tr>
      <w:tr w:rsidR="003A294F" w:rsidTr="00B21400">
        <w:trPr>
          <w:trHeight w:val="476"/>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A294F" w:rsidRDefault="008123E2">
            <w:pPr>
              <w:pStyle w:val="naiskr"/>
              <w:spacing w:before="0" w:after="0"/>
              <w:ind w:left="57" w:right="57"/>
            </w:pPr>
            <w:r>
              <w:rPr>
                <w:bCs/>
              </w:rPr>
              <w:t>4.</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A294F" w:rsidRDefault="008123E2" w:rsidP="002075D8">
            <w:pPr>
              <w:pStyle w:val="naiskr"/>
              <w:spacing w:before="0" w:after="0"/>
              <w:ind w:left="57" w:right="57"/>
              <w:jc w:val="both"/>
            </w:pPr>
            <w:r>
              <w:t>Cita informācija</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A294F" w:rsidRDefault="008123E2">
            <w:pPr>
              <w:pStyle w:val="naiskr"/>
              <w:spacing w:before="0" w:after="0"/>
              <w:ind w:right="57"/>
              <w:jc w:val="both"/>
            </w:pPr>
            <w:r>
              <w:t>Nav.</w:t>
            </w:r>
          </w:p>
        </w:tc>
      </w:tr>
    </w:tbl>
    <w:p w:rsidR="003A294F" w:rsidRDefault="003A294F"/>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13"/>
        <w:gridCol w:w="3728"/>
        <w:gridCol w:w="4786"/>
      </w:tblGrid>
      <w:tr w:rsidR="003A294F" w:rsidTr="00B21400">
        <w:trPr>
          <w:jc w:val="center"/>
        </w:trPr>
        <w:tc>
          <w:tcPr>
            <w:tcW w:w="9208" w:type="dxa"/>
            <w:gridSpan w:val="3"/>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3A294F" w:rsidRDefault="008123E2">
            <w:pPr>
              <w:pStyle w:val="naisnod"/>
              <w:spacing w:before="0" w:after="0"/>
              <w:ind w:left="57" w:right="57"/>
            </w:pPr>
            <w:r>
              <w:t>VII. Tiesību akta projekta izpildes nodrošināšana un tās ietekme uz institūcijām</w:t>
            </w:r>
          </w:p>
        </w:tc>
      </w:tr>
      <w:tr w:rsidR="003A294F" w:rsidTr="00B21400">
        <w:trPr>
          <w:trHeight w:val="427"/>
          <w:jc w:val="center"/>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3A294F" w:rsidRDefault="008123E2">
            <w:pPr>
              <w:pStyle w:val="naisnod"/>
              <w:spacing w:before="0" w:after="0"/>
              <w:ind w:left="57" w:right="57"/>
              <w:jc w:val="left"/>
            </w:pPr>
            <w:r>
              <w:rPr>
                <w:b w:val="0"/>
              </w:rPr>
              <w:t>1.</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3A294F" w:rsidRDefault="008123E2" w:rsidP="002075D8">
            <w:pPr>
              <w:pStyle w:val="naisf"/>
              <w:spacing w:before="0" w:after="0"/>
              <w:ind w:left="57" w:right="57" w:firstLine="0"/>
            </w:pPr>
            <w:r>
              <w:t xml:space="preserve">Projekta izpildē iesaistītās institūcijas </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3A294F" w:rsidRDefault="008123E2" w:rsidP="00410927">
            <w:pPr>
              <w:pStyle w:val="naisc"/>
              <w:spacing w:before="0" w:after="0"/>
              <w:jc w:val="both"/>
            </w:pPr>
            <w:r>
              <w:t>VARAM, Valsts vides dienests.</w:t>
            </w:r>
          </w:p>
        </w:tc>
      </w:tr>
      <w:tr w:rsidR="003A294F" w:rsidTr="00B21400">
        <w:trPr>
          <w:trHeight w:val="463"/>
          <w:jc w:val="center"/>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3A294F" w:rsidRDefault="008123E2">
            <w:pPr>
              <w:pStyle w:val="naisnod"/>
              <w:spacing w:before="0" w:after="0"/>
              <w:ind w:left="57" w:right="57"/>
              <w:jc w:val="left"/>
            </w:pPr>
            <w:r>
              <w:rPr>
                <w:b w:val="0"/>
              </w:rPr>
              <w:t>2.</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3A294F" w:rsidRDefault="008123E2" w:rsidP="002075D8">
            <w:pPr>
              <w:pStyle w:val="naisf"/>
              <w:spacing w:before="0" w:after="0"/>
              <w:ind w:left="57" w:right="57" w:firstLine="0"/>
            </w:pPr>
            <w:r>
              <w:t>Projekta izpildes ietekme uz pārvaldes funkcijām un institucionālo struktūru</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3A294F" w:rsidRDefault="008123E2" w:rsidP="002075D8">
            <w:pPr>
              <w:pStyle w:val="naisnod"/>
              <w:spacing w:before="0" w:after="0"/>
              <w:ind w:right="57"/>
              <w:jc w:val="both"/>
            </w:pPr>
            <w:r>
              <w:rPr>
                <w:b w:val="0"/>
              </w:rPr>
              <w:t>Noteikumu projekts neietekmē iesaistīto institūciju funkcijas un uzdevumus.</w:t>
            </w:r>
          </w:p>
          <w:p w:rsidR="003A294F" w:rsidRDefault="008123E2" w:rsidP="002075D8">
            <w:pPr>
              <w:pStyle w:val="naisnod"/>
              <w:spacing w:before="0" w:after="0"/>
              <w:ind w:right="57"/>
              <w:jc w:val="both"/>
            </w:pPr>
            <w:r>
              <w:rPr>
                <w:b w:val="0"/>
              </w:rPr>
              <w:t>Nav paredzēta jauno institūciju izveide/likvidēšana/reorganizēšana</w:t>
            </w:r>
            <w:r w:rsidR="00E16D8A">
              <w:rPr>
                <w:b w:val="0"/>
              </w:rPr>
              <w:t>.</w:t>
            </w:r>
          </w:p>
        </w:tc>
      </w:tr>
      <w:tr w:rsidR="003A294F" w:rsidTr="00B21400">
        <w:trPr>
          <w:trHeight w:val="476"/>
          <w:jc w:val="center"/>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3A294F" w:rsidRDefault="008123E2">
            <w:pPr>
              <w:pStyle w:val="naiskr"/>
              <w:spacing w:before="0" w:after="0"/>
              <w:ind w:left="57" w:right="57"/>
            </w:pPr>
            <w:r>
              <w:t>3.</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3A294F" w:rsidRDefault="008123E2" w:rsidP="002075D8">
            <w:pPr>
              <w:pStyle w:val="naiskr"/>
              <w:spacing w:before="0" w:after="0"/>
              <w:ind w:left="57" w:right="57"/>
              <w:jc w:val="both"/>
            </w:pPr>
            <w:r>
              <w:t>Cita informācija</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3A294F" w:rsidRDefault="008123E2" w:rsidP="002075D8">
            <w:pPr>
              <w:pStyle w:val="naiskr"/>
              <w:spacing w:before="0" w:after="0"/>
              <w:ind w:left="57" w:right="57"/>
              <w:jc w:val="both"/>
            </w:pPr>
            <w:r>
              <w:t>Nav.</w:t>
            </w:r>
          </w:p>
        </w:tc>
      </w:tr>
    </w:tbl>
    <w:p w:rsidR="003A294F" w:rsidRDefault="003A294F">
      <w:pPr>
        <w:pStyle w:val="naisf"/>
        <w:spacing w:before="0" w:after="0"/>
        <w:ind w:firstLine="374"/>
      </w:pPr>
    </w:p>
    <w:p w:rsidR="003A294F" w:rsidRPr="00B21400" w:rsidRDefault="006C68B5">
      <w:pPr>
        <w:pStyle w:val="tvhtml1"/>
        <w:jc w:val="both"/>
        <w:rPr>
          <w:lang w:val="lv-LV"/>
        </w:rPr>
      </w:pPr>
      <w:r>
        <w:rPr>
          <w:rFonts w:ascii="Times New Roman" w:hAnsi="Times New Roman"/>
          <w:b/>
          <w:sz w:val="24"/>
          <w:szCs w:val="24"/>
          <w:lang w:val="lv-LV"/>
        </w:rPr>
        <w:t>Anotācijas III</w:t>
      </w:r>
      <w:r w:rsidR="008123E2">
        <w:rPr>
          <w:rFonts w:ascii="Times New Roman" w:hAnsi="Times New Roman"/>
          <w:b/>
          <w:sz w:val="24"/>
          <w:szCs w:val="24"/>
          <w:lang w:val="lv-LV"/>
        </w:rPr>
        <w:t xml:space="preserve"> sadaļa </w:t>
      </w:r>
      <w:r w:rsidR="00B21400">
        <w:rPr>
          <w:rFonts w:ascii="Times New Roman" w:hAnsi="Times New Roman"/>
          <w:b/>
          <w:sz w:val="24"/>
          <w:szCs w:val="24"/>
          <w:lang w:val="lv-LV"/>
        </w:rPr>
        <w:t>un V sadaļas 2.tabula</w:t>
      </w:r>
      <w:r w:rsidR="008123E2">
        <w:rPr>
          <w:rFonts w:ascii="Times New Roman" w:hAnsi="Times New Roman"/>
          <w:b/>
          <w:sz w:val="24"/>
          <w:szCs w:val="24"/>
          <w:lang w:val="lv-LV"/>
        </w:rPr>
        <w:t xml:space="preserve">- </w:t>
      </w:r>
      <w:r w:rsidR="008123E2">
        <w:rPr>
          <w:rFonts w:ascii="Times New Roman" w:hAnsi="Times New Roman"/>
          <w:sz w:val="24"/>
          <w:szCs w:val="24"/>
          <w:lang w:val="lv-LV"/>
        </w:rPr>
        <w:t>proje</w:t>
      </w:r>
      <w:r w:rsidR="008123E2">
        <w:rPr>
          <w:rFonts w:ascii="Times New Roman" w:hAnsi="Times New Roman"/>
          <w:iCs/>
          <w:sz w:val="24"/>
          <w:szCs w:val="24"/>
          <w:lang w:val="lv-LV"/>
        </w:rPr>
        <w:t>kts šo jomu neskar.</w:t>
      </w:r>
    </w:p>
    <w:p w:rsidR="003A294F" w:rsidRDefault="003A294F">
      <w:pPr>
        <w:pStyle w:val="naisf"/>
        <w:spacing w:before="0" w:after="0"/>
        <w:ind w:firstLine="374"/>
      </w:pPr>
    </w:p>
    <w:p w:rsidR="003A294F" w:rsidRDefault="003A294F">
      <w:pPr>
        <w:pStyle w:val="naisf"/>
        <w:spacing w:before="0" w:after="0"/>
        <w:ind w:firstLine="374"/>
      </w:pPr>
    </w:p>
    <w:p w:rsidR="003A294F" w:rsidRDefault="008123E2">
      <w:pPr>
        <w:pStyle w:val="tv2161"/>
        <w:spacing w:before="0" w:line="100" w:lineRule="atLeast"/>
        <w:ind w:firstLine="0"/>
        <w:jc w:val="both"/>
      </w:pPr>
      <w:r>
        <w:rPr>
          <w:rFonts w:ascii="Times New Roman" w:hAnsi="Times New Roman"/>
          <w:sz w:val="24"/>
          <w:szCs w:val="24"/>
        </w:rPr>
        <w:t xml:space="preserve">Vides aizsardzības un </w:t>
      </w:r>
    </w:p>
    <w:p w:rsidR="003A294F" w:rsidRDefault="008123E2">
      <w:r>
        <w:t>reģionālās attīstības ministrs</w:t>
      </w:r>
      <w:r>
        <w:tab/>
      </w:r>
      <w:r>
        <w:tab/>
      </w:r>
      <w:r>
        <w:tab/>
      </w:r>
      <w:r>
        <w:tab/>
      </w:r>
      <w:r>
        <w:tab/>
      </w:r>
      <w:r>
        <w:tab/>
      </w:r>
      <w:r>
        <w:tab/>
      </w:r>
      <w:r w:rsidR="00CE14E3">
        <w:t>K.Gerhards</w:t>
      </w:r>
    </w:p>
    <w:p w:rsidR="003A294F" w:rsidRDefault="003A294F"/>
    <w:p w:rsidR="003A294F" w:rsidRDefault="008123E2">
      <w:r>
        <w:t>Iesniedzējs:</w:t>
      </w:r>
    </w:p>
    <w:p w:rsidR="003A294F" w:rsidRDefault="003A294F"/>
    <w:p w:rsidR="003A294F" w:rsidRDefault="008123E2">
      <w:pPr>
        <w:pStyle w:val="tv2161"/>
        <w:spacing w:before="0" w:line="100" w:lineRule="atLeast"/>
        <w:ind w:firstLine="0"/>
        <w:jc w:val="both"/>
      </w:pPr>
      <w:r>
        <w:rPr>
          <w:rFonts w:ascii="Times New Roman" w:hAnsi="Times New Roman"/>
          <w:sz w:val="24"/>
          <w:szCs w:val="24"/>
        </w:rPr>
        <w:t xml:space="preserve">Vides aizsardzības un </w:t>
      </w:r>
    </w:p>
    <w:p w:rsidR="003A294F" w:rsidRDefault="008123E2">
      <w:r>
        <w:t>reģionālās attīstības ministrs</w:t>
      </w:r>
      <w:r>
        <w:tab/>
      </w:r>
      <w:r>
        <w:tab/>
      </w:r>
      <w:r>
        <w:tab/>
      </w:r>
      <w:r>
        <w:tab/>
      </w:r>
      <w:r>
        <w:tab/>
      </w:r>
      <w:r>
        <w:tab/>
      </w:r>
      <w:r>
        <w:tab/>
      </w:r>
      <w:r w:rsidR="008F3553">
        <w:t>K.Gerhards</w:t>
      </w:r>
    </w:p>
    <w:p w:rsidR="003A294F" w:rsidRDefault="003A294F"/>
    <w:p w:rsidR="003A294F" w:rsidRDefault="008123E2">
      <w:r>
        <w:t>Vīza:</w:t>
      </w:r>
    </w:p>
    <w:p w:rsidR="00F24F79" w:rsidRDefault="00F24F79" w:rsidP="00F24F79">
      <w:pPr>
        <w:autoSpaceDE w:val="0"/>
        <w:rPr>
          <w:sz w:val="22"/>
          <w:szCs w:val="22"/>
        </w:rPr>
      </w:pPr>
      <w:r>
        <w:t xml:space="preserve">Vides aizsardzības un reģionālās </w:t>
      </w:r>
    </w:p>
    <w:p w:rsidR="00F24F79" w:rsidRDefault="00F24F79" w:rsidP="00F24F79">
      <w:pPr>
        <w:autoSpaceDE w:val="0"/>
      </w:pPr>
      <w:r>
        <w:t>attīstības m</w:t>
      </w:r>
      <w:r w:rsidR="00170C30">
        <w:t>inistrijas valsts sekretārs                                                              G.Puķītis</w:t>
      </w:r>
    </w:p>
    <w:p w:rsidR="00F24F79" w:rsidRDefault="00F24F79" w:rsidP="00F24F79">
      <w:pPr>
        <w:autoSpaceDE w:val="0"/>
      </w:pPr>
    </w:p>
    <w:p w:rsidR="003A294F" w:rsidRDefault="003C250C" w:rsidP="00F24F79">
      <w:pPr>
        <w:autoSpaceDE w:val="0"/>
      </w:pPr>
      <w:r>
        <w:tab/>
      </w:r>
      <w:r>
        <w:tab/>
      </w:r>
      <w:r>
        <w:tab/>
      </w:r>
      <w:r>
        <w:tab/>
      </w:r>
      <w:r>
        <w:tab/>
      </w:r>
      <w:r>
        <w:tab/>
      </w:r>
    </w:p>
    <w:p w:rsidR="003A294F" w:rsidRDefault="003A294F">
      <w:pPr>
        <w:pStyle w:val="tv2131"/>
        <w:spacing w:before="0" w:line="100" w:lineRule="atLeast"/>
        <w:ind w:firstLine="0"/>
      </w:pPr>
    </w:p>
    <w:p w:rsidR="003A294F" w:rsidRDefault="003A294F">
      <w:pPr>
        <w:pStyle w:val="tv2161"/>
        <w:spacing w:before="0" w:line="100" w:lineRule="atLeast"/>
        <w:ind w:firstLine="0"/>
        <w:jc w:val="both"/>
      </w:pPr>
      <w:bookmarkStart w:id="0" w:name="p2008"/>
      <w:bookmarkEnd w:id="0"/>
    </w:p>
    <w:p w:rsidR="003A294F" w:rsidRDefault="008123E2">
      <w:pPr>
        <w:pStyle w:val="tv2161"/>
        <w:spacing w:before="0" w:line="100" w:lineRule="atLeast"/>
        <w:ind w:firstLine="0"/>
        <w:jc w:val="both"/>
      </w:pPr>
      <w:r>
        <w:rPr>
          <w:rFonts w:ascii="Times New Roman" w:hAnsi="Times New Roman"/>
          <w:sz w:val="28"/>
          <w:szCs w:val="28"/>
        </w:rPr>
        <w:t xml:space="preserve">                                                            </w:t>
      </w:r>
      <w:r>
        <w:rPr>
          <w:rFonts w:ascii="Times New Roman" w:hAnsi="Times New Roman"/>
          <w:sz w:val="28"/>
          <w:szCs w:val="28"/>
        </w:rPr>
        <w:tab/>
        <w:t xml:space="preserve"> </w:t>
      </w:r>
    </w:p>
    <w:p w:rsidR="003A294F" w:rsidRPr="00B21400" w:rsidRDefault="003C250C">
      <w:pPr>
        <w:rPr>
          <w:sz w:val="20"/>
          <w:szCs w:val="20"/>
        </w:rPr>
      </w:pPr>
      <w:r>
        <w:rPr>
          <w:sz w:val="20"/>
          <w:szCs w:val="20"/>
        </w:rPr>
        <w:t>21</w:t>
      </w:r>
      <w:r w:rsidR="00FC350A">
        <w:rPr>
          <w:sz w:val="20"/>
          <w:szCs w:val="20"/>
        </w:rPr>
        <w:t>.07</w:t>
      </w:r>
      <w:r w:rsidR="008F3553" w:rsidRPr="00B21400">
        <w:rPr>
          <w:sz w:val="20"/>
          <w:szCs w:val="20"/>
        </w:rPr>
        <w:t>.2015</w:t>
      </w:r>
      <w:r w:rsidR="008123E2" w:rsidRPr="00B21400">
        <w:rPr>
          <w:sz w:val="20"/>
          <w:szCs w:val="20"/>
        </w:rPr>
        <w:t>., 14:25</w:t>
      </w:r>
    </w:p>
    <w:p w:rsidR="003A294F" w:rsidRPr="00B21400" w:rsidRDefault="00F24F79">
      <w:pPr>
        <w:tabs>
          <w:tab w:val="left" w:pos="3465"/>
        </w:tabs>
        <w:rPr>
          <w:sz w:val="20"/>
          <w:szCs w:val="20"/>
        </w:rPr>
      </w:pPr>
      <w:r>
        <w:rPr>
          <w:sz w:val="20"/>
          <w:szCs w:val="20"/>
        </w:rPr>
        <w:t>1751</w:t>
      </w:r>
      <w:bookmarkStart w:id="1" w:name="_GoBack"/>
      <w:bookmarkEnd w:id="1"/>
    </w:p>
    <w:p w:rsidR="003A294F" w:rsidRPr="00B21400" w:rsidRDefault="008123E2">
      <w:pPr>
        <w:rPr>
          <w:sz w:val="20"/>
          <w:szCs w:val="20"/>
        </w:rPr>
      </w:pPr>
      <w:r w:rsidRPr="00B21400">
        <w:rPr>
          <w:sz w:val="20"/>
          <w:szCs w:val="20"/>
        </w:rPr>
        <w:t>I.Doniņa</w:t>
      </w:r>
    </w:p>
    <w:p w:rsidR="003A294F" w:rsidRPr="00B21400" w:rsidRDefault="008123E2">
      <w:pPr>
        <w:rPr>
          <w:sz w:val="20"/>
          <w:szCs w:val="20"/>
        </w:rPr>
      </w:pPr>
      <w:r w:rsidRPr="00B21400">
        <w:rPr>
          <w:sz w:val="20"/>
          <w:szCs w:val="20"/>
        </w:rPr>
        <w:t xml:space="preserve">67026515; </w:t>
      </w:r>
      <w:hyperlink r:id="rId9">
        <w:r w:rsidRPr="00B21400">
          <w:rPr>
            <w:rStyle w:val="InternetLink"/>
            <w:sz w:val="20"/>
            <w:szCs w:val="20"/>
          </w:rPr>
          <w:t>ilze.donina@varam.gov.lv</w:t>
        </w:r>
      </w:hyperlink>
    </w:p>
    <w:p w:rsidR="003A294F" w:rsidRPr="002075D8" w:rsidRDefault="003A294F">
      <w:pPr>
        <w:rPr>
          <w:sz w:val="22"/>
          <w:szCs w:val="22"/>
        </w:rPr>
      </w:pPr>
    </w:p>
    <w:p w:rsidR="003A294F" w:rsidRDefault="003A294F"/>
    <w:p w:rsidR="003A294F" w:rsidRDefault="003A294F"/>
    <w:p w:rsidR="003A294F" w:rsidRDefault="003A294F"/>
    <w:p w:rsidR="003A294F" w:rsidRDefault="003A294F"/>
    <w:sectPr w:rsidR="003A294F" w:rsidSect="008F3553">
      <w:headerReference w:type="default" r:id="rId10"/>
      <w:footerReference w:type="default" r:id="rId11"/>
      <w:footerReference w:type="first" r:id="rId12"/>
      <w:pgSz w:w="11906" w:h="16838"/>
      <w:pgMar w:top="1134" w:right="1134" w:bottom="1134" w:left="1701" w:header="709"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1DE" w:rsidRDefault="002C21DE" w:rsidP="003A294F">
      <w:pPr>
        <w:spacing w:line="240" w:lineRule="auto"/>
      </w:pPr>
      <w:r>
        <w:separator/>
      </w:r>
    </w:p>
  </w:endnote>
  <w:endnote w:type="continuationSeparator" w:id="0">
    <w:p w:rsidR="002C21DE" w:rsidRDefault="002C21DE" w:rsidP="003A29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D8A" w:rsidRPr="008F3553" w:rsidRDefault="003C250C" w:rsidP="002075D8">
    <w:pPr>
      <w:pStyle w:val="Title"/>
      <w:jc w:val="both"/>
      <w:rPr>
        <w:b w:val="0"/>
        <w:sz w:val="24"/>
        <w:szCs w:val="24"/>
      </w:rPr>
    </w:pPr>
    <w:r>
      <w:rPr>
        <w:b w:val="0"/>
        <w:sz w:val="24"/>
        <w:szCs w:val="24"/>
      </w:rPr>
      <w:t>VARAMAnot_21</w:t>
    </w:r>
    <w:r w:rsidR="00FC350A">
      <w:rPr>
        <w:b w:val="0"/>
        <w:sz w:val="24"/>
        <w:szCs w:val="24"/>
      </w:rPr>
      <w:t>07</w:t>
    </w:r>
    <w:r w:rsidR="00E16D8A">
      <w:rPr>
        <w:b w:val="0"/>
        <w:sz w:val="24"/>
        <w:szCs w:val="24"/>
      </w:rPr>
      <w:t>15_baterijas</w:t>
    </w:r>
    <w:r w:rsidR="00E16D8A" w:rsidRPr="009E195A">
      <w:rPr>
        <w:b w:val="0"/>
        <w:sz w:val="24"/>
        <w:szCs w:val="24"/>
      </w:rPr>
      <w:t>;</w:t>
    </w:r>
    <w:r w:rsidR="00E16D8A" w:rsidRPr="009E195A">
      <w:rPr>
        <w:bCs w:val="0"/>
        <w:sz w:val="24"/>
        <w:szCs w:val="24"/>
      </w:rPr>
      <w:t xml:space="preserve"> </w:t>
    </w:r>
    <w:r w:rsidR="00E16D8A" w:rsidRPr="008F3553">
      <w:rPr>
        <w:b w:val="0"/>
        <w:sz w:val="24"/>
        <w:szCs w:val="24"/>
      </w:rPr>
      <w:t>Ministru kabineta noteikumu projekta „Grozījumi Ministru kabineta 2006.gada 14.februāra noteikumos Nr.139 ”</w:t>
    </w:r>
    <w:r w:rsidR="00E16D8A" w:rsidRPr="008F3553">
      <w:rPr>
        <w:b w:val="0"/>
        <w:bCs w:val="0"/>
        <w:sz w:val="24"/>
        <w:szCs w:val="24"/>
      </w:rPr>
      <w:t>Noteikumi par atsevišķu bīstamas ķīmiskas vielas saturošu iekārtu un produktu lietošanas un marķēšanas prasībām un par videi kaitīgo preču sarakstu””</w:t>
    </w:r>
    <w:r w:rsidR="00E16D8A" w:rsidRPr="008F3553">
      <w:rPr>
        <w:b w:val="0"/>
        <w:sz w:val="24"/>
        <w:szCs w:val="24"/>
      </w:rPr>
      <w:t xml:space="preserve"> sākotnējās ietekmes novērtējuma ziņojums (anotācija)</w:t>
    </w:r>
  </w:p>
  <w:p w:rsidR="00E16D8A" w:rsidRPr="008F3553" w:rsidRDefault="00E16D8A">
    <w:pPr>
      <w:pStyle w:val="Title"/>
      <w:jc w:val="both"/>
      <w:rPr>
        <w:b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D8A" w:rsidRPr="008F3553" w:rsidRDefault="00FC350A" w:rsidP="002075D8">
    <w:pPr>
      <w:pStyle w:val="Title"/>
      <w:jc w:val="both"/>
      <w:rPr>
        <w:b w:val="0"/>
        <w:sz w:val="24"/>
        <w:szCs w:val="24"/>
      </w:rPr>
    </w:pPr>
    <w:r>
      <w:rPr>
        <w:b w:val="0"/>
        <w:sz w:val="24"/>
        <w:szCs w:val="24"/>
      </w:rPr>
      <w:t>VARAMAnot_0907</w:t>
    </w:r>
    <w:r w:rsidR="00E16D8A">
      <w:rPr>
        <w:b w:val="0"/>
        <w:sz w:val="24"/>
        <w:szCs w:val="24"/>
      </w:rPr>
      <w:t>15_baterijas</w:t>
    </w:r>
    <w:r w:rsidR="00E16D8A" w:rsidRPr="009E195A">
      <w:rPr>
        <w:b w:val="0"/>
        <w:sz w:val="24"/>
        <w:szCs w:val="24"/>
      </w:rPr>
      <w:t>;</w:t>
    </w:r>
    <w:r w:rsidR="00E16D8A" w:rsidRPr="009E195A">
      <w:rPr>
        <w:bCs w:val="0"/>
        <w:sz w:val="24"/>
        <w:szCs w:val="24"/>
      </w:rPr>
      <w:t xml:space="preserve"> </w:t>
    </w:r>
    <w:r w:rsidR="00E16D8A" w:rsidRPr="008F3553">
      <w:rPr>
        <w:b w:val="0"/>
        <w:sz w:val="24"/>
        <w:szCs w:val="24"/>
      </w:rPr>
      <w:t>Ministru kabineta noteikumu projekta „Grozījumi Ministru kabineta 2006.gada 14.februāra noteikumos Nr.139 ”</w:t>
    </w:r>
    <w:r w:rsidR="00E16D8A" w:rsidRPr="008F3553">
      <w:rPr>
        <w:b w:val="0"/>
        <w:bCs w:val="0"/>
        <w:sz w:val="24"/>
        <w:szCs w:val="24"/>
      </w:rPr>
      <w:t>Noteikumi par atsevišķu bīstamas ķīmiskas vielas saturošu iekārtu un produktu lietošanas un marķēšanas prasībām un par videi kaitīgo preču sarakstu””</w:t>
    </w:r>
    <w:r w:rsidR="00E16D8A" w:rsidRPr="008F3553">
      <w:rPr>
        <w:b w:val="0"/>
        <w:sz w:val="24"/>
        <w:szCs w:val="24"/>
      </w:rPr>
      <w:t xml:space="preserve"> sākotnējās ietekmes novērtējuma ziņojums (anotācija)</w:t>
    </w:r>
  </w:p>
  <w:p w:rsidR="00E16D8A" w:rsidRPr="008F3553" w:rsidRDefault="00E16D8A" w:rsidP="00AD6DD9">
    <w:pPr>
      <w:pStyle w:val="Title"/>
      <w:jc w:val="both"/>
      <w:rPr>
        <w:b w:val="0"/>
      </w:rPr>
    </w:pPr>
  </w:p>
  <w:p w:rsidR="00E16D8A" w:rsidRDefault="00E16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1DE" w:rsidRDefault="002C21DE" w:rsidP="003A294F">
      <w:pPr>
        <w:spacing w:line="240" w:lineRule="auto"/>
      </w:pPr>
      <w:r>
        <w:separator/>
      </w:r>
    </w:p>
  </w:footnote>
  <w:footnote w:type="continuationSeparator" w:id="0">
    <w:p w:rsidR="002C21DE" w:rsidRDefault="002C21DE" w:rsidP="003A29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0191"/>
      <w:docPartObj>
        <w:docPartGallery w:val="Page Numbers (Top of Page)"/>
        <w:docPartUnique/>
      </w:docPartObj>
    </w:sdtPr>
    <w:sdtEndPr>
      <w:rPr>
        <w:noProof/>
      </w:rPr>
    </w:sdtEndPr>
    <w:sdtContent>
      <w:p w:rsidR="00E16D8A" w:rsidRDefault="002F08B0">
        <w:pPr>
          <w:pStyle w:val="Header"/>
          <w:jc w:val="center"/>
        </w:pPr>
        <w:r>
          <w:fldChar w:fldCharType="begin"/>
        </w:r>
        <w:r w:rsidR="00D0421D">
          <w:instrText xml:space="preserve"> PAGE   \* MERGEFORMAT </w:instrText>
        </w:r>
        <w:r>
          <w:fldChar w:fldCharType="separate"/>
        </w:r>
        <w:r w:rsidR="00680FAA">
          <w:rPr>
            <w:noProof/>
          </w:rPr>
          <w:t>8</w:t>
        </w:r>
        <w:r>
          <w:rPr>
            <w:noProof/>
          </w:rPr>
          <w:fldChar w:fldCharType="end"/>
        </w:r>
      </w:p>
    </w:sdtContent>
  </w:sdt>
  <w:p w:rsidR="00E16D8A" w:rsidRDefault="00E16D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F4C8C"/>
    <w:multiLevelType w:val="multilevel"/>
    <w:tmpl w:val="9B186B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ED568C"/>
    <w:multiLevelType w:val="multilevel"/>
    <w:tmpl w:val="F866EF48"/>
    <w:lvl w:ilvl="0">
      <w:start w:val="119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FFD6AA6"/>
    <w:multiLevelType w:val="hybridMultilevel"/>
    <w:tmpl w:val="6F9AEF30"/>
    <w:lvl w:ilvl="0" w:tplc="9294DAB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useFELayout/>
  </w:compat>
  <w:rsids>
    <w:rsidRoot w:val="003A294F"/>
    <w:rsid w:val="0000167E"/>
    <w:rsid w:val="000030EF"/>
    <w:rsid w:val="000213A0"/>
    <w:rsid w:val="00021A3C"/>
    <w:rsid w:val="000B3B49"/>
    <w:rsid w:val="000B4AFF"/>
    <w:rsid w:val="000B5E9A"/>
    <w:rsid w:val="000C2582"/>
    <w:rsid w:val="001165A4"/>
    <w:rsid w:val="0012161C"/>
    <w:rsid w:val="00135D89"/>
    <w:rsid w:val="00147A87"/>
    <w:rsid w:val="00170C30"/>
    <w:rsid w:val="00184956"/>
    <w:rsid w:val="001C1A2A"/>
    <w:rsid w:val="001C2900"/>
    <w:rsid w:val="001E25B6"/>
    <w:rsid w:val="001E3560"/>
    <w:rsid w:val="001F3EBA"/>
    <w:rsid w:val="00204665"/>
    <w:rsid w:val="002075D8"/>
    <w:rsid w:val="00213F45"/>
    <w:rsid w:val="002A79C6"/>
    <w:rsid w:val="002C21DE"/>
    <w:rsid w:val="002F08B0"/>
    <w:rsid w:val="00346B78"/>
    <w:rsid w:val="0038490C"/>
    <w:rsid w:val="00393E05"/>
    <w:rsid w:val="003A294F"/>
    <w:rsid w:val="003A65F8"/>
    <w:rsid w:val="003C250C"/>
    <w:rsid w:val="003F40B3"/>
    <w:rsid w:val="00410927"/>
    <w:rsid w:val="00410C66"/>
    <w:rsid w:val="004A7807"/>
    <w:rsid w:val="004B44DE"/>
    <w:rsid w:val="004E288A"/>
    <w:rsid w:val="00530724"/>
    <w:rsid w:val="00552BC8"/>
    <w:rsid w:val="00563C66"/>
    <w:rsid w:val="00624408"/>
    <w:rsid w:val="00632CF4"/>
    <w:rsid w:val="00643061"/>
    <w:rsid w:val="0066031E"/>
    <w:rsid w:val="00680FAA"/>
    <w:rsid w:val="00686608"/>
    <w:rsid w:val="00686D5B"/>
    <w:rsid w:val="006C68B5"/>
    <w:rsid w:val="006F08ED"/>
    <w:rsid w:val="00701A73"/>
    <w:rsid w:val="00713C48"/>
    <w:rsid w:val="00736170"/>
    <w:rsid w:val="00772E46"/>
    <w:rsid w:val="00793E5A"/>
    <w:rsid w:val="008123E2"/>
    <w:rsid w:val="00836D8B"/>
    <w:rsid w:val="008676FE"/>
    <w:rsid w:val="008E0800"/>
    <w:rsid w:val="008F3553"/>
    <w:rsid w:val="00922727"/>
    <w:rsid w:val="00974C34"/>
    <w:rsid w:val="009B24BE"/>
    <w:rsid w:val="009C34D4"/>
    <w:rsid w:val="009D790C"/>
    <w:rsid w:val="009E195A"/>
    <w:rsid w:val="00A030D0"/>
    <w:rsid w:val="00A2024B"/>
    <w:rsid w:val="00A57CDC"/>
    <w:rsid w:val="00A90E9D"/>
    <w:rsid w:val="00AD6DD9"/>
    <w:rsid w:val="00AF70CB"/>
    <w:rsid w:val="00B01270"/>
    <w:rsid w:val="00B21400"/>
    <w:rsid w:val="00B8744D"/>
    <w:rsid w:val="00C1378C"/>
    <w:rsid w:val="00C13BBA"/>
    <w:rsid w:val="00C233CC"/>
    <w:rsid w:val="00C273C1"/>
    <w:rsid w:val="00C37B5E"/>
    <w:rsid w:val="00C75E49"/>
    <w:rsid w:val="00C860CE"/>
    <w:rsid w:val="00CC21F7"/>
    <w:rsid w:val="00CE14E3"/>
    <w:rsid w:val="00D0421D"/>
    <w:rsid w:val="00DA29AF"/>
    <w:rsid w:val="00E07F29"/>
    <w:rsid w:val="00E16D8A"/>
    <w:rsid w:val="00EC65ED"/>
    <w:rsid w:val="00F0095B"/>
    <w:rsid w:val="00F24F79"/>
    <w:rsid w:val="00F31EFD"/>
    <w:rsid w:val="00F85443"/>
    <w:rsid w:val="00FC350A"/>
    <w:rsid w:val="00FE4CC7"/>
    <w:rsid w:val="00FF07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294F"/>
    <w:pPr>
      <w:tabs>
        <w:tab w:val="left" w:pos="720"/>
      </w:tabs>
      <w:suppressAutoHyphens/>
      <w:spacing w:after="0" w:line="100" w:lineRule="atLeast"/>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3A294F"/>
    <w:rPr>
      <w:rFonts w:ascii="Times New Roman" w:eastAsia="Times New Roman" w:hAnsi="Times New Roman" w:cs="Times New Roman"/>
      <w:sz w:val="24"/>
      <w:szCs w:val="24"/>
      <w:lang w:val="lv-LV" w:eastAsia="lv-LV"/>
    </w:rPr>
  </w:style>
  <w:style w:type="character" w:styleId="PageNumber">
    <w:name w:val="page number"/>
    <w:basedOn w:val="DefaultParagraphFont"/>
    <w:rsid w:val="003A294F"/>
  </w:style>
  <w:style w:type="character" w:customStyle="1" w:styleId="InternetLink">
    <w:name w:val="Internet Link"/>
    <w:basedOn w:val="DefaultParagraphFont"/>
    <w:rsid w:val="003A294F"/>
    <w:rPr>
      <w:rFonts w:cs="Times New Roman"/>
      <w:color w:val="0000FF"/>
      <w:u w:val="single"/>
      <w:lang w:val="en-US" w:eastAsia="en-US" w:bidi="en-US"/>
    </w:rPr>
  </w:style>
  <w:style w:type="character" w:customStyle="1" w:styleId="TitleChar">
    <w:name w:val="Title Char"/>
    <w:basedOn w:val="DefaultParagraphFont"/>
    <w:rsid w:val="003A294F"/>
    <w:rPr>
      <w:rFonts w:ascii="Times New Roman" w:eastAsia="Times New Roman" w:hAnsi="Times New Roman" w:cs="Times New Roman"/>
      <w:b/>
      <w:bCs/>
      <w:sz w:val="24"/>
      <w:szCs w:val="24"/>
      <w:lang w:val="lv-LV"/>
    </w:rPr>
  </w:style>
  <w:style w:type="character" w:styleId="Emphasis">
    <w:name w:val="Emphasis"/>
    <w:basedOn w:val="DefaultParagraphFont"/>
    <w:rsid w:val="003A294F"/>
    <w:rPr>
      <w:i/>
      <w:iCs/>
    </w:rPr>
  </w:style>
  <w:style w:type="character" w:customStyle="1" w:styleId="StrongEmphasis">
    <w:name w:val="Strong Emphasis"/>
    <w:basedOn w:val="DefaultParagraphFont"/>
    <w:rsid w:val="003A294F"/>
    <w:rPr>
      <w:b/>
      <w:bCs/>
    </w:rPr>
  </w:style>
  <w:style w:type="character" w:customStyle="1" w:styleId="FooterChar">
    <w:name w:val="Footer Char"/>
    <w:basedOn w:val="DefaultParagraphFont"/>
    <w:rsid w:val="003A294F"/>
    <w:rPr>
      <w:rFonts w:ascii="Times New Roman" w:eastAsia="Times New Roman" w:hAnsi="Times New Roman" w:cs="Times New Roman"/>
      <w:sz w:val="24"/>
      <w:szCs w:val="24"/>
      <w:lang w:val="lv-LV" w:eastAsia="lv-LV"/>
    </w:rPr>
  </w:style>
  <w:style w:type="character" w:customStyle="1" w:styleId="BalloonTextChar">
    <w:name w:val="Balloon Text Char"/>
    <w:basedOn w:val="DefaultParagraphFont"/>
    <w:rsid w:val="003A294F"/>
    <w:rPr>
      <w:rFonts w:ascii="Tahoma" w:eastAsia="Times New Roman" w:hAnsi="Tahoma" w:cs="Tahoma"/>
      <w:sz w:val="16"/>
      <w:szCs w:val="16"/>
      <w:lang w:val="lv-LV" w:eastAsia="lv-LV"/>
    </w:rPr>
  </w:style>
  <w:style w:type="character" w:customStyle="1" w:styleId="CommentTextChar">
    <w:name w:val="Comment Text Char"/>
    <w:basedOn w:val="DefaultParagraphFont"/>
    <w:rsid w:val="003A294F"/>
    <w:rPr>
      <w:rFonts w:ascii="Times New Roman" w:eastAsia="Times New Roman" w:hAnsi="Times New Roman" w:cs="Times New Roman"/>
      <w:sz w:val="20"/>
      <w:szCs w:val="20"/>
      <w:lang w:val="lv-LV" w:eastAsia="lv-LV"/>
    </w:rPr>
  </w:style>
  <w:style w:type="character" w:customStyle="1" w:styleId="CommentSubjectChar">
    <w:name w:val="Comment Subject Char"/>
    <w:basedOn w:val="CommentTextChar"/>
    <w:rsid w:val="003A294F"/>
    <w:rPr>
      <w:rFonts w:ascii="Times New Roman" w:eastAsia="Times New Roman" w:hAnsi="Times New Roman" w:cs="Times New Roman"/>
      <w:b/>
      <w:bCs/>
      <w:sz w:val="20"/>
      <w:szCs w:val="20"/>
      <w:lang w:val="lv-LV" w:eastAsia="lv-LV"/>
    </w:rPr>
  </w:style>
  <w:style w:type="character" w:customStyle="1" w:styleId="ListLabel1">
    <w:name w:val="ListLabel 1"/>
    <w:rsid w:val="003A294F"/>
    <w:rPr>
      <w:rFonts w:eastAsia="Times New Roman" w:cs="Times New Roman"/>
    </w:rPr>
  </w:style>
  <w:style w:type="character" w:customStyle="1" w:styleId="ListLabel2">
    <w:name w:val="ListLabel 2"/>
    <w:rsid w:val="003A294F"/>
    <w:rPr>
      <w:rFonts w:cs="Courier New"/>
    </w:rPr>
  </w:style>
  <w:style w:type="character" w:customStyle="1" w:styleId="ListLabel3">
    <w:name w:val="ListLabel 3"/>
    <w:rsid w:val="003A294F"/>
    <w:rPr>
      <w:sz w:val="20"/>
    </w:rPr>
  </w:style>
  <w:style w:type="paragraph" w:customStyle="1" w:styleId="Heading">
    <w:name w:val="Heading"/>
    <w:basedOn w:val="Normal"/>
    <w:next w:val="Textbody"/>
    <w:rsid w:val="003A294F"/>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3A294F"/>
    <w:pPr>
      <w:spacing w:after="120"/>
    </w:pPr>
  </w:style>
  <w:style w:type="paragraph" w:styleId="List">
    <w:name w:val="List"/>
    <w:basedOn w:val="Textbody"/>
    <w:rsid w:val="003A294F"/>
    <w:rPr>
      <w:rFonts w:cs="Lohit Hindi"/>
    </w:rPr>
  </w:style>
  <w:style w:type="paragraph" w:styleId="Caption">
    <w:name w:val="caption"/>
    <w:basedOn w:val="Normal"/>
    <w:rsid w:val="003A294F"/>
    <w:pPr>
      <w:suppressLineNumbers/>
      <w:spacing w:before="120" w:after="120"/>
    </w:pPr>
    <w:rPr>
      <w:rFonts w:cs="Lohit Hindi"/>
      <w:i/>
      <w:iCs/>
    </w:rPr>
  </w:style>
  <w:style w:type="paragraph" w:customStyle="1" w:styleId="Index">
    <w:name w:val="Index"/>
    <w:basedOn w:val="Normal"/>
    <w:rsid w:val="003A294F"/>
    <w:pPr>
      <w:suppressLineNumbers/>
    </w:pPr>
    <w:rPr>
      <w:rFonts w:cs="Lohit Hindi"/>
    </w:rPr>
  </w:style>
  <w:style w:type="paragraph" w:styleId="Header">
    <w:name w:val="header"/>
    <w:basedOn w:val="Normal"/>
    <w:uiPriority w:val="99"/>
    <w:rsid w:val="003A294F"/>
    <w:pPr>
      <w:suppressLineNumbers/>
      <w:tabs>
        <w:tab w:val="center" w:pos="4153"/>
        <w:tab w:val="right" w:pos="8306"/>
      </w:tabs>
    </w:pPr>
  </w:style>
  <w:style w:type="paragraph" w:customStyle="1" w:styleId="naisf">
    <w:name w:val="naisf"/>
    <w:basedOn w:val="Normal"/>
    <w:rsid w:val="003A294F"/>
    <w:pPr>
      <w:spacing w:before="75" w:after="75"/>
      <w:ind w:firstLine="375"/>
      <w:jc w:val="both"/>
    </w:pPr>
  </w:style>
  <w:style w:type="paragraph" w:customStyle="1" w:styleId="naisnod">
    <w:name w:val="naisnod"/>
    <w:basedOn w:val="Normal"/>
    <w:rsid w:val="003A294F"/>
    <w:pPr>
      <w:spacing w:before="150" w:after="150"/>
      <w:jc w:val="center"/>
    </w:pPr>
    <w:rPr>
      <w:b/>
      <w:bCs/>
    </w:rPr>
  </w:style>
  <w:style w:type="paragraph" w:customStyle="1" w:styleId="naiskr">
    <w:name w:val="naiskr"/>
    <w:basedOn w:val="Normal"/>
    <w:rsid w:val="003A294F"/>
    <w:pPr>
      <w:spacing w:before="75" w:after="75"/>
    </w:pPr>
  </w:style>
  <w:style w:type="paragraph" w:styleId="Title">
    <w:name w:val="Title"/>
    <w:basedOn w:val="Normal"/>
    <w:next w:val="Subtitle"/>
    <w:rsid w:val="003A294F"/>
    <w:pPr>
      <w:jc w:val="center"/>
    </w:pPr>
    <w:rPr>
      <w:b/>
      <w:bCs/>
      <w:sz w:val="36"/>
      <w:szCs w:val="36"/>
      <w:lang w:eastAsia="en-US"/>
    </w:rPr>
  </w:style>
  <w:style w:type="paragraph" w:styleId="Subtitle">
    <w:name w:val="Subtitle"/>
    <w:basedOn w:val="Heading"/>
    <w:next w:val="Textbody"/>
    <w:rsid w:val="003A294F"/>
    <w:pPr>
      <w:jc w:val="center"/>
    </w:pPr>
    <w:rPr>
      <w:i/>
      <w:iCs/>
    </w:rPr>
  </w:style>
  <w:style w:type="paragraph" w:customStyle="1" w:styleId="naisc">
    <w:name w:val="naisc"/>
    <w:basedOn w:val="Normal"/>
    <w:rsid w:val="003A294F"/>
    <w:pPr>
      <w:spacing w:before="75" w:after="75"/>
      <w:jc w:val="center"/>
    </w:pPr>
  </w:style>
  <w:style w:type="paragraph" w:customStyle="1" w:styleId="tvhtml1">
    <w:name w:val="tv_html1"/>
    <w:basedOn w:val="Normal"/>
    <w:rsid w:val="003A294F"/>
    <w:pPr>
      <w:spacing w:before="28" w:line="360" w:lineRule="auto"/>
    </w:pPr>
    <w:rPr>
      <w:rFonts w:ascii="Verdana" w:hAnsi="Verdana"/>
      <w:sz w:val="18"/>
      <w:szCs w:val="18"/>
      <w:lang w:val="en-US" w:eastAsia="en-US"/>
    </w:rPr>
  </w:style>
  <w:style w:type="paragraph" w:customStyle="1" w:styleId="tv2131">
    <w:name w:val="tv2131"/>
    <w:basedOn w:val="Normal"/>
    <w:rsid w:val="003A294F"/>
    <w:pPr>
      <w:spacing w:before="240" w:line="360" w:lineRule="auto"/>
      <w:ind w:firstLine="217"/>
      <w:jc w:val="both"/>
    </w:pPr>
    <w:rPr>
      <w:rFonts w:ascii="Verdana" w:hAnsi="Verdana"/>
      <w:sz w:val="13"/>
      <w:szCs w:val="13"/>
      <w:lang w:val="en-US" w:eastAsia="en-US"/>
    </w:rPr>
  </w:style>
  <w:style w:type="paragraph" w:customStyle="1" w:styleId="tv2161">
    <w:name w:val="tv2161"/>
    <w:basedOn w:val="Normal"/>
    <w:rsid w:val="003A294F"/>
    <w:pPr>
      <w:spacing w:before="240" w:line="360" w:lineRule="auto"/>
      <w:ind w:firstLine="259"/>
      <w:jc w:val="right"/>
    </w:pPr>
    <w:rPr>
      <w:rFonts w:ascii="Verdana" w:hAnsi="Verdana"/>
      <w:sz w:val="16"/>
      <w:szCs w:val="16"/>
      <w:lang w:eastAsia="en-US"/>
    </w:rPr>
  </w:style>
  <w:style w:type="paragraph" w:customStyle="1" w:styleId="Normal1">
    <w:name w:val="Normal1"/>
    <w:basedOn w:val="Normal"/>
    <w:rsid w:val="003A294F"/>
    <w:pPr>
      <w:spacing w:before="120"/>
      <w:jc w:val="both"/>
    </w:pPr>
    <w:rPr>
      <w:sz w:val="18"/>
      <w:szCs w:val="18"/>
      <w:lang w:val="en-US" w:eastAsia="en-US"/>
    </w:rPr>
  </w:style>
  <w:style w:type="paragraph" w:styleId="ListParagraph">
    <w:name w:val="List Paragraph"/>
    <w:basedOn w:val="Normal"/>
    <w:rsid w:val="003A294F"/>
    <w:pPr>
      <w:ind w:left="720"/>
    </w:pPr>
  </w:style>
  <w:style w:type="paragraph" w:styleId="Footer">
    <w:name w:val="footer"/>
    <w:basedOn w:val="Normal"/>
    <w:rsid w:val="003A294F"/>
    <w:pPr>
      <w:suppressLineNumbers/>
      <w:tabs>
        <w:tab w:val="center" w:pos="4320"/>
        <w:tab w:val="right" w:pos="8640"/>
      </w:tabs>
    </w:pPr>
  </w:style>
  <w:style w:type="paragraph" w:styleId="BalloonText">
    <w:name w:val="Balloon Text"/>
    <w:basedOn w:val="Normal"/>
    <w:rsid w:val="003A294F"/>
    <w:rPr>
      <w:rFonts w:ascii="Tahoma" w:hAnsi="Tahoma" w:cs="Tahoma"/>
      <w:sz w:val="16"/>
      <w:szCs w:val="16"/>
    </w:rPr>
  </w:style>
  <w:style w:type="paragraph" w:styleId="CommentText">
    <w:name w:val="annotation text"/>
    <w:basedOn w:val="Normal"/>
    <w:rsid w:val="003A294F"/>
    <w:rPr>
      <w:sz w:val="20"/>
      <w:szCs w:val="20"/>
    </w:rPr>
  </w:style>
  <w:style w:type="paragraph" w:styleId="CommentSubject">
    <w:name w:val="annotation subject"/>
    <w:basedOn w:val="CommentText"/>
    <w:rsid w:val="003A294F"/>
    <w:rPr>
      <w:b/>
      <w:bCs/>
    </w:rPr>
  </w:style>
  <w:style w:type="paragraph" w:customStyle="1" w:styleId="TableContents">
    <w:name w:val="Table Contents"/>
    <w:basedOn w:val="Normal"/>
    <w:rsid w:val="003A294F"/>
    <w:pPr>
      <w:suppressLineNumbers/>
    </w:pPr>
  </w:style>
  <w:style w:type="paragraph" w:customStyle="1" w:styleId="TableHeading">
    <w:name w:val="Table Heading"/>
    <w:basedOn w:val="TableContents"/>
    <w:rsid w:val="003A294F"/>
    <w:pPr>
      <w:jc w:val="center"/>
    </w:pPr>
    <w:rPr>
      <w:b/>
      <w:bCs/>
    </w:rPr>
  </w:style>
  <w:style w:type="table" w:styleId="TableGrid">
    <w:name w:val="Table Grid"/>
    <w:basedOn w:val="TableNormal"/>
    <w:uiPriority w:val="59"/>
    <w:rsid w:val="00974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5E49"/>
    <w:rPr>
      <w:color w:val="0000FF" w:themeColor="hyperlink"/>
      <w:u w:val="single"/>
    </w:rPr>
  </w:style>
  <w:style w:type="character" w:styleId="CommentReference">
    <w:name w:val="annotation reference"/>
    <w:basedOn w:val="DefaultParagraphFont"/>
    <w:uiPriority w:val="99"/>
    <w:semiHidden/>
    <w:unhideWhenUsed/>
    <w:rsid w:val="002075D8"/>
    <w:rPr>
      <w:sz w:val="16"/>
      <w:szCs w:val="16"/>
    </w:rPr>
  </w:style>
</w:styles>
</file>

<file path=word/webSettings.xml><?xml version="1.0" encoding="utf-8"?>
<w:webSettings xmlns:r="http://schemas.openxmlformats.org/officeDocument/2006/relationships" xmlns:w="http://schemas.openxmlformats.org/wordprocessingml/2006/main">
  <w:divs>
    <w:div w:id="645741036">
      <w:bodyDiv w:val="1"/>
      <w:marLeft w:val="0"/>
      <w:marRight w:val="0"/>
      <w:marTop w:val="0"/>
      <w:marBottom w:val="0"/>
      <w:divBdr>
        <w:top w:val="none" w:sz="0" w:space="0" w:color="auto"/>
        <w:left w:val="none" w:sz="0" w:space="0" w:color="auto"/>
        <w:bottom w:val="none" w:sz="0" w:space="0" w:color="auto"/>
        <w:right w:val="none" w:sz="0" w:space="0" w:color="auto"/>
      </w:divBdr>
    </w:div>
    <w:div w:id="1906144223">
      <w:bodyDiv w:val="1"/>
      <w:marLeft w:val="0"/>
      <w:marRight w:val="0"/>
      <w:marTop w:val="0"/>
      <w:marBottom w:val="0"/>
      <w:divBdr>
        <w:top w:val="none" w:sz="0" w:space="0" w:color="auto"/>
        <w:left w:val="none" w:sz="0" w:space="0" w:color="auto"/>
        <w:bottom w:val="none" w:sz="0" w:space="0" w:color="auto"/>
        <w:right w:val="none" w:sz="0" w:space="0" w:color="auto"/>
      </w:divBdr>
    </w:div>
    <w:div w:id="1978142299">
      <w:bodyDiv w:val="1"/>
      <w:marLeft w:val="0"/>
      <w:marRight w:val="0"/>
      <w:marTop w:val="0"/>
      <w:marBottom w:val="0"/>
      <w:divBdr>
        <w:top w:val="none" w:sz="0" w:space="0" w:color="auto"/>
        <w:left w:val="none" w:sz="0" w:space="0" w:color="auto"/>
        <w:bottom w:val="none" w:sz="0" w:space="0" w:color="auto"/>
        <w:right w:val="none" w:sz="0" w:space="0" w:color="auto"/>
      </w:divBdr>
      <w:divsChild>
        <w:div w:id="2135899213">
          <w:marLeft w:val="0"/>
          <w:marRight w:val="0"/>
          <w:marTop w:val="0"/>
          <w:marBottom w:val="0"/>
          <w:divBdr>
            <w:top w:val="none" w:sz="0" w:space="0" w:color="auto"/>
            <w:left w:val="none" w:sz="0" w:space="0" w:color="auto"/>
            <w:bottom w:val="none" w:sz="0" w:space="0" w:color="auto"/>
            <w:right w:val="none" w:sz="0" w:space="0" w:color="auto"/>
          </w:divBdr>
        </w:div>
        <w:div w:id="1975674381">
          <w:marLeft w:val="0"/>
          <w:marRight w:val="0"/>
          <w:marTop w:val="0"/>
          <w:marBottom w:val="0"/>
          <w:divBdr>
            <w:top w:val="none" w:sz="0" w:space="0" w:color="auto"/>
            <w:left w:val="none" w:sz="0" w:space="0" w:color="auto"/>
            <w:bottom w:val="none" w:sz="0" w:space="0" w:color="auto"/>
            <w:right w:val="none" w:sz="0" w:space="0" w:color="auto"/>
          </w:divBdr>
        </w:div>
        <w:div w:id="761023689">
          <w:marLeft w:val="0"/>
          <w:marRight w:val="0"/>
          <w:marTop w:val="0"/>
          <w:marBottom w:val="0"/>
          <w:divBdr>
            <w:top w:val="none" w:sz="0" w:space="0" w:color="auto"/>
            <w:left w:val="none" w:sz="0" w:space="0" w:color="auto"/>
            <w:bottom w:val="none" w:sz="0" w:space="0" w:color="auto"/>
            <w:right w:val="none" w:sz="0" w:space="0" w:color="auto"/>
          </w:divBdr>
        </w:div>
        <w:div w:id="17612192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nvironment/waste/batteries/pdf/report_1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vidm</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Donina</dc:creator>
  <cp:lastModifiedBy>larisat</cp:lastModifiedBy>
  <cp:revision>2</cp:revision>
  <dcterms:created xsi:type="dcterms:W3CDTF">2015-07-30T07:01:00Z</dcterms:created>
  <dcterms:modified xsi:type="dcterms:W3CDTF">2015-07-30T07:01:00Z</dcterms:modified>
  <cp:contentStatus/>
</cp:coreProperties>
</file>