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7" w:rsidRDefault="001840E7" w:rsidP="001840E7">
      <w:pPr>
        <w:jc w:val="center"/>
        <w:rPr>
          <w:b/>
          <w:sz w:val="22"/>
          <w:szCs w:val="22"/>
        </w:rPr>
      </w:pPr>
    </w:p>
    <w:p w:rsidR="002408AF" w:rsidRPr="00412B01" w:rsidRDefault="002408AF" w:rsidP="00E96D3F">
      <w:pPr>
        <w:jc w:val="center"/>
        <w:rPr>
          <w:b/>
          <w:sz w:val="28"/>
          <w:szCs w:val="28"/>
        </w:rPr>
      </w:pPr>
      <w:r w:rsidRPr="00412B01">
        <w:rPr>
          <w:b/>
          <w:sz w:val="28"/>
          <w:szCs w:val="28"/>
        </w:rPr>
        <w:t xml:space="preserve">Informatīvais ziņojums </w:t>
      </w:r>
    </w:p>
    <w:p w:rsidR="00986A38" w:rsidRDefault="002408AF" w:rsidP="00E96D3F">
      <w:pPr>
        <w:jc w:val="center"/>
        <w:rPr>
          <w:b/>
          <w:sz w:val="28"/>
          <w:szCs w:val="28"/>
        </w:rPr>
      </w:pPr>
      <w:r w:rsidRPr="00412B01">
        <w:rPr>
          <w:b/>
          <w:sz w:val="28"/>
          <w:szCs w:val="28"/>
        </w:rPr>
        <w:t>par Vides aizsardzības un reģionālās attīstības ministrijas pārziņā esošo iemaksu sta</w:t>
      </w:r>
      <w:r w:rsidR="00702F35">
        <w:rPr>
          <w:b/>
          <w:sz w:val="28"/>
          <w:szCs w:val="28"/>
        </w:rPr>
        <w:t>rptautiskajās organizācijās 2015</w:t>
      </w:r>
      <w:r w:rsidRPr="00412B01">
        <w:rPr>
          <w:b/>
          <w:sz w:val="28"/>
          <w:szCs w:val="28"/>
        </w:rPr>
        <w:t>.gadam pārdali</w:t>
      </w:r>
    </w:p>
    <w:p w:rsidR="000C644E" w:rsidRDefault="000C644E" w:rsidP="00E96D3F">
      <w:pPr>
        <w:jc w:val="center"/>
        <w:rPr>
          <w:b/>
          <w:sz w:val="28"/>
          <w:szCs w:val="28"/>
        </w:rPr>
      </w:pPr>
    </w:p>
    <w:p w:rsidR="000E4ABB" w:rsidRPr="00B3730D" w:rsidRDefault="00702F35">
      <w:pPr>
        <w:jc w:val="both"/>
        <w:rPr>
          <w:sz w:val="28"/>
          <w:szCs w:val="28"/>
        </w:rPr>
      </w:pPr>
      <w:r w:rsidRPr="00B3730D">
        <w:rPr>
          <w:sz w:val="28"/>
          <w:szCs w:val="28"/>
        </w:rPr>
        <w:t>2015</w:t>
      </w:r>
      <w:r w:rsidR="002408AF" w:rsidRPr="00B3730D">
        <w:rPr>
          <w:sz w:val="28"/>
          <w:szCs w:val="28"/>
        </w:rPr>
        <w:t xml:space="preserve">.gada valsts budžeta programmas </w:t>
      </w:r>
      <w:r w:rsidR="0003548F" w:rsidRPr="00B3730D">
        <w:rPr>
          <w:sz w:val="28"/>
          <w:szCs w:val="28"/>
        </w:rPr>
        <w:t xml:space="preserve">21.00.00 </w:t>
      </w:r>
      <w:r w:rsidR="002408AF" w:rsidRPr="00B3730D">
        <w:rPr>
          <w:sz w:val="28"/>
          <w:szCs w:val="28"/>
        </w:rPr>
        <w:t xml:space="preserve">„Vides aizsardzības fonds” </w:t>
      </w:r>
      <w:r w:rsidR="0003548F" w:rsidRPr="00B3730D">
        <w:rPr>
          <w:sz w:val="28"/>
          <w:szCs w:val="28"/>
        </w:rPr>
        <w:t xml:space="preserve">21.20.00 </w:t>
      </w:r>
      <w:r w:rsidR="002408AF" w:rsidRPr="00B3730D">
        <w:rPr>
          <w:sz w:val="28"/>
          <w:szCs w:val="28"/>
        </w:rPr>
        <w:t>apakšprogramm</w:t>
      </w:r>
      <w:r w:rsidR="00A86909" w:rsidRPr="00B3730D">
        <w:rPr>
          <w:sz w:val="28"/>
          <w:szCs w:val="28"/>
        </w:rPr>
        <w:t>as</w:t>
      </w:r>
      <w:r w:rsidR="002408AF" w:rsidRPr="00B3730D">
        <w:rPr>
          <w:sz w:val="28"/>
          <w:szCs w:val="28"/>
        </w:rPr>
        <w:t xml:space="preserve"> „Iemaksas starptautiskajās organizācijās” </w:t>
      </w:r>
      <w:r w:rsidR="00A86909" w:rsidRPr="00B3730D">
        <w:rPr>
          <w:sz w:val="28"/>
          <w:szCs w:val="28"/>
        </w:rPr>
        <w:t>ietvaros</w:t>
      </w:r>
      <w:r w:rsidR="002408AF" w:rsidRPr="00B3730D">
        <w:rPr>
          <w:sz w:val="28"/>
          <w:szCs w:val="28"/>
        </w:rPr>
        <w:t xml:space="preserve"> Vides aizsardzības un reģionālās attīstības ministrijai (turpmāk -</w:t>
      </w:r>
      <w:r w:rsidR="00986A38" w:rsidRPr="00B3730D">
        <w:rPr>
          <w:sz w:val="28"/>
          <w:szCs w:val="28"/>
        </w:rPr>
        <w:t xml:space="preserve"> </w:t>
      </w:r>
      <w:r w:rsidR="002408AF" w:rsidRPr="00B3730D">
        <w:rPr>
          <w:sz w:val="28"/>
          <w:szCs w:val="28"/>
        </w:rPr>
        <w:t>V</w:t>
      </w:r>
      <w:r w:rsidR="00986A38" w:rsidRPr="00B3730D">
        <w:rPr>
          <w:sz w:val="28"/>
          <w:szCs w:val="28"/>
        </w:rPr>
        <w:t>ARAM) ir ieplānotas iemaksas</w:t>
      </w:r>
      <w:r w:rsidR="0092065A" w:rsidRPr="00B3730D">
        <w:rPr>
          <w:sz w:val="28"/>
          <w:szCs w:val="28"/>
        </w:rPr>
        <w:t xml:space="preserve"> </w:t>
      </w:r>
      <w:r w:rsidR="00986A38" w:rsidRPr="00B3730D">
        <w:rPr>
          <w:sz w:val="28"/>
          <w:szCs w:val="28"/>
        </w:rPr>
        <w:t>Apvienoto Nāciju Organizācijas (</w:t>
      </w:r>
      <w:r w:rsidR="0040557C" w:rsidRPr="00B3730D">
        <w:rPr>
          <w:sz w:val="28"/>
          <w:szCs w:val="28"/>
        </w:rPr>
        <w:t xml:space="preserve">turpmāk - </w:t>
      </w:r>
      <w:r w:rsidR="00986A38" w:rsidRPr="00B3730D">
        <w:rPr>
          <w:sz w:val="28"/>
          <w:szCs w:val="28"/>
        </w:rPr>
        <w:t>ANO) struktūrām un konvencijām</w:t>
      </w:r>
      <w:r w:rsidR="000B4367" w:rsidRPr="00B3730D">
        <w:rPr>
          <w:sz w:val="28"/>
          <w:szCs w:val="28"/>
        </w:rPr>
        <w:t>,</w:t>
      </w:r>
      <w:r w:rsidR="000B4367" w:rsidRPr="00B3730D">
        <w:rPr>
          <w:bCs/>
          <w:sz w:val="22"/>
        </w:rPr>
        <w:t xml:space="preserve"> </w:t>
      </w:r>
      <w:r w:rsidR="000B4367" w:rsidRPr="00B3730D">
        <w:rPr>
          <w:bCs/>
          <w:sz w:val="28"/>
          <w:szCs w:val="28"/>
        </w:rPr>
        <w:t>kā arī starptautiskām vides aizsardzības organizācijām un līgumiem</w:t>
      </w:r>
      <w:r w:rsidR="00986A38" w:rsidRPr="00B3730D">
        <w:rPr>
          <w:sz w:val="28"/>
          <w:szCs w:val="28"/>
        </w:rPr>
        <w:t xml:space="preserve"> </w:t>
      </w:r>
      <w:r w:rsidR="002408AF" w:rsidRPr="00B3730D">
        <w:rPr>
          <w:sz w:val="28"/>
          <w:szCs w:val="28"/>
        </w:rPr>
        <w:t xml:space="preserve">par kopējo summu </w:t>
      </w:r>
      <w:r w:rsidR="0003548F" w:rsidRPr="00B3730D">
        <w:rPr>
          <w:sz w:val="28"/>
          <w:szCs w:val="28"/>
        </w:rPr>
        <w:t>1 111 382</w:t>
      </w:r>
      <w:r w:rsidR="00DF3C4E" w:rsidRPr="00B3730D">
        <w:rPr>
          <w:sz w:val="28"/>
          <w:szCs w:val="28"/>
        </w:rPr>
        <w:t xml:space="preserve"> </w:t>
      </w:r>
      <w:r w:rsidR="00DF3C4E" w:rsidRPr="00B3730D">
        <w:rPr>
          <w:i/>
          <w:sz w:val="28"/>
          <w:szCs w:val="28"/>
        </w:rPr>
        <w:t>euro</w:t>
      </w:r>
      <w:r w:rsidR="00A86909" w:rsidRPr="00B3730D">
        <w:rPr>
          <w:sz w:val="28"/>
          <w:szCs w:val="28"/>
        </w:rPr>
        <w:t xml:space="preserve">. </w:t>
      </w:r>
      <w:r w:rsidR="00555A3F" w:rsidRPr="00B3730D">
        <w:rPr>
          <w:sz w:val="28"/>
          <w:szCs w:val="28"/>
        </w:rPr>
        <w:t xml:space="preserve">Ir ieplānots </w:t>
      </w:r>
      <w:r w:rsidR="00DA2622" w:rsidRPr="00B3730D">
        <w:rPr>
          <w:sz w:val="28"/>
          <w:szCs w:val="28"/>
        </w:rPr>
        <w:t xml:space="preserve">arī </w:t>
      </w:r>
      <w:r w:rsidR="00555A3F" w:rsidRPr="00B3730D">
        <w:rPr>
          <w:sz w:val="28"/>
          <w:szCs w:val="28"/>
        </w:rPr>
        <w:t xml:space="preserve">finansējums, </w:t>
      </w:r>
      <w:r w:rsidR="00555A3F" w:rsidRPr="00B3730D">
        <w:rPr>
          <w:rFonts w:eastAsia="Times New Roman"/>
          <w:sz w:val="28"/>
          <w:szCs w:val="28"/>
          <w:lang w:eastAsia="lv-LV"/>
        </w:rPr>
        <w:t>lai nodrošinātu dalības maksu par dalībnieka statusu</w:t>
      </w:r>
      <w:r w:rsidR="00555A3F" w:rsidRPr="00B3730D">
        <w:rPr>
          <w:sz w:val="28"/>
          <w:szCs w:val="28"/>
        </w:rPr>
        <w:t xml:space="preserve"> OECD Digitālās ekonomikas politikas komitejā 10 800 </w:t>
      </w:r>
      <w:r w:rsidR="00555A3F" w:rsidRPr="00B3730D">
        <w:rPr>
          <w:i/>
          <w:sz w:val="28"/>
          <w:szCs w:val="28"/>
        </w:rPr>
        <w:t xml:space="preserve">euro </w:t>
      </w:r>
      <w:r w:rsidR="00555A3F" w:rsidRPr="00B3730D">
        <w:rPr>
          <w:sz w:val="28"/>
          <w:szCs w:val="28"/>
        </w:rPr>
        <w:t>apmērā</w:t>
      </w:r>
      <w:r w:rsidR="00DA2622" w:rsidRPr="00B3730D">
        <w:rPr>
          <w:sz w:val="28"/>
          <w:szCs w:val="28"/>
        </w:rPr>
        <w:t>, kur</w:t>
      </w:r>
      <w:r w:rsidR="00555A3F" w:rsidRPr="00B3730D">
        <w:rPr>
          <w:sz w:val="28"/>
          <w:szCs w:val="28"/>
        </w:rPr>
        <w:t xml:space="preserve"> Latvija regulāri piedalās komitejas sanāksmēs dalībnieka statusā kopš 2009. gada. </w:t>
      </w:r>
      <w:r w:rsidR="00555A3F" w:rsidRPr="00B3730D">
        <w:rPr>
          <w:rFonts w:eastAsia="Times New Roman"/>
          <w:sz w:val="28"/>
          <w:szCs w:val="28"/>
          <w:lang w:eastAsia="lv-LV"/>
        </w:rPr>
        <w:t>Dalībnieka statuss komitejā paredz dalībmaksu 10 800 euro</w:t>
      </w:r>
      <w:r w:rsidR="00D1448B" w:rsidRPr="00B3730D">
        <w:rPr>
          <w:rFonts w:eastAsia="Times New Roman"/>
          <w:sz w:val="28"/>
          <w:szCs w:val="28"/>
          <w:lang w:eastAsia="lv-LV"/>
        </w:rPr>
        <w:t xml:space="preserve"> apmērā.”</w:t>
      </w:r>
      <w:r w:rsidR="00361791" w:rsidRPr="00B3730D" w:rsidDel="00801FE7">
        <w:rPr>
          <w:rFonts w:eastAsia="Times New Roman"/>
          <w:sz w:val="28"/>
          <w:szCs w:val="28"/>
          <w:lang w:eastAsia="lv-LV"/>
        </w:rPr>
        <w:t xml:space="preserve"> </w:t>
      </w:r>
      <w:r w:rsidR="0038385A" w:rsidRPr="00B3730D">
        <w:rPr>
          <w:sz w:val="28"/>
          <w:szCs w:val="28"/>
        </w:rPr>
        <w:t>Kopš 2010.gada Latvija veic ikgadējo iemaksu par dalībnieka statusu OECD Digitālās ekonomikas politikas komitejā.</w:t>
      </w:r>
      <w:r w:rsidR="00801FE7" w:rsidRPr="00B3730D">
        <w:rPr>
          <w:rFonts w:eastAsia="Times New Roman"/>
          <w:sz w:val="28"/>
          <w:szCs w:val="28"/>
          <w:lang w:eastAsia="lv-LV"/>
        </w:rPr>
        <w:t xml:space="preserve"> </w:t>
      </w:r>
    </w:p>
    <w:p w:rsidR="00F73D8C" w:rsidRPr="00B3730D" w:rsidRDefault="00DF39EC" w:rsidP="00E96D3F">
      <w:pPr>
        <w:ind w:firstLine="720"/>
        <w:jc w:val="both"/>
        <w:rPr>
          <w:sz w:val="28"/>
          <w:szCs w:val="28"/>
        </w:rPr>
      </w:pPr>
      <w:r w:rsidRPr="00B3730D">
        <w:rPr>
          <w:sz w:val="28"/>
          <w:szCs w:val="28"/>
        </w:rPr>
        <w:t>Saskaņā ar 2013.gadā OECD apstiprināto Latvijas iestāšanās sarunu „Ceļa karti” tiek turpinātas iestāšanās tehniskās sarunas. Šobrīd Latvija ir iestāšanās sarunu noslēdzošajā fāzē. Paralēli aktivitātēm iestāšanās sarunu procesā, Latvijas valsts pārvaldes iestādes piedalās OECD regulārajā darbā.</w:t>
      </w:r>
    </w:p>
    <w:p w:rsidR="00D85EB3" w:rsidRPr="00B3730D" w:rsidRDefault="003E22EC" w:rsidP="00E96D3F">
      <w:pPr>
        <w:ind w:firstLine="720"/>
        <w:jc w:val="both"/>
        <w:rPr>
          <w:sz w:val="28"/>
          <w:szCs w:val="28"/>
        </w:rPr>
      </w:pPr>
      <w:r w:rsidRPr="00B3730D">
        <w:rPr>
          <w:rFonts w:eastAsia="Times New Roman"/>
          <w:sz w:val="28"/>
          <w:szCs w:val="28"/>
          <w:lang w:eastAsia="lv-LV"/>
        </w:rPr>
        <w:t xml:space="preserve">Atsaucoties uz 2013. gada janvārī Latvijas iesniegtajām pieteikuma vēstulēm dalībai dažādos statusos OECD komitejās un darba grupās, sekretariāts informēja par pieņemto lēmumu aicināt Latviju piedalīties dalībnieka statusā vairākās komitejās. </w:t>
      </w:r>
      <w:r w:rsidR="00756B9F" w:rsidRPr="00B3730D">
        <w:rPr>
          <w:sz w:val="28"/>
          <w:szCs w:val="28"/>
        </w:rPr>
        <w:t>Ar</w:t>
      </w:r>
      <w:r w:rsidR="00034016" w:rsidRPr="00B3730D">
        <w:rPr>
          <w:sz w:val="28"/>
          <w:szCs w:val="28"/>
        </w:rPr>
        <w:t xml:space="preserve"> </w:t>
      </w:r>
      <w:r w:rsidR="00756B9F" w:rsidRPr="00B3730D">
        <w:rPr>
          <w:sz w:val="28"/>
          <w:szCs w:val="28"/>
        </w:rPr>
        <w:t>2013.gada 16.jūlija OECD vēstuli Latvija tika uzaicināta dalībnieka (</w:t>
      </w:r>
      <w:r w:rsidR="00756B9F" w:rsidRPr="00B3730D">
        <w:rPr>
          <w:i/>
          <w:sz w:val="28"/>
          <w:szCs w:val="28"/>
        </w:rPr>
        <w:t>participant</w:t>
      </w:r>
      <w:r w:rsidR="00756B9F" w:rsidRPr="00B3730D">
        <w:rPr>
          <w:sz w:val="28"/>
          <w:szCs w:val="28"/>
        </w:rPr>
        <w:t>) statusā piedalīties OECD Ķimikāliju komitejā. 2014.gadā VARAM piedalījās Ķimikāliju komitejā ielūgtā (</w:t>
      </w:r>
      <w:r w:rsidR="00756B9F" w:rsidRPr="00B3730D">
        <w:rPr>
          <w:i/>
          <w:sz w:val="28"/>
          <w:szCs w:val="28"/>
        </w:rPr>
        <w:t>invitee</w:t>
      </w:r>
      <w:r w:rsidR="00756B9F" w:rsidRPr="00B3730D">
        <w:rPr>
          <w:sz w:val="28"/>
          <w:szCs w:val="28"/>
        </w:rPr>
        <w:t xml:space="preserve">) statusā (neparedz dalības maksu) un kopš šī gada janvāra Latvijai ir dalībnieka statuss OECD Ķimikāliju komitejā. </w:t>
      </w:r>
      <w:r w:rsidR="00756B9F" w:rsidRPr="00B3730D">
        <w:rPr>
          <w:rFonts w:eastAsia="Times New Roman"/>
          <w:sz w:val="28"/>
          <w:szCs w:val="28"/>
          <w:lang w:eastAsia="en-US"/>
        </w:rPr>
        <w:t>Dalībnieka statuss sniedz iespēju valstij apmeklēt konkrētas komitejas visas sanāksmes</w:t>
      </w:r>
      <w:r w:rsidR="00FA1527" w:rsidRPr="00B3730D">
        <w:rPr>
          <w:sz w:val="28"/>
          <w:szCs w:val="28"/>
        </w:rPr>
        <w:t>.</w:t>
      </w:r>
      <w:r w:rsidR="00640FEF" w:rsidRPr="00B3730D">
        <w:rPr>
          <w:sz w:val="28"/>
          <w:szCs w:val="28"/>
        </w:rPr>
        <w:t xml:space="preserve"> Ķimikāliju komitej</w:t>
      </w:r>
      <w:r w:rsidR="00C0685F" w:rsidRPr="00B3730D">
        <w:rPr>
          <w:sz w:val="28"/>
          <w:szCs w:val="28"/>
        </w:rPr>
        <w:t>as</w:t>
      </w:r>
      <w:r w:rsidR="00FA1527" w:rsidRPr="00B3730D">
        <w:rPr>
          <w:sz w:val="28"/>
          <w:szCs w:val="28"/>
        </w:rPr>
        <w:t xml:space="preserve"> </w:t>
      </w:r>
      <w:r w:rsidR="00AF1C9F" w:rsidRPr="00B3730D">
        <w:rPr>
          <w:sz w:val="28"/>
          <w:szCs w:val="28"/>
        </w:rPr>
        <w:t>ietvaros tiek nodrošināta informācijas un pieredzes apmaiņa par ķīmisko vielu pārvaldības politiku novērtējumu ķīmisko risku samazināšanas un novēršanas, savstarpējo datu atzīšanas, ķīmisko vielu tirdzniecības aspektos.</w:t>
      </w:r>
    </w:p>
    <w:p w:rsidR="00F21398" w:rsidRPr="00B3730D" w:rsidRDefault="00135041" w:rsidP="00E96D3F">
      <w:pPr>
        <w:ind w:firstLine="720"/>
        <w:jc w:val="both"/>
        <w:rPr>
          <w:sz w:val="28"/>
          <w:szCs w:val="28"/>
        </w:rPr>
      </w:pPr>
      <w:r w:rsidRPr="00B3730D">
        <w:rPr>
          <w:sz w:val="28"/>
          <w:szCs w:val="28"/>
          <w:lang w:eastAsia="lv-LV"/>
        </w:rPr>
        <w:t xml:space="preserve">Š.g. 20. aprīlī tika saņemts OECD rēķins par Latvijas ikgadējo dalības maksu komitejās un darba grupās </w:t>
      </w:r>
      <w:r w:rsidR="001919DD" w:rsidRPr="00B3730D">
        <w:rPr>
          <w:sz w:val="28"/>
          <w:szCs w:val="28"/>
          <w:lang w:eastAsia="lv-LV"/>
        </w:rPr>
        <w:t>2015.</w:t>
      </w:r>
      <w:r w:rsidRPr="00B3730D">
        <w:rPr>
          <w:sz w:val="28"/>
          <w:szCs w:val="28"/>
          <w:lang w:eastAsia="lv-LV"/>
        </w:rPr>
        <w:t xml:space="preserve">gadam </w:t>
      </w:r>
      <w:r w:rsidRPr="00B3730D">
        <w:rPr>
          <w:sz w:val="28"/>
          <w:szCs w:val="28"/>
        </w:rPr>
        <w:t>(INVOICE 1307/PARTNERS/2015)</w:t>
      </w:r>
      <w:r w:rsidRPr="00B3730D">
        <w:rPr>
          <w:sz w:val="28"/>
          <w:szCs w:val="28"/>
          <w:lang w:eastAsia="lv-LV"/>
        </w:rPr>
        <w:t xml:space="preserve">, tai skaitā 10 800 euro par OECD </w:t>
      </w:r>
      <w:r w:rsidRPr="00B3730D">
        <w:rPr>
          <w:sz w:val="28"/>
          <w:szCs w:val="28"/>
        </w:rPr>
        <w:t>Ķimikāliju komiteju</w:t>
      </w:r>
      <w:r w:rsidR="00FC7662" w:rsidRPr="00B3730D">
        <w:rPr>
          <w:sz w:val="28"/>
          <w:szCs w:val="28"/>
        </w:rPr>
        <w:t>.</w:t>
      </w:r>
      <w:r w:rsidRPr="00B3730D">
        <w:rPr>
          <w:sz w:val="28"/>
          <w:szCs w:val="28"/>
        </w:rPr>
        <w:t xml:space="preserve"> </w:t>
      </w:r>
      <w:r w:rsidR="002408AF" w:rsidRPr="00B3730D">
        <w:rPr>
          <w:sz w:val="28"/>
          <w:szCs w:val="28"/>
        </w:rPr>
        <w:t xml:space="preserve">Lai </w:t>
      </w:r>
      <w:r w:rsidR="008D4971" w:rsidRPr="00B3730D">
        <w:rPr>
          <w:sz w:val="28"/>
          <w:szCs w:val="28"/>
        </w:rPr>
        <w:t>nosegtu</w:t>
      </w:r>
      <w:r w:rsidR="008F3383" w:rsidRPr="00B3730D">
        <w:rPr>
          <w:sz w:val="28"/>
          <w:szCs w:val="28"/>
        </w:rPr>
        <w:t xml:space="preserve"> nepieciešamās papildus </w:t>
      </w:r>
      <w:r w:rsidR="000B4367" w:rsidRPr="00B3730D">
        <w:rPr>
          <w:sz w:val="28"/>
          <w:szCs w:val="28"/>
        </w:rPr>
        <w:t xml:space="preserve">OECD </w:t>
      </w:r>
      <w:r w:rsidR="008F3383" w:rsidRPr="00B3730D">
        <w:rPr>
          <w:sz w:val="28"/>
          <w:szCs w:val="28"/>
        </w:rPr>
        <w:t>iemaksas</w:t>
      </w:r>
      <w:r w:rsidR="002408AF" w:rsidRPr="00B3730D">
        <w:rPr>
          <w:sz w:val="28"/>
          <w:szCs w:val="28"/>
        </w:rPr>
        <w:t xml:space="preserve"> pieaugumu, kā arī lietderīgi izmantotu VARAM piešķirtos finanšu līdzekļus starptautisko iemaksu ve</w:t>
      </w:r>
      <w:r w:rsidR="003A2FCB" w:rsidRPr="00B3730D">
        <w:rPr>
          <w:sz w:val="28"/>
          <w:szCs w:val="28"/>
        </w:rPr>
        <w:t>ikšanai 2015</w:t>
      </w:r>
      <w:r w:rsidR="002408AF" w:rsidRPr="00B3730D">
        <w:rPr>
          <w:sz w:val="28"/>
          <w:szCs w:val="28"/>
        </w:rPr>
        <w:t xml:space="preserve">.gadā, </w:t>
      </w:r>
      <w:r w:rsidR="003300D1" w:rsidRPr="00B3730D">
        <w:rPr>
          <w:sz w:val="28"/>
          <w:szCs w:val="28"/>
        </w:rPr>
        <w:t>tika izvērtēta iespēja</w:t>
      </w:r>
      <w:r w:rsidR="00FF03F9" w:rsidRPr="00B3730D">
        <w:rPr>
          <w:sz w:val="28"/>
          <w:szCs w:val="28"/>
        </w:rPr>
        <w:t xml:space="preserve"> </w:t>
      </w:r>
      <w:r w:rsidR="00907417" w:rsidRPr="00B3730D">
        <w:rPr>
          <w:sz w:val="28"/>
          <w:szCs w:val="28"/>
        </w:rPr>
        <w:t>21.2</w:t>
      </w:r>
      <w:r w:rsidR="00FF03F9" w:rsidRPr="00B3730D">
        <w:rPr>
          <w:sz w:val="28"/>
          <w:szCs w:val="28"/>
        </w:rPr>
        <w:t>0.00</w:t>
      </w:r>
      <w:r w:rsidR="002408AF" w:rsidRPr="00B3730D">
        <w:rPr>
          <w:sz w:val="28"/>
          <w:szCs w:val="28"/>
        </w:rPr>
        <w:t xml:space="preserve"> apakšp</w:t>
      </w:r>
      <w:r w:rsidR="003A2FCB" w:rsidRPr="00B3730D">
        <w:rPr>
          <w:sz w:val="28"/>
          <w:szCs w:val="28"/>
        </w:rPr>
        <w:t xml:space="preserve">rogrammas </w:t>
      </w:r>
      <w:r w:rsidR="00AD59AB" w:rsidRPr="00B3730D">
        <w:rPr>
          <w:sz w:val="28"/>
          <w:szCs w:val="28"/>
        </w:rPr>
        <w:t xml:space="preserve">„Iemaksas starptautiskajās organizācijās” </w:t>
      </w:r>
      <w:r w:rsidR="003A2FCB" w:rsidRPr="00B3730D">
        <w:rPr>
          <w:sz w:val="28"/>
          <w:szCs w:val="28"/>
        </w:rPr>
        <w:t xml:space="preserve">ietvaros pārdalīt </w:t>
      </w:r>
      <w:r w:rsidR="00AD59AB" w:rsidRPr="00B3730D">
        <w:rPr>
          <w:sz w:val="28"/>
          <w:szCs w:val="28"/>
        </w:rPr>
        <w:t xml:space="preserve">2015.gadā </w:t>
      </w:r>
      <w:r w:rsidR="00F21398" w:rsidRPr="00B3730D">
        <w:rPr>
          <w:sz w:val="28"/>
          <w:szCs w:val="28"/>
        </w:rPr>
        <w:t>nepieciešamo paredzētās iemaksas summ</w:t>
      </w:r>
      <w:r w:rsidR="00D63576" w:rsidRPr="00B3730D">
        <w:rPr>
          <w:sz w:val="28"/>
          <w:szCs w:val="28"/>
        </w:rPr>
        <w:t xml:space="preserve">u </w:t>
      </w:r>
      <w:r w:rsidR="00F21398" w:rsidRPr="00B3730D">
        <w:rPr>
          <w:sz w:val="28"/>
          <w:szCs w:val="28"/>
        </w:rPr>
        <w:t xml:space="preserve">10 800 euro apmērā </w:t>
      </w:r>
      <w:r w:rsidR="00FF03F9" w:rsidRPr="00B3730D">
        <w:rPr>
          <w:sz w:val="28"/>
          <w:szCs w:val="28"/>
        </w:rPr>
        <w:t xml:space="preserve">no </w:t>
      </w:r>
      <w:r w:rsidR="00D63576" w:rsidRPr="00B3730D">
        <w:rPr>
          <w:sz w:val="28"/>
          <w:szCs w:val="28"/>
        </w:rPr>
        <w:t>sekojošām organizācijām</w:t>
      </w:r>
      <w:r w:rsidR="00F21398" w:rsidRPr="00B3730D">
        <w:rPr>
          <w:sz w:val="28"/>
          <w:szCs w:val="28"/>
        </w:rPr>
        <w:t>:</w:t>
      </w:r>
    </w:p>
    <w:p w:rsidR="00F21398" w:rsidRPr="00B3730D" w:rsidRDefault="00E96D3F" w:rsidP="00E96D3F">
      <w:pPr>
        <w:ind w:firstLine="720"/>
        <w:jc w:val="both"/>
        <w:rPr>
          <w:sz w:val="28"/>
          <w:szCs w:val="28"/>
        </w:rPr>
      </w:pPr>
      <w:r w:rsidRPr="00B3730D">
        <w:rPr>
          <w:sz w:val="28"/>
          <w:szCs w:val="28"/>
        </w:rPr>
        <w:lastRenderedPageBreak/>
        <w:t>1. </w:t>
      </w:r>
      <w:r w:rsidR="00F21398" w:rsidRPr="00B3730D">
        <w:rPr>
          <w:sz w:val="28"/>
          <w:szCs w:val="28"/>
        </w:rPr>
        <w:t>Eiropas meteoroloģisko satelītu izmant</w:t>
      </w:r>
      <w:r w:rsidR="00D63576" w:rsidRPr="00B3730D">
        <w:rPr>
          <w:sz w:val="28"/>
          <w:szCs w:val="28"/>
        </w:rPr>
        <w:t>ošanas organizācija ( EUMETSAT)</w:t>
      </w:r>
      <w:r w:rsidR="007200EB" w:rsidRPr="00B3730D">
        <w:rPr>
          <w:sz w:val="28"/>
          <w:szCs w:val="28"/>
        </w:rPr>
        <w:t xml:space="preserve"> – samazinot gada iemaksu par 10 048 euro saskaņā ar apstiprināto EUMETSAT budžetu</w:t>
      </w:r>
      <w:r w:rsidR="00D63576" w:rsidRPr="00B3730D">
        <w:rPr>
          <w:sz w:val="28"/>
          <w:szCs w:val="28"/>
        </w:rPr>
        <w:t>;</w:t>
      </w:r>
    </w:p>
    <w:p w:rsidR="00E96D3F" w:rsidRPr="00B3730D" w:rsidRDefault="00E96D3F" w:rsidP="00E96D3F">
      <w:pPr>
        <w:ind w:firstLine="720"/>
        <w:jc w:val="both"/>
        <w:rPr>
          <w:sz w:val="28"/>
          <w:szCs w:val="28"/>
        </w:rPr>
      </w:pPr>
      <w:r w:rsidRPr="00B3730D">
        <w:rPr>
          <w:sz w:val="28"/>
          <w:szCs w:val="28"/>
        </w:rPr>
        <w:t>2. </w:t>
      </w:r>
      <w:r w:rsidR="00D427BB" w:rsidRPr="00B3730D">
        <w:rPr>
          <w:sz w:val="28"/>
          <w:szCs w:val="28"/>
        </w:rPr>
        <w:t>Starptautiskā</w:t>
      </w:r>
      <w:r w:rsidR="00D63576" w:rsidRPr="00B3730D">
        <w:rPr>
          <w:sz w:val="28"/>
          <w:szCs w:val="28"/>
        </w:rPr>
        <w:t xml:space="preserve"> mājokļu un plānošanas organizācija (IHFP)</w:t>
      </w:r>
      <w:r w:rsidR="007200EB" w:rsidRPr="00B3730D">
        <w:rPr>
          <w:sz w:val="28"/>
          <w:szCs w:val="28"/>
        </w:rPr>
        <w:t xml:space="preserve"> – samazinot gada iemaksu 752 euro saskaņā ar saņemto rēķinu</w:t>
      </w:r>
      <w:r w:rsidR="00F00065" w:rsidRPr="00B3730D">
        <w:rPr>
          <w:sz w:val="28"/>
          <w:szCs w:val="28"/>
        </w:rPr>
        <w:t xml:space="preserve"> </w:t>
      </w:r>
      <w:r w:rsidR="007200EB" w:rsidRPr="00B3730D">
        <w:rPr>
          <w:sz w:val="28"/>
          <w:szCs w:val="28"/>
        </w:rPr>
        <w:t>par samazināto iemaksu apjomu</w:t>
      </w:r>
      <w:r w:rsidR="008E0CDE" w:rsidRPr="00B3730D">
        <w:rPr>
          <w:sz w:val="28"/>
          <w:szCs w:val="28"/>
        </w:rPr>
        <w:t>.</w:t>
      </w:r>
    </w:p>
    <w:p w:rsidR="00E352CA" w:rsidRPr="00B3730D" w:rsidRDefault="00FD6C09" w:rsidP="00E96D3F">
      <w:pPr>
        <w:ind w:firstLine="720"/>
        <w:jc w:val="both"/>
        <w:rPr>
          <w:sz w:val="28"/>
          <w:szCs w:val="28"/>
        </w:rPr>
      </w:pPr>
      <w:r w:rsidRPr="00B3730D">
        <w:rPr>
          <w:sz w:val="28"/>
          <w:szCs w:val="28"/>
        </w:rPr>
        <w:t xml:space="preserve">Tādējādi no augstāk minētajiem ietaupījumiem nodrošinot nepieciešamo OECD </w:t>
      </w:r>
      <w:r w:rsidR="001E1103" w:rsidRPr="00B3730D">
        <w:rPr>
          <w:sz w:val="28"/>
          <w:szCs w:val="28"/>
        </w:rPr>
        <w:t xml:space="preserve">Ķimikāliju komitejas </w:t>
      </w:r>
      <w:r w:rsidRPr="00B3730D">
        <w:rPr>
          <w:sz w:val="28"/>
          <w:szCs w:val="28"/>
        </w:rPr>
        <w:t>iemaksu.</w:t>
      </w:r>
    </w:p>
    <w:p w:rsidR="00135041" w:rsidRPr="00B3730D" w:rsidRDefault="00FD6C09" w:rsidP="00E96D3F">
      <w:pPr>
        <w:pStyle w:val="CommentText"/>
        <w:ind w:firstLine="720"/>
        <w:jc w:val="both"/>
        <w:rPr>
          <w:sz w:val="28"/>
          <w:szCs w:val="28"/>
        </w:rPr>
      </w:pPr>
      <w:r w:rsidRPr="00B3730D">
        <w:rPr>
          <w:sz w:val="28"/>
          <w:szCs w:val="28"/>
        </w:rPr>
        <w:t xml:space="preserve">OECD </w:t>
      </w:r>
      <w:r w:rsidR="00640FEF" w:rsidRPr="00B3730D">
        <w:rPr>
          <w:sz w:val="28"/>
          <w:szCs w:val="28"/>
        </w:rPr>
        <w:t xml:space="preserve">Ķimikāliju komitejas </w:t>
      </w:r>
      <w:r w:rsidRPr="00B3730D">
        <w:rPr>
          <w:sz w:val="28"/>
          <w:szCs w:val="28"/>
        </w:rPr>
        <w:t xml:space="preserve">dalībnieka statuss nodrošinās iespēju iesaistīties informācijas apritē par OECD ķīmisko vielu pārvaldības jomā atbalstīto projektu un pētījumu rezultātiem, kas ir vērsti uz efektīvu un drošu ķīmisko vielu pārvaldības politikas attīstīšanu. VARAM klātbūtne attiecīgās komitejas un grupu darbā būtiski uzlabos un padarīs efektīvāku saskaņošanas procesu. </w:t>
      </w:r>
      <w:r w:rsidR="00135041" w:rsidRPr="00B3730D">
        <w:rPr>
          <w:sz w:val="28"/>
          <w:szCs w:val="28"/>
        </w:rPr>
        <w:t>Ķimikāliju komiteja nodrošina sadarbību starp OECD dalībvalstīm, kuras ir ieinteresētas cilvēkam un videi drošā ķīmisko vielu pārvaldības prakses īstenošanā.</w:t>
      </w:r>
    </w:p>
    <w:p w:rsidR="00E352CA" w:rsidRPr="00B3730D" w:rsidRDefault="00FD6C09" w:rsidP="00E96D3F">
      <w:pPr>
        <w:pStyle w:val="CommentText"/>
        <w:ind w:firstLine="720"/>
        <w:jc w:val="both"/>
        <w:rPr>
          <w:sz w:val="28"/>
          <w:szCs w:val="28"/>
        </w:rPr>
      </w:pPr>
      <w:r w:rsidRPr="00B3730D">
        <w:rPr>
          <w:sz w:val="28"/>
          <w:szCs w:val="28"/>
        </w:rPr>
        <w:t xml:space="preserve">Dalība </w:t>
      </w:r>
      <w:r w:rsidR="009B490D" w:rsidRPr="00B3730D">
        <w:rPr>
          <w:sz w:val="28"/>
          <w:szCs w:val="28"/>
        </w:rPr>
        <w:t xml:space="preserve">Ķimikāliju komitejā </w:t>
      </w:r>
      <w:r w:rsidRPr="00B3730D">
        <w:rPr>
          <w:sz w:val="28"/>
          <w:szCs w:val="28"/>
        </w:rPr>
        <w:t>un tās darba grupās nodrošinās Latvijas iesaisti OECD jauno rekomendāciju un standartu izstrādāšanas procesā, citu OECD dalībvalstu pieredzes apmaiņā, informācijas iegūšanā par zinātniskajiem pētījumiem un par politiku ekonomisko analīzi. Tādējādi Latvija spēs apzināt ķīmisko vielu pārvaldības politikas prioritātes, identificēt iespējamās problēmas un labākās metodes to risināšanai.</w:t>
      </w:r>
    </w:p>
    <w:p w:rsidR="00E352CA" w:rsidRPr="00B3730D" w:rsidRDefault="00FD6C09" w:rsidP="00E96D3F">
      <w:pPr>
        <w:pStyle w:val="CommentText"/>
        <w:ind w:firstLine="720"/>
        <w:jc w:val="both"/>
        <w:rPr>
          <w:sz w:val="28"/>
          <w:szCs w:val="28"/>
        </w:rPr>
      </w:pPr>
      <w:r w:rsidRPr="00B3730D">
        <w:rPr>
          <w:sz w:val="28"/>
          <w:szCs w:val="28"/>
        </w:rPr>
        <w:t>OECD</w:t>
      </w:r>
      <w:r w:rsidR="001E1103" w:rsidRPr="00B3730D">
        <w:rPr>
          <w:sz w:val="28"/>
          <w:szCs w:val="28"/>
        </w:rPr>
        <w:t xml:space="preserve"> Ķimikāliju komitejas</w:t>
      </w:r>
      <w:r w:rsidRPr="00B3730D">
        <w:rPr>
          <w:sz w:val="28"/>
          <w:szCs w:val="28"/>
        </w:rPr>
        <w:t xml:space="preserve"> ietvaros kopumā darbojas 6 darba grupas, tās aptver vairāk nekā 20 OECD rekomendācijas, par kurām atbilstības nodrošināšana ir VARAM kompetence</w:t>
      </w:r>
      <w:r w:rsidR="00FE583A" w:rsidRPr="00B3730D">
        <w:rPr>
          <w:sz w:val="28"/>
          <w:szCs w:val="28"/>
        </w:rPr>
        <w:t>.</w:t>
      </w:r>
      <w:r w:rsidR="00FE583A" w:rsidRPr="00B3730D">
        <w:rPr>
          <w:szCs w:val="24"/>
          <w:lang w:eastAsia="lv-LV"/>
        </w:rPr>
        <w:t xml:space="preserve"> </w:t>
      </w:r>
      <w:r w:rsidR="00FE583A" w:rsidRPr="00B3730D">
        <w:rPr>
          <w:sz w:val="28"/>
          <w:szCs w:val="28"/>
          <w:lang w:eastAsia="lv-LV"/>
        </w:rPr>
        <w:t>Nodrošinot ikgadējās dalīb</w:t>
      </w:r>
      <w:r w:rsidR="00B147B0" w:rsidRPr="00B3730D">
        <w:rPr>
          <w:sz w:val="28"/>
          <w:szCs w:val="28"/>
          <w:lang w:eastAsia="lv-LV"/>
        </w:rPr>
        <w:t xml:space="preserve">as </w:t>
      </w:r>
      <w:r w:rsidR="00FE583A" w:rsidRPr="00B3730D">
        <w:rPr>
          <w:sz w:val="28"/>
          <w:szCs w:val="28"/>
          <w:lang w:eastAsia="lv-LV"/>
        </w:rPr>
        <w:t xml:space="preserve">maksas veikšanu OECD </w:t>
      </w:r>
      <w:r w:rsidR="00FE583A" w:rsidRPr="00B3730D">
        <w:rPr>
          <w:sz w:val="28"/>
          <w:szCs w:val="28"/>
        </w:rPr>
        <w:t xml:space="preserve">Ķimikāliju komitejā </w:t>
      </w:r>
      <w:r w:rsidR="00FE583A" w:rsidRPr="00B3730D">
        <w:rPr>
          <w:sz w:val="28"/>
          <w:szCs w:val="28"/>
          <w:lang w:eastAsia="lv-LV"/>
        </w:rPr>
        <w:t xml:space="preserve">par dalībnieka statusu </w:t>
      </w:r>
      <w:r w:rsidR="00FE583A" w:rsidRPr="00B3730D">
        <w:rPr>
          <w:bCs/>
          <w:sz w:val="28"/>
          <w:szCs w:val="28"/>
          <w:lang w:eastAsia="lv-LV"/>
        </w:rPr>
        <w:t>2015.gadā, Latvija</w:t>
      </w:r>
      <w:r w:rsidR="00FE583A" w:rsidRPr="00B3730D">
        <w:rPr>
          <w:sz w:val="28"/>
          <w:szCs w:val="28"/>
        </w:rPr>
        <w:t xml:space="preserve"> izpildīs </w:t>
      </w:r>
      <w:r w:rsidR="00FE583A" w:rsidRPr="00B3730D">
        <w:rPr>
          <w:bCs/>
          <w:sz w:val="28"/>
          <w:szCs w:val="28"/>
          <w:lang w:eastAsia="lv-LV"/>
        </w:rPr>
        <w:t xml:space="preserve">finansiālās saistības pret </w:t>
      </w:r>
      <w:r w:rsidR="00FE583A" w:rsidRPr="00B3730D">
        <w:rPr>
          <w:sz w:val="28"/>
          <w:szCs w:val="28"/>
          <w:lang w:eastAsia="lv-LV"/>
        </w:rPr>
        <w:t>OECD.</w:t>
      </w:r>
    </w:p>
    <w:p w:rsidR="00E352CA" w:rsidRPr="00B3730D" w:rsidRDefault="00FD6C09" w:rsidP="00E96D3F">
      <w:pPr>
        <w:ind w:firstLine="720"/>
        <w:jc w:val="both"/>
        <w:rPr>
          <w:sz w:val="28"/>
          <w:szCs w:val="28"/>
        </w:rPr>
      </w:pPr>
      <w:r w:rsidRPr="00B3730D">
        <w:rPr>
          <w:sz w:val="28"/>
          <w:szCs w:val="28"/>
        </w:rPr>
        <w:t>Svarīgi aktīvi piedalīties OECD darbā kompetentu ekspertu līmenī, nodrošinot maksimāli aktīvu un kvalitatīvu līdzdalību Ķimikāliju komitejas un tās darba grupās, apliecinot, ka Latvijas ārpolitikas prioritātes – iestāšanās un dalība OECD, tiek īstenotas atbilstoši sākotnējam uzstādījumam.</w:t>
      </w:r>
    </w:p>
    <w:p w:rsidR="00F21398" w:rsidRPr="00B3730D" w:rsidRDefault="00FD6C09" w:rsidP="00E96D3F">
      <w:pPr>
        <w:pStyle w:val="Heading1"/>
        <w:spacing w:before="0" w:beforeAutospacing="0" w:after="0" w:afterAutospacing="0"/>
        <w:ind w:firstLine="720"/>
        <w:jc w:val="both"/>
        <w:rPr>
          <w:rFonts w:ascii="Times New Roman" w:hAnsi="Times New Roman"/>
          <w:b w:val="0"/>
          <w:color w:val="auto"/>
          <w:sz w:val="28"/>
          <w:szCs w:val="28"/>
        </w:rPr>
      </w:pPr>
      <w:r w:rsidRPr="00B3730D">
        <w:rPr>
          <w:rFonts w:ascii="Times New Roman" w:hAnsi="Times New Roman"/>
          <w:b w:val="0"/>
          <w:color w:val="auto"/>
          <w:sz w:val="28"/>
          <w:szCs w:val="28"/>
        </w:rPr>
        <w:t>Iemaksu pārdale 21.20.00 apakšprogrammas</w:t>
      </w:r>
      <w:r w:rsidR="0003548F" w:rsidRPr="00B3730D">
        <w:rPr>
          <w:rFonts w:ascii="Times New Roman" w:hAnsi="Times New Roman"/>
          <w:b w:val="0"/>
          <w:color w:val="auto"/>
          <w:sz w:val="28"/>
          <w:szCs w:val="28"/>
        </w:rPr>
        <w:t xml:space="preserve"> </w:t>
      </w:r>
      <w:r w:rsidR="0042634A" w:rsidRPr="00B3730D">
        <w:rPr>
          <w:rFonts w:ascii="Times New Roman" w:hAnsi="Times New Roman"/>
          <w:b w:val="0"/>
          <w:sz w:val="28"/>
          <w:szCs w:val="28"/>
        </w:rPr>
        <w:t>„</w:t>
      </w:r>
      <w:r w:rsidR="0042634A" w:rsidRPr="00B3730D">
        <w:rPr>
          <w:rFonts w:ascii="Times New Roman" w:hAnsi="Times New Roman"/>
          <w:b w:val="0"/>
          <w:color w:val="auto"/>
          <w:sz w:val="28"/>
          <w:szCs w:val="28"/>
        </w:rPr>
        <w:t>Iemaksas starptautiskajās organizācijās”</w:t>
      </w:r>
      <w:r w:rsidRPr="00B3730D">
        <w:rPr>
          <w:rFonts w:ascii="Times New Roman" w:hAnsi="Times New Roman"/>
          <w:b w:val="0"/>
          <w:color w:val="auto"/>
          <w:sz w:val="28"/>
          <w:szCs w:val="28"/>
        </w:rPr>
        <w:t xml:space="preserve"> ietvaros neradīs negatīvas sekas, jo visām organizācijām tiks veikti plānotie maksājumi.</w:t>
      </w:r>
    </w:p>
    <w:p w:rsidR="00FC1505" w:rsidRDefault="00FC1505" w:rsidP="00E96D3F">
      <w:pPr>
        <w:pStyle w:val="Heading1"/>
        <w:spacing w:before="0" w:beforeAutospacing="0" w:after="0" w:afterAutospacing="0"/>
        <w:ind w:firstLine="720"/>
        <w:jc w:val="both"/>
        <w:rPr>
          <w:rFonts w:ascii="Times New Roman" w:hAnsi="Times New Roman"/>
          <w:b w:val="0"/>
          <w:color w:val="auto"/>
          <w:sz w:val="28"/>
          <w:szCs w:val="28"/>
        </w:rPr>
      </w:pPr>
    </w:p>
    <w:p w:rsidR="00555096" w:rsidRDefault="009F2577" w:rsidP="00E96D3F">
      <w:pPr>
        <w:pStyle w:val="Heading1"/>
        <w:spacing w:before="0" w:beforeAutospacing="0" w:after="0" w:afterAutospacing="0"/>
        <w:ind w:firstLine="720"/>
        <w:jc w:val="both"/>
        <w:rPr>
          <w:rFonts w:ascii="Times New Roman" w:hAnsi="Times New Roman"/>
          <w:b w:val="0"/>
          <w:color w:val="auto"/>
          <w:sz w:val="28"/>
          <w:szCs w:val="28"/>
        </w:rPr>
      </w:pPr>
      <w:r w:rsidRPr="00B3730D">
        <w:rPr>
          <w:rFonts w:ascii="Times New Roman" w:hAnsi="Times New Roman"/>
          <w:b w:val="0"/>
          <w:color w:val="auto"/>
          <w:sz w:val="28"/>
          <w:szCs w:val="28"/>
        </w:rPr>
        <w:t>Ar šo iesniedz</w:t>
      </w:r>
      <w:r w:rsidR="00BD0A09" w:rsidRPr="00B3730D">
        <w:rPr>
          <w:rFonts w:ascii="Times New Roman" w:hAnsi="Times New Roman"/>
          <w:b w:val="0"/>
          <w:color w:val="auto"/>
          <w:sz w:val="28"/>
          <w:szCs w:val="28"/>
        </w:rPr>
        <w:t>u</w:t>
      </w:r>
      <w:r w:rsidRPr="00B3730D">
        <w:rPr>
          <w:rFonts w:ascii="Times New Roman" w:hAnsi="Times New Roman"/>
          <w:b w:val="0"/>
          <w:color w:val="auto"/>
          <w:sz w:val="28"/>
          <w:szCs w:val="28"/>
        </w:rPr>
        <w:t xml:space="preserve"> p</w:t>
      </w:r>
      <w:r w:rsidR="00E07206" w:rsidRPr="00B3730D">
        <w:rPr>
          <w:rFonts w:ascii="Times New Roman" w:hAnsi="Times New Roman"/>
          <w:b w:val="0"/>
          <w:color w:val="auto"/>
          <w:sz w:val="28"/>
          <w:szCs w:val="28"/>
        </w:rPr>
        <w:t>recizēt</w:t>
      </w:r>
      <w:r w:rsidR="00D85EB3" w:rsidRPr="00B3730D">
        <w:rPr>
          <w:rFonts w:ascii="Times New Roman" w:hAnsi="Times New Roman"/>
          <w:b w:val="0"/>
          <w:color w:val="auto"/>
          <w:sz w:val="28"/>
          <w:szCs w:val="28"/>
        </w:rPr>
        <w:t>o</w:t>
      </w:r>
      <w:r w:rsidR="00E07206" w:rsidRPr="00B3730D">
        <w:rPr>
          <w:rFonts w:ascii="Times New Roman" w:hAnsi="Times New Roman"/>
          <w:b w:val="0"/>
          <w:color w:val="auto"/>
          <w:sz w:val="28"/>
          <w:szCs w:val="28"/>
        </w:rPr>
        <w:t xml:space="preserve"> VARAM </w:t>
      </w:r>
      <w:r w:rsidR="004D1466" w:rsidRPr="00B3730D">
        <w:rPr>
          <w:rFonts w:ascii="Times New Roman" w:hAnsi="Times New Roman"/>
          <w:b w:val="0"/>
          <w:color w:val="auto"/>
          <w:sz w:val="28"/>
          <w:szCs w:val="28"/>
        </w:rPr>
        <w:t xml:space="preserve">starptautisko </w:t>
      </w:r>
      <w:r w:rsidR="001519B4" w:rsidRPr="00B3730D">
        <w:rPr>
          <w:rFonts w:ascii="Times New Roman" w:hAnsi="Times New Roman"/>
          <w:b w:val="0"/>
          <w:color w:val="auto"/>
          <w:sz w:val="28"/>
          <w:szCs w:val="28"/>
        </w:rPr>
        <w:t>iemaks</w:t>
      </w:r>
      <w:r w:rsidR="004D1466" w:rsidRPr="00B3730D">
        <w:rPr>
          <w:rFonts w:ascii="Times New Roman" w:hAnsi="Times New Roman"/>
          <w:b w:val="0"/>
          <w:color w:val="auto"/>
          <w:sz w:val="28"/>
          <w:szCs w:val="28"/>
        </w:rPr>
        <w:t xml:space="preserve">u </w:t>
      </w:r>
      <w:r w:rsidR="00EC3C6A" w:rsidRPr="00B3730D">
        <w:rPr>
          <w:rFonts w:ascii="Times New Roman" w:hAnsi="Times New Roman"/>
          <w:b w:val="0"/>
          <w:color w:val="auto"/>
          <w:sz w:val="28"/>
          <w:szCs w:val="28"/>
        </w:rPr>
        <w:t>paredzēto summu</w:t>
      </w:r>
      <w:r w:rsidR="002408AF" w:rsidRPr="00B3730D">
        <w:rPr>
          <w:rFonts w:ascii="Times New Roman" w:hAnsi="Times New Roman"/>
          <w:b w:val="0"/>
          <w:color w:val="auto"/>
          <w:sz w:val="28"/>
          <w:szCs w:val="28"/>
        </w:rPr>
        <w:t xml:space="preserve"> </w:t>
      </w:r>
      <w:r w:rsidR="001519B4" w:rsidRPr="00B3730D">
        <w:rPr>
          <w:rFonts w:ascii="Times New Roman" w:hAnsi="Times New Roman"/>
          <w:b w:val="0"/>
          <w:color w:val="auto"/>
          <w:sz w:val="28"/>
          <w:szCs w:val="28"/>
        </w:rPr>
        <w:t>2015</w:t>
      </w:r>
      <w:r w:rsidR="002408AF" w:rsidRPr="00B3730D">
        <w:rPr>
          <w:rFonts w:ascii="Times New Roman" w:hAnsi="Times New Roman"/>
          <w:b w:val="0"/>
          <w:color w:val="auto"/>
          <w:sz w:val="28"/>
          <w:szCs w:val="28"/>
        </w:rPr>
        <w:t>.gadā</w:t>
      </w:r>
      <w:r w:rsidR="0001719B" w:rsidRPr="00B3730D">
        <w:rPr>
          <w:rFonts w:ascii="Times New Roman" w:hAnsi="Times New Roman"/>
          <w:b w:val="0"/>
          <w:color w:val="auto"/>
          <w:sz w:val="28"/>
          <w:szCs w:val="28"/>
        </w:rPr>
        <w:t xml:space="preserve"> </w:t>
      </w:r>
      <w:r w:rsidR="0003548F" w:rsidRPr="00B3730D">
        <w:rPr>
          <w:rFonts w:ascii="Times New Roman" w:hAnsi="Times New Roman"/>
          <w:b w:val="0"/>
          <w:color w:val="auto"/>
          <w:sz w:val="28"/>
          <w:szCs w:val="28"/>
        </w:rPr>
        <w:t>21.20.00 apakšprogrammai „Iemaksas starptautiskajās organizācijās”</w:t>
      </w:r>
      <w:r w:rsidR="002408AF" w:rsidRPr="00B3730D">
        <w:rPr>
          <w:rFonts w:ascii="Times New Roman" w:hAnsi="Times New Roman"/>
          <w:b w:val="0"/>
          <w:color w:val="auto"/>
          <w:sz w:val="28"/>
          <w:szCs w:val="28"/>
        </w:rPr>
        <w:t xml:space="preserve"> piešķirtā kopīgā finansējuma ietvaros</w:t>
      </w:r>
      <w:r w:rsidR="004765EC" w:rsidRPr="00B3730D">
        <w:rPr>
          <w:rFonts w:ascii="Times New Roman" w:hAnsi="Times New Roman"/>
          <w:b w:val="0"/>
          <w:color w:val="auto"/>
          <w:sz w:val="28"/>
          <w:szCs w:val="28"/>
        </w:rPr>
        <w:t xml:space="preserve"> </w:t>
      </w:r>
      <w:r w:rsidR="00E07206" w:rsidRPr="00B3730D">
        <w:rPr>
          <w:rFonts w:ascii="Times New Roman" w:hAnsi="Times New Roman"/>
          <w:b w:val="0"/>
          <w:color w:val="auto"/>
          <w:sz w:val="28"/>
          <w:szCs w:val="28"/>
        </w:rPr>
        <w:t>(</w:t>
      </w:r>
      <w:r w:rsidR="00E07206" w:rsidRPr="00B3730D">
        <w:rPr>
          <w:rFonts w:ascii="Times New Roman" w:hAnsi="Times New Roman"/>
          <w:b w:val="0"/>
          <w:i/>
          <w:color w:val="auto"/>
          <w:sz w:val="28"/>
          <w:szCs w:val="28"/>
        </w:rPr>
        <w:t>plānotās izmaiņas izceltas ar treknāku šriftu</w:t>
      </w:r>
      <w:r w:rsidR="00E07206" w:rsidRPr="00B3730D">
        <w:rPr>
          <w:rFonts w:ascii="Times New Roman" w:hAnsi="Times New Roman"/>
          <w:b w:val="0"/>
          <w:color w:val="auto"/>
          <w:sz w:val="28"/>
          <w:szCs w:val="28"/>
        </w:rPr>
        <w:t>)</w:t>
      </w:r>
      <w:r w:rsidR="000C644E" w:rsidRPr="00B3730D">
        <w:rPr>
          <w:rFonts w:ascii="Times New Roman" w:hAnsi="Times New Roman"/>
          <w:b w:val="0"/>
          <w:color w:val="auto"/>
          <w:sz w:val="28"/>
          <w:szCs w:val="28"/>
        </w:rPr>
        <w:t>:</w:t>
      </w:r>
    </w:p>
    <w:p w:rsidR="00FC1505" w:rsidRDefault="00FC1505" w:rsidP="00E96D3F">
      <w:pPr>
        <w:pStyle w:val="Heading1"/>
        <w:spacing w:before="0" w:beforeAutospacing="0" w:after="0" w:afterAutospacing="0"/>
        <w:ind w:firstLine="720"/>
        <w:jc w:val="both"/>
        <w:rPr>
          <w:rFonts w:ascii="Times New Roman" w:hAnsi="Times New Roman"/>
          <w:b w:val="0"/>
          <w:color w:val="auto"/>
          <w:sz w:val="28"/>
          <w:szCs w:val="28"/>
        </w:rPr>
      </w:pPr>
    </w:p>
    <w:p w:rsidR="00FC1505" w:rsidRPr="00B3730D" w:rsidRDefault="00FC1505" w:rsidP="00E96D3F">
      <w:pPr>
        <w:pStyle w:val="Heading1"/>
        <w:spacing w:before="0" w:beforeAutospacing="0" w:after="0" w:afterAutospacing="0"/>
        <w:ind w:firstLine="720"/>
        <w:jc w:val="both"/>
        <w:rPr>
          <w:rFonts w:ascii="Times New Roman" w:hAnsi="Times New Roman"/>
          <w:b w:val="0"/>
          <w:color w:val="auto"/>
          <w:sz w:val="28"/>
          <w:szCs w:val="28"/>
        </w:rPr>
      </w:pPr>
    </w:p>
    <w:tbl>
      <w:tblPr>
        <w:tblpPr w:leftFromText="180" w:rightFromText="180" w:vertAnchor="text" w:horzAnchor="margin" w:tblpXSpec="center" w:tblpY="186"/>
        <w:tblW w:w="10881" w:type="dxa"/>
        <w:tblLayout w:type="fixed"/>
        <w:tblLook w:val="0000"/>
      </w:tblPr>
      <w:tblGrid>
        <w:gridCol w:w="392"/>
        <w:gridCol w:w="1417"/>
        <w:gridCol w:w="1276"/>
        <w:gridCol w:w="1134"/>
        <w:gridCol w:w="1276"/>
        <w:gridCol w:w="992"/>
        <w:gridCol w:w="1276"/>
        <w:gridCol w:w="992"/>
        <w:gridCol w:w="1134"/>
        <w:gridCol w:w="992"/>
      </w:tblGrid>
      <w:tr w:rsidR="00147406" w:rsidRPr="0073511E" w:rsidTr="0005163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CCFFCC"/>
            <w:vAlign w:val="bottom"/>
          </w:tcPr>
          <w:p w:rsidR="00147406" w:rsidRPr="00147406" w:rsidRDefault="00147406" w:rsidP="00E96D3F">
            <w:pPr>
              <w:jc w:val="center"/>
              <w:rPr>
                <w:b/>
                <w:bCs/>
              </w:rPr>
            </w:pPr>
            <w:r w:rsidRPr="00147406">
              <w:rPr>
                <w:b/>
                <w:bCs/>
                <w:sz w:val="22"/>
                <w:szCs w:val="22"/>
              </w:rPr>
              <w:lastRenderedPageBreak/>
              <w:t> </w:t>
            </w:r>
          </w:p>
        </w:tc>
        <w:tc>
          <w:tcPr>
            <w:tcW w:w="1417" w:type="dxa"/>
            <w:tcBorders>
              <w:top w:val="single" w:sz="4" w:space="0" w:color="auto"/>
              <w:left w:val="nil"/>
              <w:bottom w:val="single" w:sz="4" w:space="0" w:color="auto"/>
              <w:right w:val="single" w:sz="4" w:space="0" w:color="auto"/>
            </w:tcBorders>
            <w:shd w:val="clear" w:color="auto" w:fill="CCFFCC"/>
            <w:vAlign w:val="bottom"/>
          </w:tcPr>
          <w:p w:rsidR="00147406" w:rsidRPr="00147406" w:rsidRDefault="00147406" w:rsidP="00E96D3F">
            <w:pPr>
              <w:jc w:val="center"/>
              <w:rPr>
                <w:bCs/>
                <w:sz w:val="20"/>
                <w:szCs w:val="20"/>
              </w:rPr>
            </w:pPr>
            <w:r w:rsidRPr="00147406">
              <w:rPr>
                <w:bCs/>
                <w:sz w:val="20"/>
                <w:szCs w:val="20"/>
              </w:rPr>
              <w:t>VARAM iemaksa starptautiskajās organizācijās 2015.gadā</w:t>
            </w:r>
          </w:p>
        </w:tc>
        <w:tc>
          <w:tcPr>
            <w:tcW w:w="1276" w:type="dxa"/>
            <w:tcBorders>
              <w:top w:val="single" w:sz="4" w:space="0" w:color="auto"/>
              <w:left w:val="nil"/>
              <w:bottom w:val="single" w:sz="4" w:space="0" w:color="auto"/>
              <w:right w:val="single" w:sz="4" w:space="0" w:color="auto"/>
            </w:tcBorders>
            <w:shd w:val="clear" w:color="auto" w:fill="CCFFCC"/>
          </w:tcPr>
          <w:p w:rsidR="00147406" w:rsidRPr="00147406" w:rsidRDefault="00147406" w:rsidP="00E96D3F">
            <w:pPr>
              <w:jc w:val="center"/>
              <w:rPr>
                <w:bCs/>
                <w:sz w:val="20"/>
                <w:szCs w:val="20"/>
              </w:rPr>
            </w:pPr>
          </w:p>
          <w:p w:rsidR="00147406" w:rsidRPr="00147406" w:rsidRDefault="00147406" w:rsidP="00E96D3F">
            <w:pPr>
              <w:jc w:val="center"/>
              <w:rPr>
                <w:bCs/>
                <w:sz w:val="20"/>
                <w:szCs w:val="20"/>
              </w:rPr>
            </w:pPr>
            <w:r w:rsidRPr="00147406">
              <w:rPr>
                <w:bCs/>
                <w:sz w:val="20"/>
                <w:szCs w:val="20"/>
              </w:rPr>
              <w:t>EUR apstiprināts 2015.g. budžetā</w:t>
            </w:r>
          </w:p>
        </w:tc>
        <w:tc>
          <w:tcPr>
            <w:tcW w:w="1134" w:type="dxa"/>
            <w:tcBorders>
              <w:top w:val="single" w:sz="4" w:space="0" w:color="auto"/>
              <w:left w:val="nil"/>
              <w:bottom w:val="single" w:sz="4" w:space="0" w:color="auto"/>
              <w:right w:val="single" w:sz="4" w:space="0" w:color="auto"/>
            </w:tcBorders>
            <w:shd w:val="clear" w:color="auto" w:fill="CCFFCC"/>
          </w:tcPr>
          <w:p w:rsidR="00147406" w:rsidRPr="00147406" w:rsidRDefault="00147406" w:rsidP="00E96D3F">
            <w:pPr>
              <w:ind w:left="34"/>
              <w:jc w:val="center"/>
              <w:rPr>
                <w:bCs/>
                <w:sz w:val="20"/>
                <w:szCs w:val="20"/>
              </w:rPr>
            </w:pPr>
          </w:p>
          <w:p w:rsidR="00147406" w:rsidRPr="00147406" w:rsidRDefault="00147406" w:rsidP="00E96D3F">
            <w:pPr>
              <w:ind w:left="34"/>
              <w:jc w:val="center"/>
              <w:rPr>
                <w:bCs/>
                <w:sz w:val="20"/>
                <w:szCs w:val="20"/>
              </w:rPr>
            </w:pPr>
            <w:r w:rsidRPr="00147406">
              <w:rPr>
                <w:bCs/>
                <w:sz w:val="20"/>
                <w:szCs w:val="20"/>
              </w:rPr>
              <w:t>EUR</w:t>
            </w:r>
          </w:p>
          <w:p w:rsidR="00147406" w:rsidRPr="00147406" w:rsidRDefault="00147406" w:rsidP="00E96D3F">
            <w:pPr>
              <w:ind w:left="34"/>
              <w:jc w:val="center"/>
              <w:rPr>
                <w:bCs/>
                <w:sz w:val="20"/>
                <w:szCs w:val="20"/>
              </w:rPr>
            </w:pPr>
            <w:r w:rsidRPr="00147406">
              <w:rPr>
                <w:bCs/>
                <w:sz w:val="20"/>
                <w:szCs w:val="20"/>
              </w:rPr>
              <w:t>precizēts</w:t>
            </w:r>
          </w:p>
          <w:p w:rsidR="00147406" w:rsidRPr="00147406" w:rsidRDefault="00147406" w:rsidP="00E96D3F">
            <w:pPr>
              <w:ind w:left="34"/>
              <w:jc w:val="center"/>
              <w:rPr>
                <w:bCs/>
                <w:sz w:val="20"/>
                <w:szCs w:val="20"/>
              </w:rPr>
            </w:pPr>
            <w:r w:rsidRPr="00147406">
              <w:rPr>
                <w:b/>
                <w:bCs/>
                <w:sz w:val="20"/>
                <w:szCs w:val="20"/>
              </w:rPr>
              <w:t>2015.g</w:t>
            </w:r>
            <w:r w:rsidRPr="00147406">
              <w:rPr>
                <w:bCs/>
                <w:sz w:val="20"/>
                <w:szCs w:val="20"/>
              </w:rPr>
              <w:t>.</w:t>
            </w:r>
          </w:p>
        </w:tc>
        <w:tc>
          <w:tcPr>
            <w:tcW w:w="1276" w:type="dxa"/>
            <w:tcBorders>
              <w:top w:val="single" w:sz="4" w:space="0" w:color="auto"/>
              <w:left w:val="nil"/>
              <w:bottom w:val="single" w:sz="4" w:space="0" w:color="auto"/>
              <w:right w:val="single" w:sz="4" w:space="0" w:color="auto"/>
            </w:tcBorders>
            <w:shd w:val="clear" w:color="auto" w:fill="CCFFCC"/>
          </w:tcPr>
          <w:p w:rsidR="00147406" w:rsidRPr="00147406" w:rsidRDefault="00147406" w:rsidP="00E96D3F">
            <w:pPr>
              <w:jc w:val="center"/>
              <w:rPr>
                <w:bCs/>
                <w:sz w:val="20"/>
                <w:szCs w:val="20"/>
              </w:rPr>
            </w:pPr>
          </w:p>
          <w:p w:rsidR="00147406" w:rsidRPr="00147406" w:rsidRDefault="00147406" w:rsidP="00E96D3F">
            <w:pPr>
              <w:jc w:val="center"/>
              <w:rPr>
                <w:bCs/>
                <w:sz w:val="20"/>
                <w:szCs w:val="20"/>
              </w:rPr>
            </w:pPr>
            <w:r w:rsidRPr="00147406">
              <w:rPr>
                <w:bCs/>
                <w:sz w:val="20"/>
                <w:szCs w:val="20"/>
              </w:rPr>
              <w:t>EUR apstiprināts 2016.g. budžetā</w:t>
            </w:r>
          </w:p>
        </w:tc>
        <w:tc>
          <w:tcPr>
            <w:tcW w:w="992" w:type="dxa"/>
            <w:tcBorders>
              <w:top w:val="single" w:sz="4" w:space="0" w:color="auto"/>
              <w:left w:val="nil"/>
              <w:bottom w:val="single" w:sz="4" w:space="0" w:color="auto"/>
              <w:right w:val="single" w:sz="4" w:space="0" w:color="auto"/>
            </w:tcBorders>
            <w:shd w:val="clear" w:color="auto" w:fill="CCFFCC"/>
          </w:tcPr>
          <w:p w:rsidR="00147406" w:rsidRPr="00147406" w:rsidRDefault="00147406" w:rsidP="00E96D3F">
            <w:pPr>
              <w:jc w:val="center"/>
              <w:rPr>
                <w:bCs/>
                <w:sz w:val="20"/>
                <w:szCs w:val="20"/>
              </w:rPr>
            </w:pPr>
          </w:p>
          <w:p w:rsidR="00147406" w:rsidRPr="00147406" w:rsidRDefault="00147406" w:rsidP="00E96D3F">
            <w:pPr>
              <w:jc w:val="center"/>
              <w:rPr>
                <w:bCs/>
                <w:sz w:val="20"/>
                <w:szCs w:val="20"/>
              </w:rPr>
            </w:pPr>
            <w:r w:rsidRPr="00147406">
              <w:rPr>
                <w:bCs/>
                <w:sz w:val="20"/>
                <w:szCs w:val="20"/>
              </w:rPr>
              <w:t>EUR</w:t>
            </w:r>
          </w:p>
          <w:p w:rsidR="00147406" w:rsidRPr="00147406" w:rsidRDefault="00147406" w:rsidP="00E96D3F">
            <w:pPr>
              <w:jc w:val="center"/>
              <w:rPr>
                <w:bCs/>
                <w:sz w:val="20"/>
                <w:szCs w:val="20"/>
              </w:rPr>
            </w:pPr>
            <w:r w:rsidRPr="00147406">
              <w:rPr>
                <w:bCs/>
                <w:sz w:val="20"/>
                <w:szCs w:val="20"/>
              </w:rPr>
              <w:t>precizēts</w:t>
            </w:r>
          </w:p>
          <w:p w:rsidR="00147406" w:rsidRPr="00147406" w:rsidRDefault="00147406" w:rsidP="00E96D3F">
            <w:pPr>
              <w:jc w:val="center"/>
              <w:rPr>
                <w:b/>
                <w:bCs/>
                <w:sz w:val="20"/>
                <w:szCs w:val="20"/>
              </w:rPr>
            </w:pPr>
            <w:r w:rsidRPr="00147406">
              <w:rPr>
                <w:b/>
                <w:bCs/>
                <w:sz w:val="20"/>
                <w:szCs w:val="20"/>
              </w:rPr>
              <w:t>2016.g.</w:t>
            </w:r>
          </w:p>
        </w:tc>
        <w:tc>
          <w:tcPr>
            <w:tcW w:w="1276" w:type="dxa"/>
            <w:tcBorders>
              <w:top w:val="single" w:sz="4" w:space="0" w:color="auto"/>
              <w:left w:val="nil"/>
              <w:bottom w:val="single" w:sz="4" w:space="0" w:color="auto"/>
              <w:right w:val="single" w:sz="4" w:space="0" w:color="auto"/>
            </w:tcBorders>
            <w:shd w:val="clear" w:color="auto" w:fill="CCFFCC"/>
          </w:tcPr>
          <w:p w:rsidR="00147406" w:rsidRPr="00147406" w:rsidRDefault="00147406" w:rsidP="00E96D3F">
            <w:pPr>
              <w:jc w:val="center"/>
              <w:rPr>
                <w:bCs/>
                <w:sz w:val="20"/>
                <w:szCs w:val="20"/>
              </w:rPr>
            </w:pPr>
          </w:p>
          <w:p w:rsidR="00147406" w:rsidRPr="00147406" w:rsidRDefault="00147406" w:rsidP="00E96D3F">
            <w:pPr>
              <w:jc w:val="center"/>
              <w:rPr>
                <w:bCs/>
                <w:sz w:val="20"/>
                <w:szCs w:val="20"/>
              </w:rPr>
            </w:pPr>
            <w:r w:rsidRPr="00147406">
              <w:rPr>
                <w:bCs/>
                <w:sz w:val="20"/>
                <w:szCs w:val="20"/>
              </w:rPr>
              <w:t>EUR apstiprināts 2017.g. budžetā</w:t>
            </w:r>
          </w:p>
        </w:tc>
        <w:tc>
          <w:tcPr>
            <w:tcW w:w="992" w:type="dxa"/>
            <w:tcBorders>
              <w:top w:val="single" w:sz="4" w:space="0" w:color="auto"/>
              <w:left w:val="nil"/>
              <w:bottom w:val="single" w:sz="4" w:space="0" w:color="auto"/>
              <w:right w:val="single" w:sz="4" w:space="0" w:color="auto"/>
            </w:tcBorders>
            <w:shd w:val="clear" w:color="auto" w:fill="CCFFCC"/>
          </w:tcPr>
          <w:p w:rsidR="00147406" w:rsidRPr="00147406" w:rsidRDefault="00147406" w:rsidP="00E96D3F">
            <w:pPr>
              <w:jc w:val="center"/>
              <w:rPr>
                <w:bCs/>
                <w:sz w:val="20"/>
                <w:szCs w:val="20"/>
              </w:rPr>
            </w:pPr>
          </w:p>
          <w:p w:rsidR="00147406" w:rsidRPr="00147406" w:rsidRDefault="00147406" w:rsidP="00E96D3F">
            <w:pPr>
              <w:jc w:val="center"/>
              <w:rPr>
                <w:bCs/>
                <w:sz w:val="20"/>
                <w:szCs w:val="20"/>
              </w:rPr>
            </w:pPr>
            <w:r w:rsidRPr="00147406">
              <w:rPr>
                <w:bCs/>
                <w:sz w:val="20"/>
                <w:szCs w:val="20"/>
              </w:rPr>
              <w:t>EUR</w:t>
            </w:r>
          </w:p>
          <w:p w:rsidR="00147406" w:rsidRDefault="00147406" w:rsidP="00E96D3F">
            <w:pPr>
              <w:jc w:val="center"/>
              <w:rPr>
                <w:bCs/>
                <w:sz w:val="20"/>
                <w:szCs w:val="20"/>
              </w:rPr>
            </w:pPr>
            <w:r w:rsidRPr="00147406">
              <w:rPr>
                <w:bCs/>
                <w:sz w:val="20"/>
                <w:szCs w:val="20"/>
              </w:rPr>
              <w:t>Precizēts</w:t>
            </w:r>
          </w:p>
          <w:p w:rsidR="00147406" w:rsidRPr="00147406" w:rsidRDefault="00147406" w:rsidP="00E96D3F">
            <w:pPr>
              <w:jc w:val="center"/>
              <w:rPr>
                <w:bCs/>
                <w:sz w:val="20"/>
                <w:szCs w:val="20"/>
              </w:rPr>
            </w:pPr>
            <w:r w:rsidRPr="00147406">
              <w:rPr>
                <w:b/>
                <w:bCs/>
                <w:sz w:val="20"/>
                <w:szCs w:val="20"/>
              </w:rPr>
              <w:t>2017.g</w:t>
            </w:r>
            <w:r w:rsidRPr="00147406">
              <w:rPr>
                <w:bCs/>
                <w:sz w:val="20"/>
                <w:szCs w:val="20"/>
              </w:rPr>
              <w:t>.</w:t>
            </w:r>
          </w:p>
        </w:tc>
        <w:tc>
          <w:tcPr>
            <w:tcW w:w="1134" w:type="dxa"/>
            <w:tcBorders>
              <w:top w:val="single" w:sz="4" w:space="0" w:color="auto"/>
              <w:left w:val="nil"/>
              <w:bottom w:val="single" w:sz="4" w:space="0" w:color="auto"/>
              <w:right w:val="single" w:sz="4" w:space="0" w:color="auto"/>
            </w:tcBorders>
            <w:shd w:val="clear" w:color="auto" w:fill="CCFFCC"/>
          </w:tcPr>
          <w:p w:rsidR="0005163A" w:rsidRDefault="0005163A" w:rsidP="00E96D3F">
            <w:pPr>
              <w:jc w:val="center"/>
              <w:rPr>
                <w:bCs/>
                <w:sz w:val="20"/>
                <w:szCs w:val="20"/>
              </w:rPr>
            </w:pPr>
          </w:p>
          <w:p w:rsidR="00147406" w:rsidRPr="00147406" w:rsidRDefault="0005163A" w:rsidP="00E96D3F">
            <w:pPr>
              <w:jc w:val="center"/>
              <w:rPr>
                <w:bCs/>
                <w:sz w:val="20"/>
                <w:szCs w:val="20"/>
              </w:rPr>
            </w:pPr>
            <w:r>
              <w:rPr>
                <w:bCs/>
                <w:sz w:val="20"/>
                <w:szCs w:val="20"/>
              </w:rPr>
              <w:t>EUR apstiprināts 2018</w:t>
            </w:r>
            <w:r w:rsidRPr="00147406">
              <w:rPr>
                <w:bCs/>
                <w:sz w:val="20"/>
                <w:szCs w:val="20"/>
              </w:rPr>
              <w:t>.g. budžetā</w:t>
            </w:r>
          </w:p>
        </w:tc>
        <w:tc>
          <w:tcPr>
            <w:tcW w:w="992" w:type="dxa"/>
            <w:tcBorders>
              <w:top w:val="single" w:sz="4" w:space="0" w:color="auto"/>
              <w:left w:val="nil"/>
              <w:bottom w:val="single" w:sz="4" w:space="0" w:color="auto"/>
              <w:right w:val="single" w:sz="4" w:space="0" w:color="auto"/>
            </w:tcBorders>
            <w:shd w:val="clear" w:color="auto" w:fill="CCFFCC"/>
          </w:tcPr>
          <w:p w:rsidR="0005163A" w:rsidRDefault="0005163A" w:rsidP="00E96D3F">
            <w:pPr>
              <w:jc w:val="center"/>
              <w:rPr>
                <w:bCs/>
                <w:sz w:val="20"/>
                <w:szCs w:val="20"/>
              </w:rPr>
            </w:pPr>
          </w:p>
          <w:p w:rsidR="0005163A" w:rsidRPr="00147406" w:rsidRDefault="0005163A" w:rsidP="00E96D3F">
            <w:pPr>
              <w:jc w:val="center"/>
              <w:rPr>
                <w:bCs/>
                <w:sz w:val="20"/>
                <w:szCs w:val="20"/>
              </w:rPr>
            </w:pPr>
            <w:r w:rsidRPr="00147406">
              <w:rPr>
                <w:bCs/>
                <w:sz w:val="20"/>
                <w:szCs w:val="20"/>
              </w:rPr>
              <w:t>EUR</w:t>
            </w:r>
          </w:p>
          <w:p w:rsidR="0005163A" w:rsidRDefault="0005163A" w:rsidP="00E96D3F">
            <w:pPr>
              <w:jc w:val="center"/>
              <w:rPr>
                <w:bCs/>
                <w:sz w:val="20"/>
                <w:szCs w:val="20"/>
              </w:rPr>
            </w:pPr>
            <w:r w:rsidRPr="00147406">
              <w:rPr>
                <w:bCs/>
                <w:sz w:val="20"/>
                <w:szCs w:val="20"/>
              </w:rPr>
              <w:t>Precizēts</w:t>
            </w:r>
          </w:p>
          <w:p w:rsidR="00147406" w:rsidRPr="00147406" w:rsidRDefault="0005163A" w:rsidP="00E96D3F">
            <w:pPr>
              <w:jc w:val="center"/>
              <w:rPr>
                <w:bCs/>
                <w:sz w:val="20"/>
                <w:szCs w:val="20"/>
              </w:rPr>
            </w:pPr>
            <w:r>
              <w:rPr>
                <w:b/>
                <w:bCs/>
                <w:sz w:val="20"/>
                <w:szCs w:val="20"/>
              </w:rPr>
              <w:t>2018</w:t>
            </w:r>
            <w:r w:rsidRPr="00147406">
              <w:rPr>
                <w:b/>
                <w:bCs/>
                <w:sz w:val="20"/>
                <w:szCs w:val="20"/>
              </w:rPr>
              <w:t>.g</w:t>
            </w:r>
          </w:p>
        </w:tc>
      </w:tr>
      <w:tr w:rsidR="0005163A" w:rsidRPr="0073511E" w:rsidTr="0005163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05163A" w:rsidRPr="00147406" w:rsidRDefault="0005163A" w:rsidP="00E96D3F">
            <w:pPr>
              <w:rPr>
                <w:b/>
              </w:rPr>
            </w:pPr>
            <w:r w:rsidRPr="00147406">
              <w:rPr>
                <w:sz w:val="22"/>
                <w:szCs w:val="22"/>
              </w:rPr>
              <w:t>1</w:t>
            </w:r>
          </w:p>
        </w:tc>
        <w:tc>
          <w:tcPr>
            <w:tcW w:w="1417"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sz w:val="20"/>
                <w:szCs w:val="20"/>
              </w:rPr>
            </w:pPr>
            <w:r w:rsidRPr="00147406">
              <w:rPr>
                <w:sz w:val="20"/>
                <w:szCs w:val="20"/>
              </w:rPr>
              <w:t>Eiropas meteoroloģisko satelītu izmantošanas organizācija</w:t>
            </w:r>
          </w:p>
          <w:p w:rsidR="0005163A" w:rsidRPr="00147406" w:rsidRDefault="0005163A" w:rsidP="00E96D3F">
            <w:pPr>
              <w:jc w:val="center"/>
              <w:rPr>
                <w:sz w:val="20"/>
                <w:szCs w:val="20"/>
              </w:rPr>
            </w:pPr>
            <w:r w:rsidRPr="00147406">
              <w:rPr>
                <w:sz w:val="20"/>
                <w:szCs w:val="20"/>
              </w:rPr>
              <w:t>(EUMETSAT)</w:t>
            </w:r>
          </w:p>
          <w:p w:rsidR="0005163A" w:rsidRPr="00147406" w:rsidRDefault="0005163A" w:rsidP="00E96D3F">
            <w:pPr>
              <w:jc w:val="both"/>
              <w:rPr>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sz w:val="20"/>
                <w:szCs w:val="20"/>
              </w:rPr>
            </w:pPr>
          </w:p>
          <w:p w:rsidR="0005163A" w:rsidRPr="00147406" w:rsidRDefault="0005163A" w:rsidP="00E96D3F">
            <w:pPr>
              <w:jc w:val="center"/>
              <w:rPr>
                <w:sz w:val="20"/>
                <w:szCs w:val="20"/>
              </w:rPr>
            </w:pPr>
          </w:p>
          <w:p w:rsidR="0005163A" w:rsidRPr="00147406" w:rsidRDefault="0005163A" w:rsidP="00E96D3F">
            <w:pPr>
              <w:jc w:val="center"/>
              <w:rPr>
                <w:sz w:val="20"/>
                <w:szCs w:val="20"/>
              </w:rPr>
            </w:pPr>
            <w:r w:rsidRPr="00147406">
              <w:rPr>
                <w:sz w:val="20"/>
                <w:szCs w:val="20"/>
              </w:rPr>
              <w:t>512946</w:t>
            </w:r>
          </w:p>
          <w:p w:rsidR="0005163A" w:rsidRPr="00147406" w:rsidRDefault="0005163A" w:rsidP="00E96D3F">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502898</w:t>
            </w:r>
          </w:p>
        </w:tc>
        <w:tc>
          <w:tcPr>
            <w:tcW w:w="1276"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sz w:val="20"/>
                <w:szCs w:val="20"/>
              </w:rPr>
            </w:pPr>
          </w:p>
          <w:p w:rsidR="0005163A" w:rsidRPr="00147406" w:rsidRDefault="0005163A" w:rsidP="00E96D3F">
            <w:pPr>
              <w:jc w:val="center"/>
              <w:rPr>
                <w:sz w:val="20"/>
                <w:szCs w:val="20"/>
              </w:rPr>
            </w:pPr>
            <w:r w:rsidRPr="00147406">
              <w:rPr>
                <w:sz w:val="20"/>
                <w:szCs w:val="20"/>
              </w:rPr>
              <w:t>512946</w:t>
            </w:r>
          </w:p>
        </w:tc>
        <w:tc>
          <w:tcPr>
            <w:tcW w:w="992"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502898</w:t>
            </w:r>
          </w:p>
        </w:tc>
        <w:tc>
          <w:tcPr>
            <w:tcW w:w="1276"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sz w:val="20"/>
                <w:szCs w:val="20"/>
              </w:rPr>
              <w:t>512946</w:t>
            </w:r>
          </w:p>
        </w:tc>
        <w:tc>
          <w:tcPr>
            <w:tcW w:w="992"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502898</w:t>
            </w:r>
          </w:p>
        </w:tc>
        <w:tc>
          <w:tcPr>
            <w:tcW w:w="1134" w:type="dxa"/>
            <w:tcBorders>
              <w:top w:val="single" w:sz="4" w:space="0" w:color="auto"/>
              <w:left w:val="nil"/>
              <w:bottom w:val="single" w:sz="4" w:space="0" w:color="auto"/>
              <w:right w:val="single" w:sz="4" w:space="0" w:color="auto"/>
            </w:tcBorders>
          </w:tcPr>
          <w:p w:rsidR="0005163A" w:rsidRDefault="0005163A" w:rsidP="00E96D3F">
            <w:pPr>
              <w:jc w:val="center"/>
              <w:rPr>
                <w:b/>
                <w:sz w:val="20"/>
                <w:szCs w:val="20"/>
              </w:rPr>
            </w:pPr>
          </w:p>
          <w:p w:rsidR="0005163A" w:rsidRDefault="0005163A" w:rsidP="00E96D3F">
            <w:pPr>
              <w:jc w:val="center"/>
              <w:rPr>
                <w:b/>
                <w:sz w:val="20"/>
                <w:szCs w:val="20"/>
              </w:rPr>
            </w:pPr>
          </w:p>
          <w:p w:rsidR="0005163A" w:rsidRPr="00147406" w:rsidRDefault="0005163A" w:rsidP="00E96D3F">
            <w:pPr>
              <w:jc w:val="center"/>
              <w:rPr>
                <w:b/>
                <w:sz w:val="20"/>
                <w:szCs w:val="20"/>
              </w:rPr>
            </w:pPr>
            <w:r w:rsidRPr="00147406">
              <w:rPr>
                <w:sz w:val="20"/>
                <w:szCs w:val="20"/>
              </w:rPr>
              <w:t>512946</w:t>
            </w:r>
          </w:p>
        </w:tc>
        <w:tc>
          <w:tcPr>
            <w:tcW w:w="992" w:type="dxa"/>
            <w:tcBorders>
              <w:top w:val="single" w:sz="4" w:space="0" w:color="auto"/>
              <w:left w:val="nil"/>
              <w:bottom w:val="single" w:sz="4" w:space="0" w:color="auto"/>
              <w:right w:val="single" w:sz="4" w:space="0" w:color="auto"/>
            </w:tcBorders>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502898</w:t>
            </w:r>
          </w:p>
        </w:tc>
      </w:tr>
      <w:tr w:rsidR="0005163A" w:rsidRPr="0073511E" w:rsidTr="0005163A">
        <w:trPr>
          <w:trHeight w:val="20"/>
        </w:trPr>
        <w:tc>
          <w:tcPr>
            <w:tcW w:w="392" w:type="dxa"/>
            <w:tcBorders>
              <w:top w:val="single" w:sz="4" w:space="0" w:color="auto"/>
              <w:left w:val="single" w:sz="4" w:space="0" w:color="auto"/>
              <w:bottom w:val="single" w:sz="4" w:space="0" w:color="auto"/>
              <w:right w:val="single" w:sz="4" w:space="0" w:color="auto"/>
            </w:tcBorders>
            <w:shd w:val="clear" w:color="auto" w:fill="auto"/>
          </w:tcPr>
          <w:p w:rsidR="0005163A" w:rsidRPr="00147406" w:rsidRDefault="0005163A" w:rsidP="00E96D3F">
            <w:r w:rsidRPr="00147406">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sz w:val="20"/>
                <w:szCs w:val="20"/>
              </w:rPr>
            </w:pPr>
            <w:r w:rsidRPr="00147406">
              <w:rPr>
                <w:sz w:val="20"/>
                <w:szCs w:val="20"/>
              </w:rPr>
              <w:t>Starptautiskā mājokļu un plānošanas organizācija (IHFP)</w:t>
            </w:r>
          </w:p>
        </w:tc>
        <w:tc>
          <w:tcPr>
            <w:tcW w:w="1276"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sz w:val="20"/>
                <w:szCs w:val="20"/>
              </w:rPr>
            </w:pPr>
          </w:p>
          <w:p w:rsidR="0005163A" w:rsidRPr="00147406" w:rsidRDefault="0005163A" w:rsidP="00E96D3F">
            <w:pPr>
              <w:jc w:val="center"/>
              <w:rPr>
                <w:sz w:val="20"/>
                <w:szCs w:val="20"/>
              </w:rPr>
            </w:pPr>
          </w:p>
          <w:p w:rsidR="0005163A" w:rsidRPr="00147406" w:rsidRDefault="0005163A" w:rsidP="00E96D3F">
            <w:pPr>
              <w:jc w:val="center"/>
              <w:rPr>
                <w:sz w:val="20"/>
                <w:szCs w:val="20"/>
              </w:rPr>
            </w:pPr>
            <w:r w:rsidRPr="00147406">
              <w:rPr>
                <w:sz w:val="20"/>
                <w:szCs w:val="20"/>
              </w:rPr>
              <w:t>2429</w:t>
            </w:r>
          </w:p>
        </w:tc>
        <w:tc>
          <w:tcPr>
            <w:tcW w:w="1134"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1677</w:t>
            </w:r>
          </w:p>
          <w:p w:rsidR="0005163A" w:rsidRPr="00147406" w:rsidRDefault="0005163A" w:rsidP="00E96D3F">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sz w:val="20"/>
                <w:szCs w:val="20"/>
              </w:rPr>
            </w:pPr>
          </w:p>
          <w:p w:rsidR="0005163A" w:rsidRPr="00147406" w:rsidRDefault="0005163A" w:rsidP="00E96D3F">
            <w:pPr>
              <w:jc w:val="center"/>
              <w:rPr>
                <w:sz w:val="20"/>
                <w:szCs w:val="20"/>
              </w:rPr>
            </w:pPr>
          </w:p>
          <w:p w:rsidR="0005163A" w:rsidRPr="00147406" w:rsidRDefault="0005163A" w:rsidP="00E96D3F">
            <w:pPr>
              <w:jc w:val="center"/>
              <w:rPr>
                <w:sz w:val="20"/>
                <w:szCs w:val="20"/>
              </w:rPr>
            </w:pPr>
            <w:r w:rsidRPr="00147406">
              <w:rPr>
                <w:sz w:val="20"/>
                <w:szCs w:val="20"/>
              </w:rPr>
              <w:t>2429</w:t>
            </w:r>
          </w:p>
        </w:tc>
        <w:tc>
          <w:tcPr>
            <w:tcW w:w="992"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rPr>
            </w:pPr>
          </w:p>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1677</w:t>
            </w:r>
          </w:p>
          <w:p w:rsidR="0005163A" w:rsidRPr="00147406" w:rsidRDefault="0005163A" w:rsidP="00E96D3F">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sz w:val="20"/>
                <w:szCs w:val="20"/>
              </w:rPr>
            </w:pPr>
          </w:p>
          <w:p w:rsidR="0005163A" w:rsidRPr="00147406" w:rsidRDefault="0005163A" w:rsidP="00E96D3F">
            <w:pPr>
              <w:jc w:val="center"/>
              <w:rPr>
                <w:sz w:val="20"/>
                <w:szCs w:val="20"/>
              </w:rPr>
            </w:pPr>
          </w:p>
          <w:p w:rsidR="0005163A" w:rsidRPr="00147406" w:rsidRDefault="0005163A" w:rsidP="00E96D3F">
            <w:pPr>
              <w:jc w:val="center"/>
              <w:rPr>
                <w:b/>
                <w:sz w:val="20"/>
                <w:szCs w:val="20"/>
              </w:rPr>
            </w:pPr>
            <w:r w:rsidRPr="00147406">
              <w:rPr>
                <w:sz w:val="20"/>
                <w:szCs w:val="20"/>
              </w:rPr>
              <w:t>2429</w:t>
            </w:r>
          </w:p>
        </w:tc>
        <w:tc>
          <w:tcPr>
            <w:tcW w:w="992" w:type="dxa"/>
            <w:tcBorders>
              <w:top w:val="single" w:sz="4" w:space="0" w:color="auto"/>
              <w:left w:val="nil"/>
              <w:bottom w:val="single" w:sz="4" w:space="0" w:color="auto"/>
              <w:right w:val="single" w:sz="4" w:space="0" w:color="auto"/>
            </w:tcBorders>
            <w:shd w:val="clear" w:color="auto" w:fill="auto"/>
          </w:tcPr>
          <w:p w:rsidR="0005163A" w:rsidRPr="00147406" w:rsidRDefault="0005163A" w:rsidP="00E96D3F">
            <w:pPr>
              <w:jc w:val="center"/>
              <w:rPr>
                <w:b/>
                <w:sz w:val="20"/>
                <w:szCs w:val="20"/>
                <w:highlight w:val="yellow"/>
              </w:rPr>
            </w:pPr>
          </w:p>
          <w:p w:rsidR="0005163A" w:rsidRPr="00147406" w:rsidRDefault="0005163A" w:rsidP="00E96D3F">
            <w:pPr>
              <w:jc w:val="center"/>
              <w:rPr>
                <w:b/>
                <w:sz w:val="20"/>
                <w:szCs w:val="20"/>
                <w:highlight w:val="yellow"/>
              </w:rPr>
            </w:pPr>
          </w:p>
          <w:p w:rsidR="0005163A" w:rsidRPr="00147406" w:rsidRDefault="0005163A" w:rsidP="00E96D3F">
            <w:pPr>
              <w:jc w:val="center"/>
              <w:rPr>
                <w:b/>
                <w:sz w:val="20"/>
                <w:szCs w:val="20"/>
              </w:rPr>
            </w:pPr>
            <w:r w:rsidRPr="00147406">
              <w:rPr>
                <w:b/>
                <w:sz w:val="20"/>
                <w:szCs w:val="20"/>
              </w:rPr>
              <w:t>1677</w:t>
            </w:r>
          </w:p>
          <w:p w:rsidR="0005163A" w:rsidRPr="00147406" w:rsidRDefault="0005163A" w:rsidP="00E96D3F">
            <w:pPr>
              <w:jc w:val="center"/>
              <w:rPr>
                <w:b/>
                <w:sz w:val="20"/>
                <w:szCs w:val="20"/>
                <w:highlight w:val="yellow"/>
              </w:rPr>
            </w:pPr>
          </w:p>
        </w:tc>
        <w:tc>
          <w:tcPr>
            <w:tcW w:w="1134" w:type="dxa"/>
            <w:tcBorders>
              <w:top w:val="single" w:sz="4" w:space="0" w:color="auto"/>
              <w:left w:val="nil"/>
              <w:bottom w:val="single" w:sz="4" w:space="0" w:color="auto"/>
              <w:right w:val="single" w:sz="4" w:space="0" w:color="auto"/>
            </w:tcBorders>
          </w:tcPr>
          <w:p w:rsidR="0005163A" w:rsidRDefault="0005163A" w:rsidP="00E96D3F">
            <w:pPr>
              <w:jc w:val="center"/>
              <w:rPr>
                <w:sz w:val="20"/>
                <w:szCs w:val="20"/>
              </w:rPr>
            </w:pPr>
          </w:p>
          <w:p w:rsidR="0005163A" w:rsidRDefault="0005163A" w:rsidP="00E96D3F">
            <w:pPr>
              <w:jc w:val="center"/>
              <w:rPr>
                <w:sz w:val="20"/>
                <w:szCs w:val="20"/>
              </w:rPr>
            </w:pPr>
          </w:p>
          <w:p w:rsidR="0005163A" w:rsidRPr="00147406" w:rsidRDefault="0005163A" w:rsidP="00E96D3F">
            <w:pPr>
              <w:jc w:val="center"/>
              <w:rPr>
                <w:b/>
                <w:sz w:val="20"/>
                <w:szCs w:val="20"/>
                <w:highlight w:val="yellow"/>
              </w:rPr>
            </w:pPr>
            <w:r w:rsidRPr="00147406">
              <w:rPr>
                <w:sz w:val="20"/>
                <w:szCs w:val="20"/>
              </w:rPr>
              <w:t>2429</w:t>
            </w:r>
          </w:p>
        </w:tc>
        <w:tc>
          <w:tcPr>
            <w:tcW w:w="992" w:type="dxa"/>
            <w:tcBorders>
              <w:top w:val="single" w:sz="4" w:space="0" w:color="auto"/>
              <w:left w:val="nil"/>
              <w:bottom w:val="single" w:sz="4" w:space="0" w:color="auto"/>
              <w:right w:val="single" w:sz="4" w:space="0" w:color="auto"/>
            </w:tcBorders>
          </w:tcPr>
          <w:p w:rsidR="0005163A" w:rsidRDefault="0005163A" w:rsidP="00E96D3F">
            <w:pPr>
              <w:jc w:val="center"/>
              <w:rPr>
                <w:b/>
                <w:sz w:val="20"/>
                <w:szCs w:val="20"/>
                <w:highlight w:val="yellow"/>
              </w:rPr>
            </w:pPr>
          </w:p>
          <w:p w:rsidR="0005163A" w:rsidRDefault="0005163A" w:rsidP="00E96D3F">
            <w:pPr>
              <w:jc w:val="center"/>
              <w:rPr>
                <w:b/>
                <w:sz w:val="20"/>
                <w:szCs w:val="20"/>
                <w:highlight w:val="yellow"/>
              </w:rPr>
            </w:pPr>
          </w:p>
          <w:p w:rsidR="0005163A" w:rsidRPr="00147406" w:rsidRDefault="0005163A" w:rsidP="00E96D3F">
            <w:pPr>
              <w:jc w:val="center"/>
              <w:rPr>
                <w:b/>
                <w:sz w:val="20"/>
                <w:szCs w:val="20"/>
              </w:rPr>
            </w:pPr>
            <w:r w:rsidRPr="00147406">
              <w:rPr>
                <w:b/>
                <w:sz w:val="20"/>
                <w:szCs w:val="20"/>
              </w:rPr>
              <w:t>1677</w:t>
            </w:r>
          </w:p>
          <w:p w:rsidR="0005163A" w:rsidRPr="00147406" w:rsidRDefault="0005163A" w:rsidP="00E96D3F">
            <w:pPr>
              <w:jc w:val="center"/>
              <w:rPr>
                <w:b/>
                <w:sz w:val="20"/>
                <w:szCs w:val="20"/>
                <w:highlight w:val="yellow"/>
              </w:rPr>
            </w:pPr>
          </w:p>
        </w:tc>
      </w:tr>
      <w:tr w:rsidR="0005163A" w:rsidRPr="0073511E" w:rsidTr="0005163A">
        <w:trPr>
          <w:trHeight w:val="20"/>
        </w:trPr>
        <w:tc>
          <w:tcPr>
            <w:tcW w:w="392" w:type="dxa"/>
            <w:tcBorders>
              <w:top w:val="nil"/>
              <w:left w:val="single" w:sz="4" w:space="0" w:color="auto"/>
              <w:bottom w:val="nil"/>
              <w:right w:val="single" w:sz="4" w:space="0" w:color="auto"/>
            </w:tcBorders>
            <w:shd w:val="clear" w:color="auto" w:fill="auto"/>
          </w:tcPr>
          <w:p w:rsidR="0005163A" w:rsidRPr="00147406" w:rsidRDefault="0005163A" w:rsidP="00E96D3F"/>
          <w:p w:rsidR="0005163A" w:rsidRPr="00147406" w:rsidRDefault="0005163A" w:rsidP="00E96D3F"/>
          <w:p w:rsidR="0005163A" w:rsidRPr="0005163A" w:rsidRDefault="0005163A" w:rsidP="00E96D3F">
            <w:pPr>
              <w:rPr>
                <w:b/>
              </w:rPr>
            </w:pPr>
            <w:r w:rsidRPr="0005163A">
              <w:rPr>
                <w:b/>
                <w:sz w:val="22"/>
                <w:szCs w:val="22"/>
              </w:rPr>
              <w:t>3</w:t>
            </w:r>
          </w:p>
        </w:tc>
        <w:tc>
          <w:tcPr>
            <w:tcW w:w="1417" w:type="dxa"/>
            <w:tcBorders>
              <w:top w:val="nil"/>
              <w:left w:val="nil"/>
              <w:bottom w:val="nil"/>
              <w:right w:val="single" w:sz="4" w:space="0" w:color="auto"/>
            </w:tcBorders>
            <w:shd w:val="clear" w:color="auto" w:fill="auto"/>
          </w:tcPr>
          <w:p w:rsidR="0005163A" w:rsidRDefault="0005163A" w:rsidP="00E96D3F">
            <w:pPr>
              <w:jc w:val="center"/>
              <w:rPr>
                <w:sz w:val="20"/>
                <w:szCs w:val="20"/>
              </w:rPr>
            </w:pPr>
          </w:p>
          <w:p w:rsidR="0005163A" w:rsidRPr="0005163A" w:rsidRDefault="0005163A" w:rsidP="00E96D3F">
            <w:pPr>
              <w:jc w:val="center"/>
              <w:rPr>
                <w:b/>
                <w:sz w:val="20"/>
                <w:szCs w:val="20"/>
              </w:rPr>
            </w:pPr>
            <w:r w:rsidRPr="0005163A">
              <w:rPr>
                <w:b/>
                <w:sz w:val="20"/>
                <w:szCs w:val="20"/>
              </w:rPr>
              <w:t>OECD Ķimikāliju komiteja</w:t>
            </w:r>
          </w:p>
        </w:tc>
        <w:tc>
          <w:tcPr>
            <w:tcW w:w="1276" w:type="dxa"/>
            <w:tcBorders>
              <w:top w:val="nil"/>
              <w:left w:val="nil"/>
              <w:bottom w:val="nil"/>
              <w:right w:val="single" w:sz="4" w:space="0" w:color="auto"/>
            </w:tcBorders>
          </w:tcPr>
          <w:p w:rsidR="0005163A" w:rsidRPr="00147406" w:rsidRDefault="0005163A" w:rsidP="00E96D3F">
            <w:pPr>
              <w:jc w:val="center"/>
              <w:rPr>
                <w:sz w:val="20"/>
                <w:szCs w:val="20"/>
              </w:rPr>
            </w:pPr>
          </w:p>
          <w:p w:rsidR="0005163A" w:rsidRPr="00147406" w:rsidRDefault="0005163A" w:rsidP="00E96D3F">
            <w:pPr>
              <w:jc w:val="center"/>
              <w:rPr>
                <w:sz w:val="20"/>
                <w:szCs w:val="20"/>
              </w:rPr>
            </w:pPr>
            <w:r w:rsidRPr="00147406">
              <w:rPr>
                <w:sz w:val="20"/>
                <w:szCs w:val="20"/>
              </w:rPr>
              <w:t>0</w:t>
            </w:r>
          </w:p>
        </w:tc>
        <w:tc>
          <w:tcPr>
            <w:tcW w:w="1134" w:type="dxa"/>
            <w:tcBorders>
              <w:top w:val="nil"/>
              <w:left w:val="nil"/>
              <w:bottom w:val="nil"/>
              <w:right w:val="single" w:sz="4" w:space="0" w:color="auto"/>
            </w:tcBorders>
          </w:tcPr>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10800</w:t>
            </w:r>
          </w:p>
        </w:tc>
        <w:tc>
          <w:tcPr>
            <w:tcW w:w="1276" w:type="dxa"/>
            <w:tcBorders>
              <w:top w:val="nil"/>
              <w:left w:val="nil"/>
              <w:bottom w:val="nil"/>
              <w:right w:val="single" w:sz="4" w:space="0" w:color="auto"/>
            </w:tcBorders>
          </w:tcPr>
          <w:p w:rsidR="0005163A" w:rsidRPr="00147406" w:rsidRDefault="0005163A" w:rsidP="00E96D3F">
            <w:pPr>
              <w:jc w:val="center"/>
              <w:rPr>
                <w:sz w:val="20"/>
                <w:szCs w:val="20"/>
              </w:rPr>
            </w:pPr>
          </w:p>
          <w:p w:rsidR="0005163A" w:rsidRPr="00147406" w:rsidRDefault="0005163A" w:rsidP="00E96D3F">
            <w:pPr>
              <w:jc w:val="center"/>
              <w:rPr>
                <w:sz w:val="20"/>
                <w:szCs w:val="20"/>
              </w:rPr>
            </w:pPr>
            <w:r>
              <w:rPr>
                <w:sz w:val="20"/>
                <w:szCs w:val="20"/>
              </w:rPr>
              <w:t>0</w:t>
            </w:r>
          </w:p>
        </w:tc>
        <w:tc>
          <w:tcPr>
            <w:tcW w:w="992" w:type="dxa"/>
            <w:tcBorders>
              <w:top w:val="nil"/>
              <w:left w:val="nil"/>
              <w:bottom w:val="nil"/>
              <w:right w:val="single" w:sz="4" w:space="0" w:color="auto"/>
            </w:tcBorders>
          </w:tcPr>
          <w:p w:rsidR="0005163A" w:rsidRPr="00147406" w:rsidRDefault="0005163A" w:rsidP="00E96D3F">
            <w:pPr>
              <w:jc w:val="center"/>
              <w:rPr>
                <w:b/>
                <w:sz w:val="20"/>
                <w:szCs w:val="20"/>
              </w:rPr>
            </w:pPr>
          </w:p>
          <w:p w:rsidR="0005163A" w:rsidRPr="00147406" w:rsidRDefault="0005163A" w:rsidP="00E96D3F">
            <w:pPr>
              <w:jc w:val="center"/>
              <w:rPr>
                <w:b/>
                <w:sz w:val="20"/>
                <w:szCs w:val="20"/>
              </w:rPr>
            </w:pPr>
            <w:r w:rsidRPr="00147406">
              <w:rPr>
                <w:b/>
                <w:sz w:val="20"/>
                <w:szCs w:val="20"/>
              </w:rPr>
              <w:t>10800</w:t>
            </w:r>
          </w:p>
        </w:tc>
        <w:tc>
          <w:tcPr>
            <w:tcW w:w="1276" w:type="dxa"/>
            <w:tcBorders>
              <w:top w:val="nil"/>
              <w:left w:val="nil"/>
              <w:bottom w:val="nil"/>
              <w:right w:val="single" w:sz="4" w:space="0" w:color="auto"/>
            </w:tcBorders>
          </w:tcPr>
          <w:p w:rsidR="0005163A" w:rsidRPr="00147406" w:rsidRDefault="0005163A" w:rsidP="00E96D3F">
            <w:pPr>
              <w:jc w:val="center"/>
              <w:rPr>
                <w:b/>
                <w:sz w:val="20"/>
                <w:szCs w:val="20"/>
              </w:rPr>
            </w:pPr>
          </w:p>
          <w:p w:rsidR="0005163A" w:rsidRPr="0005163A" w:rsidRDefault="0005163A" w:rsidP="00E96D3F">
            <w:pPr>
              <w:jc w:val="center"/>
              <w:rPr>
                <w:sz w:val="20"/>
                <w:szCs w:val="20"/>
              </w:rPr>
            </w:pPr>
            <w:r w:rsidRPr="0005163A">
              <w:rPr>
                <w:sz w:val="20"/>
                <w:szCs w:val="20"/>
              </w:rPr>
              <w:t>0</w:t>
            </w:r>
          </w:p>
        </w:tc>
        <w:tc>
          <w:tcPr>
            <w:tcW w:w="992" w:type="dxa"/>
            <w:tcBorders>
              <w:top w:val="nil"/>
              <w:left w:val="nil"/>
              <w:bottom w:val="nil"/>
              <w:right w:val="single" w:sz="4" w:space="0" w:color="auto"/>
            </w:tcBorders>
          </w:tcPr>
          <w:p w:rsidR="0005163A" w:rsidRPr="00147406" w:rsidRDefault="0005163A" w:rsidP="00E96D3F">
            <w:pPr>
              <w:jc w:val="center"/>
              <w:rPr>
                <w:b/>
                <w:sz w:val="20"/>
                <w:szCs w:val="20"/>
              </w:rPr>
            </w:pPr>
          </w:p>
          <w:p w:rsidR="00544292" w:rsidRPr="00147406" w:rsidRDefault="00544292" w:rsidP="004E32C8">
            <w:pPr>
              <w:jc w:val="center"/>
              <w:rPr>
                <w:b/>
                <w:sz w:val="20"/>
                <w:szCs w:val="20"/>
              </w:rPr>
            </w:pPr>
            <w:r>
              <w:rPr>
                <w:b/>
                <w:sz w:val="20"/>
                <w:szCs w:val="20"/>
              </w:rPr>
              <w:t>0</w:t>
            </w:r>
          </w:p>
        </w:tc>
        <w:tc>
          <w:tcPr>
            <w:tcW w:w="1134" w:type="dxa"/>
            <w:tcBorders>
              <w:top w:val="nil"/>
              <w:left w:val="nil"/>
              <w:bottom w:val="nil"/>
              <w:right w:val="single" w:sz="4" w:space="0" w:color="auto"/>
            </w:tcBorders>
          </w:tcPr>
          <w:p w:rsidR="0005163A" w:rsidRDefault="0005163A" w:rsidP="00E96D3F">
            <w:pPr>
              <w:jc w:val="center"/>
              <w:rPr>
                <w:b/>
                <w:sz w:val="20"/>
                <w:szCs w:val="20"/>
              </w:rPr>
            </w:pPr>
          </w:p>
          <w:p w:rsidR="0005163A" w:rsidRPr="0005163A" w:rsidRDefault="0005163A" w:rsidP="00E96D3F">
            <w:pPr>
              <w:jc w:val="center"/>
              <w:rPr>
                <w:sz w:val="20"/>
                <w:szCs w:val="20"/>
              </w:rPr>
            </w:pPr>
            <w:r w:rsidRPr="0005163A">
              <w:rPr>
                <w:sz w:val="20"/>
                <w:szCs w:val="20"/>
              </w:rPr>
              <w:t>0</w:t>
            </w:r>
          </w:p>
        </w:tc>
        <w:tc>
          <w:tcPr>
            <w:tcW w:w="992" w:type="dxa"/>
            <w:tcBorders>
              <w:top w:val="nil"/>
              <w:left w:val="nil"/>
              <w:bottom w:val="nil"/>
              <w:right w:val="single" w:sz="4" w:space="0" w:color="auto"/>
            </w:tcBorders>
          </w:tcPr>
          <w:p w:rsidR="0005163A" w:rsidRDefault="0005163A" w:rsidP="00E96D3F">
            <w:pPr>
              <w:jc w:val="center"/>
              <w:rPr>
                <w:b/>
                <w:sz w:val="20"/>
                <w:szCs w:val="20"/>
              </w:rPr>
            </w:pPr>
          </w:p>
          <w:p w:rsidR="00544292" w:rsidRPr="00147406" w:rsidRDefault="00544292" w:rsidP="004E32C8">
            <w:pPr>
              <w:jc w:val="center"/>
              <w:rPr>
                <w:b/>
                <w:sz w:val="20"/>
                <w:szCs w:val="20"/>
              </w:rPr>
            </w:pPr>
            <w:r>
              <w:rPr>
                <w:b/>
                <w:sz w:val="20"/>
                <w:szCs w:val="20"/>
              </w:rPr>
              <w:t>0</w:t>
            </w:r>
            <w:bookmarkStart w:id="0" w:name="_GoBack"/>
            <w:bookmarkEnd w:id="0"/>
          </w:p>
        </w:tc>
      </w:tr>
      <w:tr w:rsidR="0005163A" w:rsidRPr="0073511E" w:rsidTr="0005163A">
        <w:trPr>
          <w:trHeight w:val="20"/>
        </w:trPr>
        <w:tc>
          <w:tcPr>
            <w:tcW w:w="392" w:type="dxa"/>
            <w:tcBorders>
              <w:top w:val="nil"/>
              <w:left w:val="single" w:sz="4" w:space="0" w:color="auto"/>
              <w:bottom w:val="single" w:sz="4" w:space="0" w:color="auto"/>
              <w:right w:val="single" w:sz="4" w:space="0" w:color="auto"/>
            </w:tcBorders>
            <w:shd w:val="clear" w:color="auto" w:fill="auto"/>
          </w:tcPr>
          <w:p w:rsidR="0005163A" w:rsidRPr="00147406" w:rsidRDefault="0005163A" w:rsidP="00E96D3F"/>
        </w:tc>
        <w:tc>
          <w:tcPr>
            <w:tcW w:w="1417" w:type="dxa"/>
            <w:tcBorders>
              <w:top w:val="nil"/>
              <w:left w:val="nil"/>
              <w:bottom w:val="single" w:sz="4" w:space="0" w:color="auto"/>
              <w:right w:val="single" w:sz="4" w:space="0" w:color="auto"/>
            </w:tcBorders>
            <w:shd w:val="clear" w:color="auto" w:fill="auto"/>
          </w:tcPr>
          <w:p w:rsidR="0005163A" w:rsidRPr="00147406" w:rsidRDefault="0005163A" w:rsidP="00E96D3F">
            <w:pPr>
              <w:jc w:val="center"/>
              <w:rPr>
                <w:sz w:val="20"/>
                <w:szCs w:val="20"/>
                <w:highlight w:val="yellow"/>
              </w:rPr>
            </w:pPr>
          </w:p>
        </w:tc>
        <w:tc>
          <w:tcPr>
            <w:tcW w:w="1276" w:type="dxa"/>
            <w:tcBorders>
              <w:top w:val="nil"/>
              <w:left w:val="nil"/>
              <w:bottom w:val="single" w:sz="4" w:space="0" w:color="auto"/>
              <w:right w:val="single" w:sz="4" w:space="0" w:color="auto"/>
            </w:tcBorders>
          </w:tcPr>
          <w:p w:rsidR="0005163A" w:rsidRPr="00147406" w:rsidRDefault="0005163A" w:rsidP="00E96D3F">
            <w:pPr>
              <w:jc w:val="center"/>
              <w:rPr>
                <w:sz w:val="20"/>
                <w:szCs w:val="20"/>
                <w:highlight w:val="yellow"/>
              </w:rPr>
            </w:pPr>
          </w:p>
        </w:tc>
        <w:tc>
          <w:tcPr>
            <w:tcW w:w="1134"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c>
          <w:tcPr>
            <w:tcW w:w="1276"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c>
          <w:tcPr>
            <w:tcW w:w="992"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c>
          <w:tcPr>
            <w:tcW w:w="1276"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c>
          <w:tcPr>
            <w:tcW w:w="992"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c>
          <w:tcPr>
            <w:tcW w:w="1134"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c>
          <w:tcPr>
            <w:tcW w:w="992" w:type="dxa"/>
            <w:tcBorders>
              <w:top w:val="nil"/>
              <w:left w:val="nil"/>
              <w:bottom w:val="single" w:sz="4" w:space="0" w:color="auto"/>
              <w:right w:val="single" w:sz="4" w:space="0" w:color="auto"/>
            </w:tcBorders>
          </w:tcPr>
          <w:p w:rsidR="0005163A" w:rsidRPr="00147406" w:rsidRDefault="0005163A" w:rsidP="00E96D3F">
            <w:pPr>
              <w:jc w:val="center"/>
              <w:rPr>
                <w:b/>
                <w:sz w:val="20"/>
                <w:szCs w:val="20"/>
                <w:highlight w:val="yellow"/>
              </w:rPr>
            </w:pPr>
          </w:p>
        </w:tc>
      </w:tr>
    </w:tbl>
    <w:p w:rsidR="00555096" w:rsidRDefault="00555096" w:rsidP="00E96D3F">
      <w:pPr>
        <w:jc w:val="both"/>
      </w:pPr>
    </w:p>
    <w:p w:rsidR="00185EE8" w:rsidRPr="009F4A25" w:rsidRDefault="00185EE8" w:rsidP="00185EE8">
      <w:pPr>
        <w:jc w:val="both"/>
        <w:rPr>
          <w:sz w:val="22"/>
          <w:szCs w:val="22"/>
        </w:rPr>
      </w:pPr>
      <w:r w:rsidRPr="009F4A25">
        <w:rPr>
          <w:sz w:val="22"/>
          <w:szCs w:val="22"/>
        </w:rPr>
        <w:t xml:space="preserve">*Pēc Latvijas pievienošanās </w:t>
      </w:r>
      <w:r w:rsidRPr="009F4A25">
        <w:rPr>
          <w:rFonts w:eastAsia="Times New Roman"/>
          <w:sz w:val="22"/>
          <w:szCs w:val="22"/>
          <w:lang w:eastAsia="lv-LV"/>
        </w:rPr>
        <w:t xml:space="preserve">OECD dalības izmaksas OECD Ķimikāliju komitejā tiks segtas vienotā Latvijas dalībvalsts maksājuma OECD ietvaros. </w:t>
      </w:r>
    </w:p>
    <w:p w:rsidR="00185EE8" w:rsidRDefault="00185EE8" w:rsidP="00E96D3F">
      <w:pPr>
        <w:pStyle w:val="Heading1"/>
        <w:spacing w:before="0" w:beforeAutospacing="0" w:after="0" w:afterAutospacing="0"/>
        <w:jc w:val="both"/>
        <w:rPr>
          <w:rFonts w:ascii="Times New Roman" w:hAnsi="Times New Roman"/>
          <w:b w:val="0"/>
          <w:color w:val="auto"/>
          <w:sz w:val="28"/>
          <w:szCs w:val="28"/>
        </w:rPr>
      </w:pPr>
    </w:p>
    <w:p w:rsidR="00185EE8" w:rsidRDefault="00185EE8" w:rsidP="00E96D3F">
      <w:pPr>
        <w:pStyle w:val="Heading1"/>
        <w:spacing w:before="0" w:beforeAutospacing="0" w:after="0" w:afterAutospacing="0"/>
        <w:jc w:val="both"/>
        <w:rPr>
          <w:rFonts w:ascii="Times New Roman" w:hAnsi="Times New Roman"/>
          <w:b w:val="0"/>
          <w:color w:val="auto"/>
          <w:sz w:val="28"/>
          <w:szCs w:val="28"/>
        </w:rPr>
      </w:pPr>
    </w:p>
    <w:p w:rsidR="00963F7B" w:rsidRDefault="00963F7B" w:rsidP="00E96D3F">
      <w:pPr>
        <w:pStyle w:val="Heading1"/>
        <w:spacing w:before="0" w:beforeAutospacing="0" w:after="0" w:afterAutospacing="0"/>
        <w:jc w:val="both"/>
        <w:rPr>
          <w:rFonts w:ascii="Times New Roman" w:hAnsi="Times New Roman"/>
          <w:b w:val="0"/>
          <w:color w:val="auto"/>
          <w:sz w:val="28"/>
          <w:szCs w:val="28"/>
        </w:rPr>
      </w:pPr>
      <w:r w:rsidRPr="00E83953">
        <w:rPr>
          <w:rFonts w:ascii="Times New Roman" w:hAnsi="Times New Roman"/>
          <w:b w:val="0"/>
          <w:color w:val="auto"/>
          <w:sz w:val="28"/>
          <w:szCs w:val="28"/>
        </w:rPr>
        <w:t>Vides aizsardzības un reģionālās</w:t>
      </w:r>
      <w:r>
        <w:rPr>
          <w:rFonts w:ascii="Times New Roman" w:hAnsi="Times New Roman"/>
          <w:b w:val="0"/>
          <w:color w:val="auto"/>
          <w:sz w:val="28"/>
          <w:szCs w:val="28"/>
        </w:rPr>
        <w:t xml:space="preserve"> </w:t>
      </w:r>
    </w:p>
    <w:p w:rsidR="00FB631A" w:rsidRDefault="00963F7B" w:rsidP="00E96D3F">
      <w:pPr>
        <w:pStyle w:val="Heading1"/>
        <w:spacing w:before="0" w:beforeAutospacing="0" w:after="0" w:afterAutospacing="0"/>
        <w:jc w:val="both"/>
        <w:rPr>
          <w:rFonts w:ascii="Times New Roman" w:hAnsi="Times New Roman"/>
          <w:b w:val="0"/>
          <w:color w:val="auto"/>
          <w:sz w:val="28"/>
          <w:szCs w:val="28"/>
        </w:rPr>
      </w:pPr>
      <w:r w:rsidRPr="00E83953">
        <w:rPr>
          <w:rFonts w:ascii="Times New Roman" w:hAnsi="Times New Roman"/>
          <w:b w:val="0"/>
          <w:color w:val="auto"/>
          <w:sz w:val="28"/>
          <w:szCs w:val="28"/>
        </w:rPr>
        <w:t xml:space="preserve"> attīstības ministrs</w:t>
      </w:r>
      <w:r w:rsidRPr="00E83953">
        <w:rPr>
          <w:rFonts w:ascii="Times New Roman" w:hAnsi="Times New Roman"/>
          <w:b w:val="0"/>
          <w:color w:val="auto"/>
          <w:sz w:val="28"/>
          <w:szCs w:val="28"/>
        </w:rPr>
        <w:tab/>
      </w:r>
      <w:r w:rsidRPr="00E83953">
        <w:rPr>
          <w:rFonts w:ascii="Times New Roman" w:hAnsi="Times New Roman"/>
          <w:b w:val="0"/>
          <w:color w:val="auto"/>
          <w:sz w:val="28"/>
          <w:szCs w:val="28"/>
        </w:rPr>
        <w:tab/>
      </w:r>
      <w:r>
        <w:rPr>
          <w:rFonts w:ascii="Times New Roman" w:hAnsi="Times New Roman"/>
          <w:b w:val="0"/>
          <w:color w:val="auto"/>
          <w:sz w:val="28"/>
          <w:szCs w:val="28"/>
        </w:rPr>
        <w:t xml:space="preserve">                                                          K.Gerhards</w:t>
      </w:r>
      <w:r w:rsidRPr="00E83953">
        <w:rPr>
          <w:rFonts w:ascii="Times New Roman" w:hAnsi="Times New Roman"/>
          <w:b w:val="0"/>
          <w:color w:val="auto"/>
          <w:sz w:val="28"/>
          <w:szCs w:val="28"/>
        </w:rPr>
        <w:tab/>
      </w:r>
    </w:p>
    <w:p w:rsidR="00963F7B" w:rsidRPr="00E83953" w:rsidRDefault="00963F7B" w:rsidP="00E96D3F">
      <w:pPr>
        <w:pStyle w:val="Heading1"/>
        <w:spacing w:before="0" w:beforeAutospacing="0" w:after="0" w:afterAutospacing="0"/>
        <w:jc w:val="both"/>
        <w:rPr>
          <w:rFonts w:ascii="Times New Roman" w:hAnsi="Times New Roman"/>
          <w:b w:val="0"/>
          <w:color w:val="auto"/>
          <w:sz w:val="28"/>
          <w:szCs w:val="28"/>
        </w:rPr>
      </w:pPr>
    </w:p>
    <w:p w:rsidR="00963F7B" w:rsidRPr="00E83953" w:rsidRDefault="00963F7B" w:rsidP="00E96D3F">
      <w:pPr>
        <w:pStyle w:val="Heading1"/>
        <w:spacing w:before="0" w:beforeAutospacing="0" w:after="0" w:afterAutospacing="0"/>
        <w:jc w:val="both"/>
        <w:rPr>
          <w:rFonts w:ascii="Times New Roman" w:hAnsi="Times New Roman"/>
          <w:b w:val="0"/>
          <w:color w:val="auto"/>
          <w:sz w:val="28"/>
          <w:szCs w:val="28"/>
        </w:rPr>
      </w:pPr>
      <w:r w:rsidRPr="00E83953">
        <w:rPr>
          <w:rFonts w:ascii="Times New Roman" w:hAnsi="Times New Roman"/>
          <w:b w:val="0"/>
          <w:color w:val="auto"/>
          <w:sz w:val="28"/>
          <w:szCs w:val="28"/>
        </w:rPr>
        <w:t>Vīza: Valsts sekretārs</w:t>
      </w:r>
      <w:r w:rsidRPr="00E83953">
        <w:rPr>
          <w:rFonts w:ascii="Times New Roman" w:hAnsi="Times New Roman"/>
          <w:b w:val="0"/>
          <w:color w:val="auto"/>
          <w:sz w:val="28"/>
          <w:szCs w:val="28"/>
        </w:rPr>
        <w:tab/>
      </w:r>
      <w:r>
        <w:rPr>
          <w:rFonts w:ascii="Times New Roman" w:hAnsi="Times New Roman"/>
          <w:b w:val="0"/>
          <w:color w:val="auto"/>
          <w:sz w:val="28"/>
          <w:szCs w:val="28"/>
        </w:rPr>
        <w:t xml:space="preserve">                                                         </w:t>
      </w:r>
      <w:r w:rsidRPr="00E83953">
        <w:rPr>
          <w:rFonts w:ascii="Times New Roman" w:hAnsi="Times New Roman"/>
          <w:b w:val="0"/>
          <w:color w:val="auto"/>
          <w:sz w:val="28"/>
          <w:szCs w:val="28"/>
        </w:rPr>
        <w:t>G. Puķītis</w:t>
      </w:r>
    </w:p>
    <w:p w:rsidR="009A0C30" w:rsidRDefault="009A0C30" w:rsidP="00E96D3F">
      <w:pPr>
        <w:rPr>
          <w:sz w:val="28"/>
          <w:szCs w:val="28"/>
        </w:rPr>
      </w:pPr>
    </w:p>
    <w:p w:rsidR="0005163A" w:rsidRPr="00DA2622" w:rsidRDefault="00101339" w:rsidP="00E96D3F">
      <w:pPr>
        <w:rPr>
          <w:sz w:val="22"/>
          <w:szCs w:val="22"/>
        </w:rPr>
      </w:pPr>
      <w:r>
        <w:rPr>
          <w:sz w:val="22"/>
          <w:szCs w:val="22"/>
        </w:rPr>
        <w:t>02.09</w:t>
      </w:r>
      <w:r w:rsidR="00DA2622" w:rsidRPr="00DA2622">
        <w:rPr>
          <w:sz w:val="22"/>
          <w:szCs w:val="22"/>
        </w:rPr>
        <w:t>.2015.</w:t>
      </w:r>
    </w:p>
    <w:p w:rsidR="00DA2622" w:rsidRPr="00DA2622" w:rsidRDefault="00185EE8" w:rsidP="00E96D3F">
      <w:pPr>
        <w:rPr>
          <w:sz w:val="22"/>
          <w:szCs w:val="22"/>
        </w:rPr>
      </w:pPr>
      <w:r>
        <w:rPr>
          <w:sz w:val="22"/>
          <w:szCs w:val="22"/>
        </w:rPr>
        <w:t>721</w:t>
      </w:r>
    </w:p>
    <w:p w:rsidR="00963F7B" w:rsidRPr="00DA2622" w:rsidRDefault="00963F7B" w:rsidP="00E96D3F">
      <w:pPr>
        <w:rPr>
          <w:sz w:val="22"/>
          <w:szCs w:val="22"/>
        </w:rPr>
      </w:pPr>
      <w:r w:rsidRPr="00DA2622">
        <w:rPr>
          <w:sz w:val="22"/>
          <w:szCs w:val="22"/>
        </w:rPr>
        <w:t>I.Trušinska</w:t>
      </w:r>
    </w:p>
    <w:p w:rsidR="00963F7B" w:rsidRPr="00DA2622" w:rsidRDefault="00FF543B" w:rsidP="00E96D3F">
      <w:pPr>
        <w:rPr>
          <w:sz w:val="22"/>
          <w:szCs w:val="22"/>
        </w:rPr>
      </w:pPr>
      <w:hyperlink r:id="rId8" w:history="1">
        <w:r w:rsidR="00963F7B" w:rsidRPr="00DA2622">
          <w:rPr>
            <w:rStyle w:val="Hyperlink"/>
            <w:sz w:val="22"/>
            <w:szCs w:val="22"/>
          </w:rPr>
          <w:t>Ilze.trusinska@varam.gov.lv</w:t>
        </w:r>
      </w:hyperlink>
      <w:r w:rsidR="00963F7B" w:rsidRPr="00DA2622">
        <w:rPr>
          <w:sz w:val="22"/>
          <w:szCs w:val="22"/>
        </w:rPr>
        <w:t xml:space="preserve"> </w:t>
      </w:r>
    </w:p>
    <w:p w:rsidR="00963F7B" w:rsidRPr="00DA2622" w:rsidRDefault="00963F7B" w:rsidP="00963F7B">
      <w:pPr>
        <w:rPr>
          <w:sz w:val="22"/>
          <w:szCs w:val="22"/>
        </w:rPr>
      </w:pPr>
      <w:r w:rsidRPr="00DA2622">
        <w:rPr>
          <w:sz w:val="22"/>
          <w:szCs w:val="22"/>
        </w:rPr>
        <w:t>66016592</w:t>
      </w:r>
    </w:p>
    <w:p w:rsidR="00963F7B" w:rsidRPr="00320B4E" w:rsidRDefault="00101339" w:rsidP="00101339">
      <w:pPr>
        <w:tabs>
          <w:tab w:val="left" w:pos="3749"/>
        </w:tabs>
      </w:pPr>
      <w:r>
        <w:tab/>
      </w:r>
    </w:p>
    <w:p w:rsidR="00A4551A" w:rsidRPr="00120A24" w:rsidRDefault="00B86E0C" w:rsidP="00775F14">
      <w:pPr>
        <w:jc w:val="both"/>
        <w:rPr>
          <w:color w:val="0070C0"/>
          <w:sz w:val="20"/>
          <w:szCs w:val="20"/>
        </w:rPr>
      </w:pPr>
    </w:p>
    <w:sectPr w:rsidR="00A4551A" w:rsidRPr="00120A24" w:rsidSect="00691AD4">
      <w:headerReference w:type="default" r:id="rId9"/>
      <w:footerReference w:type="default" r:id="rId10"/>
      <w:pgSz w:w="12240" w:h="15840"/>
      <w:pgMar w:top="1418" w:right="1134" w:bottom="1418"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0C" w:rsidRDefault="00B86E0C" w:rsidP="002408AF">
      <w:r>
        <w:separator/>
      </w:r>
    </w:p>
  </w:endnote>
  <w:endnote w:type="continuationSeparator" w:id="0">
    <w:p w:rsidR="00B86E0C" w:rsidRDefault="00B86E0C" w:rsidP="00240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wsGoth TL">
    <w:panose1 w:val="020B0503020203020204"/>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AF" w:rsidRPr="00176CCB" w:rsidRDefault="00A815FE" w:rsidP="00A815FE">
    <w:pPr>
      <w:ind w:right="135"/>
      <w:jc w:val="both"/>
    </w:pPr>
    <w:r w:rsidRPr="00176CCB">
      <w:t>VARAM</w:t>
    </w:r>
    <w:r w:rsidR="000F2473">
      <w:t>Infoz</w:t>
    </w:r>
    <w:r w:rsidRPr="00176CCB">
      <w:t>in_</w:t>
    </w:r>
    <w:r w:rsidR="00514B7D" w:rsidRPr="00176CCB">
      <w:t>s</w:t>
    </w:r>
    <w:r w:rsidR="002408AF" w:rsidRPr="00176CCB">
      <w:t>t</w:t>
    </w:r>
    <w:r w:rsidR="00514B7D" w:rsidRPr="00176CCB">
      <w:t>a</w:t>
    </w:r>
    <w:r w:rsidR="00176CCB" w:rsidRPr="00176CCB">
      <w:t>rpt</w:t>
    </w:r>
    <w:r w:rsidR="002408AF" w:rsidRPr="00176CCB">
      <w:t>iemaksas</w:t>
    </w:r>
    <w:r w:rsidR="00101339">
      <w:t>_0209</w:t>
    </w:r>
    <w:r w:rsidR="004561DF" w:rsidRPr="00176CCB">
      <w:t>15</w:t>
    </w:r>
    <w:r w:rsidR="002408AF" w:rsidRPr="00176CCB">
      <w:t xml:space="preserve">; Informatīvais ziņojums „Par Vides aizsardzības un reģionālās attīstības ministrijas pārziņā esošo iemaksu starptautiskajās </w:t>
    </w:r>
    <w:r w:rsidR="000B4367" w:rsidRPr="00176CCB">
      <w:t>organizācijās 2015</w:t>
    </w:r>
    <w:r w:rsidR="002408AF" w:rsidRPr="00176CCB">
      <w:t>.gadam pārdali”</w:t>
    </w:r>
  </w:p>
  <w:p w:rsidR="002408AF" w:rsidRDefault="002408AF" w:rsidP="00240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0C" w:rsidRDefault="00B86E0C" w:rsidP="002408AF">
      <w:r>
        <w:separator/>
      </w:r>
    </w:p>
  </w:footnote>
  <w:footnote w:type="continuationSeparator" w:id="0">
    <w:p w:rsidR="00B86E0C" w:rsidRDefault="00B86E0C" w:rsidP="00240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6308"/>
      <w:docPartObj>
        <w:docPartGallery w:val="Page Numbers (Top of Page)"/>
        <w:docPartUnique/>
      </w:docPartObj>
    </w:sdtPr>
    <w:sdtContent>
      <w:p w:rsidR="00691AD4" w:rsidRDefault="00FF543B">
        <w:pPr>
          <w:pStyle w:val="Header"/>
          <w:jc w:val="center"/>
        </w:pPr>
        <w:r>
          <w:fldChar w:fldCharType="begin"/>
        </w:r>
        <w:r w:rsidR="00691AD4">
          <w:instrText xml:space="preserve"> PAGE   \* MERGEFORMAT </w:instrText>
        </w:r>
        <w:r>
          <w:fldChar w:fldCharType="separate"/>
        </w:r>
        <w:r w:rsidR="00CA14F2">
          <w:rPr>
            <w:noProof/>
          </w:rPr>
          <w:t>3</w:t>
        </w:r>
        <w:r>
          <w:fldChar w:fldCharType="end"/>
        </w:r>
      </w:p>
    </w:sdtContent>
  </w:sdt>
  <w:p w:rsidR="00691AD4" w:rsidRDefault="00691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243"/>
    <w:multiLevelType w:val="hybridMultilevel"/>
    <w:tmpl w:val="E8744C88"/>
    <w:lvl w:ilvl="0" w:tplc="B4B28B98">
      <w:start w:val="1"/>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6602CA"/>
    <w:multiLevelType w:val="hybridMultilevel"/>
    <w:tmpl w:val="1DDC0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B67B26"/>
    <w:multiLevelType w:val="hybridMultilevel"/>
    <w:tmpl w:val="F47E1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0596"/>
    <w:multiLevelType w:val="hybridMultilevel"/>
    <w:tmpl w:val="12F0DBC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96C012D"/>
    <w:multiLevelType w:val="hybridMultilevel"/>
    <w:tmpl w:val="98C2B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24357A"/>
    <w:multiLevelType w:val="hybridMultilevel"/>
    <w:tmpl w:val="F9528694"/>
    <w:lvl w:ilvl="0" w:tplc="04090001">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nsid w:val="68457227"/>
    <w:multiLevelType w:val="hybridMultilevel"/>
    <w:tmpl w:val="9014D092"/>
    <w:lvl w:ilvl="0" w:tplc="2242C3A6">
      <w:start w:val="1"/>
      <w:numFmt w:val="decimal"/>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BA56CF2"/>
    <w:multiLevelType w:val="hybridMultilevel"/>
    <w:tmpl w:val="B4162776"/>
    <w:lvl w:ilvl="0" w:tplc="31200942">
      <w:start w:val="1"/>
      <w:numFmt w:val="bullet"/>
      <w:lvlText w:val="-"/>
      <w:lvlJc w:val="left"/>
      <w:pPr>
        <w:ind w:left="1080" w:hanging="360"/>
      </w:pPr>
      <w:rPr>
        <w:rFonts w:ascii="Calibri" w:eastAsia="SimSun" w:hAnsi="Calibri" w:cs="NewsGoth T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79768B"/>
    <w:multiLevelType w:val="hybridMultilevel"/>
    <w:tmpl w:val="F5020E72"/>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23546F"/>
    <w:multiLevelType w:val="hybridMultilevel"/>
    <w:tmpl w:val="76561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1134377"/>
    <w:multiLevelType w:val="hybridMultilevel"/>
    <w:tmpl w:val="8CC4A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3"/>
  </w:num>
  <w:num w:numId="6">
    <w:abstractNumId w:val="5"/>
  </w:num>
  <w:num w:numId="7">
    <w:abstractNumId w:val="2"/>
  </w:num>
  <w:num w:numId="8">
    <w:abstractNumId w:val="10"/>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08AF"/>
    <w:rsid w:val="00005473"/>
    <w:rsid w:val="0001096E"/>
    <w:rsid w:val="00014DD9"/>
    <w:rsid w:val="0001719B"/>
    <w:rsid w:val="00024A66"/>
    <w:rsid w:val="0002500F"/>
    <w:rsid w:val="000270F3"/>
    <w:rsid w:val="00034016"/>
    <w:rsid w:val="00034FA6"/>
    <w:rsid w:val="0003548F"/>
    <w:rsid w:val="00043431"/>
    <w:rsid w:val="000445D9"/>
    <w:rsid w:val="00050DCF"/>
    <w:rsid w:val="0005163A"/>
    <w:rsid w:val="000522F6"/>
    <w:rsid w:val="000720B7"/>
    <w:rsid w:val="00090290"/>
    <w:rsid w:val="00094454"/>
    <w:rsid w:val="000A6D66"/>
    <w:rsid w:val="000B4367"/>
    <w:rsid w:val="000C0B4B"/>
    <w:rsid w:val="000C2AC9"/>
    <w:rsid w:val="000C39C0"/>
    <w:rsid w:val="000C644E"/>
    <w:rsid w:val="000D294A"/>
    <w:rsid w:val="000D7F18"/>
    <w:rsid w:val="000E3C35"/>
    <w:rsid w:val="000E4ABB"/>
    <w:rsid w:val="000E5ED5"/>
    <w:rsid w:val="000F2473"/>
    <w:rsid w:val="00101339"/>
    <w:rsid w:val="0010239E"/>
    <w:rsid w:val="00104524"/>
    <w:rsid w:val="00104CA8"/>
    <w:rsid w:val="00120A24"/>
    <w:rsid w:val="00130B71"/>
    <w:rsid w:val="00135041"/>
    <w:rsid w:val="00147406"/>
    <w:rsid w:val="001519B4"/>
    <w:rsid w:val="00162971"/>
    <w:rsid w:val="00173527"/>
    <w:rsid w:val="00175281"/>
    <w:rsid w:val="00176CCB"/>
    <w:rsid w:val="00177437"/>
    <w:rsid w:val="001826AE"/>
    <w:rsid w:val="001840E7"/>
    <w:rsid w:val="00185EE8"/>
    <w:rsid w:val="001919DD"/>
    <w:rsid w:val="001A32BD"/>
    <w:rsid w:val="001B4328"/>
    <w:rsid w:val="001B5700"/>
    <w:rsid w:val="001C1FC2"/>
    <w:rsid w:val="001C47B0"/>
    <w:rsid w:val="001E1103"/>
    <w:rsid w:val="001F5790"/>
    <w:rsid w:val="00201CEB"/>
    <w:rsid w:val="00226D01"/>
    <w:rsid w:val="00232EC1"/>
    <w:rsid w:val="002371BA"/>
    <w:rsid w:val="002408AF"/>
    <w:rsid w:val="00244799"/>
    <w:rsid w:val="002525CF"/>
    <w:rsid w:val="0026207B"/>
    <w:rsid w:val="00294369"/>
    <w:rsid w:val="00294D21"/>
    <w:rsid w:val="002A7693"/>
    <w:rsid w:val="002B6295"/>
    <w:rsid w:val="002D2309"/>
    <w:rsid w:val="002D2A92"/>
    <w:rsid w:val="002E330A"/>
    <w:rsid w:val="002F7CD0"/>
    <w:rsid w:val="00320B4E"/>
    <w:rsid w:val="003300D1"/>
    <w:rsid w:val="00340981"/>
    <w:rsid w:val="00353E7C"/>
    <w:rsid w:val="00361791"/>
    <w:rsid w:val="00361A0E"/>
    <w:rsid w:val="003824E2"/>
    <w:rsid w:val="0038385A"/>
    <w:rsid w:val="00393E73"/>
    <w:rsid w:val="003A2FCB"/>
    <w:rsid w:val="003A5E8D"/>
    <w:rsid w:val="003A6192"/>
    <w:rsid w:val="003E22EC"/>
    <w:rsid w:val="003E6F68"/>
    <w:rsid w:val="003F2C36"/>
    <w:rsid w:val="003F5F09"/>
    <w:rsid w:val="00401A5E"/>
    <w:rsid w:val="004037B8"/>
    <w:rsid w:val="0040557C"/>
    <w:rsid w:val="00412B01"/>
    <w:rsid w:val="0042634A"/>
    <w:rsid w:val="00427718"/>
    <w:rsid w:val="00433739"/>
    <w:rsid w:val="00434651"/>
    <w:rsid w:val="004352DE"/>
    <w:rsid w:val="00455805"/>
    <w:rsid w:val="004561DF"/>
    <w:rsid w:val="00460446"/>
    <w:rsid w:val="004644A7"/>
    <w:rsid w:val="004724C9"/>
    <w:rsid w:val="004765EC"/>
    <w:rsid w:val="00491BBE"/>
    <w:rsid w:val="004C369D"/>
    <w:rsid w:val="004C6FED"/>
    <w:rsid w:val="004D1466"/>
    <w:rsid w:val="004E064E"/>
    <w:rsid w:val="004E127D"/>
    <w:rsid w:val="004E32C8"/>
    <w:rsid w:val="004E39E7"/>
    <w:rsid w:val="004E742F"/>
    <w:rsid w:val="005104A6"/>
    <w:rsid w:val="005138A8"/>
    <w:rsid w:val="00514B7D"/>
    <w:rsid w:val="00525D00"/>
    <w:rsid w:val="005323DA"/>
    <w:rsid w:val="00536488"/>
    <w:rsid w:val="005377DF"/>
    <w:rsid w:val="00544292"/>
    <w:rsid w:val="005506FE"/>
    <w:rsid w:val="00555096"/>
    <w:rsid w:val="00555A3F"/>
    <w:rsid w:val="0055688E"/>
    <w:rsid w:val="005628D9"/>
    <w:rsid w:val="00563B7B"/>
    <w:rsid w:val="00564E8F"/>
    <w:rsid w:val="00566C9D"/>
    <w:rsid w:val="00577EC2"/>
    <w:rsid w:val="005C108B"/>
    <w:rsid w:val="005C69D9"/>
    <w:rsid w:val="005C7CB5"/>
    <w:rsid w:val="005D1526"/>
    <w:rsid w:val="005E4DE2"/>
    <w:rsid w:val="005F5E70"/>
    <w:rsid w:val="00612CC8"/>
    <w:rsid w:val="00623949"/>
    <w:rsid w:val="0062469E"/>
    <w:rsid w:val="00637719"/>
    <w:rsid w:val="00640FEF"/>
    <w:rsid w:val="00642D9B"/>
    <w:rsid w:val="00645D65"/>
    <w:rsid w:val="0064639E"/>
    <w:rsid w:val="0065309F"/>
    <w:rsid w:val="00653647"/>
    <w:rsid w:val="00665AFB"/>
    <w:rsid w:val="0067023A"/>
    <w:rsid w:val="006748D4"/>
    <w:rsid w:val="0067537A"/>
    <w:rsid w:val="00681A92"/>
    <w:rsid w:val="00690B69"/>
    <w:rsid w:val="00691AD4"/>
    <w:rsid w:val="00697673"/>
    <w:rsid w:val="006A02C7"/>
    <w:rsid w:val="006A2729"/>
    <w:rsid w:val="006C0383"/>
    <w:rsid w:val="006C3CDD"/>
    <w:rsid w:val="006D125D"/>
    <w:rsid w:val="006D78D9"/>
    <w:rsid w:val="006E03C2"/>
    <w:rsid w:val="006E0861"/>
    <w:rsid w:val="006E3BBA"/>
    <w:rsid w:val="006E3E80"/>
    <w:rsid w:val="006F38F7"/>
    <w:rsid w:val="007014F1"/>
    <w:rsid w:val="00702F35"/>
    <w:rsid w:val="007153DD"/>
    <w:rsid w:val="007200EB"/>
    <w:rsid w:val="007200EC"/>
    <w:rsid w:val="00720C2D"/>
    <w:rsid w:val="007233EE"/>
    <w:rsid w:val="007332C1"/>
    <w:rsid w:val="007336DE"/>
    <w:rsid w:val="0074243F"/>
    <w:rsid w:val="00756B9F"/>
    <w:rsid w:val="007646E7"/>
    <w:rsid w:val="00775F14"/>
    <w:rsid w:val="0078067A"/>
    <w:rsid w:val="00782EA1"/>
    <w:rsid w:val="00794A79"/>
    <w:rsid w:val="007A070F"/>
    <w:rsid w:val="007A3386"/>
    <w:rsid w:val="007A36E6"/>
    <w:rsid w:val="007A5680"/>
    <w:rsid w:val="007C4317"/>
    <w:rsid w:val="007D77F4"/>
    <w:rsid w:val="00801FE7"/>
    <w:rsid w:val="0080484D"/>
    <w:rsid w:val="00804ACC"/>
    <w:rsid w:val="0080619E"/>
    <w:rsid w:val="0081459B"/>
    <w:rsid w:val="008169B5"/>
    <w:rsid w:val="00820376"/>
    <w:rsid w:val="0082392B"/>
    <w:rsid w:val="008321B1"/>
    <w:rsid w:val="00835F58"/>
    <w:rsid w:val="00851D38"/>
    <w:rsid w:val="008536A7"/>
    <w:rsid w:val="00873A26"/>
    <w:rsid w:val="0087663A"/>
    <w:rsid w:val="00876D1F"/>
    <w:rsid w:val="00885A79"/>
    <w:rsid w:val="00891DC3"/>
    <w:rsid w:val="008944F9"/>
    <w:rsid w:val="0089606A"/>
    <w:rsid w:val="008A6A25"/>
    <w:rsid w:val="008A6B81"/>
    <w:rsid w:val="008B03FE"/>
    <w:rsid w:val="008B1E6D"/>
    <w:rsid w:val="008C0D09"/>
    <w:rsid w:val="008D102B"/>
    <w:rsid w:val="008D4971"/>
    <w:rsid w:val="008D7E56"/>
    <w:rsid w:val="008E0CC4"/>
    <w:rsid w:val="008E0CDE"/>
    <w:rsid w:val="008E70A1"/>
    <w:rsid w:val="008F3383"/>
    <w:rsid w:val="00901BF7"/>
    <w:rsid w:val="009042E8"/>
    <w:rsid w:val="00904367"/>
    <w:rsid w:val="009047AA"/>
    <w:rsid w:val="00907417"/>
    <w:rsid w:val="00907E76"/>
    <w:rsid w:val="0092065A"/>
    <w:rsid w:val="00925AA7"/>
    <w:rsid w:val="009260A4"/>
    <w:rsid w:val="00947379"/>
    <w:rsid w:val="009617CA"/>
    <w:rsid w:val="00963F7B"/>
    <w:rsid w:val="00986A38"/>
    <w:rsid w:val="00992CC1"/>
    <w:rsid w:val="00994B0E"/>
    <w:rsid w:val="00996071"/>
    <w:rsid w:val="009A0C30"/>
    <w:rsid w:val="009A38FE"/>
    <w:rsid w:val="009B18CD"/>
    <w:rsid w:val="009B2165"/>
    <w:rsid w:val="009B490D"/>
    <w:rsid w:val="009D012F"/>
    <w:rsid w:val="009D3028"/>
    <w:rsid w:val="009D503B"/>
    <w:rsid w:val="009E4E14"/>
    <w:rsid w:val="009F0131"/>
    <w:rsid w:val="009F23E6"/>
    <w:rsid w:val="009F2577"/>
    <w:rsid w:val="00A01576"/>
    <w:rsid w:val="00A02021"/>
    <w:rsid w:val="00A11B79"/>
    <w:rsid w:val="00A14567"/>
    <w:rsid w:val="00A17BD7"/>
    <w:rsid w:val="00A2059F"/>
    <w:rsid w:val="00A20B44"/>
    <w:rsid w:val="00A27C2A"/>
    <w:rsid w:val="00A4077D"/>
    <w:rsid w:val="00A43906"/>
    <w:rsid w:val="00A43C58"/>
    <w:rsid w:val="00A43D14"/>
    <w:rsid w:val="00A44F1D"/>
    <w:rsid w:val="00A45669"/>
    <w:rsid w:val="00A57913"/>
    <w:rsid w:val="00A66927"/>
    <w:rsid w:val="00A67B1E"/>
    <w:rsid w:val="00A72C6C"/>
    <w:rsid w:val="00A815FE"/>
    <w:rsid w:val="00A859C5"/>
    <w:rsid w:val="00A86909"/>
    <w:rsid w:val="00AB461D"/>
    <w:rsid w:val="00AB4E67"/>
    <w:rsid w:val="00AB6F19"/>
    <w:rsid w:val="00AD43CC"/>
    <w:rsid w:val="00AD5784"/>
    <w:rsid w:val="00AD59AB"/>
    <w:rsid w:val="00AE0100"/>
    <w:rsid w:val="00AE0F40"/>
    <w:rsid w:val="00AE2465"/>
    <w:rsid w:val="00AE419E"/>
    <w:rsid w:val="00AE4B4C"/>
    <w:rsid w:val="00AF1C9F"/>
    <w:rsid w:val="00B0297F"/>
    <w:rsid w:val="00B02E15"/>
    <w:rsid w:val="00B0347E"/>
    <w:rsid w:val="00B101C4"/>
    <w:rsid w:val="00B147B0"/>
    <w:rsid w:val="00B15D22"/>
    <w:rsid w:val="00B30E94"/>
    <w:rsid w:val="00B32DD2"/>
    <w:rsid w:val="00B3730D"/>
    <w:rsid w:val="00B37B5D"/>
    <w:rsid w:val="00B37C6E"/>
    <w:rsid w:val="00B53E44"/>
    <w:rsid w:val="00B546AC"/>
    <w:rsid w:val="00B57AA2"/>
    <w:rsid w:val="00B6417C"/>
    <w:rsid w:val="00B645D6"/>
    <w:rsid w:val="00B756DC"/>
    <w:rsid w:val="00B76023"/>
    <w:rsid w:val="00B84AEB"/>
    <w:rsid w:val="00B86E0C"/>
    <w:rsid w:val="00B90EF5"/>
    <w:rsid w:val="00BA4867"/>
    <w:rsid w:val="00BB6965"/>
    <w:rsid w:val="00BC3DDB"/>
    <w:rsid w:val="00BD0A09"/>
    <w:rsid w:val="00BD192C"/>
    <w:rsid w:val="00BD1A43"/>
    <w:rsid w:val="00BD1F27"/>
    <w:rsid w:val="00BD48AC"/>
    <w:rsid w:val="00BE2CB7"/>
    <w:rsid w:val="00BE5772"/>
    <w:rsid w:val="00BF1AB6"/>
    <w:rsid w:val="00BF1C7E"/>
    <w:rsid w:val="00C011EF"/>
    <w:rsid w:val="00C05BBD"/>
    <w:rsid w:val="00C0685F"/>
    <w:rsid w:val="00C0777B"/>
    <w:rsid w:val="00C13950"/>
    <w:rsid w:val="00C14904"/>
    <w:rsid w:val="00C25315"/>
    <w:rsid w:val="00C37562"/>
    <w:rsid w:val="00C4382E"/>
    <w:rsid w:val="00C455CC"/>
    <w:rsid w:val="00C46D2B"/>
    <w:rsid w:val="00C46D7B"/>
    <w:rsid w:val="00C50FF0"/>
    <w:rsid w:val="00C61DAD"/>
    <w:rsid w:val="00C65B82"/>
    <w:rsid w:val="00C7336A"/>
    <w:rsid w:val="00C87FA6"/>
    <w:rsid w:val="00C9426C"/>
    <w:rsid w:val="00CA14F2"/>
    <w:rsid w:val="00CA3196"/>
    <w:rsid w:val="00CA3532"/>
    <w:rsid w:val="00CB4551"/>
    <w:rsid w:val="00CB7715"/>
    <w:rsid w:val="00CD2816"/>
    <w:rsid w:val="00CE1F3B"/>
    <w:rsid w:val="00CE7A24"/>
    <w:rsid w:val="00D04AAC"/>
    <w:rsid w:val="00D0504F"/>
    <w:rsid w:val="00D06969"/>
    <w:rsid w:val="00D127E2"/>
    <w:rsid w:val="00D1448B"/>
    <w:rsid w:val="00D24677"/>
    <w:rsid w:val="00D35EBB"/>
    <w:rsid w:val="00D427BB"/>
    <w:rsid w:val="00D45A88"/>
    <w:rsid w:val="00D52138"/>
    <w:rsid w:val="00D53B56"/>
    <w:rsid w:val="00D5438D"/>
    <w:rsid w:val="00D63576"/>
    <w:rsid w:val="00D64C37"/>
    <w:rsid w:val="00D85EB3"/>
    <w:rsid w:val="00D86DE2"/>
    <w:rsid w:val="00D87D07"/>
    <w:rsid w:val="00DA2622"/>
    <w:rsid w:val="00DA2833"/>
    <w:rsid w:val="00DB0EF2"/>
    <w:rsid w:val="00DB4194"/>
    <w:rsid w:val="00DC177B"/>
    <w:rsid w:val="00DC4687"/>
    <w:rsid w:val="00DC611D"/>
    <w:rsid w:val="00DC7C99"/>
    <w:rsid w:val="00DD2AC9"/>
    <w:rsid w:val="00DD477F"/>
    <w:rsid w:val="00DD7D6C"/>
    <w:rsid w:val="00DE5835"/>
    <w:rsid w:val="00DF39EC"/>
    <w:rsid w:val="00DF3C4E"/>
    <w:rsid w:val="00DF5B4F"/>
    <w:rsid w:val="00E03CD4"/>
    <w:rsid w:val="00E07206"/>
    <w:rsid w:val="00E12113"/>
    <w:rsid w:val="00E20F81"/>
    <w:rsid w:val="00E21BAD"/>
    <w:rsid w:val="00E24BFD"/>
    <w:rsid w:val="00E2576B"/>
    <w:rsid w:val="00E3071F"/>
    <w:rsid w:val="00E30EAD"/>
    <w:rsid w:val="00E31DDE"/>
    <w:rsid w:val="00E32661"/>
    <w:rsid w:val="00E3510B"/>
    <w:rsid w:val="00E352CA"/>
    <w:rsid w:val="00E45FE3"/>
    <w:rsid w:val="00E46DFD"/>
    <w:rsid w:val="00E55B41"/>
    <w:rsid w:val="00E57707"/>
    <w:rsid w:val="00E639A9"/>
    <w:rsid w:val="00E6663E"/>
    <w:rsid w:val="00E66777"/>
    <w:rsid w:val="00E7621E"/>
    <w:rsid w:val="00E7653F"/>
    <w:rsid w:val="00E819D7"/>
    <w:rsid w:val="00E83953"/>
    <w:rsid w:val="00E928AB"/>
    <w:rsid w:val="00E93DCD"/>
    <w:rsid w:val="00E96D3F"/>
    <w:rsid w:val="00EA1EF2"/>
    <w:rsid w:val="00EA37C7"/>
    <w:rsid w:val="00EA536D"/>
    <w:rsid w:val="00EA57E3"/>
    <w:rsid w:val="00EB0F81"/>
    <w:rsid w:val="00EB541C"/>
    <w:rsid w:val="00EC248A"/>
    <w:rsid w:val="00EC3C6A"/>
    <w:rsid w:val="00ED23A8"/>
    <w:rsid w:val="00ED5794"/>
    <w:rsid w:val="00EE121A"/>
    <w:rsid w:val="00EF26BC"/>
    <w:rsid w:val="00F00065"/>
    <w:rsid w:val="00F02D20"/>
    <w:rsid w:val="00F12BE0"/>
    <w:rsid w:val="00F17F5C"/>
    <w:rsid w:val="00F2073C"/>
    <w:rsid w:val="00F21398"/>
    <w:rsid w:val="00F21C89"/>
    <w:rsid w:val="00F31891"/>
    <w:rsid w:val="00F328E3"/>
    <w:rsid w:val="00F437C5"/>
    <w:rsid w:val="00F456EF"/>
    <w:rsid w:val="00F50D45"/>
    <w:rsid w:val="00F51226"/>
    <w:rsid w:val="00F5527E"/>
    <w:rsid w:val="00F66657"/>
    <w:rsid w:val="00F70370"/>
    <w:rsid w:val="00F73D8C"/>
    <w:rsid w:val="00F755AD"/>
    <w:rsid w:val="00F776CC"/>
    <w:rsid w:val="00F82B94"/>
    <w:rsid w:val="00F83D16"/>
    <w:rsid w:val="00F91A07"/>
    <w:rsid w:val="00F935EF"/>
    <w:rsid w:val="00F9647E"/>
    <w:rsid w:val="00FA119E"/>
    <w:rsid w:val="00FA1527"/>
    <w:rsid w:val="00FB545D"/>
    <w:rsid w:val="00FB631A"/>
    <w:rsid w:val="00FB6B39"/>
    <w:rsid w:val="00FB70BF"/>
    <w:rsid w:val="00FC1505"/>
    <w:rsid w:val="00FC17AA"/>
    <w:rsid w:val="00FC7662"/>
    <w:rsid w:val="00FD2209"/>
    <w:rsid w:val="00FD6C09"/>
    <w:rsid w:val="00FD70DE"/>
    <w:rsid w:val="00FE583A"/>
    <w:rsid w:val="00FE5B12"/>
    <w:rsid w:val="00FE672E"/>
    <w:rsid w:val="00FF03F9"/>
    <w:rsid w:val="00FF32F9"/>
    <w:rsid w:val="00FF543B"/>
    <w:rsid w:val="00FF5A1D"/>
    <w:rsid w:val="00FF7D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F"/>
    <w:pPr>
      <w:spacing w:after="0" w:line="240" w:lineRule="auto"/>
    </w:pPr>
    <w:rPr>
      <w:rFonts w:ascii="Times New Roman" w:eastAsia="SimSun" w:hAnsi="Times New Roman" w:cs="Times New Roman"/>
      <w:sz w:val="24"/>
      <w:szCs w:val="24"/>
      <w:lang w:val="lv-LV" w:eastAsia="zh-CN"/>
    </w:rPr>
  </w:style>
  <w:style w:type="paragraph" w:styleId="Heading1">
    <w:name w:val="heading 1"/>
    <w:basedOn w:val="Normal"/>
    <w:link w:val="Heading1Char"/>
    <w:qFormat/>
    <w:rsid w:val="002408AF"/>
    <w:pPr>
      <w:spacing w:before="100" w:beforeAutospacing="1" w:after="100" w:afterAutospacing="1"/>
      <w:jc w:val="center"/>
      <w:outlineLvl w:val="0"/>
    </w:pPr>
    <w:rPr>
      <w:rFonts w:ascii="Verdana" w:hAnsi="Verdana"/>
      <w:b/>
      <w:bCs/>
      <w:color w:val="00008B"/>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8AF"/>
    <w:rPr>
      <w:rFonts w:ascii="Verdana" w:eastAsia="SimSun" w:hAnsi="Verdana" w:cs="Times New Roman"/>
      <w:b/>
      <w:bCs/>
      <w:color w:val="00008B"/>
      <w:kern w:val="36"/>
      <w:lang w:val="lv-LV" w:eastAsia="zh-CN"/>
    </w:rPr>
  </w:style>
  <w:style w:type="paragraph" w:styleId="FootnoteText">
    <w:name w:val="footnote text"/>
    <w:basedOn w:val="Normal"/>
    <w:link w:val="FootnoteTextChar"/>
    <w:semiHidden/>
    <w:rsid w:val="002408AF"/>
    <w:rPr>
      <w:sz w:val="20"/>
      <w:szCs w:val="20"/>
    </w:rPr>
  </w:style>
  <w:style w:type="character" w:customStyle="1" w:styleId="FootnoteTextChar">
    <w:name w:val="Footnote Text Char"/>
    <w:basedOn w:val="DefaultParagraphFont"/>
    <w:link w:val="FootnoteText"/>
    <w:uiPriority w:val="99"/>
    <w:semiHidden/>
    <w:rsid w:val="002408AF"/>
    <w:rPr>
      <w:rFonts w:ascii="Times New Roman" w:eastAsia="SimSun" w:hAnsi="Times New Roman" w:cs="Times New Roman"/>
      <w:sz w:val="20"/>
      <w:szCs w:val="20"/>
      <w:lang w:val="lv-LV" w:eastAsia="zh-CN"/>
    </w:rPr>
  </w:style>
  <w:style w:type="character" w:styleId="FootnoteReference">
    <w:name w:val="footnote reference"/>
    <w:basedOn w:val="DefaultParagraphFont"/>
    <w:semiHidden/>
    <w:rsid w:val="002408AF"/>
    <w:rPr>
      <w:vertAlign w:val="superscript"/>
    </w:rPr>
  </w:style>
  <w:style w:type="paragraph" w:styleId="ListParagraph">
    <w:name w:val="List Paragraph"/>
    <w:basedOn w:val="Normal"/>
    <w:uiPriority w:val="34"/>
    <w:qFormat/>
    <w:rsid w:val="002408AF"/>
    <w:pPr>
      <w:ind w:left="720"/>
      <w:contextualSpacing/>
    </w:pPr>
  </w:style>
  <w:style w:type="character" w:styleId="Hyperlink">
    <w:name w:val="Hyperlink"/>
    <w:basedOn w:val="DefaultParagraphFont"/>
    <w:uiPriority w:val="99"/>
    <w:unhideWhenUsed/>
    <w:rsid w:val="002408AF"/>
    <w:rPr>
      <w:color w:val="0000FF" w:themeColor="hyperlink"/>
      <w:u w:val="single"/>
    </w:rPr>
  </w:style>
  <w:style w:type="paragraph" w:styleId="Header">
    <w:name w:val="header"/>
    <w:basedOn w:val="Normal"/>
    <w:link w:val="HeaderChar"/>
    <w:uiPriority w:val="99"/>
    <w:unhideWhenUsed/>
    <w:rsid w:val="002408AF"/>
    <w:pPr>
      <w:tabs>
        <w:tab w:val="center" w:pos="4320"/>
        <w:tab w:val="right" w:pos="8640"/>
      </w:tabs>
    </w:pPr>
  </w:style>
  <w:style w:type="character" w:customStyle="1" w:styleId="HeaderChar">
    <w:name w:val="Header Char"/>
    <w:basedOn w:val="DefaultParagraphFont"/>
    <w:link w:val="Header"/>
    <w:uiPriority w:val="99"/>
    <w:rsid w:val="002408AF"/>
    <w:rPr>
      <w:rFonts w:ascii="Times New Roman" w:eastAsia="SimSun" w:hAnsi="Times New Roman" w:cs="Times New Roman"/>
      <w:sz w:val="24"/>
      <w:szCs w:val="24"/>
      <w:lang w:val="lv-LV" w:eastAsia="zh-CN"/>
    </w:rPr>
  </w:style>
  <w:style w:type="paragraph" w:styleId="Footer">
    <w:name w:val="footer"/>
    <w:basedOn w:val="Normal"/>
    <w:link w:val="FooterChar"/>
    <w:uiPriority w:val="99"/>
    <w:unhideWhenUsed/>
    <w:rsid w:val="002408AF"/>
    <w:pPr>
      <w:tabs>
        <w:tab w:val="center" w:pos="4320"/>
        <w:tab w:val="right" w:pos="8640"/>
      </w:tabs>
    </w:pPr>
  </w:style>
  <w:style w:type="character" w:customStyle="1" w:styleId="FooterChar">
    <w:name w:val="Footer Char"/>
    <w:basedOn w:val="DefaultParagraphFont"/>
    <w:link w:val="Footer"/>
    <w:uiPriority w:val="99"/>
    <w:rsid w:val="002408AF"/>
    <w:rPr>
      <w:rFonts w:ascii="Times New Roman" w:eastAsia="SimSun" w:hAnsi="Times New Roman" w:cs="Times New Roman"/>
      <w:sz w:val="24"/>
      <w:szCs w:val="24"/>
      <w:lang w:val="lv-LV" w:eastAsia="zh-CN"/>
    </w:rPr>
  </w:style>
  <w:style w:type="character" w:styleId="CommentReference">
    <w:name w:val="annotation reference"/>
    <w:basedOn w:val="DefaultParagraphFont"/>
    <w:uiPriority w:val="99"/>
    <w:semiHidden/>
    <w:unhideWhenUsed/>
    <w:rsid w:val="00A72C6C"/>
    <w:rPr>
      <w:sz w:val="16"/>
      <w:szCs w:val="16"/>
    </w:rPr>
  </w:style>
  <w:style w:type="paragraph" w:styleId="CommentText">
    <w:name w:val="annotation text"/>
    <w:basedOn w:val="Normal"/>
    <w:link w:val="CommentTextChar"/>
    <w:uiPriority w:val="99"/>
    <w:semiHidden/>
    <w:unhideWhenUsed/>
    <w:rsid w:val="00A72C6C"/>
    <w:rPr>
      <w:sz w:val="20"/>
      <w:szCs w:val="20"/>
    </w:rPr>
  </w:style>
  <w:style w:type="character" w:customStyle="1" w:styleId="CommentTextChar">
    <w:name w:val="Comment Text Char"/>
    <w:basedOn w:val="DefaultParagraphFont"/>
    <w:link w:val="CommentText"/>
    <w:uiPriority w:val="99"/>
    <w:semiHidden/>
    <w:rsid w:val="00A72C6C"/>
    <w:rPr>
      <w:rFonts w:ascii="Times New Roman" w:eastAsia="SimSun" w:hAnsi="Times New Roman" w:cs="Times New Roman"/>
      <w:sz w:val="20"/>
      <w:szCs w:val="20"/>
      <w:lang w:val="lv-LV" w:eastAsia="zh-CN"/>
    </w:rPr>
  </w:style>
  <w:style w:type="paragraph" w:styleId="CommentSubject">
    <w:name w:val="annotation subject"/>
    <w:basedOn w:val="CommentText"/>
    <w:next w:val="CommentText"/>
    <w:link w:val="CommentSubjectChar"/>
    <w:uiPriority w:val="99"/>
    <w:semiHidden/>
    <w:unhideWhenUsed/>
    <w:rsid w:val="00A72C6C"/>
    <w:rPr>
      <w:b/>
      <w:bCs/>
    </w:rPr>
  </w:style>
  <w:style w:type="character" w:customStyle="1" w:styleId="CommentSubjectChar">
    <w:name w:val="Comment Subject Char"/>
    <w:basedOn w:val="CommentTextChar"/>
    <w:link w:val="CommentSubject"/>
    <w:uiPriority w:val="99"/>
    <w:semiHidden/>
    <w:rsid w:val="00A72C6C"/>
    <w:rPr>
      <w:rFonts w:ascii="Times New Roman" w:eastAsia="SimSun" w:hAnsi="Times New Roman" w:cs="Times New Roman"/>
      <w:b/>
      <w:bCs/>
      <w:sz w:val="20"/>
      <w:szCs w:val="20"/>
      <w:lang w:val="lv-LV" w:eastAsia="zh-CN"/>
    </w:rPr>
  </w:style>
  <w:style w:type="paragraph" w:styleId="BalloonText">
    <w:name w:val="Balloon Text"/>
    <w:basedOn w:val="Normal"/>
    <w:link w:val="BalloonTextChar"/>
    <w:uiPriority w:val="99"/>
    <w:semiHidden/>
    <w:unhideWhenUsed/>
    <w:rsid w:val="00A72C6C"/>
    <w:rPr>
      <w:rFonts w:ascii="Tahoma" w:hAnsi="Tahoma" w:cs="Tahoma"/>
      <w:sz w:val="16"/>
      <w:szCs w:val="16"/>
    </w:rPr>
  </w:style>
  <w:style w:type="character" w:customStyle="1" w:styleId="BalloonTextChar">
    <w:name w:val="Balloon Text Char"/>
    <w:basedOn w:val="DefaultParagraphFont"/>
    <w:link w:val="BalloonText"/>
    <w:uiPriority w:val="99"/>
    <w:semiHidden/>
    <w:rsid w:val="00A72C6C"/>
    <w:rPr>
      <w:rFonts w:ascii="Tahoma" w:eastAsia="SimSun" w:hAnsi="Tahoma" w:cs="Tahoma"/>
      <w:sz w:val="16"/>
      <w:szCs w:val="16"/>
      <w:lang w:val="lv-LV" w:eastAsia="zh-CN"/>
    </w:rPr>
  </w:style>
  <w:style w:type="character" w:customStyle="1" w:styleId="st1">
    <w:name w:val="st1"/>
    <w:basedOn w:val="DefaultParagraphFont"/>
    <w:rsid w:val="00FD2209"/>
  </w:style>
  <w:style w:type="paragraph" w:styleId="BodyTextIndent2">
    <w:name w:val="Body Text Indent 2"/>
    <w:basedOn w:val="Normal"/>
    <w:link w:val="BodyTextIndent2Char"/>
    <w:uiPriority w:val="99"/>
    <w:rsid w:val="00FA119E"/>
    <w:pPr>
      <w:overflowPunct w:val="0"/>
      <w:autoSpaceDE w:val="0"/>
      <w:autoSpaceDN w:val="0"/>
      <w:adjustRightInd w:val="0"/>
      <w:ind w:firstLine="720"/>
      <w:jc w:val="both"/>
      <w:textAlignment w:val="baseline"/>
    </w:pPr>
    <w:rPr>
      <w:rFonts w:eastAsia="Times New Roman"/>
      <w:sz w:val="26"/>
      <w:szCs w:val="26"/>
      <w:lang w:eastAsia="en-US"/>
    </w:rPr>
  </w:style>
  <w:style w:type="character" w:customStyle="1" w:styleId="BodyTextIndent2Char">
    <w:name w:val="Body Text Indent 2 Char"/>
    <w:basedOn w:val="DefaultParagraphFont"/>
    <w:link w:val="BodyTextIndent2"/>
    <w:uiPriority w:val="99"/>
    <w:rsid w:val="00FA119E"/>
    <w:rPr>
      <w:rFonts w:ascii="Times New Roman" w:eastAsia="Times New Roman" w:hAnsi="Times New Roman" w:cs="Times New Roman"/>
      <w:sz w:val="26"/>
      <w:szCs w:val="26"/>
      <w:lang w:val="lv-LV"/>
    </w:rPr>
  </w:style>
  <w:style w:type="paragraph" w:styleId="PlainText">
    <w:name w:val="Plain Text"/>
    <w:basedOn w:val="Normal"/>
    <w:link w:val="PlainTextChar"/>
    <w:uiPriority w:val="99"/>
    <w:unhideWhenUsed/>
    <w:rsid w:val="00C50FF0"/>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50FF0"/>
    <w:rPr>
      <w:rFonts w:ascii="Consolas" w:hAnsi="Consolas" w:cs="Consolas"/>
      <w:sz w:val="21"/>
      <w:szCs w:val="21"/>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F"/>
    <w:pPr>
      <w:spacing w:after="0" w:line="240" w:lineRule="auto"/>
    </w:pPr>
    <w:rPr>
      <w:rFonts w:ascii="Times New Roman" w:eastAsia="SimSun" w:hAnsi="Times New Roman" w:cs="Times New Roman"/>
      <w:sz w:val="24"/>
      <w:szCs w:val="24"/>
      <w:lang w:val="lv-LV" w:eastAsia="zh-CN"/>
    </w:rPr>
  </w:style>
  <w:style w:type="paragraph" w:styleId="Heading1">
    <w:name w:val="heading 1"/>
    <w:basedOn w:val="Normal"/>
    <w:link w:val="Heading1Char"/>
    <w:qFormat/>
    <w:rsid w:val="002408AF"/>
    <w:pPr>
      <w:spacing w:before="100" w:beforeAutospacing="1" w:after="100" w:afterAutospacing="1"/>
      <w:jc w:val="center"/>
      <w:outlineLvl w:val="0"/>
    </w:pPr>
    <w:rPr>
      <w:rFonts w:ascii="Verdana" w:hAnsi="Verdana"/>
      <w:b/>
      <w:bCs/>
      <w:color w:val="00008B"/>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8AF"/>
    <w:rPr>
      <w:rFonts w:ascii="Verdana" w:eastAsia="SimSun" w:hAnsi="Verdana" w:cs="Times New Roman"/>
      <w:b/>
      <w:bCs/>
      <w:color w:val="00008B"/>
      <w:kern w:val="36"/>
      <w:lang w:val="lv-LV" w:eastAsia="zh-CN"/>
    </w:rPr>
  </w:style>
  <w:style w:type="paragraph" w:styleId="FootnoteText">
    <w:name w:val="footnote text"/>
    <w:basedOn w:val="Normal"/>
    <w:link w:val="FootnoteTextChar"/>
    <w:semiHidden/>
    <w:rsid w:val="002408AF"/>
    <w:rPr>
      <w:sz w:val="20"/>
      <w:szCs w:val="20"/>
    </w:rPr>
  </w:style>
  <w:style w:type="character" w:customStyle="1" w:styleId="FootnoteTextChar">
    <w:name w:val="Footnote Text Char"/>
    <w:basedOn w:val="DefaultParagraphFont"/>
    <w:link w:val="FootnoteText"/>
    <w:uiPriority w:val="99"/>
    <w:semiHidden/>
    <w:rsid w:val="002408AF"/>
    <w:rPr>
      <w:rFonts w:ascii="Times New Roman" w:eastAsia="SimSun" w:hAnsi="Times New Roman" w:cs="Times New Roman"/>
      <w:sz w:val="20"/>
      <w:szCs w:val="20"/>
      <w:lang w:val="lv-LV" w:eastAsia="zh-CN"/>
    </w:rPr>
  </w:style>
  <w:style w:type="character" w:styleId="FootnoteReference">
    <w:name w:val="footnote reference"/>
    <w:basedOn w:val="DefaultParagraphFont"/>
    <w:semiHidden/>
    <w:rsid w:val="002408AF"/>
    <w:rPr>
      <w:vertAlign w:val="superscript"/>
    </w:rPr>
  </w:style>
  <w:style w:type="paragraph" w:styleId="ListParagraph">
    <w:name w:val="List Paragraph"/>
    <w:basedOn w:val="Normal"/>
    <w:uiPriority w:val="34"/>
    <w:qFormat/>
    <w:rsid w:val="002408AF"/>
    <w:pPr>
      <w:ind w:left="720"/>
      <w:contextualSpacing/>
    </w:pPr>
  </w:style>
  <w:style w:type="character" w:styleId="Hyperlink">
    <w:name w:val="Hyperlink"/>
    <w:basedOn w:val="DefaultParagraphFont"/>
    <w:uiPriority w:val="99"/>
    <w:unhideWhenUsed/>
    <w:rsid w:val="002408AF"/>
    <w:rPr>
      <w:color w:val="0000FF" w:themeColor="hyperlink"/>
      <w:u w:val="single"/>
    </w:rPr>
  </w:style>
  <w:style w:type="paragraph" w:styleId="Header">
    <w:name w:val="header"/>
    <w:basedOn w:val="Normal"/>
    <w:link w:val="HeaderChar"/>
    <w:uiPriority w:val="99"/>
    <w:unhideWhenUsed/>
    <w:rsid w:val="002408AF"/>
    <w:pPr>
      <w:tabs>
        <w:tab w:val="center" w:pos="4320"/>
        <w:tab w:val="right" w:pos="8640"/>
      </w:tabs>
    </w:pPr>
  </w:style>
  <w:style w:type="character" w:customStyle="1" w:styleId="HeaderChar">
    <w:name w:val="Header Char"/>
    <w:basedOn w:val="DefaultParagraphFont"/>
    <w:link w:val="Header"/>
    <w:uiPriority w:val="99"/>
    <w:rsid w:val="002408AF"/>
    <w:rPr>
      <w:rFonts w:ascii="Times New Roman" w:eastAsia="SimSun" w:hAnsi="Times New Roman" w:cs="Times New Roman"/>
      <w:sz w:val="24"/>
      <w:szCs w:val="24"/>
      <w:lang w:val="lv-LV" w:eastAsia="zh-CN"/>
    </w:rPr>
  </w:style>
  <w:style w:type="paragraph" w:styleId="Footer">
    <w:name w:val="footer"/>
    <w:basedOn w:val="Normal"/>
    <w:link w:val="FooterChar"/>
    <w:uiPriority w:val="99"/>
    <w:unhideWhenUsed/>
    <w:rsid w:val="002408AF"/>
    <w:pPr>
      <w:tabs>
        <w:tab w:val="center" w:pos="4320"/>
        <w:tab w:val="right" w:pos="8640"/>
      </w:tabs>
    </w:pPr>
  </w:style>
  <w:style w:type="character" w:customStyle="1" w:styleId="FooterChar">
    <w:name w:val="Footer Char"/>
    <w:basedOn w:val="DefaultParagraphFont"/>
    <w:link w:val="Footer"/>
    <w:uiPriority w:val="99"/>
    <w:rsid w:val="002408AF"/>
    <w:rPr>
      <w:rFonts w:ascii="Times New Roman" w:eastAsia="SimSun" w:hAnsi="Times New Roman" w:cs="Times New Roman"/>
      <w:sz w:val="24"/>
      <w:szCs w:val="24"/>
      <w:lang w:val="lv-LV" w:eastAsia="zh-CN"/>
    </w:rPr>
  </w:style>
  <w:style w:type="character" w:styleId="CommentReference">
    <w:name w:val="annotation reference"/>
    <w:basedOn w:val="DefaultParagraphFont"/>
    <w:uiPriority w:val="99"/>
    <w:semiHidden/>
    <w:unhideWhenUsed/>
    <w:rsid w:val="00A72C6C"/>
    <w:rPr>
      <w:sz w:val="16"/>
      <w:szCs w:val="16"/>
    </w:rPr>
  </w:style>
  <w:style w:type="paragraph" w:styleId="CommentText">
    <w:name w:val="annotation text"/>
    <w:basedOn w:val="Normal"/>
    <w:link w:val="CommentTextChar"/>
    <w:uiPriority w:val="99"/>
    <w:semiHidden/>
    <w:unhideWhenUsed/>
    <w:rsid w:val="00A72C6C"/>
    <w:rPr>
      <w:sz w:val="20"/>
      <w:szCs w:val="20"/>
    </w:rPr>
  </w:style>
  <w:style w:type="character" w:customStyle="1" w:styleId="CommentTextChar">
    <w:name w:val="Comment Text Char"/>
    <w:basedOn w:val="DefaultParagraphFont"/>
    <w:link w:val="CommentText"/>
    <w:uiPriority w:val="99"/>
    <w:semiHidden/>
    <w:rsid w:val="00A72C6C"/>
    <w:rPr>
      <w:rFonts w:ascii="Times New Roman" w:eastAsia="SimSun" w:hAnsi="Times New Roman" w:cs="Times New Roman"/>
      <w:sz w:val="20"/>
      <w:szCs w:val="20"/>
      <w:lang w:val="lv-LV" w:eastAsia="zh-CN"/>
    </w:rPr>
  </w:style>
  <w:style w:type="paragraph" w:styleId="CommentSubject">
    <w:name w:val="annotation subject"/>
    <w:basedOn w:val="CommentText"/>
    <w:next w:val="CommentText"/>
    <w:link w:val="CommentSubjectChar"/>
    <w:uiPriority w:val="99"/>
    <w:semiHidden/>
    <w:unhideWhenUsed/>
    <w:rsid w:val="00A72C6C"/>
    <w:rPr>
      <w:b/>
      <w:bCs/>
    </w:rPr>
  </w:style>
  <w:style w:type="character" w:customStyle="1" w:styleId="CommentSubjectChar">
    <w:name w:val="Comment Subject Char"/>
    <w:basedOn w:val="CommentTextChar"/>
    <w:link w:val="CommentSubject"/>
    <w:uiPriority w:val="99"/>
    <w:semiHidden/>
    <w:rsid w:val="00A72C6C"/>
    <w:rPr>
      <w:rFonts w:ascii="Times New Roman" w:eastAsia="SimSun" w:hAnsi="Times New Roman" w:cs="Times New Roman"/>
      <w:b/>
      <w:bCs/>
      <w:sz w:val="20"/>
      <w:szCs w:val="20"/>
      <w:lang w:val="lv-LV" w:eastAsia="zh-CN"/>
    </w:rPr>
  </w:style>
  <w:style w:type="paragraph" w:styleId="BalloonText">
    <w:name w:val="Balloon Text"/>
    <w:basedOn w:val="Normal"/>
    <w:link w:val="BalloonTextChar"/>
    <w:uiPriority w:val="99"/>
    <w:semiHidden/>
    <w:unhideWhenUsed/>
    <w:rsid w:val="00A72C6C"/>
    <w:rPr>
      <w:rFonts w:ascii="Tahoma" w:hAnsi="Tahoma" w:cs="Tahoma"/>
      <w:sz w:val="16"/>
      <w:szCs w:val="16"/>
    </w:rPr>
  </w:style>
  <w:style w:type="character" w:customStyle="1" w:styleId="BalloonTextChar">
    <w:name w:val="Balloon Text Char"/>
    <w:basedOn w:val="DefaultParagraphFont"/>
    <w:link w:val="BalloonText"/>
    <w:uiPriority w:val="99"/>
    <w:semiHidden/>
    <w:rsid w:val="00A72C6C"/>
    <w:rPr>
      <w:rFonts w:ascii="Tahoma" w:eastAsia="SimSun" w:hAnsi="Tahoma" w:cs="Tahoma"/>
      <w:sz w:val="16"/>
      <w:szCs w:val="16"/>
      <w:lang w:val="lv-LV" w:eastAsia="zh-CN"/>
    </w:rPr>
  </w:style>
  <w:style w:type="character" w:customStyle="1" w:styleId="st1">
    <w:name w:val="st1"/>
    <w:basedOn w:val="DefaultParagraphFont"/>
    <w:rsid w:val="00FD2209"/>
  </w:style>
  <w:style w:type="paragraph" w:styleId="BodyTextIndent2">
    <w:name w:val="Body Text Indent 2"/>
    <w:basedOn w:val="Normal"/>
    <w:link w:val="BodyTextIndent2Char"/>
    <w:uiPriority w:val="99"/>
    <w:rsid w:val="00FA119E"/>
    <w:pPr>
      <w:overflowPunct w:val="0"/>
      <w:autoSpaceDE w:val="0"/>
      <w:autoSpaceDN w:val="0"/>
      <w:adjustRightInd w:val="0"/>
      <w:ind w:firstLine="720"/>
      <w:jc w:val="both"/>
      <w:textAlignment w:val="baseline"/>
    </w:pPr>
    <w:rPr>
      <w:rFonts w:eastAsia="Times New Roman"/>
      <w:sz w:val="26"/>
      <w:szCs w:val="26"/>
      <w:lang w:eastAsia="en-US"/>
    </w:rPr>
  </w:style>
  <w:style w:type="character" w:customStyle="1" w:styleId="BodyTextIndent2Char">
    <w:name w:val="Body Text Indent 2 Char"/>
    <w:basedOn w:val="DefaultParagraphFont"/>
    <w:link w:val="BodyTextIndent2"/>
    <w:uiPriority w:val="99"/>
    <w:rsid w:val="00FA119E"/>
    <w:rPr>
      <w:rFonts w:ascii="Times New Roman" w:eastAsia="Times New Roman" w:hAnsi="Times New Roman" w:cs="Times New Roman"/>
      <w:sz w:val="26"/>
      <w:szCs w:val="26"/>
      <w:lang w:val="lv-LV"/>
    </w:rPr>
  </w:style>
  <w:style w:type="paragraph" w:styleId="PlainText">
    <w:name w:val="Plain Text"/>
    <w:basedOn w:val="Normal"/>
    <w:link w:val="PlainTextChar"/>
    <w:uiPriority w:val="99"/>
    <w:unhideWhenUsed/>
    <w:rsid w:val="00C50FF0"/>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50FF0"/>
    <w:rPr>
      <w:rFonts w:ascii="Consolas" w:hAnsi="Consolas" w:cs="Consolas"/>
      <w:sz w:val="21"/>
      <w:szCs w:val="21"/>
      <w:lang w:val="lv-LV"/>
    </w:rPr>
  </w:style>
</w:styles>
</file>

<file path=word/webSettings.xml><?xml version="1.0" encoding="utf-8"?>
<w:webSettings xmlns:r="http://schemas.openxmlformats.org/officeDocument/2006/relationships" xmlns:w="http://schemas.openxmlformats.org/wordprocessingml/2006/main">
  <w:divs>
    <w:div w:id="238059148">
      <w:bodyDiv w:val="1"/>
      <w:marLeft w:val="0"/>
      <w:marRight w:val="0"/>
      <w:marTop w:val="0"/>
      <w:marBottom w:val="0"/>
      <w:divBdr>
        <w:top w:val="none" w:sz="0" w:space="0" w:color="auto"/>
        <w:left w:val="none" w:sz="0" w:space="0" w:color="auto"/>
        <w:bottom w:val="none" w:sz="0" w:space="0" w:color="auto"/>
        <w:right w:val="none" w:sz="0" w:space="0" w:color="auto"/>
      </w:divBdr>
    </w:div>
    <w:div w:id="690686804">
      <w:bodyDiv w:val="1"/>
      <w:marLeft w:val="0"/>
      <w:marRight w:val="0"/>
      <w:marTop w:val="0"/>
      <w:marBottom w:val="0"/>
      <w:divBdr>
        <w:top w:val="none" w:sz="0" w:space="0" w:color="auto"/>
        <w:left w:val="none" w:sz="0" w:space="0" w:color="auto"/>
        <w:bottom w:val="none" w:sz="0" w:space="0" w:color="auto"/>
        <w:right w:val="none" w:sz="0" w:space="0" w:color="auto"/>
      </w:divBdr>
    </w:div>
    <w:div w:id="743837667">
      <w:bodyDiv w:val="1"/>
      <w:marLeft w:val="0"/>
      <w:marRight w:val="0"/>
      <w:marTop w:val="0"/>
      <w:marBottom w:val="0"/>
      <w:divBdr>
        <w:top w:val="none" w:sz="0" w:space="0" w:color="auto"/>
        <w:left w:val="none" w:sz="0" w:space="0" w:color="auto"/>
        <w:bottom w:val="none" w:sz="0" w:space="0" w:color="auto"/>
        <w:right w:val="none" w:sz="0" w:space="0" w:color="auto"/>
      </w:divBdr>
    </w:div>
    <w:div w:id="951782877">
      <w:bodyDiv w:val="1"/>
      <w:marLeft w:val="0"/>
      <w:marRight w:val="0"/>
      <w:marTop w:val="0"/>
      <w:marBottom w:val="0"/>
      <w:divBdr>
        <w:top w:val="none" w:sz="0" w:space="0" w:color="auto"/>
        <w:left w:val="none" w:sz="0" w:space="0" w:color="auto"/>
        <w:bottom w:val="none" w:sz="0" w:space="0" w:color="auto"/>
        <w:right w:val="none" w:sz="0" w:space="0" w:color="auto"/>
      </w:divBdr>
    </w:div>
    <w:div w:id="1356031666">
      <w:bodyDiv w:val="1"/>
      <w:marLeft w:val="0"/>
      <w:marRight w:val="0"/>
      <w:marTop w:val="0"/>
      <w:marBottom w:val="0"/>
      <w:divBdr>
        <w:top w:val="none" w:sz="0" w:space="0" w:color="auto"/>
        <w:left w:val="none" w:sz="0" w:space="0" w:color="auto"/>
        <w:bottom w:val="none" w:sz="0" w:space="0" w:color="auto"/>
        <w:right w:val="none" w:sz="0" w:space="0" w:color="auto"/>
      </w:divBdr>
    </w:div>
    <w:div w:id="1574507566">
      <w:bodyDiv w:val="1"/>
      <w:marLeft w:val="0"/>
      <w:marRight w:val="0"/>
      <w:marTop w:val="0"/>
      <w:marBottom w:val="0"/>
      <w:divBdr>
        <w:top w:val="none" w:sz="0" w:space="0" w:color="auto"/>
        <w:left w:val="none" w:sz="0" w:space="0" w:color="auto"/>
        <w:bottom w:val="none" w:sz="0" w:space="0" w:color="auto"/>
        <w:right w:val="none" w:sz="0" w:space="0" w:color="auto"/>
      </w:divBdr>
    </w:div>
    <w:div w:id="2120832577">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rusinska@varam.gov.l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F45F-5551-4406-9695-B2BB5DDF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3965</Words>
  <Characters>2261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Trušinska</dc:creator>
  <cp:lastModifiedBy>Ilze Trusinska</cp:lastModifiedBy>
  <cp:revision>2</cp:revision>
  <cp:lastPrinted>2015-06-09T12:16:00Z</cp:lastPrinted>
  <dcterms:created xsi:type="dcterms:W3CDTF">2015-09-03T13:10:00Z</dcterms:created>
  <dcterms:modified xsi:type="dcterms:W3CDTF">2015-09-03T13:10:00Z</dcterms:modified>
</cp:coreProperties>
</file>