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AC" w:rsidRPr="00C2109B" w:rsidRDefault="00287AAC" w:rsidP="002F0DCB">
      <w:pPr>
        <w:pStyle w:val="NoSpacing"/>
        <w:shd w:val="clear" w:color="auto" w:fill="FFFFFF" w:themeFill="background1"/>
        <w:jc w:val="center"/>
        <w:rPr>
          <w:rFonts w:ascii="Times New Roman" w:hAnsi="Times New Roman" w:cs="Times New Roman"/>
          <w:b/>
          <w:sz w:val="24"/>
          <w:szCs w:val="24"/>
        </w:rPr>
      </w:pPr>
    </w:p>
    <w:p w:rsidR="00B56616" w:rsidRPr="00C2109B" w:rsidRDefault="00AC738A" w:rsidP="002F0DCB">
      <w:pPr>
        <w:pStyle w:val="NoSpacing"/>
        <w:shd w:val="clear" w:color="auto" w:fill="FFFFFF" w:themeFill="background1"/>
        <w:jc w:val="center"/>
        <w:rPr>
          <w:rFonts w:ascii="Times New Roman" w:hAnsi="Times New Roman" w:cs="Times New Roman"/>
          <w:b/>
          <w:sz w:val="28"/>
          <w:szCs w:val="24"/>
        </w:rPr>
      </w:pPr>
      <w:r w:rsidRPr="00C2109B">
        <w:rPr>
          <w:rFonts w:ascii="Times New Roman" w:hAnsi="Times New Roman" w:cs="Times New Roman"/>
          <w:b/>
          <w:sz w:val="28"/>
        </w:rPr>
        <w:t xml:space="preserve">Daudzpusējā vienošanās </w:t>
      </w:r>
      <w:r w:rsidR="001F3F8A" w:rsidRPr="00C2109B">
        <w:rPr>
          <w:rFonts w:ascii="Times New Roman" w:hAnsi="Times New Roman" w:cs="Times New Roman"/>
          <w:b/>
          <w:sz w:val="28"/>
        </w:rPr>
        <w:t xml:space="preserve">starp Luksemburgu un dalībvalstīm par </w:t>
      </w:r>
      <w:r w:rsidR="0012053A" w:rsidRPr="00C2109B">
        <w:rPr>
          <w:rFonts w:ascii="Times New Roman" w:hAnsi="Times New Roman" w:cs="Times New Roman"/>
          <w:b/>
          <w:sz w:val="28"/>
        </w:rPr>
        <w:t>„</w:t>
      </w:r>
      <w:r w:rsidR="001F3F8A" w:rsidRPr="00C2109B">
        <w:rPr>
          <w:rFonts w:ascii="Times New Roman" w:hAnsi="Times New Roman" w:cs="Times New Roman"/>
          <w:b/>
          <w:sz w:val="28"/>
        </w:rPr>
        <w:t>ESPON 202</w:t>
      </w:r>
      <w:r w:rsidR="0012053A" w:rsidRPr="00C2109B">
        <w:rPr>
          <w:rFonts w:ascii="Times New Roman" w:hAnsi="Times New Roman" w:cs="Times New Roman"/>
          <w:b/>
          <w:sz w:val="28"/>
        </w:rPr>
        <w:t>0”</w:t>
      </w:r>
      <w:r w:rsidR="001F3F8A" w:rsidRPr="00C2109B">
        <w:rPr>
          <w:rFonts w:ascii="Times New Roman" w:hAnsi="Times New Roman" w:cs="Times New Roman"/>
          <w:b/>
          <w:sz w:val="28"/>
        </w:rPr>
        <w:t xml:space="preserve"> </w:t>
      </w:r>
      <w:r w:rsidR="007F17CB" w:rsidRPr="00C2109B">
        <w:rPr>
          <w:rFonts w:ascii="Times New Roman" w:hAnsi="Times New Roman" w:cs="Times New Roman"/>
          <w:b/>
          <w:sz w:val="28"/>
        </w:rPr>
        <w:t xml:space="preserve">sadarbības programmas </w:t>
      </w:r>
      <w:r w:rsidR="001F3F8A" w:rsidRPr="00C2109B">
        <w:rPr>
          <w:rFonts w:ascii="Times New Roman" w:hAnsi="Times New Roman" w:cs="Times New Roman"/>
          <w:b/>
          <w:sz w:val="28"/>
        </w:rPr>
        <w:t xml:space="preserve">īstenošanas, uzraudzības un </w:t>
      </w:r>
    </w:p>
    <w:p w:rsidR="00B56616" w:rsidRPr="00C2109B" w:rsidRDefault="007F17CB" w:rsidP="002F0DCB">
      <w:pPr>
        <w:pStyle w:val="NoSpacing"/>
        <w:shd w:val="clear" w:color="auto" w:fill="FFFFFF" w:themeFill="background1"/>
        <w:jc w:val="center"/>
        <w:rPr>
          <w:rFonts w:ascii="Times New Roman" w:hAnsi="Times New Roman" w:cs="Times New Roman"/>
          <w:b/>
          <w:sz w:val="28"/>
          <w:szCs w:val="24"/>
        </w:rPr>
      </w:pPr>
      <w:r w:rsidRPr="00C2109B">
        <w:rPr>
          <w:rFonts w:ascii="Times New Roman" w:hAnsi="Times New Roman" w:cs="Times New Roman"/>
          <w:b/>
          <w:sz w:val="28"/>
        </w:rPr>
        <w:t>kontroles sistēmu,</w:t>
      </w:r>
    </w:p>
    <w:p w:rsidR="00D665C2" w:rsidRPr="00C2109B" w:rsidRDefault="00D665C2" w:rsidP="002F0DCB">
      <w:pPr>
        <w:pStyle w:val="NoSpacing"/>
        <w:shd w:val="clear" w:color="auto" w:fill="FFFFFF" w:themeFill="background1"/>
        <w:jc w:val="center"/>
        <w:rPr>
          <w:rFonts w:ascii="Times New Roman" w:hAnsi="Times New Roman" w:cs="Times New Roman"/>
          <w:b/>
          <w:sz w:val="28"/>
          <w:szCs w:val="24"/>
        </w:rPr>
      </w:pPr>
    </w:p>
    <w:p w:rsidR="00EF2C93" w:rsidRPr="00C2109B" w:rsidRDefault="00F86C08" w:rsidP="004460C0">
      <w:pPr>
        <w:pStyle w:val="NoSpacing"/>
        <w:shd w:val="clear" w:color="auto" w:fill="FFFFFF" w:themeFill="background1"/>
        <w:jc w:val="center"/>
        <w:rPr>
          <w:rFonts w:ascii="Times New Roman" w:hAnsi="Times New Roman" w:cs="Times New Roman"/>
          <w:b/>
          <w:sz w:val="28"/>
          <w:szCs w:val="24"/>
        </w:rPr>
      </w:pPr>
      <w:r w:rsidRPr="00C2109B">
        <w:rPr>
          <w:rFonts w:ascii="Times New Roman" w:hAnsi="Times New Roman" w:cs="Times New Roman"/>
          <w:b/>
          <w:sz w:val="28"/>
        </w:rPr>
        <w:t xml:space="preserve">tostarp atsauces dokuments par </w:t>
      </w:r>
      <w:r w:rsidRPr="00C2109B">
        <w:rPr>
          <w:rFonts w:ascii="Times New Roman" w:hAnsi="Times New Roman" w:cs="Times New Roman"/>
          <w:b/>
          <w:i/>
          <w:sz w:val="28"/>
        </w:rPr>
        <w:t>ESPON ETSG</w:t>
      </w:r>
      <w:r w:rsidRPr="00C2109B">
        <w:rPr>
          <w:rFonts w:ascii="Times New Roman" w:hAnsi="Times New Roman" w:cs="Times New Roman"/>
          <w:b/>
          <w:sz w:val="28"/>
        </w:rPr>
        <w:t xml:space="preserve"> </w:t>
      </w:r>
      <w:r w:rsidR="00AC738A" w:rsidRPr="00C2109B">
        <w:rPr>
          <w:rFonts w:ascii="Times New Roman" w:hAnsi="Times New Roman" w:cs="Times New Roman"/>
          <w:b/>
          <w:sz w:val="28"/>
        </w:rPr>
        <w:t xml:space="preserve">riska </w:t>
      </w:r>
      <w:r w:rsidRPr="00C2109B">
        <w:rPr>
          <w:rFonts w:ascii="Times New Roman" w:hAnsi="Times New Roman" w:cs="Times New Roman"/>
          <w:b/>
          <w:sz w:val="28"/>
        </w:rPr>
        <w:t>atbildības mehānismu</w:t>
      </w:r>
    </w:p>
    <w:p w:rsidR="00F90F9A" w:rsidRPr="00C2109B" w:rsidRDefault="00F90F9A" w:rsidP="00E2474C">
      <w:pPr>
        <w:pStyle w:val="NoSpacing"/>
        <w:shd w:val="clear" w:color="auto" w:fill="FFFFFF" w:themeFill="background1"/>
        <w:spacing w:after="240"/>
        <w:jc w:val="center"/>
        <w:rPr>
          <w:rFonts w:ascii="Times New Roman" w:hAnsi="Times New Roman" w:cs="Times New Roman"/>
          <w:b/>
          <w:i/>
          <w:sz w:val="24"/>
          <w:szCs w:val="24"/>
        </w:rPr>
      </w:pP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Saskaņā ar ES regulām, ar ko paredz noteikumus par Eiropas strukturālajiem un investīciju fondiem (turpmā</w:t>
      </w:r>
      <w:r w:rsidR="00A82498" w:rsidRPr="00C2109B">
        <w:rPr>
          <w:rFonts w:ascii="Times New Roman" w:hAnsi="Times New Roman" w:cs="Times New Roman"/>
          <w:sz w:val="24"/>
          <w:szCs w:val="24"/>
        </w:rPr>
        <w:t>k tekstā – ESI fondi), it īpaši</w:t>
      </w:r>
    </w:p>
    <w:p w:rsidR="00E53CB1" w:rsidRPr="00C2109B" w:rsidRDefault="00E53CB1" w:rsidP="00E53CB1">
      <w:pPr>
        <w:pStyle w:val="NoSpacing"/>
        <w:numPr>
          <w:ilvl w:val="0"/>
          <w:numId w:val="1"/>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EIROPAS PARLAMENTA UN PADOMES 2013. gada 17. 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tekstā – </w:t>
      </w:r>
      <w:r w:rsidRPr="00C2109B">
        <w:rPr>
          <w:rFonts w:ascii="Times New Roman" w:hAnsi="Times New Roman" w:cs="Times New Roman"/>
          <w:sz w:val="24"/>
          <w:szCs w:val="24"/>
          <w:u w:val="single"/>
        </w:rPr>
        <w:t>KNR</w:t>
      </w:r>
      <w:r w:rsidR="00A82498" w:rsidRPr="00C2109B">
        <w:rPr>
          <w:rFonts w:ascii="Times New Roman" w:hAnsi="Times New Roman" w:cs="Times New Roman"/>
          <w:sz w:val="24"/>
          <w:szCs w:val="24"/>
        </w:rPr>
        <w:t>),</w:t>
      </w:r>
    </w:p>
    <w:p w:rsidR="00E53CB1" w:rsidRPr="00C2109B" w:rsidRDefault="00E53CB1" w:rsidP="00E53CB1">
      <w:pPr>
        <w:pStyle w:val="NoSpacing"/>
        <w:numPr>
          <w:ilvl w:val="0"/>
          <w:numId w:val="1"/>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EIROPAS PARLAMENTA UN PADOMES 2013. gada 17. decembra REGULU (ES) Nr. 1301/2013 par Eiropas Reģionālās attīstības fondu un īpašiem noteikumiem attiecībā uz mērķi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Investīcijas izaugsmei un nodarbinātībai</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 xml:space="preserve"> un ar ko atceļ Regulu (EK) Nr. 1080/2006 (turpmāk tekstā – </w:t>
      </w:r>
      <w:r w:rsidRPr="00C2109B">
        <w:rPr>
          <w:rFonts w:ascii="Times New Roman" w:hAnsi="Times New Roman" w:cs="Times New Roman"/>
          <w:sz w:val="24"/>
          <w:szCs w:val="24"/>
          <w:u w:val="single"/>
        </w:rPr>
        <w:t>ERAF regula</w:t>
      </w:r>
      <w:r w:rsidRPr="00C2109B">
        <w:rPr>
          <w:rFonts w:ascii="Times New Roman" w:hAnsi="Times New Roman" w:cs="Times New Roman"/>
          <w:sz w:val="24"/>
          <w:szCs w:val="24"/>
        </w:rPr>
        <w:t>),</w:t>
      </w:r>
    </w:p>
    <w:p w:rsidR="00E53CB1" w:rsidRPr="00C2109B" w:rsidRDefault="00E53CB1" w:rsidP="00E53CB1">
      <w:pPr>
        <w:pStyle w:val="NoSpacing"/>
        <w:numPr>
          <w:ilvl w:val="0"/>
          <w:numId w:val="1"/>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EIROPAS PARLAMENTA UN PADOMES</w:t>
      </w:r>
      <w:r w:rsidR="0012053A" w:rsidRPr="00C2109B">
        <w:rPr>
          <w:rFonts w:ascii="Times New Roman" w:hAnsi="Times New Roman" w:cs="Times New Roman"/>
          <w:sz w:val="24"/>
          <w:szCs w:val="24"/>
        </w:rPr>
        <w:t xml:space="preserve"> </w:t>
      </w:r>
      <w:r w:rsidRPr="00C2109B">
        <w:rPr>
          <w:rFonts w:ascii="Times New Roman" w:hAnsi="Times New Roman" w:cs="Times New Roman"/>
          <w:sz w:val="24"/>
          <w:szCs w:val="24"/>
        </w:rPr>
        <w:t xml:space="preserve">2013. gada 17. decembra REGULU (ES) Nr. 1299/2013 par īpašiem noteikumiem par atbalstu no Eiropas Reģionālās attīstības fonda saistībā ar mērķi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Eiropas teritoriālā sadarbība</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 xml:space="preserve"> (turpmāk tekstā – </w:t>
      </w:r>
      <w:r w:rsidRPr="00C2109B">
        <w:rPr>
          <w:rFonts w:ascii="Times New Roman" w:hAnsi="Times New Roman" w:cs="Times New Roman"/>
          <w:sz w:val="24"/>
          <w:szCs w:val="24"/>
          <w:u w:val="single"/>
        </w:rPr>
        <w:t>ETS regula</w:t>
      </w:r>
      <w:r w:rsidR="0012053A" w:rsidRPr="00C2109B">
        <w:rPr>
          <w:rFonts w:ascii="Times New Roman" w:hAnsi="Times New Roman" w:cs="Times New Roman"/>
          <w:sz w:val="24"/>
          <w:szCs w:val="24"/>
        </w:rPr>
        <w:t>),</w:t>
      </w:r>
    </w:p>
    <w:p w:rsidR="00E53CB1" w:rsidRPr="00C2109B" w:rsidRDefault="00E53CB1" w:rsidP="00E53CB1">
      <w:pPr>
        <w:pStyle w:val="NoSpacing"/>
        <w:numPr>
          <w:ilvl w:val="0"/>
          <w:numId w:val="1"/>
        </w:numPr>
        <w:spacing w:after="120"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EIROPAS PARLAMENTA UN PADOMES 2013. gada 17. decembra REGULU (ES) Nr. 1302/2013, ar ko groza Regulu (EK) Nr. 1082/2006 par Eiropas teritoriālās sadarbības grupu (ETSG) attiecībā uz šādu grupu izveides un darbības precizēšanu, vienkāršošanu un uzlabošanu (turpmāk tekstā – </w:t>
      </w:r>
      <w:r w:rsidRPr="00C2109B">
        <w:rPr>
          <w:rFonts w:ascii="Times New Roman" w:hAnsi="Times New Roman" w:cs="Times New Roman"/>
          <w:sz w:val="24"/>
          <w:szCs w:val="24"/>
          <w:u w:val="single"/>
        </w:rPr>
        <w:t>ETSG regula)</w:t>
      </w:r>
      <w:r w:rsidRPr="00C2109B">
        <w:rPr>
          <w:rFonts w:ascii="Times New Roman" w:hAnsi="Times New Roman" w:cs="Times New Roman"/>
          <w:sz w:val="24"/>
          <w:szCs w:val="24"/>
        </w:rPr>
        <w:t>,</w:t>
      </w:r>
    </w:p>
    <w:p w:rsidR="00E53CB1" w:rsidRPr="00C2109B" w:rsidRDefault="00E53CB1" w:rsidP="00E2474C">
      <w:pPr>
        <w:pStyle w:val="NoSpacing"/>
        <w:spacing w:after="120" w:line="276" w:lineRule="auto"/>
        <w:jc w:val="both"/>
        <w:rPr>
          <w:rFonts w:ascii="Times New Roman" w:hAnsi="Times New Roman" w:cs="Times New Roman"/>
          <w:sz w:val="24"/>
          <w:szCs w:val="24"/>
        </w:rPr>
      </w:pPr>
      <w:r w:rsidRPr="00C2109B">
        <w:rPr>
          <w:rFonts w:ascii="Times New Roman" w:hAnsi="Times New Roman" w:cs="Times New Roman"/>
          <w:sz w:val="24"/>
          <w:szCs w:val="24"/>
        </w:rPr>
        <w:t>ņemot vērā saistītos deleģētos un īstenošanas aktus, ko pieņēmusi Eiropas Komisija,</w:t>
      </w:r>
    </w:p>
    <w:p w:rsidR="00DD23B0" w:rsidRPr="00C2109B" w:rsidRDefault="00DD23B0" w:rsidP="00DD23B0">
      <w:pPr>
        <w:pStyle w:val="NoSpacing"/>
        <w:spacing w:after="120"/>
        <w:jc w:val="both"/>
        <w:rPr>
          <w:rFonts w:ascii="Times New Roman" w:hAnsi="Times New Roman" w:cs="Times New Roman"/>
          <w:sz w:val="24"/>
          <w:szCs w:val="24"/>
        </w:rPr>
      </w:pPr>
      <w:r w:rsidRPr="00C2109B">
        <w:rPr>
          <w:rFonts w:ascii="Times New Roman" w:hAnsi="Times New Roman" w:cs="Times New Roman"/>
          <w:sz w:val="24"/>
          <w:szCs w:val="24"/>
        </w:rPr>
        <w:t xml:space="preserve">un atsaucoties uz </w:t>
      </w:r>
      <w:r w:rsidR="0012053A" w:rsidRPr="00C2109B">
        <w:rPr>
          <w:rFonts w:ascii="Times New Roman" w:hAnsi="Times New Roman" w:cs="Times New Roman"/>
          <w:sz w:val="24"/>
          <w:szCs w:val="24"/>
        </w:rPr>
        <w:t>„</w:t>
      </w:r>
      <w:r w:rsidR="00E47BBC" w:rsidRPr="00C2109B">
        <w:rPr>
          <w:rFonts w:ascii="Times New Roman" w:hAnsi="Times New Roman" w:cs="Times New Roman"/>
          <w:sz w:val="24"/>
          <w:szCs w:val="24"/>
        </w:rPr>
        <w:t>Piekrišan</w:t>
      </w:r>
      <w:r w:rsidR="00AC738A" w:rsidRPr="00C2109B">
        <w:rPr>
          <w:rFonts w:ascii="Times New Roman" w:hAnsi="Times New Roman" w:cs="Times New Roman"/>
          <w:sz w:val="24"/>
          <w:szCs w:val="24"/>
        </w:rPr>
        <w:t>u</w:t>
      </w:r>
      <w:r w:rsidR="00E47BBC" w:rsidRPr="00C2109B">
        <w:rPr>
          <w:rFonts w:ascii="Times New Roman" w:hAnsi="Times New Roman" w:cs="Times New Roman"/>
          <w:sz w:val="24"/>
          <w:szCs w:val="24"/>
        </w:rPr>
        <w:t xml:space="preserve"> </w:t>
      </w:r>
      <w:r w:rsidRPr="00C2109B">
        <w:rPr>
          <w:rFonts w:ascii="Times New Roman" w:hAnsi="Times New Roman" w:cs="Times New Roman"/>
          <w:sz w:val="24"/>
          <w:szCs w:val="24"/>
        </w:rPr>
        <w:t xml:space="preserve">par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iesniegšanu un līdzfinansēšanu un saistīto </w:t>
      </w:r>
      <w:r w:rsidR="00A108D6" w:rsidRPr="00C2109B">
        <w:rPr>
          <w:rFonts w:ascii="Times New Roman" w:hAnsi="Times New Roman" w:cs="Times New Roman"/>
          <w:i/>
          <w:sz w:val="24"/>
          <w:szCs w:val="24"/>
        </w:rPr>
        <w:t>ESPON ETSG</w:t>
      </w:r>
      <w:r w:rsidR="00512516" w:rsidRPr="00C2109B">
        <w:rPr>
          <w:rFonts w:ascii="Times New Roman" w:hAnsi="Times New Roman" w:cs="Times New Roman"/>
          <w:i/>
          <w:sz w:val="24"/>
          <w:szCs w:val="24"/>
        </w:rPr>
        <w:t xml:space="preserve"> </w:t>
      </w:r>
      <w:r w:rsidR="00512516" w:rsidRPr="00C2109B">
        <w:rPr>
          <w:rFonts w:ascii="Times New Roman" w:hAnsi="Times New Roman" w:cs="Times New Roman"/>
          <w:sz w:val="24"/>
          <w:szCs w:val="24"/>
        </w:rPr>
        <w:t>riska</w:t>
      </w:r>
      <w:r w:rsidR="00A108D6" w:rsidRPr="00C2109B">
        <w:rPr>
          <w:rFonts w:ascii="Times New Roman" w:hAnsi="Times New Roman" w:cs="Times New Roman"/>
          <w:sz w:val="24"/>
          <w:szCs w:val="24"/>
        </w:rPr>
        <w:t xml:space="preserve"> </w:t>
      </w:r>
      <w:r w:rsidRPr="00C2109B">
        <w:rPr>
          <w:rFonts w:ascii="Times New Roman" w:hAnsi="Times New Roman" w:cs="Times New Roman"/>
          <w:sz w:val="24"/>
          <w:szCs w:val="24"/>
        </w:rPr>
        <w:t xml:space="preserve">atbildības mehānismu, </w:t>
      </w:r>
      <w:r w:rsidR="00A108D6" w:rsidRPr="00C2109B">
        <w:rPr>
          <w:rFonts w:ascii="Times New Roman" w:hAnsi="Times New Roman" w:cs="Times New Roman"/>
          <w:sz w:val="24"/>
          <w:szCs w:val="24"/>
        </w:rPr>
        <w:t xml:space="preserve">tam </w:t>
      </w:r>
      <w:r w:rsidRPr="00C2109B">
        <w:rPr>
          <w:rFonts w:ascii="Times New Roman" w:hAnsi="Times New Roman" w:cs="Times New Roman"/>
          <w:sz w:val="24"/>
          <w:szCs w:val="24"/>
        </w:rPr>
        <w:t xml:space="preserve">rīkojoties kā </w:t>
      </w:r>
      <w:r w:rsidR="00EC4963"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ienīgajam </w:t>
      </w:r>
      <w:r w:rsidR="00EC4963" w:rsidRPr="00C2109B">
        <w:rPr>
          <w:rFonts w:ascii="Times New Roman" w:hAnsi="Times New Roman" w:cs="Times New Roman"/>
          <w:sz w:val="24"/>
          <w:szCs w:val="24"/>
        </w:rPr>
        <w:t xml:space="preserve">atbalsta </w:t>
      </w:r>
      <w:r w:rsidRPr="00C2109B">
        <w:rPr>
          <w:rFonts w:ascii="Times New Roman" w:hAnsi="Times New Roman" w:cs="Times New Roman"/>
          <w:sz w:val="24"/>
          <w:szCs w:val="24"/>
        </w:rPr>
        <w:t>saņēmējam</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 ko parakstījušas</w:t>
      </w:r>
      <w:r w:rsidR="0012053A" w:rsidRPr="00C2109B">
        <w:rPr>
          <w:rFonts w:ascii="Times New Roman" w:hAnsi="Times New Roman" w:cs="Times New Roman"/>
          <w:sz w:val="24"/>
          <w:szCs w:val="24"/>
        </w:rPr>
        <w:t xml:space="preserve"> visas turpmāk minētās valstis:</w:t>
      </w:r>
    </w:p>
    <w:p w:rsidR="00DD23B0" w:rsidRPr="00C2109B" w:rsidRDefault="00E53CB1">
      <w:pPr>
        <w:pStyle w:val="NoSpacing"/>
        <w:spacing w:after="120" w:line="276" w:lineRule="auto"/>
        <w:jc w:val="both"/>
        <w:rPr>
          <w:rFonts w:ascii="Times New Roman" w:hAnsi="Times New Roman" w:cs="Times New Roman"/>
          <w:sz w:val="24"/>
          <w:szCs w:val="24"/>
        </w:rPr>
      </w:pPr>
      <w:r w:rsidRPr="00C2109B">
        <w:rPr>
          <w:rFonts w:ascii="Times New Roman" w:hAnsi="Times New Roman" w:cs="Times New Roman"/>
          <w:sz w:val="24"/>
          <w:szCs w:val="24"/>
        </w:rPr>
        <w:t>ES dalībvalstis Austrijas Federatīvā Republika, Beļģijas Karaliste, Bulgārijas Republika, Čehijas Republika, Dānijas Karaliste, Francijas Republika, Grieķijas Republika, Ungārija, Horvātijas Republika, Igaunijas Republika, Itālijas Republika, Īrijas Republika, Kipras Republika, Latvijas Republika,</w:t>
      </w:r>
      <w:r w:rsidR="007F17CB" w:rsidRPr="00C2109B">
        <w:rPr>
          <w:rFonts w:ascii="Times New Roman" w:hAnsi="Times New Roman" w:cs="Times New Roman"/>
          <w:sz w:val="24"/>
          <w:szCs w:val="24"/>
        </w:rPr>
        <w:t xml:space="preserve"> </w:t>
      </w:r>
      <w:r w:rsidRPr="00C2109B">
        <w:rPr>
          <w:rFonts w:ascii="Times New Roman" w:hAnsi="Times New Roman" w:cs="Times New Roman"/>
          <w:sz w:val="24"/>
          <w:szCs w:val="24"/>
        </w:rPr>
        <w:t>Lielbritānijas un Ziemeļīrijas Apvienotā Karaliste, Lietuvas Republika, Luksemburgas Lielhercogiste, Maltas Republika, Nīderlandes Karaliste, Polijas Republika, Portugāles Republika, Rumānija, Slovākijas Republika, Slovēnijas Republika, Somijas Republika, Spānijas Karaliste, Vācijas Federatīvā Republika un Zviedrijas Karaliste, kopā ar partnervalstīm Norvēģijas Karalisti, Šveices Konfederāciju, Islandes Repub</w:t>
      </w:r>
      <w:r w:rsidR="00A90D08" w:rsidRPr="00C2109B">
        <w:rPr>
          <w:rFonts w:ascii="Times New Roman" w:hAnsi="Times New Roman" w:cs="Times New Roman"/>
          <w:sz w:val="24"/>
          <w:szCs w:val="24"/>
        </w:rPr>
        <w:t>liku un Lihtenšteinas Firstisti</w:t>
      </w:r>
    </w:p>
    <w:p w:rsidR="00A90D08" w:rsidRPr="00C2109B" w:rsidRDefault="00910A45" w:rsidP="00721239">
      <w:pPr>
        <w:spacing w:after="120"/>
        <w:rPr>
          <w:rFonts w:ascii="Times New Roman" w:hAnsi="Times New Roman" w:cs="Times New Roman"/>
          <w:sz w:val="24"/>
          <w:szCs w:val="24"/>
        </w:rPr>
      </w:pPr>
      <w:r w:rsidRPr="00C2109B">
        <w:rPr>
          <w:rFonts w:ascii="Times New Roman" w:hAnsi="Times New Roman" w:cs="Times New Roman"/>
          <w:sz w:val="24"/>
          <w:szCs w:val="24"/>
        </w:rPr>
        <w:t xml:space="preserve">ir noslēgušas šādu </w:t>
      </w:r>
      <w:r w:rsidR="00AC738A" w:rsidRPr="00C2109B">
        <w:rPr>
          <w:rFonts w:ascii="Times New Roman" w:hAnsi="Times New Roman" w:cs="Times New Roman"/>
          <w:sz w:val="24"/>
          <w:szCs w:val="24"/>
        </w:rPr>
        <w:t xml:space="preserve">daudzpusējo vienošanos </w:t>
      </w:r>
      <w:r w:rsidRPr="00C2109B">
        <w:rPr>
          <w:rFonts w:ascii="Times New Roman" w:hAnsi="Times New Roman" w:cs="Times New Roman"/>
          <w:sz w:val="24"/>
          <w:szCs w:val="24"/>
        </w:rPr>
        <w:t>ar Luksemburgas Lielhercogisti.</w:t>
      </w:r>
    </w:p>
    <w:p w:rsidR="00A90D08" w:rsidRPr="00C2109B" w:rsidRDefault="00A90D08">
      <w:pPr>
        <w:rPr>
          <w:rFonts w:ascii="Times New Roman" w:hAnsi="Times New Roman" w:cs="Times New Roman"/>
          <w:sz w:val="24"/>
          <w:szCs w:val="24"/>
        </w:rPr>
      </w:pPr>
      <w:r w:rsidRPr="00C2109B">
        <w:rPr>
          <w:rFonts w:ascii="Times New Roman" w:hAnsi="Times New Roman" w:cs="Times New Roman"/>
          <w:sz w:val="24"/>
          <w:szCs w:val="24"/>
        </w:rPr>
        <w:br w:type="page"/>
      </w:r>
    </w:p>
    <w:sdt>
      <w:sdtPr>
        <w:rPr>
          <w:rFonts w:ascii="Times New Roman" w:eastAsiaTheme="minorEastAsia" w:hAnsi="Times New Roman" w:cs="Times New Roman"/>
          <w:b w:val="0"/>
          <w:bCs w:val="0"/>
          <w:sz w:val="24"/>
          <w:szCs w:val="24"/>
        </w:rPr>
        <w:id w:val="1766036412"/>
        <w:docPartObj>
          <w:docPartGallery w:val="Table of Contents"/>
          <w:docPartUnique/>
        </w:docPartObj>
      </w:sdtPr>
      <w:sdtContent>
        <w:p w:rsidR="001905E3" w:rsidRPr="00C2109B" w:rsidRDefault="001905E3" w:rsidP="001905E3">
          <w:pPr>
            <w:pStyle w:val="TOCHeading"/>
            <w:spacing w:line="240" w:lineRule="auto"/>
            <w:jc w:val="center"/>
            <w:rPr>
              <w:rFonts w:ascii="Times New Roman" w:hAnsi="Times New Roman" w:cs="Times New Roman"/>
              <w:sz w:val="24"/>
              <w:szCs w:val="24"/>
            </w:rPr>
          </w:pPr>
          <w:r w:rsidRPr="00C2109B">
            <w:rPr>
              <w:rFonts w:ascii="Times New Roman" w:hAnsi="Times New Roman" w:cs="Times New Roman"/>
              <w:sz w:val="24"/>
              <w:szCs w:val="24"/>
            </w:rPr>
            <w:t>Satur</w:t>
          </w:r>
          <w:r w:rsidR="00C914DB" w:rsidRPr="00C2109B">
            <w:rPr>
              <w:rFonts w:ascii="Times New Roman" w:hAnsi="Times New Roman" w:cs="Times New Roman"/>
              <w:sz w:val="24"/>
              <w:szCs w:val="24"/>
            </w:rPr>
            <w:t>a rādītāj</w:t>
          </w:r>
          <w:r w:rsidRPr="00C2109B">
            <w:rPr>
              <w:rFonts w:ascii="Times New Roman" w:hAnsi="Times New Roman" w:cs="Times New Roman"/>
              <w:sz w:val="24"/>
              <w:szCs w:val="24"/>
            </w:rPr>
            <w:t>s</w:t>
          </w:r>
        </w:p>
        <w:p w:rsidR="004D62A1" w:rsidRPr="00C2109B" w:rsidRDefault="004D62A1" w:rsidP="004D62A1">
          <w:pPr>
            <w:rPr>
              <w:rFonts w:ascii="Times New Roman" w:hAnsi="Times New Roman" w:cs="Times New Roman"/>
              <w:sz w:val="24"/>
              <w:szCs w:val="24"/>
            </w:rPr>
          </w:pPr>
        </w:p>
        <w:p w:rsidR="00473A4F" w:rsidRPr="00C2109B" w:rsidRDefault="00681B05">
          <w:pPr>
            <w:pStyle w:val="TOC2"/>
            <w:rPr>
              <w:rFonts w:ascii="Times New Roman" w:hAnsi="Times New Roman" w:cs="Times New Roman"/>
              <w:noProof/>
              <w:sz w:val="24"/>
              <w:szCs w:val="24"/>
              <w:lang w:bidi="ar-SA"/>
            </w:rPr>
          </w:pPr>
          <w:r w:rsidRPr="00681B05">
            <w:rPr>
              <w:rFonts w:ascii="Times New Roman" w:hAnsi="Times New Roman" w:cs="Times New Roman"/>
              <w:sz w:val="24"/>
              <w:szCs w:val="24"/>
            </w:rPr>
            <w:fldChar w:fldCharType="begin"/>
          </w:r>
          <w:r w:rsidR="001905E3" w:rsidRPr="00C2109B">
            <w:rPr>
              <w:rFonts w:ascii="Times New Roman" w:hAnsi="Times New Roman" w:cs="Times New Roman"/>
              <w:sz w:val="24"/>
              <w:szCs w:val="24"/>
            </w:rPr>
            <w:instrText xml:space="preserve"> TOC \o "1-3" \h \z \u </w:instrText>
          </w:r>
          <w:r w:rsidRPr="00681B05">
            <w:rPr>
              <w:rFonts w:ascii="Times New Roman" w:hAnsi="Times New Roman" w:cs="Times New Roman"/>
              <w:sz w:val="24"/>
              <w:szCs w:val="24"/>
            </w:rPr>
            <w:fldChar w:fldCharType="separate"/>
          </w:r>
          <w:hyperlink w:anchor="_Toc427826186" w:history="1">
            <w:r w:rsidR="00473A4F" w:rsidRPr="00C2109B">
              <w:rPr>
                <w:rStyle w:val="Hyperlink"/>
                <w:rFonts w:ascii="Times New Roman" w:hAnsi="Times New Roman" w:cs="Times New Roman"/>
                <w:noProof/>
                <w:sz w:val="24"/>
                <w:szCs w:val="24"/>
              </w:rPr>
              <w:t>1. DAĻA. DAUDZPUSĒJĀS VIENOŠANĀS PRIEKŠMETS UN DEFINĪCIJAS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_Toc427826186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4</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87" w:history="1">
            <w:r w:rsidR="00473A4F" w:rsidRPr="00C2109B">
              <w:rPr>
                <w:rStyle w:val="Hyperlink"/>
                <w:rFonts w:ascii="Times New Roman" w:hAnsi="Times New Roman" w:cs="Times New Roman"/>
                <w:noProof/>
                <w:sz w:val="24"/>
                <w:szCs w:val="24"/>
              </w:rPr>
              <w:t>1. pants. Daudzpusējās vienošanās priekšmets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_Toc427826187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4</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88" w:history="1">
            <w:r w:rsidR="00473A4F" w:rsidRPr="00C2109B">
              <w:rPr>
                <w:rStyle w:val="Hyperlink"/>
                <w:rFonts w:ascii="Times New Roman" w:hAnsi="Times New Roman" w:cs="Times New Roman"/>
                <w:noProof/>
                <w:sz w:val="24"/>
                <w:szCs w:val="24"/>
              </w:rPr>
              <w:t>2. pants. Definīcijas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_Toc427826188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4</w:t>
            </w:r>
            <w:r w:rsidRPr="00C2109B">
              <w:rPr>
                <w:rFonts w:ascii="Times New Roman" w:hAnsi="Times New Roman" w:cs="Times New Roman"/>
                <w:noProof/>
                <w:webHidden/>
                <w:sz w:val="24"/>
                <w:szCs w:val="24"/>
              </w:rPr>
              <w:fldChar w:fldCharType="end"/>
            </w:r>
          </w:hyperlink>
        </w:p>
        <w:p w:rsidR="00473A4F" w:rsidRPr="00C2109B" w:rsidRDefault="00681B05">
          <w:pPr>
            <w:pStyle w:val="TOC2"/>
            <w:rPr>
              <w:rFonts w:ascii="Times New Roman" w:hAnsi="Times New Roman" w:cs="Times New Roman"/>
              <w:noProof/>
              <w:sz w:val="24"/>
              <w:szCs w:val="24"/>
              <w:lang w:bidi="ar-SA"/>
            </w:rPr>
          </w:pPr>
          <w:hyperlink w:anchor="_Toc427826189" w:history="1">
            <w:r w:rsidR="00473A4F" w:rsidRPr="00C2109B">
              <w:rPr>
                <w:rStyle w:val="Hyperlink"/>
                <w:rFonts w:ascii="Times New Roman" w:hAnsi="Times New Roman" w:cs="Times New Roman"/>
                <w:noProof/>
                <w:sz w:val="24"/>
                <w:szCs w:val="24"/>
              </w:rPr>
              <w:t>2. DAĻA. GALVENO ĪSTENOŠANAS STRUKTŪRU UN CITU ATTIECĪGO STRUKTŪRU IZRAUDZĪŠANA UN FUNKCIJAS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_Toc427826189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5</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0" w:history="1">
            <w:r w:rsidR="00473A4F" w:rsidRPr="00C2109B">
              <w:rPr>
                <w:rStyle w:val="Hyperlink"/>
                <w:rFonts w:ascii="Times New Roman" w:hAnsi="Times New Roman" w:cs="Times New Roman"/>
                <w:noProof/>
                <w:sz w:val="24"/>
                <w:szCs w:val="24"/>
              </w:rPr>
              <w:t>3. pants. Uzraudzības komiteja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_Toc427826190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5</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1" w:history="1">
            <w:r w:rsidR="00473A4F" w:rsidRPr="00C2109B">
              <w:rPr>
                <w:rStyle w:val="Hyperlink"/>
                <w:rFonts w:ascii="Times New Roman" w:hAnsi="Times New Roman" w:cs="Times New Roman"/>
                <w:noProof/>
                <w:sz w:val="24"/>
                <w:szCs w:val="24"/>
              </w:rPr>
              <w:t>4. pants. Vadošā iestāde</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_Toc427826191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7</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2" w:history="1">
            <w:r w:rsidR="00473A4F" w:rsidRPr="00C2109B">
              <w:rPr>
                <w:rStyle w:val="Hyperlink"/>
                <w:rFonts w:ascii="Times New Roman" w:hAnsi="Times New Roman" w:cs="Times New Roman"/>
                <w:noProof/>
                <w:sz w:val="24"/>
                <w:szCs w:val="24"/>
              </w:rPr>
              <w:t>5. pants. Vadošā iestāde uzņemas kopīgā sekretariāta funkcijas un uzdevumus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_Toc427826192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8</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3" w:history="1">
            <w:r w:rsidR="00473A4F" w:rsidRPr="00C2109B">
              <w:rPr>
                <w:rStyle w:val="Hyperlink"/>
                <w:rFonts w:ascii="Times New Roman" w:hAnsi="Times New Roman" w:cs="Times New Roman"/>
                <w:noProof/>
                <w:sz w:val="24"/>
                <w:szCs w:val="24"/>
              </w:rPr>
              <w:t>6. pants. Sertifikācijas iestāde</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_Toc427826193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8</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4" w:history="1">
            <w:r w:rsidR="00473A4F" w:rsidRPr="00C2109B">
              <w:rPr>
                <w:rStyle w:val="Hyperlink"/>
                <w:rFonts w:ascii="Times New Roman" w:hAnsi="Times New Roman" w:cs="Times New Roman"/>
                <w:noProof/>
                <w:sz w:val="24"/>
                <w:szCs w:val="24"/>
              </w:rPr>
              <w:t>7. pants. Revīzijas iestāde</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_Toc427826194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8</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5" w:history="1">
            <w:r w:rsidR="00473A4F" w:rsidRPr="00C2109B">
              <w:rPr>
                <w:rStyle w:val="Hyperlink"/>
                <w:rFonts w:ascii="Times New Roman" w:hAnsi="Times New Roman" w:cs="Times New Roman"/>
                <w:noProof/>
                <w:sz w:val="24"/>
                <w:szCs w:val="24"/>
              </w:rPr>
              <w:t>8. pants. Struktūra kontroles uzdevumu veikšanai (pirmā līmeņa kontrole)</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_Toc427826195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9</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6" w:history="1">
            <w:r w:rsidR="00473A4F" w:rsidRPr="00C2109B">
              <w:rPr>
                <w:rStyle w:val="Hyperlink"/>
                <w:rFonts w:ascii="Times New Roman" w:hAnsi="Times New Roman" w:cs="Times New Roman"/>
                <w:noProof/>
                <w:sz w:val="24"/>
                <w:szCs w:val="24"/>
              </w:rPr>
              <w:t xml:space="preserve">9. pants. Vienīgais atbalsta saņēmējs – </w:t>
            </w:r>
            <w:r w:rsidR="00473A4F" w:rsidRPr="00C2109B">
              <w:rPr>
                <w:rStyle w:val="Hyperlink"/>
                <w:rFonts w:ascii="Times New Roman" w:hAnsi="Times New Roman" w:cs="Times New Roman"/>
                <w:i/>
                <w:noProof/>
                <w:sz w:val="24"/>
                <w:szCs w:val="24"/>
              </w:rPr>
              <w:t>ESPON ETSG</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_Toc427826196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9</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7" w:history="1">
            <w:r w:rsidR="00473A4F" w:rsidRPr="00C2109B">
              <w:rPr>
                <w:rStyle w:val="Hyperlink"/>
                <w:rFonts w:ascii="Times New Roman" w:hAnsi="Times New Roman" w:cs="Times New Roman"/>
                <w:noProof/>
                <w:sz w:val="24"/>
                <w:szCs w:val="24"/>
              </w:rPr>
              <w:t>10. pants. Vadības un kontroles struktūru funkciju nodalījums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_Toc427826197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10</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198" w:history="1">
            <w:r w:rsidR="00473A4F" w:rsidRPr="00C2109B">
              <w:rPr>
                <w:rStyle w:val="Hyperlink"/>
                <w:rFonts w:ascii="Times New Roman" w:hAnsi="Times New Roman" w:cs="Times New Roman"/>
                <w:noProof/>
                <w:sz w:val="24"/>
                <w:szCs w:val="24"/>
              </w:rPr>
              <w:t xml:space="preserve">11. pants. Valstu </w:t>
            </w:r>
            <w:r w:rsidR="00473A4F" w:rsidRPr="00C2109B">
              <w:rPr>
                <w:rStyle w:val="Hyperlink"/>
                <w:rFonts w:ascii="Times New Roman" w:hAnsi="Times New Roman" w:cs="Times New Roman"/>
                <w:i/>
                <w:noProof/>
                <w:sz w:val="24"/>
                <w:szCs w:val="24"/>
              </w:rPr>
              <w:t>ESPON</w:t>
            </w:r>
            <w:r w:rsidR="00473A4F" w:rsidRPr="00C2109B">
              <w:rPr>
                <w:rStyle w:val="Hyperlink"/>
                <w:rFonts w:ascii="Times New Roman" w:hAnsi="Times New Roman" w:cs="Times New Roman"/>
                <w:noProof/>
                <w:sz w:val="24"/>
                <w:szCs w:val="24"/>
              </w:rPr>
              <w:t xml:space="preserve"> kontaktpunktu tīkls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_Toc427826198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10</w:t>
            </w:r>
            <w:r w:rsidRPr="00C2109B">
              <w:rPr>
                <w:rFonts w:ascii="Times New Roman" w:hAnsi="Times New Roman" w:cs="Times New Roman"/>
                <w:noProof/>
                <w:webHidden/>
                <w:sz w:val="24"/>
                <w:szCs w:val="24"/>
              </w:rPr>
              <w:fldChar w:fldCharType="end"/>
            </w:r>
          </w:hyperlink>
        </w:p>
        <w:p w:rsidR="00473A4F" w:rsidRPr="00C2109B" w:rsidRDefault="00681B05">
          <w:pPr>
            <w:pStyle w:val="TOC2"/>
            <w:rPr>
              <w:rFonts w:ascii="Times New Roman" w:hAnsi="Times New Roman" w:cs="Times New Roman"/>
              <w:noProof/>
              <w:sz w:val="24"/>
              <w:szCs w:val="24"/>
              <w:lang w:bidi="ar-SA"/>
            </w:rPr>
          </w:pPr>
          <w:hyperlink w:anchor="_Toc427826199" w:history="1">
            <w:r w:rsidR="00473A4F" w:rsidRPr="00C2109B">
              <w:rPr>
                <w:rStyle w:val="Hyperlink"/>
                <w:rFonts w:ascii="Times New Roman" w:hAnsi="Times New Roman" w:cs="Times New Roman"/>
                <w:noProof/>
                <w:sz w:val="24"/>
                <w:szCs w:val="24"/>
              </w:rPr>
              <w:t>3. DAĻA. VADĪBAS UN KONTROLES PROCEDŪRAS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_Toc427826199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10</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0" w:history="1">
            <w:r w:rsidR="00473A4F" w:rsidRPr="00C2109B">
              <w:rPr>
                <w:rStyle w:val="Hyperlink"/>
                <w:rFonts w:ascii="Times New Roman" w:hAnsi="Times New Roman" w:cs="Times New Roman"/>
                <w:noProof/>
                <w:sz w:val="24"/>
                <w:szCs w:val="24"/>
              </w:rPr>
              <w:t>12. pants. Uzraudzības un grāmatvedības uzskaites elektronisko sistēmu izveide un darbība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_Toc427826200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10</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1" w:history="1">
            <w:r w:rsidR="00473A4F" w:rsidRPr="00C2109B">
              <w:rPr>
                <w:rStyle w:val="Hyperlink"/>
                <w:rFonts w:ascii="Times New Roman" w:hAnsi="Times New Roman" w:cs="Times New Roman"/>
                <w:noProof/>
                <w:sz w:val="24"/>
                <w:szCs w:val="24"/>
              </w:rPr>
              <w:t>13. pants. Gada un nobeiguma īstenošanas ziņojumi</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_Toc427826201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11</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2" w:history="1">
            <w:r w:rsidR="00473A4F" w:rsidRPr="00C2109B">
              <w:rPr>
                <w:rStyle w:val="Hyperlink"/>
                <w:rFonts w:ascii="Times New Roman" w:hAnsi="Times New Roman" w:cs="Times New Roman"/>
                <w:noProof/>
                <w:sz w:val="24"/>
                <w:szCs w:val="24"/>
              </w:rPr>
              <w:t>14. pants. Granta piešķiršanas kārtība Vienīgajai darbībai</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_Toc427826202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11</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3" w:history="1">
            <w:r w:rsidR="00473A4F" w:rsidRPr="00C2109B">
              <w:rPr>
                <w:rStyle w:val="Hyperlink"/>
                <w:rFonts w:ascii="Times New Roman" w:hAnsi="Times New Roman" w:cs="Times New Roman"/>
                <w:noProof/>
                <w:sz w:val="24"/>
                <w:szCs w:val="24"/>
              </w:rPr>
              <w:t>15. pants. Vienīgās darbības uzraudzība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_Toc427826203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12</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4" w:history="1">
            <w:r w:rsidR="00473A4F" w:rsidRPr="00C2109B">
              <w:rPr>
                <w:rStyle w:val="Hyperlink"/>
                <w:rFonts w:ascii="Times New Roman" w:hAnsi="Times New Roman" w:cs="Times New Roman"/>
                <w:noProof/>
                <w:sz w:val="24"/>
                <w:szCs w:val="24"/>
              </w:rPr>
              <w:t>16. pants. Pirmā līmeņa kontrole</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_Toc427826204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13</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5" w:history="1">
            <w:r w:rsidR="00473A4F" w:rsidRPr="00C2109B">
              <w:rPr>
                <w:rStyle w:val="Hyperlink"/>
                <w:rFonts w:ascii="Times New Roman" w:hAnsi="Times New Roman" w:cs="Times New Roman"/>
                <w:noProof/>
                <w:sz w:val="24"/>
                <w:szCs w:val="24"/>
              </w:rPr>
              <w:t>17. pants. Revīzija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_Toc427826205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13</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6" w:history="1">
            <w:r w:rsidR="00473A4F" w:rsidRPr="00C2109B">
              <w:rPr>
                <w:rStyle w:val="Hyperlink"/>
                <w:rFonts w:ascii="Times New Roman" w:hAnsi="Times New Roman" w:cs="Times New Roman"/>
                <w:noProof/>
                <w:sz w:val="24"/>
                <w:szCs w:val="24"/>
              </w:rPr>
              <w:t>18. pants. Informācijas sniegšana Eiropas Komisijai</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_Toc427826206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13</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7" w:history="1">
            <w:r w:rsidR="00473A4F" w:rsidRPr="00C2109B">
              <w:rPr>
                <w:rStyle w:val="Hyperlink"/>
                <w:rFonts w:ascii="Times New Roman" w:hAnsi="Times New Roman" w:cs="Times New Roman"/>
                <w:noProof/>
                <w:sz w:val="24"/>
                <w:szCs w:val="24"/>
              </w:rPr>
              <w:t>19. pants. „ESPON 2020” sadarbības programmas slēgšana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_Toc427826207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14</w:t>
            </w:r>
            <w:r w:rsidRPr="00C2109B">
              <w:rPr>
                <w:rFonts w:ascii="Times New Roman" w:hAnsi="Times New Roman" w:cs="Times New Roman"/>
                <w:noProof/>
                <w:webHidden/>
                <w:sz w:val="24"/>
                <w:szCs w:val="24"/>
              </w:rPr>
              <w:fldChar w:fldCharType="end"/>
            </w:r>
          </w:hyperlink>
        </w:p>
        <w:p w:rsidR="00473A4F" w:rsidRPr="00C2109B" w:rsidRDefault="00681B05">
          <w:pPr>
            <w:pStyle w:val="TOC2"/>
            <w:rPr>
              <w:rFonts w:ascii="Times New Roman" w:hAnsi="Times New Roman" w:cs="Times New Roman"/>
              <w:noProof/>
              <w:sz w:val="24"/>
              <w:szCs w:val="24"/>
              <w:lang w:bidi="ar-SA"/>
            </w:rPr>
          </w:pPr>
          <w:hyperlink w:anchor="_Toc427826208" w:history="1">
            <w:r w:rsidR="00473A4F" w:rsidRPr="00C2109B">
              <w:rPr>
                <w:rStyle w:val="Hyperlink"/>
                <w:rFonts w:ascii="Times New Roman" w:hAnsi="Times New Roman" w:cs="Times New Roman"/>
                <w:noProof/>
                <w:sz w:val="24"/>
                <w:szCs w:val="24"/>
              </w:rPr>
              <w:t>4. DAĻA. LĪDZFINANSĒŠANAS, MAKSĀJUMU VEIKŠANAS UN ATBILDĪBAS NOTEIKŠANAS KĀRTĪBA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_Toc427826208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14</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09" w:history="1">
            <w:r w:rsidR="00473A4F" w:rsidRPr="00C2109B">
              <w:rPr>
                <w:rStyle w:val="Hyperlink"/>
                <w:rFonts w:ascii="Times New Roman" w:hAnsi="Times New Roman" w:cs="Times New Roman"/>
                <w:noProof/>
                <w:sz w:val="24"/>
                <w:szCs w:val="24"/>
              </w:rPr>
              <w:t>20. pants. „ESPON 2020” sadarbības programmas līdzfinansēšana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_Toc427826209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14</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0" w:history="1">
            <w:r w:rsidR="00473A4F" w:rsidRPr="00C2109B">
              <w:rPr>
                <w:rStyle w:val="Hyperlink"/>
                <w:rFonts w:ascii="Times New Roman" w:hAnsi="Times New Roman" w:cs="Times New Roman"/>
                <w:noProof/>
                <w:sz w:val="24"/>
                <w:szCs w:val="24"/>
              </w:rPr>
              <w:t>21. pants. Maksājumi saskaņā ar „ESPON 2020” sadarbības programmu</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_Toc427826210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14</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1" w:history="1">
            <w:r w:rsidR="00473A4F" w:rsidRPr="00C2109B">
              <w:rPr>
                <w:rStyle w:val="Hyperlink"/>
                <w:rFonts w:ascii="Times New Roman" w:hAnsi="Times New Roman" w:cs="Times New Roman"/>
                <w:noProof/>
                <w:sz w:val="24"/>
                <w:szCs w:val="24"/>
              </w:rPr>
              <w:t>22. pants. „ESPON 2020” sadarbības programmas pārkāpumi</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_Toc427826211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16</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2" w:history="1">
            <w:r w:rsidR="00473A4F" w:rsidRPr="00C2109B">
              <w:rPr>
                <w:rStyle w:val="Hyperlink"/>
                <w:rFonts w:ascii="Times New Roman" w:hAnsi="Times New Roman" w:cs="Times New Roman"/>
                <w:noProof/>
                <w:sz w:val="24"/>
                <w:szCs w:val="24"/>
              </w:rPr>
              <w:t>23. pants. Atbildības noteikšana un riska atbildības mehānisms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_Toc427826212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17</w:t>
            </w:r>
            <w:r w:rsidRPr="00C2109B">
              <w:rPr>
                <w:rFonts w:ascii="Times New Roman" w:hAnsi="Times New Roman" w:cs="Times New Roman"/>
                <w:noProof/>
                <w:webHidden/>
                <w:sz w:val="24"/>
                <w:szCs w:val="24"/>
              </w:rPr>
              <w:fldChar w:fldCharType="end"/>
            </w:r>
          </w:hyperlink>
        </w:p>
        <w:p w:rsidR="00473A4F" w:rsidRPr="00C2109B" w:rsidRDefault="00681B05">
          <w:pPr>
            <w:pStyle w:val="TOC2"/>
            <w:rPr>
              <w:rFonts w:ascii="Times New Roman" w:hAnsi="Times New Roman" w:cs="Times New Roman"/>
              <w:noProof/>
              <w:sz w:val="24"/>
              <w:szCs w:val="24"/>
              <w:lang w:bidi="ar-SA"/>
            </w:rPr>
          </w:pPr>
          <w:hyperlink w:anchor="_Toc427826213" w:history="1">
            <w:r w:rsidR="00473A4F" w:rsidRPr="00C2109B">
              <w:rPr>
                <w:rStyle w:val="Hyperlink"/>
                <w:rFonts w:ascii="Times New Roman" w:hAnsi="Times New Roman" w:cs="Times New Roman"/>
                <w:noProof/>
                <w:sz w:val="24"/>
                <w:szCs w:val="24"/>
              </w:rPr>
              <w:t>5. DAĻA. NOSLĒGUMA NOTEIKUMI</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_Toc427826213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18</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4" w:history="1">
            <w:r w:rsidR="00473A4F" w:rsidRPr="00C2109B">
              <w:rPr>
                <w:rStyle w:val="Hyperlink"/>
                <w:rFonts w:ascii="Times New Roman" w:hAnsi="Times New Roman" w:cs="Times New Roman"/>
                <w:noProof/>
                <w:sz w:val="24"/>
                <w:szCs w:val="24"/>
              </w:rPr>
              <w:t>24. pants. Tiesību akti, kas reglamentē daudzpusējo vienošanos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_Toc427826214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18</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5" w:history="1">
            <w:r w:rsidR="00473A4F" w:rsidRPr="00C2109B">
              <w:rPr>
                <w:rStyle w:val="Hyperlink"/>
                <w:rFonts w:ascii="Times New Roman" w:hAnsi="Times New Roman" w:cs="Times New Roman"/>
                <w:noProof/>
                <w:sz w:val="24"/>
                <w:szCs w:val="24"/>
              </w:rPr>
              <w:t>25. pants. Sadarbība, izmantojamā valoda un saziņa</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_Toc427826215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18</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6" w:history="1">
            <w:r w:rsidR="00473A4F" w:rsidRPr="00C2109B">
              <w:rPr>
                <w:rStyle w:val="Hyperlink"/>
                <w:rFonts w:ascii="Times New Roman" w:hAnsi="Times New Roman" w:cs="Times New Roman"/>
                <w:noProof/>
                <w:sz w:val="24"/>
                <w:szCs w:val="24"/>
              </w:rPr>
              <w:t>26. pants. Programmas īstenošanas struktūru izmaiņas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_Toc427826216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18</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7" w:history="1">
            <w:r w:rsidR="00473A4F" w:rsidRPr="00C2109B">
              <w:rPr>
                <w:rStyle w:val="Hyperlink"/>
                <w:rFonts w:ascii="Times New Roman" w:hAnsi="Times New Roman" w:cs="Times New Roman"/>
                <w:noProof/>
                <w:sz w:val="24"/>
                <w:szCs w:val="24"/>
              </w:rPr>
              <w:t>27. pants. Daudzpusējās vienošanās grozījumi un pilnveidojumi</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_Toc427826217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19</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8" w:history="1">
            <w:r w:rsidR="00473A4F" w:rsidRPr="00C2109B">
              <w:rPr>
                <w:rStyle w:val="Hyperlink"/>
                <w:rFonts w:ascii="Times New Roman" w:hAnsi="Times New Roman" w:cs="Times New Roman"/>
                <w:noProof/>
                <w:sz w:val="24"/>
                <w:szCs w:val="24"/>
              </w:rPr>
              <w:t>28. pants. Apņemšanās pildīt apstiprinātos noteikumus, konfliktu noregulējums un sankcijas apstiprināto noteikumu neievērošanas gadījumā</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_Toc427826218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19</w:t>
            </w:r>
            <w:r w:rsidRPr="00C2109B">
              <w:rPr>
                <w:rFonts w:ascii="Times New Roman" w:hAnsi="Times New Roman" w:cs="Times New Roman"/>
                <w:noProof/>
                <w:webHidden/>
                <w:sz w:val="24"/>
                <w:szCs w:val="24"/>
              </w:rPr>
              <w:fldChar w:fldCharType="end"/>
            </w:r>
          </w:hyperlink>
        </w:p>
        <w:p w:rsidR="00473A4F" w:rsidRPr="00C2109B" w:rsidRDefault="00681B05">
          <w:pPr>
            <w:pStyle w:val="TOC3"/>
            <w:tabs>
              <w:tab w:val="right" w:leader="dot" w:pos="9062"/>
            </w:tabs>
            <w:rPr>
              <w:rFonts w:ascii="Times New Roman" w:hAnsi="Times New Roman" w:cs="Times New Roman"/>
              <w:noProof/>
              <w:sz w:val="24"/>
              <w:szCs w:val="24"/>
              <w:lang w:bidi="ar-SA"/>
            </w:rPr>
          </w:pPr>
          <w:hyperlink w:anchor="_Toc427826219" w:history="1">
            <w:r w:rsidR="00473A4F" w:rsidRPr="00C2109B">
              <w:rPr>
                <w:rStyle w:val="Hyperlink"/>
                <w:rFonts w:ascii="Times New Roman" w:hAnsi="Times New Roman" w:cs="Times New Roman"/>
                <w:noProof/>
                <w:sz w:val="24"/>
                <w:szCs w:val="24"/>
              </w:rPr>
              <w:t>29. pants. Daudzpusējās vienošanās parakstīšana, stāšanās spēkā un darbības ilgums</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_Toc427826219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19</w:t>
            </w:r>
            <w:r w:rsidRPr="00C2109B">
              <w:rPr>
                <w:rFonts w:ascii="Times New Roman" w:hAnsi="Times New Roman" w:cs="Times New Roman"/>
                <w:noProof/>
                <w:webHidden/>
                <w:sz w:val="24"/>
                <w:szCs w:val="24"/>
              </w:rPr>
              <w:fldChar w:fldCharType="end"/>
            </w:r>
          </w:hyperlink>
        </w:p>
        <w:p w:rsidR="00473A4F" w:rsidRPr="00C2109B" w:rsidRDefault="00681B05">
          <w:pPr>
            <w:pStyle w:val="TOC2"/>
            <w:rPr>
              <w:rFonts w:ascii="Times New Roman" w:hAnsi="Times New Roman" w:cs="Times New Roman"/>
              <w:noProof/>
              <w:sz w:val="24"/>
              <w:szCs w:val="24"/>
              <w:lang w:bidi="ar-SA"/>
            </w:rPr>
          </w:pPr>
          <w:hyperlink w:anchor="_Toc427826220" w:history="1">
            <w:r w:rsidR="00473A4F" w:rsidRPr="00C2109B">
              <w:rPr>
                <w:rStyle w:val="Hyperlink"/>
                <w:rFonts w:ascii="Times New Roman" w:hAnsi="Times New Roman" w:cs="Times New Roman"/>
                <w:noProof/>
                <w:sz w:val="24"/>
                <w:szCs w:val="24"/>
              </w:rPr>
              <w:t>6. DAĻA. DAUDZPUSĒJĀS VIENOŠANĀS PIELIKUMI</w:t>
            </w:r>
            <w:r w:rsidR="00473A4F" w:rsidRPr="00C2109B">
              <w:rPr>
                <w:rFonts w:ascii="Times New Roman" w:hAnsi="Times New Roman" w:cs="Times New Roman"/>
                <w:noProof/>
                <w:webHidden/>
                <w:sz w:val="24"/>
                <w:szCs w:val="24"/>
              </w:rPr>
              <w:tab/>
            </w:r>
            <w:r w:rsidRPr="00C2109B">
              <w:rPr>
                <w:rFonts w:ascii="Times New Roman" w:hAnsi="Times New Roman" w:cs="Times New Roman"/>
                <w:noProof/>
                <w:webHidden/>
                <w:sz w:val="24"/>
                <w:szCs w:val="24"/>
              </w:rPr>
              <w:fldChar w:fldCharType="begin"/>
            </w:r>
            <w:r w:rsidR="00473A4F" w:rsidRPr="00C2109B">
              <w:rPr>
                <w:rFonts w:ascii="Times New Roman" w:hAnsi="Times New Roman" w:cs="Times New Roman"/>
                <w:noProof/>
                <w:webHidden/>
                <w:sz w:val="24"/>
                <w:szCs w:val="24"/>
              </w:rPr>
              <w:instrText xml:space="preserve"> PAGEREF _Toc427826220 \h </w:instrText>
            </w:r>
            <w:r w:rsidRPr="00C2109B">
              <w:rPr>
                <w:rFonts w:ascii="Times New Roman" w:hAnsi="Times New Roman" w:cs="Times New Roman"/>
                <w:noProof/>
                <w:webHidden/>
                <w:sz w:val="24"/>
                <w:szCs w:val="24"/>
              </w:rPr>
            </w:r>
            <w:r w:rsidRPr="00C2109B">
              <w:rPr>
                <w:rFonts w:ascii="Times New Roman" w:hAnsi="Times New Roman" w:cs="Times New Roman"/>
                <w:noProof/>
                <w:webHidden/>
                <w:sz w:val="24"/>
                <w:szCs w:val="24"/>
              </w:rPr>
              <w:fldChar w:fldCharType="separate"/>
            </w:r>
            <w:r w:rsidR="00C2109B">
              <w:rPr>
                <w:rFonts w:ascii="Times New Roman" w:hAnsi="Times New Roman" w:cs="Times New Roman"/>
                <w:noProof/>
                <w:webHidden/>
                <w:sz w:val="24"/>
                <w:szCs w:val="24"/>
              </w:rPr>
              <w:t>19</w:t>
            </w:r>
            <w:r w:rsidRPr="00C2109B">
              <w:rPr>
                <w:rFonts w:ascii="Times New Roman" w:hAnsi="Times New Roman" w:cs="Times New Roman"/>
                <w:noProof/>
                <w:webHidden/>
                <w:sz w:val="24"/>
                <w:szCs w:val="24"/>
              </w:rPr>
              <w:fldChar w:fldCharType="end"/>
            </w:r>
          </w:hyperlink>
        </w:p>
        <w:p w:rsidR="00076CF6" w:rsidRPr="00C2109B" w:rsidRDefault="00681B05">
          <w:pPr>
            <w:pStyle w:val="TOC2"/>
            <w:rPr>
              <w:rFonts w:ascii="Times New Roman" w:hAnsi="Times New Roman" w:cs="Times New Roman"/>
              <w:noProof/>
              <w:sz w:val="24"/>
              <w:szCs w:val="24"/>
            </w:rPr>
          </w:pPr>
          <w:r w:rsidRPr="00C2109B">
            <w:rPr>
              <w:rFonts w:ascii="Times New Roman" w:hAnsi="Times New Roman" w:cs="Times New Roman"/>
              <w:b/>
              <w:bCs/>
              <w:sz w:val="24"/>
              <w:szCs w:val="24"/>
            </w:rPr>
            <w:fldChar w:fldCharType="end"/>
          </w:r>
        </w:p>
      </w:sdtContent>
    </w:sdt>
    <w:p w:rsidR="00910A45" w:rsidRPr="00C2109B" w:rsidRDefault="00910A45">
      <w:pPr>
        <w:rPr>
          <w:rFonts w:ascii="Times New Roman" w:eastAsiaTheme="majorEastAsia" w:hAnsi="Times New Roman" w:cs="Times New Roman"/>
          <w:b/>
          <w:bCs/>
          <w:sz w:val="24"/>
          <w:szCs w:val="24"/>
        </w:rPr>
      </w:pPr>
      <w:r w:rsidRPr="00C2109B">
        <w:rPr>
          <w:rFonts w:ascii="Times New Roman" w:hAnsi="Times New Roman" w:cs="Times New Roman"/>
          <w:sz w:val="24"/>
          <w:szCs w:val="24"/>
        </w:rPr>
        <w:br w:type="page"/>
      </w:r>
    </w:p>
    <w:p w:rsidR="00E53CB1" w:rsidRPr="00C2109B" w:rsidRDefault="00E53CB1" w:rsidP="00373603">
      <w:pPr>
        <w:pStyle w:val="Heading2"/>
        <w:rPr>
          <w:rFonts w:ascii="Times New Roman" w:hAnsi="Times New Roman" w:cs="Times New Roman"/>
          <w:sz w:val="24"/>
          <w:szCs w:val="24"/>
        </w:rPr>
      </w:pPr>
      <w:bookmarkStart w:id="0" w:name="_Toc423349141"/>
      <w:bookmarkStart w:id="1" w:name="_Toc427826186"/>
      <w:r w:rsidRPr="00C2109B">
        <w:rPr>
          <w:rFonts w:ascii="Times New Roman" w:hAnsi="Times New Roman" w:cs="Times New Roman"/>
          <w:sz w:val="24"/>
          <w:szCs w:val="24"/>
        </w:rPr>
        <w:lastRenderedPageBreak/>
        <w:t xml:space="preserve">1. DAĻA. </w:t>
      </w:r>
      <w:r w:rsidR="00AC738A" w:rsidRPr="00C2109B">
        <w:rPr>
          <w:rFonts w:ascii="Times New Roman" w:hAnsi="Times New Roman" w:cs="Times New Roman"/>
          <w:sz w:val="24"/>
          <w:szCs w:val="24"/>
        </w:rPr>
        <w:t xml:space="preserve">DAUDZPUSĒJĀS VIENOŠANĀS </w:t>
      </w:r>
      <w:r w:rsidRPr="00C2109B">
        <w:rPr>
          <w:rFonts w:ascii="Times New Roman" w:hAnsi="Times New Roman" w:cs="Times New Roman"/>
          <w:sz w:val="24"/>
          <w:szCs w:val="24"/>
        </w:rPr>
        <w:t>PRIEKŠMETS UN DEFINĪCIJAS</w:t>
      </w:r>
      <w:bookmarkEnd w:id="0"/>
      <w:bookmarkEnd w:id="1"/>
    </w:p>
    <w:p w:rsidR="00E53CB1" w:rsidRPr="00C2109B" w:rsidRDefault="00E53CB1" w:rsidP="00373603">
      <w:pPr>
        <w:pStyle w:val="Heading3"/>
        <w:rPr>
          <w:rFonts w:ascii="Times New Roman" w:hAnsi="Times New Roman" w:cs="Times New Roman"/>
          <w:sz w:val="24"/>
          <w:szCs w:val="24"/>
        </w:rPr>
      </w:pPr>
      <w:bookmarkStart w:id="2" w:name="_Toc423349142"/>
      <w:bookmarkStart w:id="3" w:name="_Toc427826187"/>
      <w:r w:rsidRPr="00C2109B">
        <w:rPr>
          <w:rFonts w:ascii="Times New Roman" w:hAnsi="Times New Roman" w:cs="Times New Roman"/>
          <w:sz w:val="24"/>
          <w:szCs w:val="24"/>
        </w:rPr>
        <w:t xml:space="preserve">1. pants. </w:t>
      </w:r>
      <w:r w:rsidR="008B5BB6" w:rsidRPr="00C2109B">
        <w:rPr>
          <w:rFonts w:ascii="Times New Roman" w:hAnsi="Times New Roman" w:cs="Times New Roman"/>
          <w:sz w:val="24"/>
          <w:szCs w:val="24"/>
        </w:rPr>
        <w:t xml:space="preserve">Daudzpusējās vienošanās </w:t>
      </w:r>
      <w:r w:rsidR="00A90D08" w:rsidRPr="00C2109B">
        <w:rPr>
          <w:rFonts w:ascii="Times New Roman" w:hAnsi="Times New Roman" w:cs="Times New Roman"/>
          <w:sz w:val="24"/>
          <w:szCs w:val="24"/>
        </w:rPr>
        <w:t>p</w:t>
      </w:r>
      <w:r w:rsidRPr="00C2109B">
        <w:rPr>
          <w:rFonts w:ascii="Times New Roman" w:hAnsi="Times New Roman" w:cs="Times New Roman"/>
          <w:sz w:val="24"/>
          <w:szCs w:val="24"/>
        </w:rPr>
        <w:t>riekšmets</w:t>
      </w:r>
      <w:bookmarkEnd w:id="2"/>
      <w:bookmarkEnd w:id="3"/>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r>
      <w:r w:rsidR="00AC738A" w:rsidRPr="00C2109B">
        <w:rPr>
          <w:rFonts w:ascii="Times New Roman" w:hAnsi="Times New Roman" w:cs="Times New Roman"/>
          <w:sz w:val="24"/>
          <w:szCs w:val="24"/>
        </w:rPr>
        <w:t>Šī</w:t>
      </w:r>
      <w:r w:rsidR="009A73D2" w:rsidRPr="00C2109B">
        <w:rPr>
          <w:rFonts w:ascii="Times New Roman" w:hAnsi="Times New Roman" w:cs="Times New Roman"/>
          <w:sz w:val="24"/>
          <w:szCs w:val="24"/>
        </w:rPr>
        <w:t xml:space="preserve"> </w:t>
      </w:r>
      <w:r w:rsidR="00AC738A" w:rsidRPr="00C2109B">
        <w:rPr>
          <w:rFonts w:ascii="Times New Roman" w:hAnsi="Times New Roman" w:cs="Times New Roman"/>
          <w:sz w:val="24"/>
          <w:szCs w:val="24"/>
        </w:rPr>
        <w:t xml:space="preserve">daudzpusējā vienošanās </w:t>
      </w:r>
      <w:r w:rsidR="009A73D2" w:rsidRPr="00C2109B">
        <w:rPr>
          <w:rFonts w:ascii="Times New Roman" w:hAnsi="Times New Roman" w:cs="Times New Roman"/>
          <w:sz w:val="24"/>
          <w:szCs w:val="24"/>
        </w:rPr>
        <w:t xml:space="preserve">nosaka </w:t>
      </w:r>
      <w:r w:rsidRPr="00C2109B">
        <w:rPr>
          <w:rFonts w:ascii="Times New Roman" w:hAnsi="Times New Roman" w:cs="Times New Roman"/>
          <w:sz w:val="24"/>
          <w:szCs w:val="24"/>
        </w:rPr>
        <w:t xml:space="preserve">īstenošanas </w:t>
      </w:r>
      <w:r w:rsidR="009A73D2" w:rsidRPr="00C2109B">
        <w:rPr>
          <w:rFonts w:ascii="Times New Roman" w:hAnsi="Times New Roman" w:cs="Times New Roman"/>
          <w:sz w:val="24"/>
          <w:szCs w:val="24"/>
        </w:rPr>
        <w:t xml:space="preserve">noteikumus </w:t>
      </w:r>
      <w:r w:rsidRPr="00C2109B">
        <w:rPr>
          <w:rFonts w:ascii="Times New Roman" w:hAnsi="Times New Roman" w:cs="Times New Roman"/>
          <w:sz w:val="24"/>
          <w:szCs w:val="24"/>
        </w:rPr>
        <w:t xml:space="preserve">un </w:t>
      </w:r>
      <w:r w:rsidR="009A73D2" w:rsidRPr="00C2109B">
        <w:rPr>
          <w:rFonts w:ascii="Times New Roman" w:hAnsi="Times New Roman" w:cs="Times New Roman"/>
          <w:sz w:val="24"/>
          <w:szCs w:val="24"/>
        </w:rPr>
        <w:t>kārtību</w:t>
      </w:r>
      <w:r w:rsidRPr="00C2109B">
        <w:rPr>
          <w:rFonts w:ascii="Times New Roman" w:hAnsi="Times New Roman" w:cs="Times New Roman"/>
          <w:sz w:val="24"/>
          <w:szCs w:val="24"/>
        </w:rPr>
        <w:t xml:space="preserve">, kas nepieciešami, lai īstenotu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sadarbības programmas dokumentu </w:t>
      </w:r>
      <w:r w:rsidR="0012053A" w:rsidRPr="00C2109B">
        <w:rPr>
          <w:rFonts w:ascii="Times New Roman" w:hAnsi="Times New Roman" w:cs="Times New Roman"/>
          <w:sz w:val="24"/>
          <w:szCs w:val="24"/>
        </w:rPr>
        <w:t>„</w:t>
      </w:r>
      <w:r w:rsidR="00023A28" w:rsidRPr="00C2109B">
        <w:rPr>
          <w:rFonts w:ascii="Times New Roman" w:hAnsi="Times New Roman" w:cs="Times New Roman"/>
          <w:i/>
          <w:sz w:val="24"/>
          <w:szCs w:val="24"/>
        </w:rPr>
        <w:t>ESPON 2020</w:t>
      </w:r>
      <w:r w:rsidR="00023A28" w:rsidRPr="00C2109B">
        <w:rPr>
          <w:rFonts w:ascii="Times New Roman" w:hAnsi="Times New Roman" w:cs="Times New Roman"/>
          <w:sz w:val="24"/>
          <w:szCs w:val="24"/>
        </w:rPr>
        <w:t xml:space="preserve"> sadarbības programma”</w:t>
      </w:r>
      <w:r w:rsidRPr="00C2109B">
        <w:rPr>
          <w:rFonts w:ascii="Times New Roman" w:hAnsi="Times New Roman" w:cs="Times New Roman"/>
          <w:sz w:val="24"/>
          <w:szCs w:val="24"/>
        </w:rPr>
        <w:t xml:space="preserve"> (CCI 2014TC16RFI004), ko pieņēmusi Komisija ar 2015. gada 12. februāra Īstenošanas lēmumu (ES) Nr. C(2015) 958, un lai veiktu t</w:t>
      </w:r>
      <w:r w:rsidR="00723A66" w:rsidRPr="00C2109B">
        <w:rPr>
          <w:rFonts w:ascii="Times New Roman" w:hAnsi="Times New Roman" w:cs="Times New Roman"/>
          <w:sz w:val="24"/>
          <w:szCs w:val="24"/>
        </w:rPr>
        <w:t>o</w:t>
      </w:r>
      <w:r w:rsidRPr="00C2109B">
        <w:rPr>
          <w:rFonts w:ascii="Times New Roman" w:hAnsi="Times New Roman" w:cs="Times New Roman"/>
          <w:sz w:val="24"/>
          <w:szCs w:val="24"/>
        </w:rPr>
        <w:t xml:space="preserve"> īstenošanu visā 2014.-2020. gada plānošanas periodā.</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Konkrētāk, saskaņā ar dalītās pārvaldības principiem un atsaucoties uz ETS regulas 8. panta 4. punktu un 8. panta 8. punktu, ar šo </w:t>
      </w:r>
      <w:r w:rsidR="00AC738A" w:rsidRPr="00C2109B">
        <w:rPr>
          <w:rFonts w:ascii="Times New Roman" w:hAnsi="Times New Roman" w:cs="Times New Roman"/>
          <w:sz w:val="24"/>
          <w:szCs w:val="24"/>
        </w:rPr>
        <w:t xml:space="preserve">daudzpusējo vienošanos </w:t>
      </w:r>
      <w:r w:rsidRPr="00C2109B">
        <w:rPr>
          <w:rFonts w:ascii="Times New Roman" w:hAnsi="Times New Roman" w:cs="Times New Roman"/>
          <w:sz w:val="24"/>
          <w:szCs w:val="24"/>
        </w:rPr>
        <w:t xml:space="preserve">nosaka pārvaldības un kontroles sistēmas attiecīgās iestādes un struktūras, definē to attiecīgās funkcijas un apraksta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kopīgās uzraudzības, administratīvās un finanšu pārvaldības un kontroles procedūras.</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Ar šo </w:t>
      </w:r>
      <w:r w:rsidR="00AC738A" w:rsidRPr="00C2109B">
        <w:rPr>
          <w:rFonts w:ascii="Times New Roman" w:hAnsi="Times New Roman" w:cs="Times New Roman"/>
          <w:sz w:val="24"/>
          <w:szCs w:val="24"/>
        </w:rPr>
        <w:t xml:space="preserve">daudzpusējo vienošanos </w:t>
      </w:r>
      <w:r w:rsidRPr="00C2109B">
        <w:rPr>
          <w:rFonts w:ascii="Times New Roman" w:hAnsi="Times New Roman" w:cs="Times New Roman"/>
          <w:sz w:val="24"/>
          <w:szCs w:val="24"/>
        </w:rPr>
        <w:t xml:space="preserve">arī definē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w:t>
      </w:r>
      <w:r w:rsidR="006D5698" w:rsidRPr="00C2109B">
        <w:rPr>
          <w:rFonts w:ascii="Times New Roman" w:hAnsi="Times New Roman" w:cs="Times New Roman"/>
          <w:sz w:val="24"/>
          <w:szCs w:val="24"/>
        </w:rPr>
        <w:t xml:space="preserve">kā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w:t>
      </w:r>
      <w:r w:rsidR="00E707B1" w:rsidRPr="00C2109B">
        <w:rPr>
          <w:rFonts w:ascii="Times New Roman" w:hAnsi="Times New Roman" w:cs="Times New Roman"/>
          <w:sz w:val="24"/>
          <w:szCs w:val="24"/>
        </w:rPr>
        <w:t>o</w:t>
      </w:r>
      <w:r w:rsidRPr="00C2109B">
        <w:rPr>
          <w:rFonts w:ascii="Times New Roman" w:hAnsi="Times New Roman" w:cs="Times New Roman"/>
          <w:sz w:val="24"/>
          <w:szCs w:val="24"/>
        </w:rPr>
        <w:t xml:space="preserve"> </w:t>
      </w:r>
      <w:r w:rsidR="00E707B1" w:rsidRPr="00C2109B">
        <w:rPr>
          <w:rFonts w:ascii="Times New Roman" w:hAnsi="Times New Roman" w:cs="Times New Roman"/>
          <w:sz w:val="24"/>
          <w:szCs w:val="24"/>
        </w:rPr>
        <w:t xml:space="preserve">atbalsta </w:t>
      </w:r>
      <w:r w:rsidRPr="00C2109B">
        <w:rPr>
          <w:rFonts w:ascii="Times New Roman" w:hAnsi="Times New Roman" w:cs="Times New Roman"/>
          <w:sz w:val="24"/>
          <w:szCs w:val="24"/>
        </w:rPr>
        <w:t xml:space="preserve">saņēmēja nodibināšanu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1. prioritārā virziena īstenošanai un ar to saistītā </w:t>
      </w:r>
      <w:r w:rsidR="000F4C1E" w:rsidRPr="00C2109B">
        <w:rPr>
          <w:rFonts w:ascii="Times New Roman" w:hAnsi="Times New Roman" w:cs="Times New Roman"/>
          <w:sz w:val="24"/>
          <w:szCs w:val="24"/>
        </w:rPr>
        <w:t xml:space="preserve">riska </w:t>
      </w:r>
      <w:r w:rsidRPr="00C2109B">
        <w:rPr>
          <w:rFonts w:ascii="Times New Roman" w:hAnsi="Times New Roman" w:cs="Times New Roman"/>
          <w:sz w:val="24"/>
          <w:szCs w:val="24"/>
        </w:rPr>
        <w:t xml:space="preserve">atbildības mehānisma izveidošanai, kas ir kopīgs dalībvalstīm un partnervalstīm, kuras piedalās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un Luksemburgas Lielhercogistei, lai nodrošinātu jebkuru potenciālu līdzekļu atgūšanu, kas rodas neattiecināmu izdevumu rezultātā, un finanšu korekcijas, kas jāuzņemas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w:t>
      </w:r>
    </w:p>
    <w:p w:rsidR="00E53CB1" w:rsidRPr="00C2109B" w:rsidRDefault="00E53CB1" w:rsidP="005D0012">
      <w:pPr>
        <w:pStyle w:val="Heading3"/>
        <w:tabs>
          <w:tab w:val="left" w:pos="7499"/>
        </w:tabs>
        <w:rPr>
          <w:rFonts w:ascii="Times New Roman" w:hAnsi="Times New Roman" w:cs="Times New Roman"/>
          <w:sz w:val="24"/>
          <w:szCs w:val="24"/>
        </w:rPr>
      </w:pPr>
      <w:bookmarkStart w:id="4" w:name="_Toc423349143"/>
      <w:bookmarkStart w:id="5" w:name="_Toc427826188"/>
      <w:r w:rsidRPr="00C2109B">
        <w:rPr>
          <w:rFonts w:ascii="Times New Roman" w:hAnsi="Times New Roman" w:cs="Times New Roman"/>
          <w:sz w:val="24"/>
          <w:szCs w:val="24"/>
        </w:rPr>
        <w:t>2. pants. Definīcijas</w:t>
      </w:r>
      <w:bookmarkEnd w:id="4"/>
      <w:bookmarkEnd w:id="5"/>
      <w:r w:rsidR="005D0012" w:rsidRPr="00C2109B">
        <w:rPr>
          <w:rFonts w:ascii="Times New Roman" w:hAnsi="Times New Roman" w:cs="Times New Roman"/>
          <w:sz w:val="24"/>
          <w:szCs w:val="24"/>
        </w:rPr>
        <w:tab/>
      </w:r>
    </w:p>
    <w:p w:rsidR="00E53CB1" w:rsidRPr="00C2109B" w:rsidRDefault="006F689D"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Šajā </w:t>
      </w:r>
      <w:r w:rsidR="00AC738A" w:rsidRPr="00C2109B">
        <w:rPr>
          <w:rFonts w:ascii="Times New Roman" w:hAnsi="Times New Roman" w:cs="Times New Roman"/>
          <w:sz w:val="24"/>
          <w:szCs w:val="24"/>
        </w:rPr>
        <w:t xml:space="preserve">daudzpusējajā vienošanās </w:t>
      </w:r>
      <w:r w:rsidRPr="00C2109B">
        <w:rPr>
          <w:rFonts w:ascii="Times New Roman" w:hAnsi="Times New Roman" w:cs="Times New Roman"/>
          <w:sz w:val="24"/>
          <w:szCs w:val="24"/>
        </w:rPr>
        <w:t>lietotas šādas definīcijas</w:t>
      </w:r>
      <w:r w:rsidR="00AC738A" w:rsidRPr="00C2109B">
        <w:rPr>
          <w:rFonts w:ascii="Times New Roman" w:hAnsi="Times New Roman" w:cs="Times New Roman"/>
          <w:sz w:val="24"/>
          <w:szCs w:val="24"/>
        </w:rPr>
        <w:t>:</w:t>
      </w:r>
    </w:p>
    <w:p w:rsidR="00B8232C" w:rsidRPr="00C2109B" w:rsidRDefault="0012053A" w:rsidP="00B8232C">
      <w:pPr>
        <w:pStyle w:val="NoSpacing"/>
        <w:numPr>
          <w:ilvl w:val="0"/>
          <w:numId w:val="21"/>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w:t>
      </w:r>
      <w:r w:rsidR="00B8232C" w:rsidRPr="00C2109B">
        <w:rPr>
          <w:rFonts w:ascii="Times New Roman" w:hAnsi="Times New Roman" w:cs="Times New Roman"/>
          <w:sz w:val="24"/>
          <w:szCs w:val="24"/>
          <w:u w:val="single"/>
        </w:rPr>
        <w:t>Rīcība</w:t>
      </w:r>
      <w:r w:rsidR="00023A28" w:rsidRPr="00C2109B">
        <w:rPr>
          <w:rFonts w:ascii="Times New Roman" w:hAnsi="Times New Roman" w:cs="Times New Roman"/>
          <w:sz w:val="24"/>
          <w:szCs w:val="24"/>
        </w:rPr>
        <w:t>”</w:t>
      </w:r>
      <w:r w:rsidR="00B8232C" w:rsidRPr="00C2109B">
        <w:rPr>
          <w:rFonts w:ascii="Times New Roman" w:hAnsi="Times New Roman" w:cs="Times New Roman"/>
          <w:sz w:val="24"/>
          <w:szCs w:val="24"/>
        </w:rPr>
        <w:t xml:space="preserve"> raksturo darbības elementus. Konkrēti tas nozīmē, ka darbība ir rīcības pasākumu kopums.</w:t>
      </w:r>
    </w:p>
    <w:p w:rsidR="00E53CB1" w:rsidRPr="00C2109B" w:rsidRDefault="0012053A" w:rsidP="00B56616">
      <w:pPr>
        <w:pStyle w:val="NoSpacing"/>
        <w:numPr>
          <w:ilvl w:val="0"/>
          <w:numId w:val="21"/>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w:t>
      </w:r>
      <w:r w:rsidR="00E53CB1" w:rsidRPr="00C2109B">
        <w:rPr>
          <w:rFonts w:ascii="Times New Roman" w:hAnsi="Times New Roman" w:cs="Times New Roman"/>
          <w:sz w:val="24"/>
          <w:szCs w:val="24"/>
          <w:u w:val="single"/>
        </w:rPr>
        <w:t>Pasākumi</w:t>
      </w:r>
      <w:r w:rsidR="00023A28" w:rsidRPr="00C2109B">
        <w:rPr>
          <w:rFonts w:ascii="Times New Roman" w:hAnsi="Times New Roman" w:cs="Times New Roman"/>
          <w:sz w:val="24"/>
          <w:szCs w:val="24"/>
        </w:rPr>
        <w:t>”</w:t>
      </w:r>
      <w:r w:rsidR="00E53CB1" w:rsidRPr="00C2109B">
        <w:rPr>
          <w:rFonts w:ascii="Times New Roman" w:hAnsi="Times New Roman" w:cs="Times New Roman"/>
          <w:sz w:val="24"/>
          <w:szCs w:val="24"/>
        </w:rPr>
        <w:t xml:space="preserve"> raksturo rīcības elementus, ko īsteno ar darbību. Konkrēti tas nozīmē, ka rīcība ir pasākumu kopums. Saskaņā ar </w:t>
      </w:r>
      <w:r w:rsidR="006D5698" w:rsidRPr="00C2109B">
        <w:rPr>
          <w:rFonts w:ascii="Times New Roman" w:hAnsi="Times New Roman" w:cs="Times New Roman"/>
          <w:sz w:val="24"/>
          <w:szCs w:val="24"/>
        </w:rPr>
        <w:t>„</w:t>
      </w:r>
      <w:r w:rsidR="00E53CB1" w:rsidRPr="00C2109B">
        <w:rPr>
          <w:rFonts w:ascii="Times New Roman" w:hAnsi="Times New Roman" w:cs="Times New Roman"/>
          <w:sz w:val="24"/>
          <w:szCs w:val="24"/>
        </w:rPr>
        <w:t>ESPON 2020</w:t>
      </w:r>
      <w:r w:rsidR="006D5698" w:rsidRPr="00C2109B">
        <w:rPr>
          <w:rFonts w:ascii="Times New Roman" w:hAnsi="Times New Roman" w:cs="Times New Roman"/>
          <w:sz w:val="24"/>
          <w:szCs w:val="24"/>
        </w:rPr>
        <w:t>”</w:t>
      </w:r>
      <w:r w:rsidR="00E53CB1" w:rsidRPr="00C2109B">
        <w:rPr>
          <w:rFonts w:ascii="Times New Roman" w:hAnsi="Times New Roman" w:cs="Times New Roman"/>
          <w:sz w:val="24"/>
          <w:szCs w:val="24"/>
        </w:rPr>
        <w:t xml:space="preserve"> sadarbības programmu dažus pasākumus īsteno, sniedzot pakalpojumus saskaņ</w:t>
      </w:r>
      <w:r w:rsidR="006D5698" w:rsidRPr="00C2109B">
        <w:rPr>
          <w:rFonts w:ascii="Times New Roman" w:hAnsi="Times New Roman" w:cs="Times New Roman"/>
          <w:sz w:val="24"/>
          <w:szCs w:val="24"/>
        </w:rPr>
        <w:t>ā</w:t>
      </w:r>
      <w:r w:rsidR="00E53CB1" w:rsidRPr="00C2109B">
        <w:rPr>
          <w:rFonts w:ascii="Times New Roman" w:hAnsi="Times New Roman" w:cs="Times New Roman"/>
          <w:sz w:val="24"/>
          <w:szCs w:val="24"/>
        </w:rPr>
        <w:t xml:space="preserve"> a</w:t>
      </w:r>
      <w:r w:rsidR="00A90D08" w:rsidRPr="00C2109B">
        <w:rPr>
          <w:rFonts w:ascii="Times New Roman" w:hAnsi="Times New Roman" w:cs="Times New Roman"/>
          <w:sz w:val="24"/>
          <w:szCs w:val="24"/>
        </w:rPr>
        <w:t>r publiskā iepirkuma procedūru.</w:t>
      </w:r>
    </w:p>
    <w:p w:rsidR="00E53CB1" w:rsidRPr="00C2109B" w:rsidRDefault="0012053A" w:rsidP="00BA5719">
      <w:pPr>
        <w:pStyle w:val="NoSpacing"/>
        <w:numPr>
          <w:ilvl w:val="0"/>
          <w:numId w:val="21"/>
        </w:numPr>
        <w:spacing w:line="276" w:lineRule="auto"/>
        <w:ind w:left="714" w:hanging="357"/>
        <w:jc w:val="both"/>
        <w:rPr>
          <w:rFonts w:ascii="Times New Roman" w:hAnsi="Times New Roman" w:cs="Times New Roman"/>
          <w:sz w:val="24"/>
          <w:szCs w:val="24"/>
        </w:rPr>
      </w:pPr>
      <w:r w:rsidRPr="00C2109B">
        <w:rPr>
          <w:rFonts w:ascii="Times New Roman" w:hAnsi="Times New Roman" w:cs="Times New Roman"/>
          <w:sz w:val="24"/>
          <w:szCs w:val="24"/>
        </w:rPr>
        <w:t>„</w:t>
      </w:r>
      <w:r w:rsidR="00E53CB1" w:rsidRPr="00C2109B">
        <w:rPr>
          <w:rFonts w:ascii="Times New Roman" w:hAnsi="Times New Roman" w:cs="Times New Roman"/>
          <w:sz w:val="24"/>
          <w:szCs w:val="24"/>
          <w:u w:val="single"/>
        </w:rPr>
        <w:t>Atbalsta saņēmējs</w:t>
      </w:r>
      <w:r w:rsidR="00023A28" w:rsidRPr="00C2109B">
        <w:rPr>
          <w:rFonts w:ascii="Times New Roman" w:hAnsi="Times New Roman" w:cs="Times New Roman"/>
          <w:sz w:val="24"/>
          <w:szCs w:val="24"/>
        </w:rPr>
        <w:t>”</w:t>
      </w:r>
      <w:r w:rsidR="00E53CB1" w:rsidRPr="00C2109B">
        <w:rPr>
          <w:rFonts w:ascii="Times New Roman" w:hAnsi="Times New Roman" w:cs="Times New Roman"/>
          <w:sz w:val="24"/>
          <w:szCs w:val="24"/>
        </w:rPr>
        <w:t xml:space="preserve"> saskaņā ar KNR 2. panta 10. punktu ir (..) </w:t>
      </w:r>
      <w:r w:rsidR="00E53CB1" w:rsidRPr="00C2109B">
        <w:rPr>
          <w:rFonts w:ascii="Times New Roman" w:hAnsi="Times New Roman" w:cs="Times New Roman"/>
          <w:i/>
          <w:sz w:val="24"/>
          <w:szCs w:val="24"/>
        </w:rPr>
        <w:t>publiska vai privāta struktūra</w:t>
      </w:r>
      <w:r w:rsidR="00E53CB1" w:rsidRPr="00C2109B">
        <w:rPr>
          <w:rFonts w:ascii="Times New Roman" w:hAnsi="Times New Roman" w:cs="Times New Roman"/>
          <w:sz w:val="24"/>
          <w:szCs w:val="24"/>
        </w:rPr>
        <w:t xml:space="preserve"> (..), </w:t>
      </w:r>
      <w:r w:rsidR="00E53CB1" w:rsidRPr="00C2109B">
        <w:rPr>
          <w:rFonts w:ascii="Times New Roman" w:hAnsi="Times New Roman" w:cs="Times New Roman"/>
          <w:i/>
          <w:sz w:val="24"/>
          <w:szCs w:val="24"/>
        </w:rPr>
        <w:t>kas ir atbildīga par darbību sākšanu vai gan sākšanu, gan īstenošanu.</w:t>
      </w:r>
    </w:p>
    <w:p w:rsidR="00E53CB1" w:rsidRPr="00C2109B" w:rsidRDefault="00E53CB1" w:rsidP="00BA5719">
      <w:pPr>
        <w:pStyle w:val="ListParagraph"/>
        <w:numPr>
          <w:ilvl w:val="0"/>
          <w:numId w:val="21"/>
        </w:numPr>
        <w:spacing w:after="0"/>
        <w:ind w:left="714" w:hanging="357"/>
        <w:jc w:val="both"/>
        <w:rPr>
          <w:rFonts w:ascii="Times New Roman" w:hAnsi="Times New Roman" w:cs="Times New Roman"/>
          <w:sz w:val="24"/>
          <w:szCs w:val="24"/>
        </w:rPr>
      </w:pPr>
      <w:r w:rsidRPr="00C2109B">
        <w:rPr>
          <w:rFonts w:ascii="Times New Roman" w:hAnsi="Times New Roman" w:cs="Times New Roman"/>
          <w:sz w:val="24"/>
          <w:szCs w:val="24"/>
        </w:rPr>
        <w:t xml:space="preserve">Saskaņā ar KNR 2. panta 9. punktu </w:t>
      </w:r>
      <w:r w:rsidR="0012053A" w:rsidRPr="00C2109B">
        <w:rPr>
          <w:rFonts w:ascii="Times New Roman" w:hAnsi="Times New Roman" w:cs="Times New Roman"/>
          <w:sz w:val="24"/>
          <w:szCs w:val="24"/>
        </w:rPr>
        <w:t>„</w:t>
      </w:r>
      <w:r w:rsidRPr="00C2109B">
        <w:rPr>
          <w:rFonts w:ascii="Times New Roman" w:hAnsi="Times New Roman" w:cs="Times New Roman"/>
          <w:sz w:val="24"/>
          <w:szCs w:val="24"/>
          <w:u w:val="single"/>
        </w:rPr>
        <w:t>darbība</w:t>
      </w:r>
      <w:r w:rsidR="00023A28" w:rsidRPr="00C2109B">
        <w:rPr>
          <w:rFonts w:ascii="Times New Roman" w:hAnsi="Times New Roman" w:cs="Times New Roman"/>
          <w:sz w:val="24"/>
          <w:szCs w:val="24"/>
        </w:rPr>
        <w:t>”</w:t>
      </w:r>
      <w:r w:rsidRPr="00C2109B">
        <w:rPr>
          <w:rFonts w:ascii="Times New Roman" w:hAnsi="Times New Roman" w:cs="Times New Roman"/>
          <w:sz w:val="24"/>
          <w:szCs w:val="24"/>
        </w:rPr>
        <w:t xml:space="preserve"> ir</w:t>
      </w:r>
      <w:r w:rsidRPr="00C2109B">
        <w:rPr>
          <w:rFonts w:ascii="Times New Roman" w:hAnsi="Times New Roman" w:cs="Times New Roman"/>
          <w:i/>
          <w:sz w:val="24"/>
          <w:szCs w:val="24"/>
        </w:rPr>
        <w:t xml:space="preserve"> </w:t>
      </w:r>
      <w:r w:rsidRPr="00C2109B">
        <w:rPr>
          <w:rFonts w:ascii="Times New Roman" w:hAnsi="Times New Roman" w:cs="Times New Roman"/>
          <w:sz w:val="24"/>
          <w:szCs w:val="24"/>
        </w:rPr>
        <w:t>(..)</w:t>
      </w:r>
      <w:r w:rsidRPr="00C2109B">
        <w:rPr>
          <w:rFonts w:ascii="Times New Roman" w:hAnsi="Times New Roman" w:cs="Times New Roman"/>
          <w:i/>
          <w:sz w:val="24"/>
          <w:szCs w:val="24"/>
        </w:rPr>
        <w:t xml:space="preserve"> projekts, līgums, darbība vai projektu grupa, ko atlasa attiecīgo darbības programmu vadošās iestādes vai to pārraudzībā un kas veicina prioritātes vai prioritāšu mērķu sasniegšanu </w:t>
      </w:r>
      <w:r w:rsidR="00A90D08" w:rsidRPr="00C2109B">
        <w:rPr>
          <w:rFonts w:ascii="Times New Roman" w:hAnsi="Times New Roman" w:cs="Times New Roman"/>
          <w:sz w:val="24"/>
          <w:szCs w:val="24"/>
        </w:rPr>
        <w:t>(..).</w:t>
      </w:r>
    </w:p>
    <w:p w:rsidR="00C06D6D" w:rsidRPr="00C2109B" w:rsidRDefault="0012053A" w:rsidP="00B56616">
      <w:pPr>
        <w:pStyle w:val="NoSpacing"/>
        <w:numPr>
          <w:ilvl w:val="0"/>
          <w:numId w:val="21"/>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w:t>
      </w:r>
      <w:r w:rsidR="00C06D6D" w:rsidRPr="00C2109B">
        <w:rPr>
          <w:rFonts w:ascii="Times New Roman" w:hAnsi="Times New Roman" w:cs="Times New Roman"/>
          <w:sz w:val="24"/>
          <w:szCs w:val="24"/>
        </w:rPr>
        <w:t>ESPON 202</w:t>
      </w:r>
      <w:r w:rsidRPr="00C2109B">
        <w:rPr>
          <w:rFonts w:ascii="Times New Roman" w:hAnsi="Times New Roman" w:cs="Times New Roman"/>
          <w:sz w:val="24"/>
          <w:szCs w:val="24"/>
        </w:rPr>
        <w:t>0”</w:t>
      </w:r>
      <w:r w:rsidR="00C06D6D" w:rsidRPr="00C2109B">
        <w:rPr>
          <w:rFonts w:ascii="Times New Roman" w:hAnsi="Times New Roman" w:cs="Times New Roman"/>
          <w:sz w:val="24"/>
          <w:szCs w:val="24"/>
        </w:rPr>
        <w:t xml:space="preserve"> sadarbības programma </w:t>
      </w:r>
      <w:r w:rsidRPr="00C2109B">
        <w:rPr>
          <w:rFonts w:ascii="Times New Roman" w:hAnsi="Times New Roman" w:cs="Times New Roman"/>
          <w:sz w:val="24"/>
          <w:szCs w:val="24"/>
        </w:rPr>
        <w:t>„</w:t>
      </w:r>
      <w:r w:rsidR="0087279A" w:rsidRPr="00C2109B">
        <w:rPr>
          <w:rFonts w:ascii="Times New Roman" w:hAnsi="Times New Roman" w:cs="Times New Roman"/>
          <w:sz w:val="24"/>
          <w:szCs w:val="24"/>
          <w:u w:val="single"/>
        </w:rPr>
        <w:t>V</w:t>
      </w:r>
      <w:r w:rsidR="00C06D6D" w:rsidRPr="00C2109B">
        <w:rPr>
          <w:rFonts w:ascii="Times New Roman" w:hAnsi="Times New Roman" w:cs="Times New Roman"/>
          <w:sz w:val="24"/>
          <w:szCs w:val="24"/>
          <w:u w:val="single"/>
        </w:rPr>
        <w:t>ienīgo darbību</w:t>
      </w:r>
      <w:r w:rsidR="00023A28" w:rsidRPr="00C2109B">
        <w:rPr>
          <w:rFonts w:ascii="Times New Roman" w:hAnsi="Times New Roman" w:cs="Times New Roman"/>
          <w:sz w:val="24"/>
          <w:szCs w:val="24"/>
        </w:rPr>
        <w:t>”</w:t>
      </w:r>
      <w:r w:rsidR="00C06D6D" w:rsidRPr="00C2109B">
        <w:rPr>
          <w:rFonts w:ascii="Times New Roman" w:hAnsi="Times New Roman" w:cs="Times New Roman"/>
          <w:sz w:val="24"/>
          <w:szCs w:val="24"/>
        </w:rPr>
        <w:t xml:space="preserve"> definē 1. prioritārā virziena d) apakšpunktā lietotajā n</w:t>
      </w:r>
      <w:r w:rsidR="00A90D08" w:rsidRPr="00C2109B">
        <w:rPr>
          <w:rFonts w:ascii="Times New Roman" w:hAnsi="Times New Roman" w:cs="Times New Roman"/>
          <w:sz w:val="24"/>
          <w:szCs w:val="24"/>
        </w:rPr>
        <w:t>ozīmē.</w:t>
      </w:r>
    </w:p>
    <w:p w:rsidR="00C06D6D" w:rsidRPr="00C2109B" w:rsidRDefault="0012053A" w:rsidP="00B56616">
      <w:pPr>
        <w:pStyle w:val="NoSpacing"/>
        <w:numPr>
          <w:ilvl w:val="0"/>
          <w:numId w:val="21"/>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w:t>
      </w:r>
      <w:r w:rsidR="00C06D6D" w:rsidRPr="00C2109B">
        <w:rPr>
          <w:rFonts w:ascii="Times New Roman" w:hAnsi="Times New Roman" w:cs="Times New Roman"/>
          <w:sz w:val="24"/>
          <w:szCs w:val="24"/>
        </w:rPr>
        <w:t>ESPON 202</w:t>
      </w:r>
      <w:r w:rsidRPr="00C2109B">
        <w:rPr>
          <w:rFonts w:ascii="Times New Roman" w:hAnsi="Times New Roman" w:cs="Times New Roman"/>
          <w:sz w:val="24"/>
          <w:szCs w:val="24"/>
        </w:rPr>
        <w:t>0”</w:t>
      </w:r>
      <w:r w:rsidR="00C06D6D" w:rsidRPr="00C2109B">
        <w:rPr>
          <w:rFonts w:ascii="Times New Roman" w:hAnsi="Times New Roman" w:cs="Times New Roman"/>
          <w:sz w:val="24"/>
          <w:szCs w:val="24"/>
        </w:rPr>
        <w:t xml:space="preserve"> sadarbības programma definē </w:t>
      </w:r>
      <w:r w:rsidR="00C06D6D" w:rsidRPr="00C2109B">
        <w:rPr>
          <w:rFonts w:ascii="Times New Roman" w:hAnsi="Times New Roman" w:cs="Times New Roman"/>
          <w:i/>
          <w:sz w:val="24"/>
          <w:szCs w:val="24"/>
        </w:rPr>
        <w:t>ESPON ETSG</w:t>
      </w:r>
      <w:r w:rsidR="00C06D6D" w:rsidRPr="00C2109B">
        <w:rPr>
          <w:rFonts w:ascii="Times New Roman" w:hAnsi="Times New Roman" w:cs="Times New Roman"/>
          <w:sz w:val="24"/>
          <w:szCs w:val="24"/>
        </w:rPr>
        <w:t xml:space="preserve"> kā </w:t>
      </w:r>
      <w:r w:rsidR="00E707B1" w:rsidRPr="00C2109B">
        <w:rPr>
          <w:rFonts w:ascii="Times New Roman" w:hAnsi="Times New Roman" w:cs="Times New Roman"/>
          <w:sz w:val="24"/>
          <w:szCs w:val="24"/>
        </w:rPr>
        <w:t>V</w:t>
      </w:r>
      <w:r w:rsidR="00C06D6D" w:rsidRPr="00C2109B">
        <w:rPr>
          <w:rFonts w:ascii="Times New Roman" w:hAnsi="Times New Roman" w:cs="Times New Roman"/>
          <w:sz w:val="24"/>
          <w:szCs w:val="24"/>
        </w:rPr>
        <w:t xml:space="preserve">ienīgo atbalsta saņēmēju ETS regulas 12. panta 2. un 3. punktā lietotajā nozīmē. Lai īstenotu 1. prioritārā virziena </w:t>
      </w:r>
      <w:r w:rsidR="00E707B1" w:rsidRPr="00C2109B">
        <w:rPr>
          <w:rFonts w:ascii="Times New Roman" w:hAnsi="Times New Roman" w:cs="Times New Roman"/>
          <w:sz w:val="24"/>
          <w:szCs w:val="24"/>
        </w:rPr>
        <w:t>V</w:t>
      </w:r>
      <w:r w:rsidR="00C06D6D" w:rsidRPr="00C2109B">
        <w:rPr>
          <w:rFonts w:ascii="Times New Roman" w:hAnsi="Times New Roman" w:cs="Times New Roman"/>
          <w:sz w:val="24"/>
          <w:szCs w:val="24"/>
        </w:rPr>
        <w:t xml:space="preserve">ienīgo darbību, saskaņā ar ETS regulas 12. panta 5. punktu un sadarbības programmā definēto līdzekļu piešķiršanas kārtību ar </w:t>
      </w:r>
      <w:r w:rsidR="00E707B1" w:rsidRPr="00C2109B">
        <w:rPr>
          <w:rFonts w:ascii="Times New Roman" w:hAnsi="Times New Roman" w:cs="Times New Roman"/>
          <w:sz w:val="24"/>
          <w:szCs w:val="24"/>
        </w:rPr>
        <w:t>V</w:t>
      </w:r>
      <w:r w:rsidR="00C06D6D" w:rsidRPr="00C2109B">
        <w:rPr>
          <w:rFonts w:ascii="Times New Roman" w:hAnsi="Times New Roman" w:cs="Times New Roman"/>
          <w:sz w:val="24"/>
          <w:szCs w:val="24"/>
        </w:rPr>
        <w:t xml:space="preserve">ienīgo atbalsta saņēmēju noslēdz </w:t>
      </w:r>
      <w:r w:rsidR="009A73D2" w:rsidRPr="00C2109B">
        <w:rPr>
          <w:rFonts w:ascii="Times New Roman" w:hAnsi="Times New Roman" w:cs="Times New Roman"/>
          <w:sz w:val="24"/>
          <w:szCs w:val="24"/>
        </w:rPr>
        <w:t xml:space="preserve">granta </w:t>
      </w:r>
      <w:r w:rsidR="00C06D6D" w:rsidRPr="00C2109B">
        <w:rPr>
          <w:rFonts w:ascii="Times New Roman" w:hAnsi="Times New Roman" w:cs="Times New Roman"/>
          <w:sz w:val="24"/>
          <w:szCs w:val="24"/>
        </w:rPr>
        <w:t>līgumu, par k</w:t>
      </w:r>
      <w:r w:rsidR="007F17CB" w:rsidRPr="00C2109B">
        <w:rPr>
          <w:rFonts w:ascii="Times New Roman" w:hAnsi="Times New Roman" w:cs="Times New Roman"/>
          <w:sz w:val="24"/>
          <w:szCs w:val="24"/>
        </w:rPr>
        <w:t xml:space="preserve">uru lemj </w:t>
      </w:r>
      <w:r w:rsidR="00AC738A" w:rsidRPr="00C2109B">
        <w:rPr>
          <w:rFonts w:ascii="Times New Roman" w:hAnsi="Times New Roman" w:cs="Times New Roman"/>
          <w:sz w:val="24"/>
          <w:szCs w:val="24"/>
        </w:rPr>
        <w:t xml:space="preserve">Uzraudzības </w:t>
      </w:r>
      <w:r w:rsidR="007F17CB" w:rsidRPr="00C2109B">
        <w:rPr>
          <w:rFonts w:ascii="Times New Roman" w:hAnsi="Times New Roman" w:cs="Times New Roman"/>
          <w:sz w:val="24"/>
          <w:szCs w:val="24"/>
        </w:rPr>
        <w:t>komiteja.</w:t>
      </w:r>
    </w:p>
    <w:p w:rsidR="00C06D6D" w:rsidRPr="00C2109B" w:rsidRDefault="00C06D6D" w:rsidP="00B56616">
      <w:pPr>
        <w:pStyle w:val="ListParagraph"/>
        <w:numPr>
          <w:ilvl w:val="0"/>
          <w:numId w:val="21"/>
        </w:numPr>
        <w:jc w:val="both"/>
        <w:rPr>
          <w:rFonts w:ascii="Times New Roman" w:hAnsi="Times New Roman" w:cs="Times New Roman"/>
          <w:sz w:val="24"/>
          <w:szCs w:val="24"/>
        </w:rPr>
      </w:pPr>
      <w:r w:rsidRPr="00C2109B">
        <w:rPr>
          <w:rFonts w:ascii="Times New Roman" w:hAnsi="Times New Roman" w:cs="Times New Roman"/>
          <w:sz w:val="24"/>
          <w:szCs w:val="24"/>
        </w:rPr>
        <w:t xml:space="preserve">Briseles galvaspilsētas reģions, Flandrijas reģions, Valonijas reģions un Luksemburgas Lielhercogiste nodibina </w:t>
      </w:r>
      <w:r w:rsidRPr="00C2109B">
        <w:rPr>
          <w:rFonts w:ascii="Times New Roman" w:hAnsi="Times New Roman" w:cs="Times New Roman"/>
          <w:i/>
          <w:sz w:val="24"/>
          <w:szCs w:val="24"/>
          <w:u w:val="single"/>
        </w:rPr>
        <w:t>ESPON ETSG</w:t>
      </w:r>
      <w:r w:rsidRPr="00C2109B">
        <w:rPr>
          <w:rFonts w:ascii="Times New Roman" w:hAnsi="Times New Roman" w:cs="Times New Roman"/>
          <w:sz w:val="24"/>
          <w:szCs w:val="24"/>
        </w:rPr>
        <w:t xml:space="preserve"> kā </w:t>
      </w:r>
      <w:r w:rsidR="00882D54"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ienīgo atbalsta saņēmēju (kā aprakstīts f) apakšpunktā) nolūkā īstenot </w:t>
      </w:r>
      <w:r w:rsidR="0087279A" w:rsidRPr="00C2109B">
        <w:rPr>
          <w:rFonts w:ascii="Times New Roman" w:hAnsi="Times New Roman" w:cs="Times New Roman"/>
          <w:sz w:val="24"/>
          <w:szCs w:val="24"/>
        </w:rPr>
        <w:t>V</w:t>
      </w:r>
      <w:r w:rsidRPr="00C2109B">
        <w:rPr>
          <w:rFonts w:ascii="Times New Roman" w:hAnsi="Times New Roman" w:cs="Times New Roman"/>
          <w:sz w:val="24"/>
          <w:szCs w:val="24"/>
        </w:rPr>
        <w:t>ienīgo darbību (kā aprakstīts e) apakšpunktā)</w:t>
      </w:r>
      <w:r w:rsidR="007F17CB" w:rsidRPr="00C2109B">
        <w:rPr>
          <w:rFonts w:ascii="Times New Roman" w:hAnsi="Times New Roman" w:cs="Times New Roman"/>
          <w:sz w:val="24"/>
          <w:szCs w:val="24"/>
        </w:rPr>
        <w:t>,</w:t>
      </w:r>
      <w:r w:rsidRPr="00C2109B">
        <w:rPr>
          <w:rFonts w:ascii="Times New Roman" w:hAnsi="Times New Roman" w:cs="Times New Roman"/>
          <w:sz w:val="24"/>
          <w:szCs w:val="24"/>
        </w:rPr>
        <w:t xml:space="preserve"> un, ja </w:t>
      </w:r>
      <w:r w:rsidR="00AC738A" w:rsidRPr="00C2109B">
        <w:rPr>
          <w:rFonts w:ascii="Times New Roman" w:hAnsi="Times New Roman" w:cs="Times New Roman"/>
          <w:sz w:val="24"/>
          <w:szCs w:val="24"/>
        </w:rPr>
        <w:t xml:space="preserve">Uzraudzības </w:t>
      </w:r>
      <w:r w:rsidRPr="00C2109B">
        <w:rPr>
          <w:rFonts w:ascii="Times New Roman" w:hAnsi="Times New Roman" w:cs="Times New Roman"/>
          <w:sz w:val="24"/>
          <w:szCs w:val="24"/>
        </w:rPr>
        <w:t xml:space="preserve">komiteja uzskata par vajadzīgu, īstenot turpmākas darbības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00A90D08" w:rsidRPr="00C2109B">
        <w:rPr>
          <w:rFonts w:ascii="Times New Roman" w:hAnsi="Times New Roman" w:cs="Times New Roman"/>
          <w:sz w:val="24"/>
          <w:szCs w:val="24"/>
        </w:rPr>
        <w:t xml:space="preserve"> sadarbības programmā.</w:t>
      </w:r>
    </w:p>
    <w:p w:rsidR="00E53CB1" w:rsidRPr="00C2109B" w:rsidRDefault="00E53CB1" w:rsidP="009063C2">
      <w:pPr>
        <w:pStyle w:val="ListParagraph"/>
        <w:numPr>
          <w:ilvl w:val="0"/>
          <w:numId w:val="21"/>
        </w:numPr>
        <w:jc w:val="both"/>
        <w:rPr>
          <w:rFonts w:ascii="Times New Roman" w:hAnsi="Times New Roman" w:cs="Times New Roman"/>
          <w:sz w:val="24"/>
          <w:szCs w:val="24"/>
        </w:rPr>
      </w:pPr>
      <w:r w:rsidRPr="00C2109B">
        <w:rPr>
          <w:rFonts w:ascii="Times New Roman" w:hAnsi="Times New Roman" w:cs="Times New Roman"/>
          <w:sz w:val="24"/>
          <w:szCs w:val="24"/>
        </w:rPr>
        <w:lastRenderedPageBreak/>
        <w:t xml:space="preserve">Uzraudzības komiteja sagatavo </w:t>
      </w:r>
      <w:r w:rsidRPr="00C2109B">
        <w:rPr>
          <w:rFonts w:ascii="Times New Roman" w:hAnsi="Times New Roman" w:cs="Times New Roman"/>
          <w:sz w:val="24"/>
          <w:szCs w:val="24"/>
          <w:u w:val="single"/>
        </w:rPr>
        <w:t>darbības specifikāciju</w:t>
      </w:r>
      <w:r w:rsidRPr="00C2109B">
        <w:rPr>
          <w:rFonts w:ascii="Times New Roman" w:hAnsi="Times New Roman" w:cs="Times New Roman"/>
          <w:sz w:val="24"/>
          <w:szCs w:val="24"/>
        </w:rPr>
        <w:t xml:space="preserve">, un tajā ir ietverti noteikumi darbības priekšlikuma sagatavošanai, kurus izstrādā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ienīgais atbalsta saņēmējs. Darbības specifikācijā sīkāk aprakstītas satura prasības un īstenošanas noteikumi, kas jāpilda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ienīgaj</w:t>
      </w:r>
      <w:r w:rsidR="00A90D08" w:rsidRPr="00C2109B">
        <w:rPr>
          <w:rFonts w:ascii="Times New Roman" w:hAnsi="Times New Roman" w:cs="Times New Roman"/>
          <w:sz w:val="24"/>
          <w:szCs w:val="24"/>
        </w:rPr>
        <w:t>am atbalsta saņēmējam.</w:t>
      </w:r>
    </w:p>
    <w:p w:rsidR="00E53CB1" w:rsidRPr="00C2109B" w:rsidRDefault="00E53CB1" w:rsidP="009063C2">
      <w:pPr>
        <w:pStyle w:val="ListParagraph"/>
        <w:numPr>
          <w:ilvl w:val="0"/>
          <w:numId w:val="21"/>
        </w:numPr>
        <w:jc w:val="both"/>
        <w:rPr>
          <w:rFonts w:ascii="Times New Roman" w:hAnsi="Times New Roman" w:cs="Times New Roman"/>
          <w:sz w:val="24"/>
          <w:szCs w:val="24"/>
        </w:rPr>
      </w:pPr>
      <w:r w:rsidRPr="00C2109B">
        <w:rPr>
          <w:rFonts w:ascii="Times New Roman" w:hAnsi="Times New Roman" w:cs="Times New Roman"/>
          <w:sz w:val="24"/>
          <w:szCs w:val="24"/>
        </w:rPr>
        <w:t xml:space="preserve">Vienīgais atbalsta saņēmējs sagatavo </w:t>
      </w:r>
      <w:r w:rsidRPr="00C2109B">
        <w:rPr>
          <w:rFonts w:ascii="Times New Roman" w:hAnsi="Times New Roman" w:cs="Times New Roman"/>
          <w:sz w:val="24"/>
          <w:szCs w:val="24"/>
          <w:u w:val="single"/>
        </w:rPr>
        <w:t>darbības priekšlikumu</w:t>
      </w:r>
      <w:r w:rsidRPr="00C2109B">
        <w:rPr>
          <w:rFonts w:ascii="Times New Roman" w:hAnsi="Times New Roman" w:cs="Times New Roman"/>
          <w:sz w:val="24"/>
          <w:szCs w:val="24"/>
        </w:rPr>
        <w:t xml:space="preserve"> </w:t>
      </w:r>
      <w:r w:rsidR="0087279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ienīgajai darbībai un iesniedz to apstiprināšanai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zraudzības komitejā. Tajā ir ietverta daudzgadu darba programma, gada darba plāni un attiecīgā gadījumā – galveno pasākumu apraksts.</w:t>
      </w:r>
    </w:p>
    <w:p w:rsidR="00E53CB1" w:rsidRPr="00C2109B" w:rsidRDefault="009A73D2" w:rsidP="00B56616">
      <w:pPr>
        <w:pStyle w:val="ListParagraph"/>
        <w:numPr>
          <w:ilvl w:val="0"/>
          <w:numId w:val="21"/>
        </w:numPr>
        <w:jc w:val="both"/>
        <w:rPr>
          <w:rFonts w:ascii="Times New Roman" w:hAnsi="Times New Roman" w:cs="Times New Roman"/>
          <w:sz w:val="24"/>
          <w:szCs w:val="24"/>
        </w:rPr>
      </w:pPr>
      <w:r w:rsidRPr="00C2109B">
        <w:rPr>
          <w:rFonts w:ascii="Times New Roman" w:hAnsi="Times New Roman" w:cs="Times New Roman"/>
          <w:sz w:val="24"/>
          <w:szCs w:val="24"/>
          <w:u w:val="single"/>
        </w:rPr>
        <w:t xml:space="preserve">Granta </w:t>
      </w:r>
      <w:r w:rsidR="00E53CB1" w:rsidRPr="00C2109B">
        <w:rPr>
          <w:rFonts w:ascii="Times New Roman" w:hAnsi="Times New Roman" w:cs="Times New Roman"/>
          <w:sz w:val="24"/>
          <w:szCs w:val="24"/>
          <w:u w:val="single"/>
        </w:rPr>
        <w:t>līgums</w:t>
      </w:r>
      <w:r w:rsidR="00E53CB1" w:rsidRPr="00C2109B">
        <w:rPr>
          <w:rFonts w:ascii="Times New Roman" w:hAnsi="Times New Roman" w:cs="Times New Roman"/>
          <w:sz w:val="24"/>
          <w:szCs w:val="24"/>
        </w:rPr>
        <w:t xml:space="preserve"> ir līgums, kas noslēgts starp </w:t>
      </w:r>
      <w:r w:rsidR="0012053A" w:rsidRPr="00C2109B">
        <w:rPr>
          <w:rFonts w:ascii="Times New Roman" w:hAnsi="Times New Roman" w:cs="Times New Roman"/>
          <w:sz w:val="24"/>
          <w:szCs w:val="24"/>
        </w:rPr>
        <w:t>„</w:t>
      </w:r>
      <w:r w:rsidR="00E53CB1"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00E53CB1" w:rsidRPr="00C2109B">
        <w:rPr>
          <w:rFonts w:ascii="Times New Roman" w:hAnsi="Times New Roman" w:cs="Times New Roman"/>
          <w:sz w:val="24"/>
          <w:szCs w:val="24"/>
        </w:rPr>
        <w:t xml:space="preserve"> sadarbības programmas vadošo iestādi un </w:t>
      </w:r>
      <w:r w:rsidR="00E53CB1" w:rsidRPr="00C2109B">
        <w:rPr>
          <w:rFonts w:ascii="Times New Roman" w:hAnsi="Times New Roman" w:cs="Times New Roman"/>
          <w:i/>
          <w:sz w:val="24"/>
          <w:szCs w:val="24"/>
        </w:rPr>
        <w:t>ESPON ETSG</w:t>
      </w:r>
      <w:r w:rsidR="00E53CB1" w:rsidRPr="00C2109B">
        <w:rPr>
          <w:rFonts w:ascii="Times New Roman" w:hAnsi="Times New Roman" w:cs="Times New Roman"/>
          <w:sz w:val="24"/>
          <w:szCs w:val="24"/>
        </w:rPr>
        <w:t xml:space="preserve"> kā </w:t>
      </w:r>
      <w:r w:rsidR="00E707B1" w:rsidRPr="00C2109B">
        <w:rPr>
          <w:rFonts w:ascii="Times New Roman" w:hAnsi="Times New Roman" w:cs="Times New Roman"/>
          <w:sz w:val="24"/>
          <w:szCs w:val="24"/>
        </w:rPr>
        <w:t>V</w:t>
      </w:r>
      <w:r w:rsidR="00E53CB1" w:rsidRPr="00C2109B">
        <w:rPr>
          <w:rFonts w:ascii="Times New Roman" w:hAnsi="Times New Roman" w:cs="Times New Roman"/>
          <w:sz w:val="24"/>
          <w:szCs w:val="24"/>
        </w:rPr>
        <w:t xml:space="preserve">ienīgo atbalsta saņēmēju. Ar </w:t>
      </w:r>
      <w:r w:rsidRPr="00C2109B">
        <w:rPr>
          <w:rFonts w:ascii="Times New Roman" w:hAnsi="Times New Roman" w:cs="Times New Roman"/>
          <w:sz w:val="24"/>
          <w:szCs w:val="24"/>
        </w:rPr>
        <w:t xml:space="preserve">granta </w:t>
      </w:r>
      <w:r w:rsidR="00E53CB1" w:rsidRPr="00C2109B">
        <w:rPr>
          <w:rFonts w:ascii="Times New Roman" w:hAnsi="Times New Roman" w:cs="Times New Roman"/>
          <w:sz w:val="24"/>
          <w:szCs w:val="24"/>
        </w:rPr>
        <w:t>līgumu piešķir ERAF finansējumu un valst</w:t>
      </w:r>
      <w:r w:rsidR="00B03BAD" w:rsidRPr="00C2109B">
        <w:rPr>
          <w:rFonts w:ascii="Times New Roman" w:hAnsi="Times New Roman" w:cs="Times New Roman"/>
          <w:sz w:val="24"/>
          <w:szCs w:val="24"/>
        </w:rPr>
        <w:t>u</w:t>
      </w:r>
      <w:r w:rsidR="00E53CB1" w:rsidRPr="00C2109B">
        <w:rPr>
          <w:rFonts w:ascii="Times New Roman" w:hAnsi="Times New Roman" w:cs="Times New Roman"/>
          <w:sz w:val="24"/>
          <w:szCs w:val="24"/>
        </w:rPr>
        <w:t xml:space="preserve"> un partnervalstu līdzfinansējumu 1. prioritārajam virzienam un precizē nosacījumus, kas saistīti ar līdzekļu izlietojumu. </w:t>
      </w:r>
      <w:r w:rsidRPr="00C2109B">
        <w:rPr>
          <w:rFonts w:ascii="Times New Roman" w:hAnsi="Times New Roman" w:cs="Times New Roman"/>
          <w:sz w:val="24"/>
          <w:szCs w:val="24"/>
        </w:rPr>
        <w:t xml:space="preserve">granta </w:t>
      </w:r>
      <w:r w:rsidR="00E53CB1" w:rsidRPr="00C2109B">
        <w:rPr>
          <w:rFonts w:ascii="Times New Roman" w:hAnsi="Times New Roman" w:cs="Times New Roman"/>
          <w:sz w:val="24"/>
          <w:szCs w:val="24"/>
        </w:rPr>
        <w:t xml:space="preserve">līguma pielikumā pievienota darbības specifikācija, darbības priekšlikums, tostarp i) apakšpunktā minētie elementi, un, ja </w:t>
      </w:r>
      <w:r w:rsidR="006C4E41" w:rsidRPr="00C2109B">
        <w:rPr>
          <w:rFonts w:ascii="Times New Roman" w:hAnsi="Times New Roman" w:cs="Times New Roman"/>
          <w:sz w:val="24"/>
          <w:szCs w:val="24"/>
        </w:rPr>
        <w:t>U</w:t>
      </w:r>
      <w:r w:rsidR="00E53CB1" w:rsidRPr="00C2109B">
        <w:rPr>
          <w:rFonts w:ascii="Times New Roman" w:hAnsi="Times New Roman" w:cs="Times New Roman"/>
          <w:sz w:val="24"/>
          <w:szCs w:val="24"/>
        </w:rPr>
        <w:t xml:space="preserve">zraudzības komiteja tā nolemj, – </w:t>
      </w:r>
      <w:r w:rsidR="00DD0AE6" w:rsidRPr="00C2109B">
        <w:rPr>
          <w:rFonts w:ascii="Times New Roman" w:hAnsi="Times New Roman" w:cs="Times New Roman"/>
          <w:sz w:val="24"/>
          <w:szCs w:val="24"/>
        </w:rPr>
        <w:t>pielikums</w:t>
      </w:r>
      <w:r w:rsidR="00E53CB1" w:rsidRPr="00C2109B">
        <w:rPr>
          <w:rFonts w:ascii="Times New Roman" w:hAnsi="Times New Roman" w:cs="Times New Roman"/>
          <w:sz w:val="24"/>
          <w:szCs w:val="24"/>
        </w:rPr>
        <w:t xml:space="preserve">, kurā ietvertas saistības, kas izriet no daudzgadu darba programmas priekšlikuma </w:t>
      </w:r>
      <w:r w:rsidR="00DD0AE6" w:rsidRPr="00C2109B">
        <w:rPr>
          <w:rFonts w:ascii="Times New Roman" w:hAnsi="Times New Roman" w:cs="Times New Roman"/>
          <w:sz w:val="24"/>
          <w:szCs w:val="24"/>
        </w:rPr>
        <w:t>izvērtējums</w:t>
      </w:r>
      <w:r w:rsidR="00E53CB1" w:rsidRPr="00C2109B">
        <w:rPr>
          <w:rFonts w:ascii="Times New Roman" w:hAnsi="Times New Roman" w:cs="Times New Roman"/>
          <w:sz w:val="24"/>
          <w:szCs w:val="24"/>
        </w:rPr>
        <w:t xml:space="preserve">. </w:t>
      </w:r>
      <w:r w:rsidRPr="00C2109B">
        <w:rPr>
          <w:rFonts w:ascii="Times New Roman" w:hAnsi="Times New Roman" w:cs="Times New Roman"/>
          <w:sz w:val="24"/>
          <w:szCs w:val="24"/>
        </w:rPr>
        <w:t xml:space="preserve">Granta </w:t>
      </w:r>
      <w:r w:rsidR="00E53CB1" w:rsidRPr="00C2109B">
        <w:rPr>
          <w:rFonts w:ascii="Times New Roman" w:hAnsi="Times New Roman" w:cs="Times New Roman"/>
          <w:sz w:val="24"/>
          <w:szCs w:val="24"/>
        </w:rPr>
        <w:t>līgumu ik gadu groza ar gada darba plānu.</w:t>
      </w:r>
    </w:p>
    <w:p w:rsidR="00E53CB1" w:rsidRPr="00C2109B" w:rsidRDefault="00E53CB1" w:rsidP="009063C2">
      <w:pPr>
        <w:pStyle w:val="ListParagraph"/>
        <w:numPr>
          <w:ilvl w:val="0"/>
          <w:numId w:val="21"/>
        </w:numPr>
        <w:jc w:val="both"/>
        <w:rPr>
          <w:rFonts w:ascii="Times New Roman" w:hAnsi="Times New Roman" w:cs="Times New Roman"/>
          <w:sz w:val="24"/>
          <w:szCs w:val="24"/>
        </w:rPr>
      </w:pPr>
      <w:r w:rsidRPr="00C2109B">
        <w:rPr>
          <w:rFonts w:ascii="Times New Roman" w:hAnsi="Times New Roman" w:cs="Times New Roman"/>
          <w:sz w:val="24"/>
          <w:szCs w:val="24"/>
          <w:u w:val="single"/>
        </w:rPr>
        <w:t xml:space="preserve">Darbības īstenošanas </w:t>
      </w:r>
      <w:r w:rsidR="009A73D2" w:rsidRPr="00C2109B">
        <w:rPr>
          <w:rFonts w:ascii="Times New Roman" w:hAnsi="Times New Roman" w:cs="Times New Roman"/>
          <w:sz w:val="24"/>
          <w:szCs w:val="24"/>
          <w:u w:val="single"/>
        </w:rPr>
        <w:t>vadlīnijas</w:t>
      </w:r>
      <w:r w:rsidRPr="00C2109B">
        <w:rPr>
          <w:rFonts w:ascii="Times New Roman" w:hAnsi="Times New Roman" w:cs="Times New Roman"/>
          <w:sz w:val="24"/>
          <w:szCs w:val="24"/>
        </w:rPr>
        <w:t xml:space="preserve">, ko izveido vadošā iestāde un apstiprina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 ir pamatdokuments, kurā ietverta informācija par to, kā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ienīgais atbalsta s</w:t>
      </w:r>
      <w:r w:rsidR="00A90D08" w:rsidRPr="00C2109B">
        <w:rPr>
          <w:rFonts w:ascii="Times New Roman" w:hAnsi="Times New Roman" w:cs="Times New Roman"/>
          <w:sz w:val="24"/>
          <w:szCs w:val="24"/>
        </w:rPr>
        <w:t xml:space="preserve">aņēmējs īsteno </w:t>
      </w:r>
      <w:r w:rsidR="0087279A" w:rsidRPr="00C2109B">
        <w:rPr>
          <w:rFonts w:ascii="Times New Roman" w:hAnsi="Times New Roman" w:cs="Times New Roman"/>
          <w:sz w:val="24"/>
          <w:szCs w:val="24"/>
        </w:rPr>
        <w:t>V</w:t>
      </w:r>
      <w:r w:rsidR="00A90D08" w:rsidRPr="00C2109B">
        <w:rPr>
          <w:rFonts w:ascii="Times New Roman" w:hAnsi="Times New Roman" w:cs="Times New Roman"/>
          <w:sz w:val="24"/>
          <w:szCs w:val="24"/>
        </w:rPr>
        <w:t>ienīgo darbību.</w:t>
      </w:r>
    </w:p>
    <w:p w:rsidR="00E53CB1" w:rsidRPr="00C2109B" w:rsidRDefault="00E53CB1" w:rsidP="00373603">
      <w:pPr>
        <w:pStyle w:val="Heading2"/>
        <w:rPr>
          <w:rFonts w:ascii="Times New Roman" w:hAnsi="Times New Roman" w:cs="Times New Roman"/>
          <w:sz w:val="24"/>
          <w:szCs w:val="24"/>
        </w:rPr>
      </w:pPr>
      <w:bookmarkStart w:id="6" w:name="_Toc423349144"/>
      <w:bookmarkStart w:id="7" w:name="_Toc427826189"/>
      <w:r w:rsidRPr="00C2109B">
        <w:rPr>
          <w:rFonts w:ascii="Times New Roman" w:hAnsi="Times New Roman" w:cs="Times New Roman"/>
          <w:sz w:val="24"/>
          <w:szCs w:val="24"/>
        </w:rPr>
        <w:t xml:space="preserve">2. DAĻA. GALVENO ĪSTENOŠANAS STRUKTŪRU UN CITU ATTIECĪGO STRUKTŪRU </w:t>
      </w:r>
      <w:r w:rsidR="00752FD1" w:rsidRPr="00C2109B">
        <w:rPr>
          <w:rFonts w:ascii="Times New Roman" w:hAnsi="Times New Roman" w:cs="Times New Roman"/>
          <w:sz w:val="24"/>
          <w:szCs w:val="24"/>
        </w:rPr>
        <w:t xml:space="preserve">IZRAUDZĪŠANA </w:t>
      </w:r>
      <w:r w:rsidRPr="00C2109B">
        <w:rPr>
          <w:rFonts w:ascii="Times New Roman" w:hAnsi="Times New Roman" w:cs="Times New Roman"/>
          <w:sz w:val="24"/>
          <w:szCs w:val="24"/>
        </w:rPr>
        <w:t>UN FUNKCIJAS</w:t>
      </w:r>
      <w:bookmarkEnd w:id="6"/>
      <w:bookmarkEnd w:id="7"/>
    </w:p>
    <w:p w:rsidR="00E53CB1" w:rsidRPr="00C2109B" w:rsidRDefault="00E53CB1" w:rsidP="00373603">
      <w:pPr>
        <w:pStyle w:val="Heading3"/>
        <w:rPr>
          <w:rFonts w:ascii="Times New Roman" w:hAnsi="Times New Roman" w:cs="Times New Roman"/>
          <w:sz w:val="24"/>
          <w:szCs w:val="24"/>
        </w:rPr>
      </w:pPr>
      <w:bookmarkStart w:id="8" w:name="_Toc423349145"/>
      <w:bookmarkStart w:id="9" w:name="_Toc427826190"/>
      <w:r w:rsidRPr="00C2109B">
        <w:rPr>
          <w:rFonts w:ascii="Times New Roman" w:hAnsi="Times New Roman" w:cs="Times New Roman"/>
          <w:sz w:val="24"/>
          <w:szCs w:val="24"/>
        </w:rPr>
        <w:t>3. pants. Uzraudzības komiteja</w:t>
      </w:r>
      <w:bookmarkEnd w:id="8"/>
      <w:bookmarkEnd w:id="9"/>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Saskaņā ar KNR 47. panta 3. punktu dalībvalstis un partnervalstis, vienojoties ar vadošo iestādi, trīs mēnešos no dienas, kad tās tiek informētas par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pieņemšanas lēmumu, izveido komiteju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īstenošanas uzraudzībai</w:t>
      </w:r>
      <w:r w:rsidR="00183271" w:rsidRPr="00C2109B">
        <w:rPr>
          <w:rFonts w:ascii="Times New Roman" w:hAnsi="Times New Roman" w:cs="Times New Roman"/>
          <w:sz w:val="24"/>
          <w:szCs w:val="24"/>
        </w:rPr>
        <w:t xml:space="preserve"> (turpmāk tekstā – </w:t>
      </w:r>
      <w:r w:rsidR="00DF67B0" w:rsidRPr="00C2109B">
        <w:rPr>
          <w:rFonts w:ascii="Times New Roman" w:hAnsi="Times New Roman" w:cs="Times New Roman"/>
          <w:sz w:val="24"/>
          <w:szCs w:val="24"/>
        </w:rPr>
        <w:t>U</w:t>
      </w:r>
      <w:r w:rsidR="00183271" w:rsidRPr="00C2109B">
        <w:rPr>
          <w:rFonts w:ascii="Times New Roman" w:hAnsi="Times New Roman" w:cs="Times New Roman"/>
          <w:sz w:val="24"/>
          <w:szCs w:val="24"/>
        </w:rPr>
        <w:t>zraudzības komiteja)</w:t>
      </w:r>
      <w:r w:rsidRPr="00C2109B">
        <w:rPr>
          <w:rFonts w:ascii="Times New Roman" w:hAnsi="Times New Roman" w:cs="Times New Roman"/>
          <w:sz w:val="24"/>
          <w:szCs w:val="24"/>
        </w:rPr>
        <w:t xml:space="preserve">. Uzraudzības komiteja izstrādā savu reglamentu un vienbalsīgi to pieņem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pirmajā </w:t>
      </w:r>
      <w:r w:rsidR="009E03C9" w:rsidRPr="00C2109B">
        <w:rPr>
          <w:rFonts w:ascii="Times New Roman" w:hAnsi="Times New Roman" w:cs="Times New Roman"/>
          <w:sz w:val="24"/>
          <w:szCs w:val="24"/>
        </w:rPr>
        <w:t>sanāksmē</w:t>
      </w:r>
      <w:r w:rsidRPr="00C2109B">
        <w:rPr>
          <w:rFonts w:ascii="Times New Roman" w:hAnsi="Times New Roman" w:cs="Times New Roman"/>
          <w:sz w:val="24"/>
          <w:szCs w:val="24"/>
        </w:rPr>
        <w:t>.</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Saskaņā ar KNR 48. panta 1., 3. un 5. punktu </w:t>
      </w:r>
      <w:r w:rsidR="00F3534F" w:rsidRPr="00C2109B">
        <w:rPr>
          <w:rFonts w:ascii="Times New Roman" w:hAnsi="Times New Roman" w:cs="Times New Roman"/>
          <w:sz w:val="24"/>
          <w:szCs w:val="24"/>
        </w:rPr>
        <w:t>U</w:t>
      </w:r>
      <w:r w:rsidRPr="00C2109B">
        <w:rPr>
          <w:rFonts w:ascii="Times New Roman" w:hAnsi="Times New Roman" w:cs="Times New Roman"/>
          <w:sz w:val="24"/>
          <w:szCs w:val="24"/>
        </w:rPr>
        <w:t>zraudzības komitejā ir šādi dalībnieki:</w:t>
      </w:r>
    </w:p>
    <w:p w:rsidR="00E53CB1" w:rsidRPr="00C2109B" w:rsidRDefault="00E53CB1" w:rsidP="007C7E37">
      <w:pPr>
        <w:pStyle w:val="NoSpacing"/>
        <w:numPr>
          <w:ilvl w:val="0"/>
          <w:numId w:val="14"/>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visu ES dalībvalstu pārstāvji ar vienu balsi katrai delegācijai;</w:t>
      </w:r>
    </w:p>
    <w:p w:rsidR="00E53CB1" w:rsidRPr="00C2109B" w:rsidRDefault="00E53CB1" w:rsidP="00E53CB1">
      <w:pPr>
        <w:pStyle w:val="NoSpacing"/>
        <w:numPr>
          <w:ilvl w:val="0"/>
          <w:numId w:val="14"/>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visu partnervalstu pārstāvji ar vienu balsi katrai delegācijai;</w:t>
      </w:r>
    </w:p>
    <w:p w:rsidR="00825881" w:rsidRPr="00C2109B" w:rsidRDefault="0012053A" w:rsidP="00825881">
      <w:pPr>
        <w:pStyle w:val="NoSpacing"/>
        <w:numPr>
          <w:ilvl w:val="0"/>
          <w:numId w:val="14"/>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w:t>
      </w:r>
      <w:r w:rsidR="00825881" w:rsidRPr="00C2109B">
        <w:rPr>
          <w:rFonts w:ascii="Times New Roman" w:hAnsi="Times New Roman" w:cs="Times New Roman"/>
          <w:sz w:val="24"/>
          <w:szCs w:val="24"/>
        </w:rPr>
        <w:t>ESPON 202</w:t>
      </w:r>
      <w:r w:rsidRPr="00C2109B">
        <w:rPr>
          <w:rFonts w:ascii="Times New Roman" w:hAnsi="Times New Roman" w:cs="Times New Roman"/>
          <w:sz w:val="24"/>
          <w:szCs w:val="24"/>
        </w:rPr>
        <w:t>0”</w:t>
      </w:r>
      <w:r w:rsidR="00825881" w:rsidRPr="00C2109B">
        <w:rPr>
          <w:rFonts w:ascii="Times New Roman" w:hAnsi="Times New Roman" w:cs="Times New Roman"/>
          <w:sz w:val="24"/>
          <w:szCs w:val="24"/>
        </w:rPr>
        <w:t xml:space="preserve"> sadarbības programmas vadošās iestādes pārstāvis(-ji), kam nav balsstiesību, bet kas var izdarīt atrunas par juridiska rakstura bažām.</w:t>
      </w:r>
    </w:p>
    <w:p w:rsidR="00E53CB1" w:rsidRPr="00C2109B" w:rsidRDefault="00E53CB1" w:rsidP="00E53CB1">
      <w:pPr>
        <w:pStyle w:val="NoSpacing"/>
        <w:numPr>
          <w:ilvl w:val="0"/>
          <w:numId w:val="14"/>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Komisijas pārstāvis(-ji) piedalās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zraudzības komitejas darbā kā padomdevēji.</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Vēlākais 30 dienās pēc paziņojuma par lēmumu, ar kuru apstiprina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valstis, kas piedalās programmā, ieceļ uzraudzības komitejas locekļus. Pēc valsts iestāžu un to kontaktpersonu iecelšanas, kas ir atbildīgas par dalībvalstu un partnervalstu pārstāvēšanu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zraudzības komitejā, nekavējoties par tām informē vadošo iestādi. Aizstājēji ir atļauti, un tos attiecīgi ieceļ.</w:t>
      </w:r>
    </w:p>
    <w:p w:rsidR="00D32FA5" w:rsidRPr="00C2109B" w:rsidRDefault="00D32FA5"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Uzraudzības komitejai ir priekšsēdētājs (parasti no ES prezidentūras valsts) un priekšsēdētāja vietnieks (vadošās iestādes pārstāvis), kurus ieceļ saskaņā ar kārtību, ko nosaka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zraudzības komitejas reglamentā.</w:t>
      </w:r>
    </w:p>
    <w:p w:rsidR="00E53CB1" w:rsidRPr="00C2109B" w:rsidRDefault="00E53CB1" w:rsidP="00D665C2">
      <w:pPr>
        <w:pStyle w:val="NoSpacing"/>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specifikas un </w:t>
      </w:r>
      <w:r w:rsidR="00023A28" w:rsidRPr="00C2109B">
        <w:rPr>
          <w:rFonts w:ascii="Times New Roman" w:hAnsi="Times New Roman" w:cs="Times New Roman"/>
          <w:sz w:val="24"/>
          <w:szCs w:val="24"/>
        </w:rPr>
        <w:t xml:space="preserve">īpašā </w:t>
      </w:r>
      <w:r w:rsidRPr="00C2109B">
        <w:rPr>
          <w:rFonts w:ascii="Times New Roman" w:hAnsi="Times New Roman" w:cs="Times New Roman"/>
          <w:sz w:val="24"/>
          <w:szCs w:val="24"/>
        </w:rPr>
        <w:t>uzdevuma dēļ partnerībā un daudzlīmeņu pārvaldībā būs iesaistītas kompetentas pilsētu un citas valst</w:t>
      </w:r>
      <w:r w:rsidR="00183271" w:rsidRPr="00C2109B">
        <w:rPr>
          <w:rFonts w:ascii="Times New Roman" w:hAnsi="Times New Roman" w:cs="Times New Roman"/>
          <w:sz w:val="24"/>
          <w:szCs w:val="24"/>
        </w:rPr>
        <w:t>u</w:t>
      </w:r>
      <w:r w:rsidRPr="00C2109B">
        <w:rPr>
          <w:rFonts w:ascii="Times New Roman" w:hAnsi="Times New Roman" w:cs="Times New Roman"/>
          <w:sz w:val="24"/>
          <w:szCs w:val="24"/>
        </w:rPr>
        <w:t xml:space="preserve"> iestādes vai ekonomiskie un sociālie partneri, vai citas attiecīgās struktūras un nevalstiskās organizācijas, </w:t>
      </w:r>
      <w:r w:rsidRPr="00C2109B">
        <w:rPr>
          <w:rFonts w:ascii="Times New Roman" w:hAnsi="Times New Roman" w:cs="Times New Roman"/>
          <w:sz w:val="24"/>
          <w:szCs w:val="24"/>
        </w:rPr>
        <w:lastRenderedPageBreak/>
        <w:t xml:space="preserve">kas pārstāv dažādus sabiedriskus jautājumus. To nodrošinās ar apspriešanām, uzklausīšanām, apsekojumiem, semināriem un darbsemināriem un citiem saziņas līdzekļiem. Lai nodrošinātu sanāksmju efektivitāti un iedarbīgumu, šīs organizācijas nekļūst par </w:t>
      </w:r>
      <w:r w:rsidR="00A151A8"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locekļiem, bet attiecīgā gadījumā pārstāvības partneri var piedalīties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zraudzības komitejas konkrētās sanāks</w:t>
      </w:r>
      <w:r w:rsidR="00597732" w:rsidRPr="00C2109B">
        <w:rPr>
          <w:rFonts w:ascii="Times New Roman" w:hAnsi="Times New Roman" w:cs="Times New Roman"/>
          <w:sz w:val="24"/>
          <w:szCs w:val="24"/>
        </w:rPr>
        <w:t>mēs kā viesi bez balsstiesībām.</w:t>
      </w:r>
    </w:p>
    <w:p w:rsidR="00E53CB1" w:rsidRPr="00C2109B" w:rsidRDefault="00E53CB1" w:rsidP="00D665C2">
      <w:pPr>
        <w:pStyle w:val="NoSpacing"/>
        <w:jc w:val="both"/>
        <w:rPr>
          <w:rFonts w:ascii="Times New Roman" w:hAnsi="Times New Roman" w:cs="Times New Roman"/>
          <w:sz w:val="24"/>
          <w:szCs w:val="24"/>
        </w:rPr>
      </w:pPr>
      <w:r w:rsidRPr="00C2109B">
        <w:rPr>
          <w:rFonts w:ascii="Times New Roman" w:hAnsi="Times New Roman" w:cs="Times New Roman"/>
          <w:sz w:val="24"/>
          <w:szCs w:val="24"/>
        </w:rPr>
        <w:t>5)</w:t>
      </w:r>
      <w:r w:rsidRPr="00C2109B">
        <w:rPr>
          <w:rFonts w:ascii="Times New Roman" w:hAnsi="Times New Roman" w:cs="Times New Roman"/>
          <w:sz w:val="24"/>
          <w:szCs w:val="24"/>
        </w:rPr>
        <w:tab/>
        <w:t xml:space="preserve">ES kandidātvalstu un sertifikācijas iestādes pārstāvji var piedalīties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sanāksmēs kā novērotāji. Pēc pieprasījuma </w:t>
      </w:r>
      <w:r w:rsidR="00A151A8"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sanāksmēs kā viesi var piedalīties arī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ienīgā atbalsta saņēmēja pārstāvji.</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6)</w:t>
      </w:r>
      <w:r w:rsidRPr="00C2109B">
        <w:rPr>
          <w:rFonts w:ascii="Times New Roman" w:hAnsi="Times New Roman" w:cs="Times New Roman"/>
          <w:sz w:val="24"/>
          <w:szCs w:val="24"/>
        </w:rPr>
        <w:tab/>
        <w:t xml:space="preserve">Uzraudzības komitejai kā vienīgajai lēmumu pieņēmējai struktūrai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ir vispārīga atbildība par programmas uzraudzību. Šai nolūkā saskaņā ar KNR 49. pantu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zraudzības komiteja regulāri tiekas divas reizes gadā, bet ne retāk kā reizi gadā. Uzraudzības komiteja savā reglamentā nosaka sanāksmju noteikumus, rakstveida procedūras un note</w:t>
      </w:r>
      <w:r w:rsidR="00597732" w:rsidRPr="00C2109B">
        <w:rPr>
          <w:rFonts w:ascii="Times New Roman" w:hAnsi="Times New Roman" w:cs="Times New Roman"/>
          <w:sz w:val="24"/>
          <w:szCs w:val="24"/>
        </w:rPr>
        <w:t>ikumus par piekrišanu klusējot.</w:t>
      </w:r>
    </w:p>
    <w:p w:rsidR="00E53CB1" w:rsidRPr="00C2109B" w:rsidRDefault="00752FD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7)</w:t>
      </w:r>
      <w:r w:rsidRPr="00C2109B">
        <w:rPr>
          <w:rFonts w:ascii="Times New Roman" w:hAnsi="Times New Roman" w:cs="Times New Roman"/>
          <w:sz w:val="24"/>
          <w:szCs w:val="24"/>
        </w:rPr>
        <w:tab/>
      </w:r>
      <w:r w:rsidR="00E53CB1" w:rsidRPr="00C2109B">
        <w:rPr>
          <w:rFonts w:ascii="Times New Roman" w:hAnsi="Times New Roman" w:cs="Times New Roman"/>
          <w:sz w:val="24"/>
          <w:szCs w:val="24"/>
        </w:rPr>
        <w:t>Uzraudzības komiteja pārskata programmas īstenošanu un tās mērķu sasniegšanā paveikto. To darot, komiteja ņem vērā finanšu datus, kopējos un programmas īpašos rādītājus, tostarp rezultātu rādītāju vērtības izmaiņas, paveikto skaitliski izteikto mērķvērtību sasniegšanā, kā arī 21. panta 1. punktā minētajā darbības rezultātu satvarā noteiktos starpposma mērķus un attiecīgā gadījumā kvantitatīvo analīžu rezultātus.</w:t>
      </w:r>
    </w:p>
    <w:p w:rsidR="00E53CB1" w:rsidRPr="00C2109B" w:rsidRDefault="00E53CB1" w:rsidP="00B87576">
      <w:pPr>
        <w:pStyle w:val="NoSpacing"/>
        <w:spacing w:after="120" w:line="276" w:lineRule="auto"/>
        <w:jc w:val="both"/>
        <w:rPr>
          <w:rFonts w:ascii="Times New Roman" w:hAnsi="Times New Roman" w:cs="Times New Roman"/>
          <w:sz w:val="24"/>
          <w:szCs w:val="24"/>
        </w:rPr>
      </w:pPr>
      <w:r w:rsidRPr="00C2109B">
        <w:rPr>
          <w:rFonts w:ascii="Times New Roman" w:hAnsi="Times New Roman" w:cs="Times New Roman"/>
          <w:sz w:val="24"/>
          <w:szCs w:val="24"/>
        </w:rPr>
        <w:t>Saskaņā ar KNR 49. panta 2., 3. un 4. punktu un 110. pantu</w:t>
      </w:r>
      <w:r w:rsidR="00E412E5" w:rsidRPr="00C2109B">
        <w:rPr>
          <w:rFonts w:ascii="Times New Roman" w:hAnsi="Times New Roman" w:cs="Times New Roman"/>
          <w:sz w:val="24"/>
          <w:szCs w:val="24"/>
        </w:rPr>
        <w:t>,</w:t>
      </w:r>
      <w:r w:rsidRPr="00C2109B">
        <w:rPr>
          <w:rFonts w:ascii="Times New Roman" w:hAnsi="Times New Roman" w:cs="Times New Roman"/>
          <w:sz w:val="24"/>
          <w:szCs w:val="24"/>
        </w:rPr>
        <w:t xml:space="preserve"> vienlaikus ņemot vērā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īpašo saturu, </w:t>
      </w:r>
      <w:r w:rsidR="00A151A8" w:rsidRPr="00C2109B">
        <w:rPr>
          <w:rFonts w:ascii="Times New Roman" w:hAnsi="Times New Roman" w:cs="Times New Roman"/>
          <w:sz w:val="24"/>
          <w:szCs w:val="24"/>
        </w:rPr>
        <w:t>U</w:t>
      </w:r>
      <w:r w:rsidRPr="00C2109B">
        <w:rPr>
          <w:rFonts w:ascii="Times New Roman" w:hAnsi="Times New Roman" w:cs="Times New Roman"/>
          <w:sz w:val="24"/>
          <w:szCs w:val="24"/>
        </w:rPr>
        <w:t>zraudzības komiteja uzņemas visus pienākumus, it īpaši:</w:t>
      </w:r>
    </w:p>
    <w:p w:rsidR="00E53CB1" w:rsidRPr="00C2109B" w:rsidRDefault="00B87576" w:rsidP="00B56616">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izvērtē visus jautājumus, kas ietekmē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un </w:t>
      </w:r>
      <w:r w:rsidR="00A151A8" w:rsidRPr="00C2109B">
        <w:rPr>
          <w:rFonts w:ascii="Times New Roman" w:hAnsi="Times New Roman" w:cs="Times New Roman"/>
          <w:sz w:val="24"/>
          <w:szCs w:val="24"/>
        </w:rPr>
        <w:t>V</w:t>
      </w:r>
      <w:r w:rsidRPr="00C2109B">
        <w:rPr>
          <w:rFonts w:ascii="Times New Roman" w:hAnsi="Times New Roman" w:cs="Times New Roman"/>
          <w:sz w:val="24"/>
          <w:szCs w:val="24"/>
        </w:rPr>
        <w:t>ienīgās darbības sniegumu;</w:t>
      </w:r>
    </w:p>
    <w:p w:rsidR="00E53CB1" w:rsidRPr="00C2109B" w:rsidRDefault="00B87576" w:rsidP="00B56616">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izskata un apstiprina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gada un nobeiguma īstenošanas ziņojumus;</w:t>
      </w:r>
    </w:p>
    <w:p w:rsidR="00E53CB1" w:rsidRPr="00C2109B" w:rsidRDefault="00B87576" w:rsidP="00B56616">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savā pirmajā sanāksmē izskata vadošās iestādes sagatavoto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novērtēšanas plānu, apstiprina vai vēlāk to groza;</w:t>
      </w:r>
    </w:p>
    <w:p w:rsidR="00296B40" w:rsidRPr="00C2109B" w:rsidRDefault="00B87576" w:rsidP="00296B40">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izvērtē progresu novērtēšanas plāna īstenošanā un turpmāko pasākumu īstenošanā, kas noteikti pēc novērtējumu secinājumu pieņemšanas;</w:t>
      </w:r>
    </w:p>
    <w:p w:rsidR="00E53CB1" w:rsidRPr="00C2109B" w:rsidRDefault="00B87576" w:rsidP="00B56616">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izskata un pieņem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septiņu gadu komunikācijas stratēģiju, kā arī papildinājumus komunikācijas stratēģijai vai konkrētam ikgadējam komunikācijas darbības plānam;</w:t>
      </w:r>
    </w:p>
    <w:p w:rsidR="00296B40" w:rsidRPr="00C2109B" w:rsidRDefault="00B87576" w:rsidP="00B56616">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izskata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komunikācijas stratēģijas īstenošanu</w:t>
      </w:r>
      <w:r w:rsidR="00E412E5" w:rsidRPr="00C2109B">
        <w:rPr>
          <w:rFonts w:ascii="Times New Roman" w:hAnsi="Times New Roman" w:cs="Times New Roman"/>
          <w:sz w:val="24"/>
          <w:szCs w:val="24"/>
        </w:rPr>
        <w:t xml:space="preserve"> ciešā saistībā ar programmas rezultātu izplatīšanas pasākumiem</w:t>
      </w:r>
      <w:r w:rsidRPr="00C2109B">
        <w:rPr>
          <w:rFonts w:ascii="Times New Roman" w:hAnsi="Times New Roman" w:cs="Times New Roman"/>
          <w:sz w:val="24"/>
          <w:szCs w:val="24"/>
        </w:rPr>
        <w:t>;</w:t>
      </w:r>
    </w:p>
    <w:p w:rsidR="00E53CB1" w:rsidRPr="00C2109B" w:rsidRDefault="00B87576" w:rsidP="00E53CB1">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izskata un apstiprina jebkuru vadošās iestādes priekšlikumu par jebkuriem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grozījumiem, ja nepieciešams, saskaņā ar nosacījumiem;</w:t>
      </w:r>
    </w:p>
    <w:p w:rsidR="0011294F" w:rsidRPr="00C2109B" w:rsidRDefault="00B87576" w:rsidP="0011294F">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izvērtē, apspriež un apstiprina darbības specifikāciju, kas jāievēro, sagatavojot darbības priekšlikumu;</w:t>
      </w:r>
    </w:p>
    <w:p w:rsidR="00E53CB1" w:rsidRPr="00C2109B" w:rsidRDefault="00B87576" w:rsidP="00B56616">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nosaka obligātos kritērijus, lai apstiprinātu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kā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w:t>
      </w:r>
      <w:r w:rsidR="00E707B1" w:rsidRPr="00C2109B">
        <w:rPr>
          <w:rFonts w:ascii="Times New Roman" w:hAnsi="Times New Roman" w:cs="Times New Roman"/>
          <w:sz w:val="24"/>
          <w:szCs w:val="24"/>
        </w:rPr>
        <w:t>o</w:t>
      </w:r>
      <w:r w:rsidRPr="00C2109B">
        <w:rPr>
          <w:rFonts w:ascii="Times New Roman" w:hAnsi="Times New Roman" w:cs="Times New Roman"/>
          <w:sz w:val="24"/>
          <w:szCs w:val="24"/>
        </w:rPr>
        <w:t xml:space="preserve"> </w:t>
      </w:r>
      <w:r w:rsidR="00E707B1" w:rsidRPr="00C2109B">
        <w:rPr>
          <w:rFonts w:ascii="Times New Roman" w:hAnsi="Times New Roman" w:cs="Times New Roman"/>
          <w:sz w:val="24"/>
          <w:szCs w:val="24"/>
        </w:rPr>
        <w:t xml:space="preserve">atbalsta </w:t>
      </w:r>
      <w:r w:rsidRPr="00C2109B">
        <w:rPr>
          <w:rFonts w:ascii="Times New Roman" w:hAnsi="Times New Roman" w:cs="Times New Roman"/>
          <w:sz w:val="24"/>
          <w:szCs w:val="24"/>
        </w:rPr>
        <w:t xml:space="preserve">saņēmēja izstrādāto priekšlikumu par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w:t>
      </w:r>
      <w:r w:rsidR="00A151A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ienīgās darbības īstenošanu, ja nepieciešams, saskaņā ar nosacījumiem; </w:t>
      </w:r>
    </w:p>
    <w:p w:rsidR="00E53CB1" w:rsidRPr="00C2109B" w:rsidRDefault="00B87576" w:rsidP="00E53CB1">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lastRenderedPageBreak/>
        <w:t xml:space="preserve">izvērtē, apspriež un apstiprina iesniegto </w:t>
      </w:r>
      <w:r w:rsidR="00A151A8" w:rsidRPr="00C2109B">
        <w:rPr>
          <w:rFonts w:ascii="Times New Roman" w:hAnsi="Times New Roman" w:cs="Times New Roman"/>
          <w:sz w:val="24"/>
          <w:szCs w:val="24"/>
        </w:rPr>
        <w:t>V</w:t>
      </w:r>
      <w:r w:rsidR="008313AF" w:rsidRPr="00C2109B">
        <w:rPr>
          <w:rFonts w:ascii="Times New Roman" w:hAnsi="Times New Roman" w:cs="Times New Roman"/>
          <w:sz w:val="24"/>
          <w:szCs w:val="24"/>
        </w:rPr>
        <w:t xml:space="preserve">ienīgās darbības </w:t>
      </w:r>
      <w:r w:rsidRPr="00C2109B">
        <w:rPr>
          <w:rFonts w:ascii="Times New Roman" w:hAnsi="Times New Roman" w:cs="Times New Roman"/>
          <w:sz w:val="24"/>
          <w:szCs w:val="24"/>
        </w:rPr>
        <w:t xml:space="preserve">priekšlikumu, kas ietver </w:t>
      </w:r>
      <w:r w:rsidR="00A151A8" w:rsidRPr="00C2109B">
        <w:rPr>
          <w:rFonts w:ascii="Times New Roman" w:hAnsi="Times New Roman" w:cs="Times New Roman"/>
          <w:sz w:val="24"/>
          <w:szCs w:val="24"/>
        </w:rPr>
        <w:t>V</w:t>
      </w:r>
      <w:r w:rsidRPr="00C2109B">
        <w:rPr>
          <w:rFonts w:ascii="Times New Roman" w:hAnsi="Times New Roman" w:cs="Times New Roman"/>
          <w:sz w:val="24"/>
          <w:szCs w:val="24"/>
        </w:rPr>
        <w:t>ienīgās darbības daudzgadu darba programmu 2015-2020 un attiecīgi piedāvātos finanšu piešķīrumus, ja nepieciešams, saskaņā ar nosacījumiem;</w:t>
      </w:r>
    </w:p>
    <w:p w:rsidR="00E53CB1" w:rsidRPr="00C2109B" w:rsidRDefault="00B87576" w:rsidP="00E53CB1">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apspriež un apstiprina </w:t>
      </w:r>
      <w:r w:rsidR="00A151A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ienīgās darbības ikgadējos darba plānus, kas ietver atlases kritēriju vispārīgos principus, attiecīgi piedāvātos finanšu piešķīrumus un to pasākumu aprakstu, kurus </w:t>
      </w:r>
      <w:r w:rsidR="00A151A8" w:rsidRPr="00C2109B">
        <w:rPr>
          <w:rFonts w:ascii="Times New Roman" w:hAnsi="Times New Roman" w:cs="Times New Roman"/>
          <w:sz w:val="24"/>
          <w:szCs w:val="24"/>
        </w:rPr>
        <w:t>U</w:t>
      </w:r>
      <w:r w:rsidRPr="00C2109B">
        <w:rPr>
          <w:rFonts w:ascii="Times New Roman" w:hAnsi="Times New Roman" w:cs="Times New Roman"/>
          <w:sz w:val="24"/>
          <w:szCs w:val="24"/>
        </w:rPr>
        <w:t>zraudzības komiteja uzskata par īpaši svarīgiem, ja vajadzīgs, saskaņā ar noteikumiem;</w:t>
      </w:r>
    </w:p>
    <w:p w:rsidR="00E53CB1" w:rsidRPr="00C2109B" w:rsidRDefault="00B87576" w:rsidP="00E53CB1">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apspriež un apstiprina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ienīgās darbības ikgadējo īstenošanas ziņojumu un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ienīgā atbalsta saņēmēja veikto saistīto pasākumu un darbību pārskatu;</w:t>
      </w:r>
    </w:p>
    <w:p w:rsidR="00E53CB1" w:rsidRPr="00C2109B" w:rsidRDefault="00B87576" w:rsidP="00E53CB1">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nodrošina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kā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ienīgā atbalsta saņēmēja darbības uzraudzību</w:t>
      </w:r>
      <w:r w:rsidR="004A68C8" w:rsidRPr="00C2109B">
        <w:rPr>
          <w:rFonts w:ascii="Times New Roman" w:hAnsi="Times New Roman" w:cs="Times New Roman"/>
          <w:sz w:val="24"/>
          <w:szCs w:val="24"/>
        </w:rPr>
        <w:t xml:space="preserve"> saskaņā ar </w:t>
      </w:r>
      <w:r w:rsidR="009A73D2" w:rsidRPr="00C2109B">
        <w:rPr>
          <w:rFonts w:ascii="Times New Roman" w:hAnsi="Times New Roman" w:cs="Times New Roman"/>
          <w:sz w:val="24"/>
          <w:szCs w:val="24"/>
        </w:rPr>
        <w:t xml:space="preserve">granta </w:t>
      </w:r>
      <w:r w:rsidR="004A68C8" w:rsidRPr="00C2109B">
        <w:rPr>
          <w:rFonts w:ascii="Times New Roman" w:hAnsi="Times New Roman" w:cs="Times New Roman"/>
          <w:sz w:val="24"/>
          <w:szCs w:val="24"/>
        </w:rPr>
        <w:t>līgumā noteikto kārtību</w:t>
      </w:r>
      <w:r w:rsidRPr="00C2109B">
        <w:rPr>
          <w:rFonts w:ascii="Times New Roman" w:hAnsi="Times New Roman" w:cs="Times New Roman"/>
          <w:sz w:val="24"/>
          <w:szCs w:val="24"/>
        </w:rPr>
        <w:t>;</w:t>
      </w:r>
    </w:p>
    <w:p w:rsidR="00E53CB1" w:rsidRPr="00C2109B" w:rsidRDefault="00612921" w:rsidP="00E53CB1">
      <w:pPr>
        <w:pStyle w:val="NoSpacing"/>
        <w:numPr>
          <w:ilvl w:val="0"/>
          <w:numId w:val="9"/>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nodrošina pārstāvju izvirzīšanu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zraudzības komitejā vai deleģētos ekspertus dalībai projektu atbalsta grupās, k</w:t>
      </w:r>
      <w:r w:rsidR="003313C0" w:rsidRPr="00C2109B">
        <w:rPr>
          <w:rFonts w:ascii="Times New Roman" w:hAnsi="Times New Roman" w:cs="Times New Roman"/>
          <w:sz w:val="24"/>
          <w:szCs w:val="24"/>
        </w:rPr>
        <w:t>uri</w:t>
      </w:r>
      <w:r w:rsidRPr="00C2109B">
        <w:rPr>
          <w:rFonts w:ascii="Times New Roman" w:hAnsi="Times New Roman" w:cs="Times New Roman"/>
          <w:sz w:val="24"/>
          <w:szCs w:val="24"/>
        </w:rPr>
        <w:t xml:space="preserve"> piedalās un sniedz politikas konsultācijas lielu projektu īstenošanā, galvenokārt par lietišķajiem pētījumiem, un darbojas kā ziņotāji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zraudzības komitejā, kā arī izskata priekšlikumus, ko s</w:t>
      </w:r>
      <w:r w:rsidR="00597732" w:rsidRPr="00C2109B">
        <w:rPr>
          <w:rFonts w:ascii="Times New Roman" w:hAnsi="Times New Roman" w:cs="Times New Roman"/>
          <w:sz w:val="24"/>
          <w:szCs w:val="24"/>
        </w:rPr>
        <w:t>niedz projekta atbalsta grupas;</w:t>
      </w:r>
    </w:p>
    <w:p w:rsidR="00E53CB1" w:rsidRPr="00C2109B" w:rsidRDefault="00B87576" w:rsidP="00B87576">
      <w:pPr>
        <w:pStyle w:val="NoSpacing"/>
        <w:numPr>
          <w:ilvl w:val="0"/>
          <w:numId w:val="9"/>
        </w:numPr>
        <w:spacing w:after="120"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ar ziņotāja starpniecību nodrošina tiešu atgriezenisko saiti ar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ienīgo atbalsta saņēmēju par svarīgiem pasākumiem, kas attiecas uz 1.-4. specifisko mērķi.</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9)</w:t>
      </w:r>
      <w:r w:rsidRPr="00C2109B">
        <w:rPr>
          <w:rFonts w:ascii="Times New Roman" w:hAnsi="Times New Roman" w:cs="Times New Roman"/>
          <w:sz w:val="24"/>
          <w:szCs w:val="24"/>
        </w:rPr>
        <w:tab/>
        <w:t xml:space="preserve">Uzraudzības komiteja pieņem lēmumus, pamatojoties uz vienprātību. Ja nevar panākt vienprātību, piemēro kvalificēta vairākuma balsojumu, kas sīkāk aprakstīts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z</w:t>
      </w:r>
      <w:r w:rsidR="00597732" w:rsidRPr="00C2109B">
        <w:rPr>
          <w:rFonts w:ascii="Times New Roman" w:hAnsi="Times New Roman" w:cs="Times New Roman"/>
          <w:sz w:val="24"/>
          <w:szCs w:val="24"/>
        </w:rPr>
        <w:t>raudzības komitejas reglamentā.</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10)</w:t>
      </w:r>
      <w:r w:rsidRPr="00C2109B">
        <w:rPr>
          <w:rFonts w:ascii="Times New Roman" w:hAnsi="Times New Roman" w:cs="Times New Roman"/>
          <w:sz w:val="24"/>
          <w:szCs w:val="24"/>
        </w:rPr>
        <w:tab/>
        <w:t>Uzraudzības komitejas locekļi, kam ir interešu konflikts attiecībā uz jebkuru jautājumu, k</w:t>
      </w:r>
      <w:r w:rsidR="00D435C8" w:rsidRPr="00C2109B">
        <w:rPr>
          <w:rFonts w:ascii="Times New Roman" w:hAnsi="Times New Roman" w:cs="Times New Roman"/>
          <w:sz w:val="24"/>
          <w:szCs w:val="24"/>
        </w:rPr>
        <w:t>o</w:t>
      </w:r>
      <w:r w:rsidRPr="00C2109B">
        <w:rPr>
          <w:rFonts w:ascii="Times New Roman" w:hAnsi="Times New Roman" w:cs="Times New Roman"/>
          <w:sz w:val="24"/>
          <w:szCs w:val="24"/>
        </w:rPr>
        <w:t xml:space="preserve"> izskat</w:t>
      </w:r>
      <w:r w:rsidR="00D435C8" w:rsidRPr="00C2109B">
        <w:rPr>
          <w:rFonts w:ascii="Times New Roman" w:hAnsi="Times New Roman" w:cs="Times New Roman"/>
          <w:sz w:val="24"/>
          <w:szCs w:val="24"/>
        </w:rPr>
        <w:t>a</w:t>
      </w:r>
      <w:r w:rsidRPr="00C2109B">
        <w:rPr>
          <w:rFonts w:ascii="Times New Roman" w:hAnsi="Times New Roman" w:cs="Times New Roman"/>
          <w:sz w:val="24"/>
          <w:szCs w:val="24"/>
        </w:rPr>
        <w:t xml:space="preserve">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komitejā, vai saistībā ar darbu vai lēmuma pieņemšanu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komitejā, paziņo šīs intereses sanāksmē un nepiedalās lēmuma pieņemšanā. Sīkāk šī procedūra ir noteikta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z</w:t>
      </w:r>
      <w:r w:rsidR="00597732" w:rsidRPr="00C2109B">
        <w:rPr>
          <w:rFonts w:ascii="Times New Roman" w:hAnsi="Times New Roman" w:cs="Times New Roman"/>
          <w:sz w:val="24"/>
          <w:szCs w:val="24"/>
        </w:rPr>
        <w:t>raudzības komitejas reglamentā.</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11)</w:t>
      </w:r>
      <w:r w:rsidRPr="00C2109B">
        <w:rPr>
          <w:rFonts w:ascii="Times New Roman" w:hAnsi="Times New Roman" w:cs="Times New Roman"/>
          <w:sz w:val="24"/>
          <w:szCs w:val="24"/>
        </w:rPr>
        <w:tab/>
        <w:t xml:space="preserve">Ja tas ir nepieciešams lēmumu atbalstīšanai vai sagatavošanai,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zraudzības komiteja var izveidot atsevišķas apakškomitejas vai sadarbības formas starp dalībvalstīm un partnervalstīm.</w:t>
      </w:r>
    </w:p>
    <w:p w:rsidR="00E53CB1" w:rsidRPr="00C2109B" w:rsidRDefault="00E53CB1" w:rsidP="00373603">
      <w:pPr>
        <w:pStyle w:val="Heading3"/>
        <w:rPr>
          <w:rFonts w:ascii="Times New Roman" w:hAnsi="Times New Roman" w:cs="Times New Roman"/>
          <w:sz w:val="24"/>
          <w:szCs w:val="24"/>
        </w:rPr>
      </w:pPr>
      <w:bookmarkStart w:id="10" w:name="_Toc423349146"/>
      <w:bookmarkStart w:id="11" w:name="_Toc427826191"/>
      <w:r w:rsidRPr="00C2109B">
        <w:rPr>
          <w:rFonts w:ascii="Times New Roman" w:hAnsi="Times New Roman" w:cs="Times New Roman"/>
          <w:sz w:val="24"/>
          <w:szCs w:val="24"/>
        </w:rPr>
        <w:t>4. pants. Vadošā iestāde</w:t>
      </w:r>
      <w:bookmarkEnd w:id="10"/>
      <w:bookmarkEnd w:id="11"/>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Saskaņā ar ETS regulas 21. pantu dalībvalstis, kas piedalās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par vadošo iestādi izraugās Luksemburgas Lielhercogistes Ilgtspējīgas attīstības un infrastruktūras ministrijas Telpiskās plānošanas un attīstības departamenta (</w:t>
      </w:r>
      <w:r w:rsidRPr="00C2109B">
        <w:rPr>
          <w:rFonts w:ascii="Times New Roman" w:hAnsi="Times New Roman" w:cs="Times New Roman"/>
          <w:i/>
          <w:sz w:val="24"/>
          <w:szCs w:val="24"/>
        </w:rPr>
        <w:t>DATER</w:t>
      </w:r>
      <w:r w:rsidR="00597732" w:rsidRPr="00C2109B">
        <w:rPr>
          <w:rFonts w:ascii="Times New Roman" w:hAnsi="Times New Roman" w:cs="Times New Roman"/>
          <w:sz w:val="24"/>
          <w:szCs w:val="24"/>
        </w:rPr>
        <w:t>) Starptautisko lietu nodaļu.</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Saskaņā ar KNR 125. panta 1. punktu vadošā iestāde ir atbildīga par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pārvaldīšanu atbilstoši pareizas finanšu pārvaldības principam. Vadošā iestāde uzņemas funkcijas, kas saistītas ar sadarbības programmas pārvaldīšanu, </w:t>
      </w:r>
      <w:r w:rsidR="0087279A" w:rsidRPr="00C2109B">
        <w:rPr>
          <w:rFonts w:ascii="Times New Roman" w:hAnsi="Times New Roman" w:cs="Times New Roman"/>
          <w:sz w:val="24"/>
          <w:szCs w:val="24"/>
        </w:rPr>
        <w:t>V</w:t>
      </w:r>
      <w:r w:rsidRPr="00C2109B">
        <w:rPr>
          <w:rFonts w:ascii="Times New Roman" w:hAnsi="Times New Roman" w:cs="Times New Roman"/>
          <w:sz w:val="24"/>
          <w:szCs w:val="24"/>
        </w:rPr>
        <w:t>ienīgās darbības izvēli, finanšu pārvaldību un kontroli, kā noteikts KNR 125. </w:t>
      </w:r>
      <w:r w:rsidR="00597732" w:rsidRPr="00C2109B">
        <w:rPr>
          <w:rFonts w:ascii="Times New Roman" w:hAnsi="Times New Roman" w:cs="Times New Roman"/>
          <w:sz w:val="24"/>
          <w:szCs w:val="24"/>
        </w:rPr>
        <w:t>pantā un ETS regulas 23. pantā.</w:t>
      </w:r>
    </w:p>
    <w:p w:rsidR="00E54E8C" w:rsidRPr="00C2109B" w:rsidRDefault="00E54E8C"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Attiecībā uz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sasniegtajiem rezultātiem vadošā iestāde ir visu īpašumtiesību turētāja dalībvalstu un partnervalstu vārdā, kuras pašas var izmantot šīs īpašumtiesības bez jebkādiem ierobežojumiem vai saistībām, </w:t>
      </w:r>
      <w:r w:rsidR="009A73D2" w:rsidRPr="00C2109B">
        <w:rPr>
          <w:rFonts w:ascii="Times New Roman" w:hAnsi="Times New Roman" w:cs="Times New Roman"/>
          <w:sz w:val="24"/>
          <w:szCs w:val="24"/>
        </w:rPr>
        <w:t xml:space="preserve">izņemot tos ierobežojumusvai saistības </w:t>
      </w:r>
      <w:r w:rsidRPr="00C2109B">
        <w:rPr>
          <w:rFonts w:ascii="Times New Roman" w:hAnsi="Times New Roman" w:cs="Times New Roman"/>
          <w:sz w:val="24"/>
          <w:szCs w:val="24"/>
        </w:rPr>
        <w:t xml:space="preserve">ko </w:t>
      </w:r>
      <w:r w:rsidR="00EB687A" w:rsidRPr="00C2109B">
        <w:rPr>
          <w:rFonts w:ascii="Times New Roman" w:hAnsi="Times New Roman" w:cs="Times New Roman"/>
          <w:sz w:val="24"/>
          <w:szCs w:val="24"/>
        </w:rPr>
        <w:t>tām</w:t>
      </w:r>
      <w:r w:rsidR="009A73D2" w:rsidRPr="00C2109B">
        <w:rPr>
          <w:rFonts w:ascii="Times New Roman" w:hAnsi="Times New Roman" w:cs="Times New Roman"/>
          <w:sz w:val="24"/>
          <w:szCs w:val="24"/>
        </w:rPr>
        <w:t xml:space="preserve"> un arī </w:t>
      </w:r>
      <w:r w:rsidR="00EB687A" w:rsidRPr="00C2109B">
        <w:rPr>
          <w:rFonts w:ascii="Times New Roman" w:hAnsi="Times New Roman" w:cs="Times New Roman"/>
          <w:sz w:val="24"/>
          <w:szCs w:val="24"/>
        </w:rPr>
        <w:t xml:space="preserve">vadošajai iestādei, </w:t>
      </w:r>
      <w:r w:rsidRPr="00C2109B">
        <w:rPr>
          <w:rFonts w:ascii="Times New Roman" w:hAnsi="Times New Roman" w:cs="Times New Roman"/>
          <w:sz w:val="24"/>
          <w:szCs w:val="24"/>
        </w:rPr>
        <w:t>uzliek trešās personas</w:t>
      </w:r>
      <w:r w:rsidR="00597732" w:rsidRPr="00C2109B">
        <w:rPr>
          <w:rFonts w:ascii="Times New Roman" w:hAnsi="Times New Roman" w:cs="Times New Roman"/>
          <w:sz w:val="24"/>
          <w:szCs w:val="24"/>
        </w:rPr>
        <w:t>.</w:t>
      </w:r>
    </w:p>
    <w:p w:rsidR="00E53CB1" w:rsidRPr="00C2109B" w:rsidRDefault="00E53CB1" w:rsidP="00373603">
      <w:pPr>
        <w:pStyle w:val="Heading3"/>
        <w:rPr>
          <w:rFonts w:ascii="Times New Roman" w:hAnsi="Times New Roman" w:cs="Times New Roman"/>
          <w:sz w:val="24"/>
          <w:szCs w:val="24"/>
        </w:rPr>
      </w:pPr>
      <w:bookmarkStart w:id="12" w:name="_Toc423349147"/>
      <w:bookmarkStart w:id="13" w:name="_Toc427826192"/>
      <w:r w:rsidRPr="00C2109B">
        <w:rPr>
          <w:rFonts w:ascii="Times New Roman" w:hAnsi="Times New Roman" w:cs="Times New Roman"/>
          <w:sz w:val="24"/>
          <w:szCs w:val="24"/>
        </w:rPr>
        <w:lastRenderedPageBreak/>
        <w:t>5. pants. Vadošā iestāde uzņemas kopīgā sekretariāta funkcijas un uzdevumus</w:t>
      </w:r>
      <w:bookmarkEnd w:id="12"/>
      <w:bookmarkEnd w:id="13"/>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Atsaucoties uz ETS regulas 23. panta 2. punktu,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apjoma un organizatoriskās struktūras dēļ, kas ietver tikai vienu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ienīgo darbību, kā arī lai nodrošinātu pēc iespējas mazāku administratīvo un finansiālo slogu, vadošā iestāde uzņemas programmas kopīgā sekretariāta funkcijas un uzdevumus, nolīgstot nepieciešamo atb</w:t>
      </w:r>
      <w:r w:rsidR="00597732" w:rsidRPr="00C2109B">
        <w:rPr>
          <w:rFonts w:ascii="Times New Roman" w:hAnsi="Times New Roman" w:cs="Times New Roman"/>
          <w:sz w:val="24"/>
          <w:szCs w:val="24"/>
        </w:rPr>
        <w:t>alsta personālu un darbiniekus.</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Uzņemoties kopīgā sekretariāta funkcijas un uzdevumus, vadošā iestāde palīdz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komitejai pildīt tās pienākumus un tādējādi darbojas kā </w:t>
      </w:r>
      <w:r w:rsidR="004F1878"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sekretariāts. Uzņemoties kopīgā sekretariāta funkcijas un uzdevumus, nolūkā nodrošināt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ienīgās darbības pareizu un korektu īstenošanu vadošā iestāde arī pastāvīgi sniedz informāciju un palīdzību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w:t>
      </w:r>
    </w:p>
    <w:p w:rsidR="00E53CB1" w:rsidRPr="00C2109B" w:rsidRDefault="00E53CB1" w:rsidP="00373603">
      <w:pPr>
        <w:pStyle w:val="Heading3"/>
        <w:rPr>
          <w:rFonts w:ascii="Times New Roman" w:hAnsi="Times New Roman" w:cs="Times New Roman"/>
          <w:sz w:val="24"/>
          <w:szCs w:val="24"/>
        </w:rPr>
      </w:pPr>
      <w:bookmarkStart w:id="14" w:name="_Toc423349148"/>
      <w:bookmarkStart w:id="15" w:name="_Toc427826193"/>
      <w:r w:rsidRPr="00C2109B">
        <w:rPr>
          <w:rFonts w:ascii="Times New Roman" w:hAnsi="Times New Roman" w:cs="Times New Roman"/>
          <w:sz w:val="24"/>
          <w:szCs w:val="24"/>
        </w:rPr>
        <w:t>6. pants. Sertifikācijas iestāde</w:t>
      </w:r>
      <w:bookmarkEnd w:id="14"/>
      <w:bookmarkEnd w:id="15"/>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Saskaņā ar ETS regulas 21. pantu</w:t>
      </w:r>
      <w:r w:rsidR="009A73D2" w:rsidRPr="00C2109B">
        <w:rPr>
          <w:rFonts w:ascii="Times New Roman" w:hAnsi="Times New Roman" w:cs="Times New Roman"/>
          <w:sz w:val="24"/>
          <w:szCs w:val="24"/>
        </w:rPr>
        <w:t>,</w:t>
      </w:r>
      <w:r w:rsidRPr="00C2109B">
        <w:rPr>
          <w:rFonts w:ascii="Times New Roman" w:hAnsi="Times New Roman" w:cs="Times New Roman"/>
          <w:sz w:val="24"/>
          <w:szCs w:val="24"/>
        </w:rPr>
        <w:t xml:space="preserve"> </w:t>
      </w:r>
      <w:r w:rsidR="00F13F18" w:rsidRPr="00C2109B">
        <w:rPr>
          <w:rFonts w:ascii="Times New Roman" w:hAnsi="Times New Roman" w:cs="Times New Roman"/>
          <w:sz w:val="24"/>
          <w:szCs w:val="24"/>
        </w:rPr>
        <w:t>iestāde</w:t>
      </w:r>
      <w:r w:rsidRPr="00C2109B">
        <w:rPr>
          <w:rFonts w:ascii="Times New Roman" w:hAnsi="Times New Roman" w:cs="Times New Roman"/>
          <w:sz w:val="24"/>
          <w:szCs w:val="24"/>
        </w:rPr>
        <w:t xml:space="preserve">, kas darbojas kā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sertifikācijas iestāde, ir Luksemburgas Lielhercogistes Ilgtspējīgas attīstības un infrastruktūras ministrijas Telpiskās plānošanas un attīstības departamenta Adm</w:t>
      </w:r>
      <w:r w:rsidR="00597732" w:rsidRPr="00C2109B">
        <w:rPr>
          <w:rFonts w:ascii="Times New Roman" w:hAnsi="Times New Roman" w:cs="Times New Roman"/>
          <w:sz w:val="24"/>
          <w:szCs w:val="24"/>
        </w:rPr>
        <w:t>inistrācijas un budžeta nodaļa.</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Sertifikācijas iestāde uzņemas funkcijas, kas noteiktas KNR 126. panta a) līdz h) apakšpunktā, un izveido visas KNR XIII pielikuma B. punktā minētās procedūr</w:t>
      </w:r>
      <w:r w:rsidR="00597732" w:rsidRPr="00C2109B">
        <w:rPr>
          <w:rFonts w:ascii="Times New Roman" w:hAnsi="Times New Roman" w:cs="Times New Roman"/>
          <w:sz w:val="24"/>
          <w:szCs w:val="24"/>
        </w:rPr>
        <w:t>as. Sertifikācijas iestāde arī:</w:t>
      </w:r>
    </w:p>
    <w:p w:rsidR="00873C1D" w:rsidRPr="00C2109B" w:rsidRDefault="00E53CB1" w:rsidP="00E53CB1">
      <w:pPr>
        <w:pStyle w:val="NoSpacing"/>
        <w:numPr>
          <w:ilvl w:val="0"/>
          <w:numId w:val="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sagatavo un iesniedz Komisijai maksājumu pieteikumus saskaņā ar KNR 131. pantu, kā arī pieteikumus par summām, kas noteiktas KNR 130. pantā, ar ko paredz kopīgos noteikumus par starpposma maksājumu un slēguma bilances maksājumu aprēķināšanu;</w:t>
      </w:r>
    </w:p>
    <w:p w:rsidR="00E53CB1" w:rsidRPr="00C2109B" w:rsidRDefault="00873C1D" w:rsidP="00E53CB1">
      <w:pPr>
        <w:pStyle w:val="NoSpacing"/>
        <w:numPr>
          <w:ilvl w:val="0"/>
          <w:numId w:val="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ievēro un izpilda KNR 135. pantā noteiktās procedūras un termiņus starpposma maksājumu pieteikumu iesni</w:t>
      </w:r>
      <w:r w:rsidR="00597732" w:rsidRPr="00C2109B">
        <w:rPr>
          <w:rFonts w:ascii="Times New Roman" w:hAnsi="Times New Roman" w:cs="Times New Roman"/>
          <w:sz w:val="24"/>
          <w:szCs w:val="24"/>
        </w:rPr>
        <w:t>egšanai un maksājumu veikšanai;</w:t>
      </w:r>
    </w:p>
    <w:p w:rsidR="00E53CB1" w:rsidRPr="00C2109B" w:rsidRDefault="00E53CB1" w:rsidP="00E53CB1">
      <w:pPr>
        <w:pStyle w:val="NoSpacing"/>
        <w:numPr>
          <w:ilvl w:val="0"/>
          <w:numId w:val="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saņem Eiropas Komisijas veiktos maksājumus;</w:t>
      </w:r>
    </w:p>
    <w:p w:rsidR="0092244F" w:rsidRPr="00C2109B" w:rsidRDefault="00E53CB1" w:rsidP="0092244F">
      <w:pPr>
        <w:pStyle w:val="NoSpacing"/>
        <w:numPr>
          <w:ilvl w:val="0"/>
          <w:numId w:val="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saņem dalībvalstu līdzfinansējumu un partnervalstu ieguldījumu;</w:t>
      </w:r>
    </w:p>
    <w:p w:rsidR="00E53CB1" w:rsidRPr="00C2109B" w:rsidRDefault="00E53CB1" w:rsidP="0092244F">
      <w:pPr>
        <w:pStyle w:val="NoSpacing"/>
        <w:numPr>
          <w:ilvl w:val="0"/>
          <w:numId w:val="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saskaņā ar KNR 132. pantu veic maksājumus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 un citiem atbalsta saņēmējiem.</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Vēlākais 30 dienas pēc Komisijas paziņojuma par programmas apstiprināšanas lēmumu sertifikācijas iestādei ir jābūt pieejamam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eiro (EUR) valūtas bankas kontam, kas atvērts Luksemburgas Valsts kases vārdā. Sertifikācijas iestāde šo bankas kontu izmanto ERAF finansējuma saņemšanai no Komisijas, dalībvalstu līdzfinansējuma un partnervalstu ieguldījuma saņemšanai un visu maksājumu veikšanai </w:t>
      </w:r>
      <w:r w:rsidR="00E707B1"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 vai jebkuram citam maksājumu saņēmējam.</w:t>
      </w:r>
    </w:p>
    <w:p w:rsidR="00E53CB1" w:rsidRPr="00C2109B" w:rsidRDefault="00E53CB1" w:rsidP="00DF37A3">
      <w:pPr>
        <w:pStyle w:val="Heading3"/>
        <w:keepNext/>
        <w:rPr>
          <w:rFonts w:ascii="Times New Roman" w:hAnsi="Times New Roman" w:cs="Times New Roman"/>
          <w:sz w:val="24"/>
          <w:szCs w:val="24"/>
        </w:rPr>
      </w:pPr>
      <w:bookmarkStart w:id="16" w:name="_Toc423349149"/>
      <w:bookmarkStart w:id="17" w:name="_Toc427826194"/>
      <w:r w:rsidRPr="00C2109B">
        <w:rPr>
          <w:rFonts w:ascii="Times New Roman" w:hAnsi="Times New Roman" w:cs="Times New Roman"/>
          <w:sz w:val="24"/>
          <w:szCs w:val="24"/>
        </w:rPr>
        <w:t>7. pants. Revīzijas iestāde</w:t>
      </w:r>
      <w:bookmarkEnd w:id="16"/>
      <w:bookmarkEnd w:id="17"/>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Saskaņā ar ETS regulas 21. pantu dalībvalstis, kas piedalās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par revīzijas iestādi izraugās Luksemburgas Lielhercogistes Finanšu ministrijas Galveno finanšu inspekciju (</w:t>
      </w:r>
      <w:r w:rsidRPr="00C2109B">
        <w:rPr>
          <w:rFonts w:ascii="Times New Roman" w:hAnsi="Times New Roman" w:cs="Times New Roman"/>
          <w:i/>
          <w:sz w:val="24"/>
          <w:szCs w:val="24"/>
        </w:rPr>
        <w:t>IGF</w:t>
      </w:r>
      <w:r w:rsidRPr="00C2109B">
        <w:rPr>
          <w:rFonts w:ascii="Times New Roman" w:hAnsi="Times New Roman" w:cs="Times New Roman"/>
          <w:sz w:val="24"/>
          <w:szCs w:val="24"/>
        </w:rPr>
        <w:t>).</w:t>
      </w:r>
    </w:p>
    <w:p w:rsidR="00891CBF" w:rsidRPr="00C2109B" w:rsidRDefault="00E53CB1" w:rsidP="00891CBF">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Revīzijas iestāde uzņemas KNR 127. panta 1.</w:t>
      </w:r>
      <w:r w:rsidR="00597732" w:rsidRPr="00C2109B">
        <w:rPr>
          <w:rFonts w:ascii="Times New Roman" w:hAnsi="Times New Roman" w:cs="Times New Roman"/>
          <w:sz w:val="24"/>
          <w:szCs w:val="24"/>
        </w:rPr>
        <w:t xml:space="preserve"> līdz </w:t>
      </w:r>
      <w:r w:rsidRPr="00C2109B">
        <w:rPr>
          <w:rFonts w:ascii="Times New Roman" w:hAnsi="Times New Roman" w:cs="Times New Roman"/>
          <w:sz w:val="24"/>
          <w:szCs w:val="24"/>
        </w:rPr>
        <w:t>8. punktā noteiktās funkcijas. Revīzijas iestāde arī sekmē Komisijas sadarbību ar revīzijas iestādēm saskaņā ar KNR 128. panta 3. punkta noteikumiem.</w:t>
      </w:r>
    </w:p>
    <w:p w:rsidR="00891CBF" w:rsidRPr="00C2109B" w:rsidRDefault="00891CBF" w:rsidP="00891CBF">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lastRenderedPageBreak/>
        <w:t>3)</w:t>
      </w:r>
      <w:r w:rsidRPr="00C2109B">
        <w:rPr>
          <w:rFonts w:ascii="Times New Roman" w:hAnsi="Times New Roman" w:cs="Times New Roman"/>
          <w:sz w:val="24"/>
          <w:szCs w:val="24"/>
        </w:rPr>
        <w:tab/>
        <w:t>Saskaņā ar KNR 124. panta 2. punkta noteikumiem revīzijas iestāde ir atbildīga par ziņojuma un atzinuma sagatavošanu, kurā izvērtēta tādu vadošās iestādes un sertifikācijas iestādes kritēriju izpilde,</w:t>
      </w:r>
      <w:r w:rsidR="004D5C87" w:rsidRPr="00C2109B">
        <w:rPr>
          <w:rFonts w:ascii="Times New Roman" w:hAnsi="Times New Roman" w:cs="Times New Roman"/>
          <w:sz w:val="24"/>
          <w:szCs w:val="24"/>
        </w:rPr>
        <w:t xml:space="preserve"> </w:t>
      </w:r>
      <w:r w:rsidRPr="00C2109B">
        <w:rPr>
          <w:rFonts w:ascii="Times New Roman" w:hAnsi="Times New Roman" w:cs="Times New Roman"/>
          <w:sz w:val="24"/>
          <w:szCs w:val="24"/>
        </w:rPr>
        <w:t>kas saistīti ar iekšējās kontroles vidi, riska pārvaldību, pārvaldības un kontroles pasākumiem, kā arī pārraudzību, pama</w:t>
      </w:r>
      <w:r w:rsidR="00597732" w:rsidRPr="00C2109B">
        <w:rPr>
          <w:rFonts w:ascii="Times New Roman" w:hAnsi="Times New Roman" w:cs="Times New Roman"/>
          <w:sz w:val="24"/>
          <w:szCs w:val="24"/>
        </w:rPr>
        <w:t>tojoties uz KNR XIII pielikumu.</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 xml:space="preserve">Atsaucoties uz ETS regulas 25. pantu un ņemot vērā to, ka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abi atbalsta saņēmēji (vadošā iestāde un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ienīgais atbalsta saņēmējs) atrodas Luksemburgā, revidentu grupas izveide nav nepieciešama. Tomēr pēc dalībvalstu un partnervalstu pieprasījuma var tikt izveidota revīzijas konsultatīvā grupa, ko apm</w:t>
      </w:r>
      <w:r w:rsidR="00993774" w:rsidRPr="00C2109B">
        <w:rPr>
          <w:rFonts w:ascii="Times New Roman" w:hAnsi="Times New Roman" w:cs="Times New Roman"/>
          <w:sz w:val="24"/>
          <w:szCs w:val="24"/>
        </w:rPr>
        <w:t>aksā pašas deleģējošās valstis.</w:t>
      </w:r>
    </w:p>
    <w:p w:rsidR="00C421A6" w:rsidRPr="00C2109B" w:rsidRDefault="00C421A6" w:rsidP="00373603">
      <w:pPr>
        <w:pStyle w:val="Heading3"/>
        <w:rPr>
          <w:rFonts w:ascii="Times New Roman" w:hAnsi="Times New Roman" w:cs="Times New Roman"/>
          <w:sz w:val="24"/>
          <w:szCs w:val="24"/>
        </w:rPr>
      </w:pPr>
      <w:bookmarkStart w:id="18" w:name="_Toc423349150"/>
      <w:bookmarkStart w:id="19" w:name="_Toc427826195"/>
      <w:r w:rsidRPr="00C2109B">
        <w:rPr>
          <w:rFonts w:ascii="Times New Roman" w:hAnsi="Times New Roman" w:cs="Times New Roman"/>
          <w:sz w:val="24"/>
          <w:szCs w:val="24"/>
        </w:rPr>
        <w:t xml:space="preserve">8. pants. Struktūra </w:t>
      </w:r>
      <w:r w:rsidR="004D5C87" w:rsidRPr="00C2109B">
        <w:rPr>
          <w:rFonts w:ascii="Times New Roman" w:hAnsi="Times New Roman" w:cs="Times New Roman"/>
          <w:sz w:val="24"/>
          <w:szCs w:val="24"/>
        </w:rPr>
        <w:t xml:space="preserve">kontroles </w:t>
      </w:r>
      <w:r w:rsidRPr="00C2109B">
        <w:rPr>
          <w:rFonts w:ascii="Times New Roman" w:hAnsi="Times New Roman" w:cs="Times New Roman"/>
          <w:sz w:val="24"/>
          <w:szCs w:val="24"/>
        </w:rPr>
        <w:t>uzdevumu veikšanai (pirmā līmeņa kontrole)</w:t>
      </w:r>
      <w:bookmarkEnd w:id="18"/>
      <w:bookmarkEnd w:id="19"/>
    </w:p>
    <w:p w:rsidR="00D00BB6" w:rsidRPr="00C2109B" w:rsidRDefault="00D00BB6" w:rsidP="00DE0240">
      <w:pPr>
        <w:autoSpaceDE w:val="0"/>
        <w:autoSpaceDN w:val="0"/>
        <w:adjustRightInd w:val="0"/>
        <w:spacing w:after="0"/>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Struktūra, kas ir atbildīga par vadības pārbaudēm, tostarp administratīvajām pārbaudēm saskaņā ar KNR 125. panta 4. punkta a) apakšpunktu un 125. panta 5. punktu, un ETS regulas 23. panta 4. punktu, ir Luksemburgas Lielhercogistes Finanšu ministrijas Finanšu kontroles direktorāts (</w:t>
      </w:r>
      <w:r w:rsidRPr="00C2109B">
        <w:rPr>
          <w:rFonts w:ascii="Times New Roman" w:hAnsi="Times New Roman" w:cs="Times New Roman"/>
          <w:i/>
          <w:sz w:val="24"/>
          <w:szCs w:val="24"/>
        </w:rPr>
        <w:t>DCF</w:t>
      </w:r>
      <w:r w:rsidR="00597732" w:rsidRPr="00C2109B">
        <w:rPr>
          <w:rFonts w:ascii="Times New Roman" w:hAnsi="Times New Roman" w:cs="Times New Roman"/>
          <w:sz w:val="24"/>
          <w:szCs w:val="24"/>
        </w:rPr>
        <w:t>).</w:t>
      </w:r>
    </w:p>
    <w:p w:rsidR="00D00BB6" w:rsidRPr="00C2109B" w:rsidRDefault="00D00BB6" w:rsidP="00DE0240">
      <w:pPr>
        <w:autoSpaceDE w:val="0"/>
        <w:autoSpaceDN w:val="0"/>
        <w:adjustRightInd w:val="0"/>
        <w:spacing w:after="0"/>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Attiecībā uz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ienīgo atbalsta saņēmēju tā būs centrālā aprobācijas struktūra, kas atbildīga par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 atbalsta saņēmēja pirmā līmeņa kontroliera iecelšanu saskaņā ar </w:t>
      </w:r>
      <w:r w:rsidR="00684F1B" w:rsidRPr="00C2109B">
        <w:rPr>
          <w:rFonts w:ascii="Times New Roman" w:hAnsi="Times New Roman" w:cs="Times New Roman"/>
          <w:sz w:val="24"/>
          <w:szCs w:val="24"/>
        </w:rPr>
        <w:t>D</w:t>
      </w:r>
      <w:r w:rsidRPr="00C2109B">
        <w:rPr>
          <w:rFonts w:ascii="Times New Roman" w:hAnsi="Times New Roman" w:cs="Times New Roman"/>
          <w:sz w:val="24"/>
          <w:szCs w:val="24"/>
        </w:rPr>
        <w:t xml:space="preserve">arbības īstenošanas </w:t>
      </w:r>
      <w:r w:rsidR="009A73D2" w:rsidRPr="00C2109B">
        <w:rPr>
          <w:rFonts w:ascii="Times New Roman" w:hAnsi="Times New Roman" w:cs="Times New Roman"/>
          <w:sz w:val="24"/>
          <w:szCs w:val="24"/>
        </w:rPr>
        <w:t xml:space="preserve">vadlīnijās </w:t>
      </w:r>
      <w:r w:rsidR="00597732" w:rsidRPr="00C2109B">
        <w:rPr>
          <w:rFonts w:ascii="Times New Roman" w:hAnsi="Times New Roman" w:cs="Times New Roman"/>
          <w:sz w:val="24"/>
          <w:szCs w:val="24"/>
        </w:rPr>
        <w:t>noteikto kārtību.</w:t>
      </w:r>
    </w:p>
    <w:p w:rsidR="001905E3" w:rsidRPr="00C2109B" w:rsidRDefault="00D00BB6" w:rsidP="00DE0240">
      <w:pPr>
        <w:autoSpaceDE w:val="0"/>
        <w:autoSpaceDN w:val="0"/>
        <w:adjustRightInd w:val="0"/>
        <w:spacing w:after="0"/>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Attiecībā uz tehnisko palīdzību, ko sniedz vadošā iestāde, kontroles uzdevumus veiks Finanšu ministrijas Finanšu kontroles direktorāts (</w:t>
      </w:r>
      <w:r w:rsidRPr="00C2109B">
        <w:rPr>
          <w:rFonts w:ascii="Times New Roman" w:hAnsi="Times New Roman" w:cs="Times New Roman"/>
          <w:i/>
          <w:sz w:val="24"/>
          <w:szCs w:val="24"/>
        </w:rPr>
        <w:t>DCF</w:t>
      </w:r>
      <w:r w:rsidR="00597732" w:rsidRPr="00C2109B">
        <w:rPr>
          <w:rFonts w:ascii="Times New Roman" w:hAnsi="Times New Roman" w:cs="Times New Roman"/>
          <w:sz w:val="24"/>
          <w:szCs w:val="24"/>
        </w:rPr>
        <w:t>).</w:t>
      </w:r>
    </w:p>
    <w:p w:rsidR="00E53CB1" w:rsidRPr="00C2109B" w:rsidRDefault="00A150BE" w:rsidP="00910A45">
      <w:pPr>
        <w:pStyle w:val="Heading3"/>
        <w:keepNext/>
        <w:rPr>
          <w:rFonts w:ascii="Times New Roman" w:hAnsi="Times New Roman" w:cs="Times New Roman"/>
          <w:sz w:val="24"/>
          <w:szCs w:val="24"/>
        </w:rPr>
      </w:pPr>
      <w:bookmarkStart w:id="20" w:name="_Toc423349151"/>
      <w:bookmarkStart w:id="21" w:name="_Toc427826196"/>
      <w:r w:rsidRPr="00C2109B">
        <w:rPr>
          <w:rFonts w:ascii="Times New Roman" w:hAnsi="Times New Roman" w:cs="Times New Roman"/>
          <w:sz w:val="24"/>
          <w:szCs w:val="24"/>
        </w:rPr>
        <w:t>9. pants. Vienīgais</w:t>
      </w:r>
      <w:r w:rsidR="004D5C87" w:rsidRPr="00C2109B">
        <w:rPr>
          <w:rFonts w:ascii="Times New Roman" w:hAnsi="Times New Roman" w:cs="Times New Roman"/>
          <w:sz w:val="24"/>
          <w:szCs w:val="24"/>
        </w:rPr>
        <w:t xml:space="preserve"> </w:t>
      </w:r>
      <w:r w:rsidRPr="00C2109B">
        <w:rPr>
          <w:rStyle w:val="Heading3Char"/>
          <w:rFonts w:ascii="Times New Roman" w:hAnsi="Times New Roman" w:cs="Times New Roman"/>
          <w:b/>
          <w:sz w:val="24"/>
          <w:szCs w:val="24"/>
        </w:rPr>
        <w:t>atbalsta</w:t>
      </w:r>
      <w:r w:rsidRPr="00C2109B">
        <w:rPr>
          <w:rFonts w:ascii="Times New Roman" w:hAnsi="Times New Roman" w:cs="Times New Roman"/>
          <w:sz w:val="24"/>
          <w:szCs w:val="24"/>
        </w:rPr>
        <w:t xml:space="preserve"> saņēmējs – </w:t>
      </w:r>
      <w:r w:rsidRPr="00C2109B">
        <w:rPr>
          <w:rFonts w:ascii="Times New Roman" w:hAnsi="Times New Roman" w:cs="Times New Roman"/>
          <w:i/>
          <w:sz w:val="24"/>
          <w:szCs w:val="24"/>
        </w:rPr>
        <w:t>ESPON ETSG</w:t>
      </w:r>
      <w:bookmarkEnd w:id="20"/>
      <w:bookmarkEnd w:id="21"/>
    </w:p>
    <w:p w:rsidR="00A150BE" w:rsidRPr="00C2109B" w:rsidRDefault="00E53CB1" w:rsidP="00910A45">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Tiesību aktos noteiktie dalībnieki, kas nodibina </w:t>
      </w:r>
      <w:r w:rsidRPr="00C2109B">
        <w:rPr>
          <w:rFonts w:ascii="Times New Roman" w:hAnsi="Times New Roman" w:cs="Times New Roman"/>
          <w:i/>
          <w:sz w:val="24"/>
          <w:szCs w:val="24"/>
        </w:rPr>
        <w:t>ESPON ETSG</w:t>
      </w:r>
      <w:r w:rsidR="00597732" w:rsidRPr="00C2109B">
        <w:rPr>
          <w:rFonts w:ascii="Times New Roman" w:hAnsi="Times New Roman" w:cs="Times New Roman"/>
          <w:sz w:val="24"/>
          <w:szCs w:val="24"/>
        </w:rPr>
        <w:t>, ir:</w:t>
      </w:r>
    </w:p>
    <w:p w:rsidR="00A150BE" w:rsidRPr="00C2109B" w:rsidRDefault="00A150BE" w:rsidP="00B87576">
      <w:pPr>
        <w:pStyle w:val="NoSpacing"/>
        <w:spacing w:line="276" w:lineRule="auto"/>
        <w:ind w:left="360"/>
        <w:jc w:val="both"/>
        <w:rPr>
          <w:rFonts w:ascii="Times New Roman" w:hAnsi="Times New Roman" w:cs="Times New Roman"/>
          <w:sz w:val="24"/>
          <w:szCs w:val="24"/>
        </w:rPr>
      </w:pPr>
      <w:r w:rsidRPr="00C2109B">
        <w:rPr>
          <w:rFonts w:ascii="Times New Roman" w:hAnsi="Times New Roman" w:cs="Times New Roman"/>
          <w:sz w:val="24"/>
          <w:szCs w:val="24"/>
        </w:rPr>
        <w:t>a) Beļģijas Briseles galvaspilsētas reģions, ko pārstāv Briseles</w:t>
      </w:r>
      <w:r w:rsidR="00752FD1" w:rsidRPr="00C2109B">
        <w:rPr>
          <w:rFonts w:ascii="Times New Roman" w:hAnsi="Times New Roman" w:cs="Times New Roman"/>
          <w:sz w:val="24"/>
          <w:szCs w:val="24"/>
        </w:rPr>
        <w:t xml:space="preserve"> Pilsētu attīstības ministrija,</w:t>
      </w:r>
    </w:p>
    <w:p w:rsidR="00A150BE" w:rsidRPr="00C2109B" w:rsidRDefault="00A150BE" w:rsidP="00B87576">
      <w:pPr>
        <w:pStyle w:val="NoSpacing"/>
        <w:spacing w:line="276" w:lineRule="auto"/>
        <w:ind w:left="360"/>
        <w:jc w:val="both"/>
        <w:rPr>
          <w:rFonts w:ascii="Times New Roman" w:hAnsi="Times New Roman" w:cs="Times New Roman"/>
          <w:sz w:val="24"/>
          <w:szCs w:val="24"/>
        </w:rPr>
      </w:pPr>
      <w:r w:rsidRPr="00C2109B">
        <w:rPr>
          <w:rFonts w:ascii="Times New Roman" w:hAnsi="Times New Roman" w:cs="Times New Roman"/>
          <w:sz w:val="24"/>
          <w:szCs w:val="24"/>
        </w:rPr>
        <w:t>b) Beļģijas Flandrijas reģions, ko pārstāv Flandrijas Tel</w:t>
      </w:r>
      <w:r w:rsidR="00752FD1" w:rsidRPr="00C2109B">
        <w:rPr>
          <w:rFonts w:ascii="Times New Roman" w:hAnsi="Times New Roman" w:cs="Times New Roman"/>
          <w:sz w:val="24"/>
          <w:szCs w:val="24"/>
        </w:rPr>
        <w:t>piskās attīstības departaments,</w:t>
      </w:r>
    </w:p>
    <w:p w:rsidR="00A150BE" w:rsidRPr="00C2109B" w:rsidRDefault="00A150BE" w:rsidP="00B87576">
      <w:pPr>
        <w:pStyle w:val="NoSpacing"/>
        <w:spacing w:line="276" w:lineRule="auto"/>
        <w:ind w:left="360"/>
        <w:jc w:val="both"/>
        <w:rPr>
          <w:rFonts w:ascii="Times New Roman" w:hAnsi="Times New Roman" w:cs="Times New Roman"/>
          <w:sz w:val="24"/>
          <w:szCs w:val="24"/>
        </w:rPr>
      </w:pPr>
      <w:r w:rsidRPr="00C2109B">
        <w:rPr>
          <w:rFonts w:ascii="Times New Roman" w:hAnsi="Times New Roman" w:cs="Times New Roman"/>
          <w:sz w:val="24"/>
          <w:szCs w:val="24"/>
        </w:rPr>
        <w:t>c) Beļģijas Valonijas reģions, ko pārstāv Valonijas Sabiedrisko pakalpojumu dienesta Telpiskās plānošanas, mājokļu u</w:t>
      </w:r>
      <w:r w:rsidR="00752FD1" w:rsidRPr="00C2109B">
        <w:rPr>
          <w:rFonts w:ascii="Times New Roman" w:hAnsi="Times New Roman" w:cs="Times New Roman"/>
          <w:sz w:val="24"/>
          <w:szCs w:val="24"/>
        </w:rPr>
        <w:t>n mantojuma ģenerāldirektorāts,</w:t>
      </w:r>
    </w:p>
    <w:p w:rsidR="00A150BE" w:rsidRPr="00C2109B" w:rsidRDefault="00A150BE" w:rsidP="00B87576">
      <w:pPr>
        <w:pStyle w:val="NoSpacing"/>
        <w:spacing w:line="276" w:lineRule="auto"/>
        <w:ind w:left="360"/>
        <w:jc w:val="both"/>
        <w:rPr>
          <w:rFonts w:ascii="Times New Roman" w:hAnsi="Times New Roman" w:cs="Times New Roman"/>
          <w:sz w:val="24"/>
          <w:szCs w:val="24"/>
        </w:rPr>
      </w:pPr>
      <w:r w:rsidRPr="00C2109B">
        <w:rPr>
          <w:rFonts w:ascii="Times New Roman" w:hAnsi="Times New Roman" w:cs="Times New Roman"/>
          <w:sz w:val="24"/>
          <w:szCs w:val="24"/>
        </w:rPr>
        <w:t>d) Luksemburgas Lielhercogiste, ko pārstāv Ilgtspējīgas attīstības un infrastruktūras ministrijas Telpiskās plānošanas un attīstības depar</w:t>
      </w:r>
      <w:r w:rsidR="00752FD1" w:rsidRPr="00C2109B">
        <w:rPr>
          <w:rFonts w:ascii="Times New Roman" w:hAnsi="Times New Roman" w:cs="Times New Roman"/>
          <w:sz w:val="24"/>
          <w:szCs w:val="24"/>
        </w:rPr>
        <w:t>tamenta Vispārējo lietu nodaļa.</w:t>
      </w:r>
    </w:p>
    <w:p w:rsidR="00E53CB1" w:rsidRPr="00C2109B" w:rsidRDefault="00A150BE" w:rsidP="004123D4">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j</w:t>
      </w:r>
      <w:r w:rsidR="00597732" w:rsidRPr="00C2109B">
        <w:rPr>
          <w:rFonts w:ascii="Times New Roman" w:hAnsi="Times New Roman" w:cs="Times New Roman"/>
          <w:sz w:val="24"/>
          <w:szCs w:val="24"/>
        </w:rPr>
        <w:t>uridiskā adrese ir Luksemburgā.</w:t>
      </w:r>
    </w:p>
    <w:p w:rsidR="004123D4" w:rsidRPr="00C2109B" w:rsidRDefault="004123D4" w:rsidP="004123D4">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Kā noteikts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un ETS regulas 12. panta 2. un 3. punktā,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ir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ienīgais atbalsta saņēmējs, kam vadošā iestāde piešķir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līgumu saskaņā ar programmas 1. prioritāro virzienu.</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3)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kā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ienīgais atbalsta saņēmējs ievēro šādus principus:</w:t>
      </w:r>
    </w:p>
    <w:p w:rsidR="00E53CB1" w:rsidRPr="00C2109B" w:rsidRDefault="009A73D2" w:rsidP="00EA5A33">
      <w:pPr>
        <w:pStyle w:val="NoSpacing"/>
        <w:numPr>
          <w:ilvl w:val="0"/>
          <w:numId w:val="10"/>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granta </w:t>
      </w:r>
      <w:r w:rsidR="004D5C87" w:rsidRPr="00C2109B">
        <w:rPr>
          <w:rFonts w:ascii="Times New Roman" w:hAnsi="Times New Roman" w:cs="Times New Roman"/>
          <w:sz w:val="24"/>
          <w:szCs w:val="24"/>
        </w:rPr>
        <w:t>līguma saņemšanas nolūkā</w:t>
      </w:r>
      <w:r w:rsidR="00E53CB1" w:rsidRPr="00C2109B">
        <w:rPr>
          <w:rFonts w:ascii="Times New Roman" w:hAnsi="Times New Roman" w:cs="Times New Roman"/>
          <w:sz w:val="24"/>
          <w:szCs w:val="24"/>
        </w:rPr>
        <w:t xml:space="preserve"> </w:t>
      </w:r>
      <w:r w:rsidR="00E53CB1" w:rsidRPr="00C2109B">
        <w:rPr>
          <w:rFonts w:ascii="Times New Roman" w:hAnsi="Times New Roman" w:cs="Times New Roman"/>
          <w:i/>
          <w:sz w:val="24"/>
          <w:szCs w:val="24"/>
        </w:rPr>
        <w:t>ESPON ETSG</w:t>
      </w:r>
      <w:r w:rsidR="00E53CB1" w:rsidRPr="00C2109B">
        <w:rPr>
          <w:rFonts w:ascii="Times New Roman" w:hAnsi="Times New Roman" w:cs="Times New Roman"/>
          <w:sz w:val="24"/>
          <w:szCs w:val="24"/>
        </w:rPr>
        <w:t xml:space="preserve"> dalībnieki nodrošina, ka </w:t>
      </w:r>
      <w:r w:rsidR="00E53CB1" w:rsidRPr="00C2109B">
        <w:rPr>
          <w:rFonts w:ascii="Times New Roman" w:hAnsi="Times New Roman" w:cs="Times New Roman"/>
          <w:i/>
          <w:sz w:val="24"/>
          <w:szCs w:val="24"/>
        </w:rPr>
        <w:t>ETSG</w:t>
      </w:r>
      <w:r w:rsidR="00E53CB1" w:rsidRPr="00C2109B">
        <w:rPr>
          <w:rFonts w:ascii="Times New Roman" w:hAnsi="Times New Roman" w:cs="Times New Roman"/>
          <w:sz w:val="24"/>
          <w:szCs w:val="24"/>
        </w:rPr>
        <w:t xml:space="preserve"> </w:t>
      </w:r>
      <w:r w:rsidR="004D5C87" w:rsidRPr="00C2109B">
        <w:rPr>
          <w:rFonts w:ascii="Times New Roman" w:hAnsi="Times New Roman" w:cs="Times New Roman"/>
          <w:sz w:val="24"/>
          <w:szCs w:val="24"/>
        </w:rPr>
        <w:t>uz</w:t>
      </w:r>
      <w:r w:rsidR="00E53CB1" w:rsidRPr="00C2109B">
        <w:rPr>
          <w:rFonts w:ascii="Times New Roman" w:hAnsi="Times New Roman" w:cs="Times New Roman"/>
          <w:sz w:val="24"/>
          <w:szCs w:val="24"/>
        </w:rPr>
        <w:t xml:space="preserve">sāk darbību. </w:t>
      </w:r>
      <w:r w:rsidR="00E53CB1" w:rsidRPr="00C2109B">
        <w:rPr>
          <w:rFonts w:ascii="Times New Roman" w:hAnsi="Times New Roman" w:cs="Times New Roman"/>
          <w:i/>
          <w:sz w:val="24"/>
          <w:szCs w:val="24"/>
        </w:rPr>
        <w:t>ESPON ETSG</w:t>
      </w:r>
      <w:r w:rsidR="00E53CB1" w:rsidRPr="00C2109B">
        <w:rPr>
          <w:rFonts w:ascii="Times New Roman" w:hAnsi="Times New Roman" w:cs="Times New Roman"/>
          <w:sz w:val="24"/>
          <w:szCs w:val="24"/>
        </w:rPr>
        <w:t xml:space="preserve"> darbības laikā </w:t>
      </w:r>
      <w:r w:rsidR="00E53CB1" w:rsidRPr="00C2109B">
        <w:rPr>
          <w:rFonts w:ascii="Times New Roman" w:hAnsi="Times New Roman" w:cs="Times New Roman"/>
          <w:i/>
          <w:sz w:val="24"/>
          <w:szCs w:val="24"/>
        </w:rPr>
        <w:t>ETSG</w:t>
      </w:r>
      <w:r w:rsidR="00E53CB1" w:rsidRPr="00C2109B">
        <w:rPr>
          <w:rFonts w:ascii="Times New Roman" w:hAnsi="Times New Roman" w:cs="Times New Roman"/>
          <w:sz w:val="24"/>
          <w:szCs w:val="24"/>
        </w:rPr>
        <w:t xml:space="preserve"> dalībnieki pievēršas iekšējām lietām un jautājumiem par </w:t>
      </w:r>
      <w:r w:rsidRPr="00C2109B">
        <w:rPr>
          <w:rFonts w:ascii="Times New Roman" w:hAnsi="Times New Roman" w:cs="Times New Roman"/>
          <w:sz w:val="24"/>
          <w:szCs w:val="24"/>
        </w:rPr>
        <w:t xml:space="preserve">granta </w:t>
      </w:r>
      <w:r w:rsidR="00E53CB1" w:rsidRPr="00C2109B">
        <w:rPr>
          <w:rFonts w:ascii="Times New Roman" w:hAnsi="Times New Roman" w:cs="Times New Roman"/>
          <w:sz w:val="24"/>
          <w:szCs w:val="24"/>
        </w:rPr>
        <w:t xml:space="preserve">saņēmējas struktūras likumību un nodrošina, ka </w:t>
      </w:r>
      <w:r w:rsidR="00E53CB1" w:rsidRPr="00C2109B">
        <w:rPr>
          <w:rFonts w:ascii="Times New Roman" w:hAnsi="Times New Roman" w:cs="Times New Roman"/>
          <w:i/>
          <w:sz w:val="24"/>
          <w:szCs w:val="24"/>
        </w:rPr>
        <w:t>ESPON ETSG</w:t>
      </w:r>
      <w:r w:rsidR="00E53CB1" w:rsidRPr="00C2109B">
        <w:rPr>
          <w:rFonts w:ascii="Times New Roman" w:hAnsi="Times New Roman" w:cs="Times New Roman"/>
          <w:sz w:val="24"/>
          <w:szCs w:val="24"/>
        </w:rPr>
        <w:t xml:space="preserve"> īsteno savu darbību pilnīgā saskaņā ar savstarpējo sapratni starp visām valstīm, kas </w:t>
      </w:r>
      <w:r w:rsidR="00863111" w:rsidRPr="00C2109B">
        <w:rPr>
          <w:rFonts w:ascii="Times New Roman" w:hAnsi="Times New Roman" w:cs="Times New Roman"/>
          <w:sz w:val="24"/>
          <w:szCs w:val="24"/>
        </w:rPr>
        <w:t>piedalās</w:t>
      </w:r>
      <w:r w:rsidR="00E53CB1" w:rsidRPr="00C2109B">
        <w:rPr>
          <w:rFonts w:ascii="Times New Roman" w:hAnsi="Times New Roman" w:cs="Times New Roman"/>
          <w:sz w:val="24"/>
          <w:szCs w:val="24"/>
        </w:rPr>
        <w:t xml:space="preserve"> </w:t>
      </w:r>
      <w:r w:rsidR="0012053A" w:rsidRPr="00C2109B">
        <w:rPr>
          <w:rFonts w:ascii="Times New Roman" w:hAnsi="Times New Roman" w:cs="Times New Roman"/>
          <w:sz w:val="24"/>
          <w:szCs w:val="24"/>
        </w:rPr>
        <w:t>„</w:t>
      </w:r>
      <w:r w:rsidR="00E53CB1"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00863111" w:rsidRPr="00C2109B">
        <w:rPr>
          <w:rFonts w:ascii="Times New Roman" w:hAnsi="Times New Roman" w:cs="Times New Roman"/>
          <w:sz w:val="24"/>
          <w:szCs w:val="24"/>
        </w:rPr>
        <w:t xml:space="preserve"> sadarbības programmā;</w:t>
      </w:r>
    </w:p>
    <w:p w:rsidR="00E53CB1" w:rsidRPr="00C2109B" w:rsidRDefault="00597732" w:rsidP="00E53CB1">
      <w:pPr>
        <w:pStyle w:val="NoSpacing"/>
        <w:numPr>
          <w:ilvl w:val="0"/>
          <w:numId w:val="10"/>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t</w:t>
      </w:r>
      <w:r w:rsidR="00E53CB1" w:rsidRPr="00C2109B">
        <w:rPr>
          <w:rFonts w:ascii="Times New Roman" w:hAnsi="Times New Roman" w:cs="Times New Roman"/>
          <w:sz w:val="24"/>
          <w:szCs w:val="24"/>
        </w:rPr>
        <w:t xml:space="preserve">ā kā </w:t>
      </w:r>
      <w:r w:rsidR="0028492E" w:rsidRPr="00C2109B">
        <w:rPr>
          <w:rFonts w:ascii="Times New Roman" w:hAnsi="Times New Roman" w:cs="Times New Roman"/>
          <w:sz w:val="24"/>
          <w:szCs w:val="24"/>
        </w:rPr>
        <w:t>V</w:t>
      </w:r>
      <w:r w:rsidR="00E53CB1" w:rsidRPr="00C2109B">
        <w:rPr>
          <w:rFonts w:ascii="Times New Roman" w:hAnsi="Times New Roman" w:cs="Times New Roman"/>
          <w:sz w:val="24"/>
          <w:szCs w:val="24"/>
        </w:rPr>
        <w:t xml:space="preserve">ienīgās darbības un tās pasākumu uzraudzību veic </w:t>
      </w:r>
      <w:r w:rsidR="0028492E" w:rsidRPr="00C2109B">
        <w:rPr>
          <w:rFonts w:ascii="Times New Roman" w:hAnsi="Times New Roman" w:cs="Times New Roman"/>
          <w:sz w:val="24"/>
          <w:szCs w:val="24"/>
        </w:rPr>
        <w:t>U</w:t>
      </w:r>
      <w:r w:rsidR="00E53CB1" w:rsidRPr="00C2109B">
        <w:rPr>
          <w:rFonts w:ascii="Times New Roman" w:hAnsi="Times New Roman" w:cs="Times New Roman"/>
          <w:sz w:val="24"/>
          <w:szCs w:val="24"/>
        </w:rPr>
        <w:t xml:space="preserve">zraudzības komitejas līmenī, </w:t>
      </w:r>
      <w:r w:rsidR="00E53CB1" w:rsidRPr="00C2109B">
        <w:rPr>
          <w:rFonts w:ascii="Times New Roman" w:hAnsi="Times New Roman" w:cs="Times New Roman"/>
          <w:i/>
          <w:sz w:val="24"/>
          <w:szCs w:val="24"/>
        </w:rPr>
        <w:t>ESPON ETSG</w:t>
      </w:r>
      <w:r w:rsidR="00E53CB1" w:rsidRPr="00C2109B">
        <w:rPr>
          <w:rFonts w:ascii="Times New Roman" w:hAnsi="Times New Roman" w:cs="Times New Roman"/>
          <w:sz w:val="24"/>
          <w:szCs w:val="24"/>
        </w:rPr>
        <w:t xml:space="preserve"> dalībnieki nemēģina ietekmēt jautājumus, kas saistīti ar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līguma īstenošanas saturu;</w:t>
      </w:r>
    </w:p>
    <w:p w:rsidR="00E53CB1" w:rsidRPr="00C2109B" w:rsidRDefault="00E53CB1" w:rsidP="00E53CB1">
      <w:pPr>
        <w:pStyle w:val="NoSpacing"/>
        <w:numPr>
          <w:ilvl w:val="0"/>
          <w:numId w:val="10"/>
        </w:numPr>
        <w:spacing w:line="276" w:lineRule="auto"/>
        <w:jc w:val="both"/>
        <w:rPr>
          <w:rFonts w:ascii="Times New Roman" w:hAnsi="Times New Roman" w:cs="Times New Roman"/>
          <w:sz w:val="24"/>
          <w:szCs w:val="24"/>
        </w:rPr>
      </w:pPr>
      <w:r w:rsidRPr="00C2109B">
        <w:rPr>
          <w:rFonts w:ascii="Times New Roman" w:hAnsi="Times New Roman" w:cs="Times New Roman"/>
          <w:i/>
          <w:sz w:val="24"/>
          <w:szCs w:val="24"/>
        </w:rPr>
        <w:lastRenderedPageBreak/>
        <w:t>ESPON ETSG</w:t>
      </w:r>
      <w:r w:rsidRPr="00C2109B">
        <w:rPr>
          <w:rFonts w:ascii="Times New Roman" w:hAnsi="Times New Roman" w:cs="Times New Roman"/>
          <w:sz w:val="24"/>
          <w:szCs w:val="24"/>
        </w:rPr>
        <w:t xml:space="preserve"> asambleja pilnībā pārredzami un godprātīgi sadarbojas ar </w:t>
      </w:r>
      <w:r w:rsidR="0028492E"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komiteju un vadošo iestādi un nodrošina </w:t>
      </w:r>
      <w:r w:rsidRPr="00C2109B">
        <w:rPr>
          <w:rFonts w:ascii="Times New Roman" w:hAnsi="Times New Roman" w:cs="Times New Roman"/>
          <w:i/>
          <w:sz w:val="24"/>
          <w:szCs w:val="24"/>
        </w:rPr>
        <w:t>ETSG</w:t>
      </w:r>
      <w:r w:rsidRPr="00C2109B">
        <w:rPr>
          <w:rFonts w:ascii="Times New Roman" w:hAnsi="Times New Roman" w:cs="Times New Roman"/>
          <w:sz w:val="24"/>
          <w:szCs w:val="24"/>
        </w:rPr>
        <w:t xml:space="preserve"> nevainojamu darbību.</w:t>
      </w:r>
    </w:p>
    <w:p w:rsidR="00A150BE" w:rsidRPr="00C2109B" w:rsidRDefault="00A150BE" w:rsidP="00A150BE">
      <w:pPr>
        <w:pStyle w:val="Heading3"/>
        <w:rPr>
          <w:rFonts w:ascii="Times New Roman" w:hAnsi="Times New Roman" w:cs="Times New Roman"/>
          <w:sz w:val="24"/>
          <w:szCs w:val="24"/>
        </w:rPr>
      </w:pPr>
      <w:bookmarkStart w:id="22" w:name="_Toc423349152"/>
      <w:bookmarkStart w:id="23" w:name="_Toc427826197"/>
      <w:r w:rsidRPr="00C2109B">
        <w:rPr>
          <w:rFonts w:ascii="Times New Roman" w:hAnsi="Times New Roman" w:cs="Times New Roman"/>
          <w:sz w:val="24"/>
          <w:szCs w:val="24"/>
        </w:rPr>
        <w:t xml:space="preserve">10. pants. </w:t>
      </w:r>
      <w:r w:rsidR="003E2EEC" w:rsidRPr="00C2109B">
        <w:rPr>
          <w:rFonts w:ascii="Times New Roman" w:hAnsi="Times New Roman" w:cs="Times New Roman"/>
          <w:sz w:val="24"/>
          <w:szCs w:val="24"/>
        </w:rPr>
        <w:t>Vadī</w:t>
      </w:r>
      <w:r w:rsidR="00901DB7" w:rsidRPr="00C2109B">
        <w:rPr>
          <w:rFonts w:ascii="Times New Roman" w:hAnsi="Times New Roman" w:cs="Times New Roman"/>
          <w:sz w:val="24"/>
          <w:szCs w:val="24"/>
        </w:rPr>
        <w:t>bas</w:t>
      </w:r>
      <w:r w:rsidRPr="00C2109B">
        <w:rPr>
          <w:rFonts w:ascii="Times New Roman" w:hAnsi="Times New Roman" w:cs="Times New Roman"/>
          <w:sz w:val="24"/>
          <w:szCs w:val="24"/>
        </w:rPr>
        <w:t xml:space="preserve"> un kontroles struktūru funkciju nodalījums</w:t>
      </w:r>
      <w:bookmarkEnd w:id="22"/>
      <w:bookmarkEnd w:id="23"/>
    </w:p>
    <w:p w:rsidR="00A150BE" w:rsidRPr="00C2109B" w:rsidRDefault="00A150BE" w:rsidP="00A150BE">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Saskaņā ar KNR 72.b pantu Luksemburgas Lielhercogiste veic vajadzīgos pasākumus tās iestāžu, tiesiskajā un finanšu sistēmā, lai nodrošinātu funkciju skaidru nodalījumu starp iepriekšminētajām izraudzītajām </w:t>
      </w:r>
      <w:r w:rsidR="00901DB7" w:rsidRPr="00C2109B">
        <w:rPr>
          <w:rFonts w:ascii="Times New Roman" w:hAnsi="Times New Roman" w:cs="Times New Roman"/>
          <w:sz w:val="24"/>
          <w:szCs w:val="24"/>
        </w:rPr>
        <w:t>va</w:t>
      </w:r>
      <w:r w:rsidRPr="00C2109B">
        <w:rPr>
          <w:rFonts w:ascii="Times New Roman" w:hAnsi="Times New Roman" w:cs="Times New Roman"/>
          <w:sz w:val="24"/>
          <w:szCs w:val="24"/>
        </w:rPr>
        <w:t>dības un kontroles struktūrām, kā arī š</w:t>
      </w:r>
      <w:r w:rsidR="00AC738A" w:rsidRPr="00C2109B">
        <w:rPr>
          <w:rFonts w:ascii="Times New Roman" w:hAnsi="Times New Roman" w:cs="Times New Roman"/>
          <w:sz w:val="24"/>
          <w:szCs w:val="24"/>
        </w:rPr>
        <w:t>īs</w:t>
      </w:r>
      <w:r w:rsidRPr="00C2109B">
        <w:rPr>
          <w:rFonts w:ascii="Times New Roman" w:hAnsi="Times New Roman" w:cs="Times New Roman"/>
          <w:sz w:val="24"/>
          <w:szCs w:val="24"/>
        </w:rPr>
        <w:t xml:space="preserve"> </w:t>
      </w:r>
      <w:r w:rsidR="00AC738A" w:rsidRPr="00C2109B">
        <w:rPr>
          <w:rFonts w:ascii="Times New Roman" w:hAnsi="Times New Roman" w:cs="Times New Roman"/>
          <w:sz w:val="24"/>
          <w:szCs w:val="24"/>
        </w:rPr>
        <w:t xml:space="preserve">vienošanās </w:t>
      </w:r>
      <w:r w:rsidRPr="00C2109B">
        <w:rPr>
          <w:rFonts w:ascii="Times New Roman" w:hAnsi="Times New Roman" w:cs="Times New Roman"/>
          <w:sz w:val="24"/>
          <w:szCs w:val="24"/>
        </w:rPr>
        <w:t xml:space="preserve">9. pantā minēto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ienīgo atbalsta saņēmēju.</w:t>
      </w:r>
    </w:p>
    <w:p w:rsidR="00A150BE" w:rsidRPr="00C2109B" w:rsidRDefault="00A150BE" w:rsidP="00A150BE">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Funkciju nodalījumu dokumentē ar Luksemburgas Lielhercogiste ministrijas dekrētu (</w:t>
      </w:r>
      <w:r w:rsidRPr="00C2109B">
        <w:rPr>
          <w:rFonts w:ascii="Times New Roman" w:hAnsi="Times New Roman" w:cs="Times New Roman"/>
          <w:i/>
          <w:sz w:val="24"/>
          <w:szCs w:val="24"/>
        </w:rPr>
        <w:t>Arrêté Ministériel</w:t>
      </w:r>
      <w:r w:rsidR="00752FD1" w:rsidRPr="00C2109B">
        <w:rPr>
          <w:rFonts w:ascii="Times New Roman" w:hAnsi="Times New Roman" w:cs="Times New Roman"/>
          <w:sz w:val="24"/>
          <w:szCs w:val="24"/>
        </w:rPr>
        <w:t>).</w:t>
      </w:r>
    </w:p>
    <w:p w:rsidR="00E53CB1" w:rsidRPr="00C2109B" w:rsidRDefault="00E53CB1" w:rsidP="002F0DCB">
      <w:pPr>
        <w:pStyle w:val="Heading3"/>
        <w:rPr>
          <w:rFonts w:ascii="Times New Roman" w:hAnsi="Times New Roman" w:cs="Times New Roman"/>
          <w:sz w:val="24"/>
          <w:szCs w:val="24"/>
        </w:rPr>
      </w:pPr>
      <w:bookmarkStart w:id="24" w:name="_Toc423349153"/>
      <w:bookmarkStart w:id="25" w:name="_Toc427826198"/>
      <w:r w:rsidRPr="00C2109B">
        <w:rPr>
          <w:rFonts w:ascii="Times New Roman" w:hAnsi="Times New Roman" w:cs="Times New Roman"/>
          <w:sz w:val="24"/>
          <w:szCs w:val="24"/>
        </w:rPr>
        <w:t xml:space="preserve">11. pants. Valstu </w:t>
      </w:r>
      <w:r w:rsidRPr="00C2109B">
        <w:rPr>
          <w:rFonts w:ascii="Times New Roman" w:hAnsi="Times New Roman" w:cs="Times New Roman"/>
          <w:i/>
          <w:sz w:val="24"/>
          <w:szCs w:val="24"/>
        </w:rPr>
        <w:t>ESPON</w:t>
      </w:r>
      <w:r w:rsidRPr="00C2109B">
        <w:rPr>
          <w:rFonts w:ascii="Times New Roman" w:hAnsi="Times New Roman" w:cs="Times New Roman"/>
          <w:sz w:val="24"/>
          <w:szCs w:val="24"/>
        </w:rPr>
        <w:t xml:space="preserve"> kontaktpunktu tīkls</w:t>
      </w:r>
      <w:bookmarkEnd w:id="24"/>
      <w:bookmarkEnd w:id="25"/>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Vēlākais 3 mēnešus pēc paziņojuma par lēmumu, ar kuru apstiprina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visas dalībvalstis un partnervalstis, kas piedalās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izvirza </w:t>
      </w:r>
      <w:r w:rsidRPr="00C2109B">
        <w:rPr>
          <w:rFonts w:ascii="Times New Roman" w:hAnsi="Times New Roman" w:cs="Times New Roman"/>
          <w:i/>
          <w:sz w:val="24"/>
          <w:szCs w:val="24"/>
        </w:rPr>
        <w:t>ESPON</w:t>
      </w:r>
      <w:r w:rsidRPr="00C2109B">
        <w:rPr>
          <w:rFonts w:ascii="Times New Roman" w:hAnsi="Times New Roman" w:cs="Times New Roman"/>
          <w:sz w:val="24"/>
          <w:szCs w:val="24"/>
        </w:rPr>
        <w:t xml:space="preserve"> kontaktpunktus (turpmāk tekstā – </w:t>
      </w:r>
      <w:r w:rsidRPr="00C2109B">
        <w:rPr>
          <w:rFonts w:ascii="Times New Roman" w:hAnsi="Times New Roman" w:cs="Times New Roman"/>
          <w:sz w:val="24"/>
          <w:szCs w:val="24"/>
          <w:u w:val="single"/>
        </w:rPr>
        <w:t>EKP</w:t>
      </w:r>
      <w:r w:rsidRPr="00C2109B">
        <w:rPr>
          <w:rFonts w:ascii="Times New Roman" w:hAnsi="Times New Roman" w:cs="Times New Roman"/>
          <w:sz w:val="24"/>
          <w:szCs w:val="24"/>
        </w:rPr>
        <w:t xml:space="preserve">). Šie EKP kopā veido valstu </w:t>
      </w:r>
      <w:r w:rsidRPr="00C2109B">
        <w:rPr>
          <w:rFonts w:ascii="Times New Roman" w:hAnsi="Times New Roman" w:cs="Times New Roman"/>
          <w:i/>
          <w:sz w:val="24"/>
          <w:szCs w:val="24"/>
        </w:rPr>
        <w:t>ESPON</w:t>
      </w:r>
      <w:r w:rsidRPr="00C2109B">
        <w:rPr>
          <w:rFonts w:ascii="Times New Roman" w:hAnsi="Times New Roman" w:cs="Times New Roman"/>
          <w:sz w:val="24"/>
          <w:szCs w:val="24"/>
        </w:rPr>
        <w:t xml:space="preserve"> iestāžu kontaktpunktu tīklu. Saistībā ar izvirzīšanu dalībvalstis un partnervalstis atsevišķi definē </w:t>
      </w:r>
      <w:r w:rsidR="00752FD1" w:rsidRPr="00C2109B">
        <w:rPr>
          <w:rFonts w:ascii="Times New Roman" w:hAnsi="Times New Roman" w:cs="Times New Roman"/>
          <w:sz w:val="24"/>
          <w:szCs w:val="24"/>
        </w:rPr>
        <w:t>attiecības ar savas valsts EKP.</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EKP vispārīgā funkcija ir sadarbībā ar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mērķtiecīgi un saskaņoti atbalstīt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rezultātu izplatīšanu un teritoriālo pierādījumu izmantošanu dalībvalstīs un partnervalstīs, kurās tie izveidoti. Nolūkā uzlabot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izmantošanu</w:t>
      </w:r>
      <w:r w:rsidR="009A73D2" w:rsidRPr="00C2109B">
        <w:rPr>
          <w:rFonts w:ascii="Times New Roman" w:hAnsi="Times New Roman" w:cs="Times New Roman"/>
          <w:sz w:val="24"/>
          <w:szCs w:val="24"/>
        </w:rPr>
        <w:t>,</w:t>
      </w:r>
      <w:r w:rsidRPr="00C2109B">
        <w:rPr>
          <w:rFonts w:ascii="Times New Roman" w:hAnsi="Times New Roman" w:cs="Times New Roman"/>
          <w:sz w:val="24"/>
          <w:szCs w:val="24"/>
        </w:rPr>
        <w:t xml:space="preserve"> EKP īpašs uzdevums </w:t>
      </w:r>
      <w:r w:rsidR="00863111" w:rsidRPr="00C2109B">
        <w:rPr>
          <w:rFonts w:ascii="Times New Roman" w:hAnsi="Times New Roman" w:cs="Times New Roman"/>
          <w:sz w:val="24"/>
          <w:szCs w:val="24"/>
        </w:rPr>
        <w:t xml:space="preserve">ir dalībvalstīs un partnervalstīs, kurās tie izveidoti, </w:t>
      </w:r>
      <w:r w:rsidRPr="00C2109B">
        <w:rPr>
          <w:rFonts w:ascii="Times New Roman" w:hAnsi="Times New Roman" w:cs="Times New Roman"/>
          <w:sz w:val="24"/>
          <w:szCs w:val="24"/>
        </w:rPr>
        <w:t>veidot un uzturēt ciešas attiecības valsts un reģionālajā līmenī</w:t>
      </w:r>
      <w:r w:rsidR="00752FD1" w:rsidRPr="00C2109B">
        <w:rPr>
          <w:rFonts w:ascii="Times New Roman" w:hAnsi="Times New Roman" w:cs="Times New Roman"/>
          <w:sz w:val="24"/>
          <w:szCs w:val="24"/>
        </w:rPr>
        <w:t>.</w:t>
      </w:r>
    </w:p>
    <w:p w:rsidR="00E53CB1" w:rsidRPr="00C2109B" w:rsidRDefault="00E53CB1" w:rsidP="00E53CB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Papildus darbam savā attiecīgajā dalībvalstī/partnervalstī </w:t>
      </w:r>
      <w:r w:rsidRPr="00C2109B">
        <w:rPr>
          <w:rFonts w:ascii="Times New Roman" w:hAnsi="Times New Roman" w:cs="Times New Roman"/>
          <w:i/>
          <w:sz w:val="24"/>
          <w:szCs w:val="24"/>
        </w:rPr>
        <w:t>ESPON</w:t>
      </w:r>
      <w:r w:rsidRPr="00C2109B">
        <w:rPr>
          <w:rFonts w:ascii="Times New Roman" w:hAnsi="Times New Roman" w:cs="Times New Roman"/>
          <w:sz w:val="24"/>
          <w:szCs w:val="24"/>
        </w:rPr>
        <w:t xml:space="preserve"> iestāžu kontaktpunktu tīkla atsevišķie dalībnieki kopīgi strādā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interesēs. Šai nolūkā un lai nodrošinātu ciešu koordināciju ar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tehniskā palīdzība sedz </w:t>
      </w:r>
      <w:r w:rsidRPr="00C2109B">
        <w:rPr>
          <w:rFonts w:ascii="Times New Roman" w:hAnsi="Times New Roman" w:cs="Times New Roman"/>
          <w:i/>
          <w:sz w:val="24"/>
          <w:szCs w:val="24"/>
        </w:rPr>
        <w:t>ESPON</w:t>
      </w:r>
      <w:r w:rsidRPr="00C2109B">
        <w:rPr>
          <w:rFonts w:ascii="Times New Roman" w:hAnsi="Times New Roman" w:cs="Times New Roman"/>
          <w:sz w:val="24"/>
          <w:szCs w:val="24"/>
        </w:rPr>
        <w:t xml:space="preserve"> iestāžu kontaktpunktu tīkla divu sanāksmju organizēšanas izmaksas gadā, kā arī ceļa izdevumus </w:t>
      </w:r>
      <w:r w:rsidR="00E008EF" w:rsidRPr="00C2109B">
        <w:rPr>
          <w:rFonts w:ascii="Times New Roman" w:hAnsi="Times New Roman" w:cs="Times New Roman"/>
          <w:sz w:val="24"/>
          <w:szCs w:val="24"/>
        </w:rPr>
        <w:t xml:space="preserve">dalībai šajās sanāksmēs </w:t>
      </w:r>
      <w:r w:rsidRPr="00C2109B">
        <w:rPr>
          <w:rFonts w:ascii="Times New Roman" w:hAnsi="Times New Roman" w:cs="Times New Roman"/>
          <w:sz w:val="24"/>
          <w:szCs w:val="24"/>
        </w:rPr>
        <w:t xml:space="preserve">vienam EKP delegātam no katras </w:t>
      </w:r>
      <w:r w:rsidR="00752FD1" w:rsidRPr="00C2109B">
        <w:rPr>
          <w:rFonts w:ascii="Times New Roman" w:hAnsi="Times New Roman" w:cs="Times New Roman"/>
          <w:sz w:val="24"/>
          <w:szCs w:val="24"/>
        </w:rPr>
        <w:t>valsts.</w:t>
      </w:r>
    </w:p>
    <w:p w:rsidR="00EF2C93" w:rsidRPr="00C2109B" w:rsidRDefault="00C50925" w:rsidP="002F0DCB">
      <w:pPr>
        <w:pStyle w:val="Heading2"/>
        <w:rPr>
          <w:rFonts w:ascii="Times New Roman" w:hAnsi="Times New Roman" w:cs="Times New Roman"/>
          <w:sz w:val="24"/>
          <w:szCs w:val="24"/>
        </w:rPr>
      </w:pPr>
      <w:bookmarkStart w:id="26" w:name="_Toc423349154"/>
      <w:bookmarkStart w:id="27" w:name="_Toc427826199"/>
      <w:r w:rsidRPr="00C2109B">
        <w:rPr>
          <w:rFonts w:ascii="Times New Roman" w:hAnsi="Times New Roman" w:cs="Times New Roman"/>
          <w:sz w:val="24"/>
          <w:szCs w:val="24"/>
        </w:rPr>
        <w:t>3. DAĻA. VADĪBAS UN KONTROLES PROCEDŪRAS</w:t>
      </w:r>
      <w:bookmarkEnd w:id="26"/>
      <w:bookmarkEnd w:id="27"/>
    </w:p>
    <w:p w:rsidR="00927EB6" w:rsidRPr="00C2109B" w:rsidRDefault="00927EB6" w:rsidP="00927EB6">
      <w:pPr>
        <w:pStyle w:val="Heading3"/>
        <w:rPr>
          <w:rFonts w:ascii="Times New Roman" w:hAnsi="Times New Roman" w:cs="Times New Roman"/>
          <w:sz w:val="24"/>
          <w:szCs w:val="24"/>
        </w:rPr>
      </w:pPr>
      <w:bookmarkStart w:id="28" w:name="_Toc423349155"/>
      <w:bookmarkStart w:id="29" w:name="_Toc427826200"/>
      <w:r w:rsidRPr="00C2109B">
        <w:rPr>
          <w:rFonts w:ascii="Times New Roman" w:hAnsi="Times New Roman" w:cs="Times New Roman"/>
          <w:sz w:val="24"/>
          <w:szCs w:val="24"/>
        </w:rPr>
        <w:t>12. pants. Uzraudzības un grāmatvedības uzskaites elektronisko sistēmu izveide un darbība</w:t>
      </w:r>
      <w:bookmarkEnd w:id="28"/>
      <w:bookmarkEnd w:id="29"/>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Saskaņā ar KNR 125. panta 2. punkta d) un e) apakšpunktu vadošā iestāde izveido uzraudzības sistēmu,</w:t>
      </w:r>
      <w:r w:rsidR="00597732" w:rsidRPr="00C2109B">
        <w:rPr>
          <w:rFonts w:ascii="Times New Roman" w:hAnsi="Times New Roman" w:cs="Times New Roman"/>
          <w:sz w:val="24"/>
          <w:szCs w:val="24"/>
        </w:rPr>
        <w:t xml:space="preserve"> </w:t>
      </w:r>
      <w:r w:rsidRPr="00C2109B">
        <w:rPr>
          <w:rFonts w:ascii="Times New Roman" w:hAnsi="Times New Roman" w:cs="Times New Roman"/>
          <w:sz w:val="24"/>
          <w:szCs w:val="24"/>
        </w:rPr>
        <w:t xml:space="preserve">lai datorizētā veidā ierakstītu un glabātu datus par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ienīgo darbību, kas vajadzīgi uzraudzībai, novērtēšanai, finanšu pārvaldībai, pārbaudei un revīzijai. Datorizētā informācijas sistēma jāizveido vēlākais līdz 2015. gada 31. decembrim. Saskaņā ar KNR 125. panta 2. punkta e) apakšpunktu un 125. panta 8. punktu vadošā iestāde pēc tam vāc, ievada un glabā datus šajā uzraudzības sistēmā, kas atbilst Eiropas Komisijas deleģētajos un īstenošanas aktos noteiktajām prasībām un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007F17CB" w:rsidRPr="00C2109B">
        <w:rPr>
          <w:rFonts w:ascii="Times New Roman" w:hAnsi="Times New Roman" w:cs="Times New Roman"/>
          <w:sz w:val="24"/>
          <w:szCs w:val="24"/>
        </w:rPr>
        <w:t xml:space="preserve"> </w:t>
      </w:r>
      <w:r w:rsidRPr="00C2109B">
        <w:rPr>
          <w:rFonts w:ascii="Times New Roman" w:hAnsi="Times New Roman" w:cs="Times New Roman"/>
          <w:sz w:val="24"/>
          <w:szCs w:val="24"/>
        </w:rPr>
        <w:t>sa</w:t>
      </w:r>
      <w:r w:rsidR="00597732" w:rsidRPr="00C2109B">
        <w:rPr>
          <w:rFonts w:ascii="Times New Roman" w:hAnsi="Times New Roman" w:cs="Times New Roman"/>
          <w:sz w:val="24"/>
          <w:szCs w:val="24"/>
        </w:rPr>
        <w:t>darbības programmas specifikai.</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Saskaņā ar KNR 126.d pantu sertifikācijas iestāde nodrošina, ka tiek izveidota grāmatvedības uzskaites sistēma, kas datorizētā formā ieraksta un glabā grāmatvedības uzskaiti par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ienīgo darbību. Grāmatvedības uzskaites sistēma atbalsts visus datus, kas vajadzīgi maksājumu pieteikumu un pārskatu sagatavošanai, tostarp uzskaiti par atgūstamajām summām, atgūtajām summām un summām, kas atsauktas pēc tam, kad pilnībā </w:t>
      </w:r>
      <w:r w:rsidRPr="00C2109B">
        <w:rPr>
          <w:rFonts w:ascii="Times New Roman" w:hAnsi="Times New Roman" w:cs="Times New Roman"/>
          <w:sz w:val="24"/>
          <w:szCs w:val="24"/>
        </w:rPr>
        <w:lastRenderedPageBreak/>
        <w:t xml:space="preserve">vai daļēji atcelts ieguldījums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ienīgajai darbībai vai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programmai. Grāmatvedības uzskaites sistēmai jāsāk darboties vēlākais [datums], un tā jāizmanto par pamatu, apstiprinot izdevumus Komisijai.</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Vadošā iestāde un sertifikācijas iestāde nodrošina, ka tiek izveidota saikne starp uzraudzības un grāmatvedības uzskaites elektroniskajām sistēmām, kas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 un vadošajai iestādei, sertifikācijas iestādei un revīzijas iestādei ļauj apmainīties ar visu informāciju, ko veic datu elektroniskas apmaiņas ceļā.</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Lai nodrošinātu atbilstību KNR 74</w:t>
      </w:r>
      <w:r w:rsidR="007F17CB" w:rsidRPr="00C2109B">
        <w:rPr>
          <w:rFonts w:ascii="Times New Roman" w:hAnsi="Times New Roman" w:cs="Times New Roman"/>
          <w:sz w:val="24"/>
          <w:szCs w:val="24"/>
        </w:rPr>
        <w:t>.</w:t>
      </w:r>
      <w:r w:rsidRPr="00C2109B">
        <w:rPr>
          <w:rFonts w:ascii="Times New Roman" w:hAnsi="Times New Roman" w:cs="Times New Roman"/>
          <w:sz w:val="24"/>
          <w:szCs w:val="24"/>
        </w:rPr>
        <w:t xml:space="preserve"> panta 4. punkta prasībām, visu oficiālo informācijas apmaiņu ar Komisiju par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w:t>
      </w:r>
      <w:r w:rsidR="007A093C" w:rsidRPr="00C2109B">
        <w:rPr>
          <w:rFonts w:ascii="Times New Roman" w:hAnsi="Times New Roman" w:cs="Times New Roman"/>
          <w:sz w:val="24"/>
          <w:szCs w:val="24"/>
        </w:rPr>
        <w:t xml:space="preserve"> Luksemburgas Lielhercogiste veic</w:t>
      </w:r>
      <w:r w:rsidRPr="00C2109B">
        <w:rPr>
          <w:rFonts w:ascii="Times New Roman" w:hAnsi="Times New Roman" w:cs="Times New Roman"/>
          <w:sz w:val="24"/>
          <w:szCs w:val="24"/>
        </w:rPr>
        <w:t>, izmantojot datu elektroniskās apmaiņas sistēmu, un Komisija pieņem īstenošanas aktus, kas paredz noteikumus, kuriem jāatbilst minētajai datu e</w:t>
      </w:r>
      <w:r w:rsidR="00597732" w:rsidRPr="00C2109B">
        <w:rPr>
          <w:rFonts w:ascii="Times New Roman" w:hAnsi="Times New Roman" w:cs="Times New Roman"/>
          <w:sz w:val="24"/>
          <w:szCs w:val="24"/>
        </w:rPr>
        <w:t>lektroniskās apmaiņas sistēmai.</w:t>
      </w:r>
    </w:p>
    <w:p w:rsidR="00927EB6" w:rsidRPr="00C2109B" w:rsidRDefault="00927EB6" w:rsidP="00927EB6">
      <w:pPr>
        <w:pStyle w:val="Heading3"/>
        <w:rPr>
          <w:rFonts w:ascii="Times New Roman" w:hAnsi="Times New Roman" w:cs="Times New Roman"/>
          <w:sz w:val="24"/>
          <w:szCs w:val="24"/>
        </w:rPr>
      </w:pPr>
      <w:bookmarkStart w:id="30" w:name="_Toc423349156"/>
      <w:bookmarkStart w:id="31" w:name="_Toc427826201"/>
      <w:r w:rsidRPr="00C2109B">
        <w:rPr>
          <w:rFonts w:ascii="Times New Roman" w:hAnsi="Times New Roman" w:cs="Times New Roman"/>
          <w:sz w:val="24"/>
          <w:szCs w:val="24"/>
        </w:rPr>
        <w:t>13. pants. Gada un nobeiguma īstenošanas ziņojumi</w:t>
      </w:r>
      <w:bookmarkEnd w:id="30"/>
      <w:bookmarkEnd w:id="31"/>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Saskaņā ar ETS regulas 14. pantu un KNR 50. pantu vadošā iestāde sagatavo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gada un nobeiguma īstenošanas ziņojumus un paredzētajā termiņā tos iesniedz Eiropas Komisijai. Dalībvalstis un partnervalstis, sertifikācijas iestāde un revīzijas iestāde pēc vajadzības sniedz visu nepieciešamo palīdzību un informāciju, lai nodrošinātu iespēju vadošajai iestādei pilnībā izpildīt tās ziņošanas pienākumus.</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Vismaz reiz gadā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zraudzības komitejas sanāksmē vadošā iestāde sniedz sīku informāciju dalībvalstīm un partnervalstīm par gada īstenošanas ziņojumu. Pirms iesniegšanas Eiropas Komisijai gada īstenošanas ziņojumus a</w:t>
      </w:r>
      <w:r w:rsidR="00597732" w:rsidRPr="00C2109B">
        <w:rPr>
          <w:rFonts w:ascii="Times New Roman" w:hAnsi="Times New Roman" w:cs="Times New Roman"/>
          <w:sz w:val="24"/>
          <w:szCs w:val="24"/>
        </w:rPr>
        <w:t xml:space="preserve">pstiprina </w:t>
      </w:r>
      <w:r w:rsidR="00E50E45" w:rsidRPr="00C2109B">
        <w:rPr>
          <w:rFonts w:ascii="Times New Roman" w:hAnsi="Times New Roman" w:cs="Times New Roman"/>
          <w:sz w:val="24"/>
          <w:szCs w:val="24"/>
        </w:rPr>
        <w:t>U</w:t>
      </w:r>
      <w:r w:rsidR="00597732" w:rsidRPr="00C2109B">
        <w:rPr>
          <w:rFonts w:ascii="Times New Roman" w:hAnsi="Times New Roman" w:cs="Times New Roman"/>
          <w:sz w:val="24"/>
          <w:szCs w:val="24"/>
        </w:rPr>
        <w:t>zraudzības komiteja.</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Katru gadu, kad tiek iesniegts gada īstenošanas ziņojums, Eiropas Komisija un vadošā iestāde izvērtē progresu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īstenošanā. Pēc šīs izvērtēšanas Eiropas Komisija var rakstveidā formulēt piezīmes vadošajai iestādei, kura pēc tam par Komisijas piezīmēm informē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komiteju. Vadošā iestāde, saskaņojot ar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zraudzības komiteju, informē Eiropas Komisiju par pasākumiem, kas ve</w:t>
      </w:r>
      <w:r w:rsidR="00597732" w:rsidRPr="00C2109B">
        <w:rPr>
          <w:rFonts w:ascii="Times New Roman" w:hAnsi="Times New Roman" w:cs="Times New Roman"/>
          <w:sz w:val="24"/>
          <w:szCs w:val="24"/>
        </w:rPr>
        <w:t>ikti, reaģējot uz tās piezīmēm.</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Vadošā iestāde, pamatojoties uz gada īstenošanas ziņojumos izdarītajiem konstatējumiem, uzrauga un seko līdzi programmā un</w:t>
      </w:r>
      <w:r w:rsidR="00597732" w:rsidRPr="00C2109B">
        <w:rPr>
          <w:rFonts w:ascii="Times New Roman" w:hAnsi="Times New Roman" w:cs="Times New Roman"/>
          <w:sz w:val="24"/>
          <w:szCs w:val="24"/>
        </w:rPr>
        <w:t xml:space="preserve"> </w:t>
      </w:r>
      <w:r w:rsidR="00CB7B8A" w:rsidRPr="00C2109B">
        <w:rPr>
          <w:rFonts w:ascii="Times New Roman" w:hAnsi="Times New Roman" w:cs="Times New Roman"/>
          <w:sz w:val="24"/>
          <w:szCs w:val="24"/>
        </w:rPr>
        <w:t>V</w:t>
      </w:r>
      <w:r w:rsidR="00597732" w:rsidRPr="00C2109B">
        <w:rPr>
          <w:rFonts w:ascii="Times New Roman" w:hAnsi="Times New Roman" w:cs="Times New Roman"/>
          <w:sz w:val="24"/>
          <w:szCs w:val="24"/>
        </w:rPr>
        <w:t>ienīgajā darbībā paveiktajam.</w:t>
      </w:r>
    </w:p>
    <w:p w:rsidR="00FA6E03" w:rsidRPr="00C2109B" w:rsidRDefault="00927EB6" w:rsidP="002F0DCB">
      <w:pPr>
        <w:pStyle w:val="Heading3"/>
        <w:rPr>
          <w:rFonts w:ascii="Times New Roman" w:hAnsi="Times New Roman" w:cs="Times New Roman"/>
          <w:sz w:val="24"/>
          <w:szCs w:val="24"/>
        </w:rPr>
      </w:pPr>
      <w:bookmarkStart w:id="32" w:name="_Toc423349157"/>
      <w:bookmarkStart w:id="33" w:name="_Toc427826202"/>
      <w:r w:rsidRPr="00C2109B">
        <w:rPr>
          <w:rFonts w:ascii="Times New Roman" w:hAnsi="Times New Roman" w:cs="Times New Roman"/>
          <w:sz w:val="24"/>
          <w:szCs w:val="24"/>
        </w:rPr>
        <w:t xml:space="preserve">14. pants.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piešķiršanas kārtība </w:t>
      </w:r>
      <w:r w:rsidR="00E50E45" w:rsidRPr="00C2109B">
        <w:rPr>
          <w:rFonts w:ascii="Times New Roman" w:hAnsi="Times New Roman" w:cs="Times New Roman"/>
          <w:sz w:val="24"/>
          <w:szCs w:val="24"/>
        </w:rPr>
        <w:t>V</w:t>
      </w:r>
      <w:r w:rsidRPr="00C2109B">
        <w:rPr>
          <w:rFonts w:ascii="Times New Roman" w:hAnsi="Times New Roman" w:cs="Times New Roman"/>
          <w:sz w:val="24"/>
          <w:szCs w:val="24"/>
        </w:rPr>
        <w:t>ienīgajai darbībai</w:t>
      </w:r>
      <w:bookmarkEnd w:id="32"/>
      <w:bookmarkEnd w:id="33"/>
      <w:r w:rsidRPr="00C2109B">
        <w:rPr>
          <w:rFonts w:ascii="Times New Roman" w:hAnsi="Times New Roman" w:cs="Times New Roman"/>
          <w:sz w:val="24"/>
          <w:szCs w:val="24"/>
        </w:rPr>
        <w:t xml:space="preserve"> </w:t>
      </w:r>
    </w:p>
    <w:p w:rsidR="009D73E6" w:rsidRPr="00C2109B" w:rsidRDefault="009D73E6" w:rsidP="00FA6E0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Pēc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apstiprināšanas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 </w:t>
      </w:r>
      <w:r w:rsidR="00684F1B" w:rsidRPr="00C2109B">
        <w:rPr>
          <w:rFonts w:ascii="Times New Roman" w:hAnsi="Times New Roman" w:cs="Times New Roman"/>
          <w:sz w:val="24"/>
          <w:szCs w:val="24"/>
        </w:rPr>
        <w:t>D</w:t>
      </w:r>
      <w:r w:rsidRPr="00C2109B">
        <w:rPr>
          <w:rFonts w:ascii="Times New Roman" w:hAnsi="Times New Roman" w:cs="Times New Roman"/>
          <w:sz w:val="24"/>
          <w:szCs w:val="24"/>
        </w:rPr>
        <w:t xml:space="preserve">arbības īstenošanas </w:t>
      </w:r>
      <w:r w:rsidR="00684F1B" w:rsidRPr="00C2109B">
        <w:rPr>
          <w:rFonts w:ascii="Times New Roman" w:hAnsi="Times New Roman" w:cs="Times New Roman"/>
          <w:sz w:val="24"/>
          <w:szCs w:val="24"/>
        </w:rPr>
        <w:t xml:space="preserve">vadlīnijās </w:t>
      </w:r>
      <w:r w:rsidRPr="00C2109B">
        <w:rPr>
          <w:rFonts w:ascii="Times New Roman" w:hAnsi="Times New Roman" w:cs="Times New Roman"/>
          <w:sz w:val="24"/>
          <w:szCs w:val="24"/>
        </w:rPr>
        <w:t xml:space="preserve">sīkāk </w:t>
      </w:r>
      <w:r w:rsidR="00DF67B0" w:rsidRPr="00C2109B">
        <w:rPr>
          <w:rFonts w:ascii="Times New Roman" w:hAnsi="Times New Roman" w:cs="Times New Roman"/>
          <w:sz w:val="24"/>
          <w:szCs w:val="24"/>
        </w:rPr>
        <w:t xml:space="preserve">precizē </w:t>
      </w:r>
      <w:r w:rsidRPr="00C2109B">
        <w:rPr>
          <w:rFonts w:ascii="Times New Roman" w:hAnsi="Times New Roman" w:cs="Times New Roman"/>
          <w:sz w:val="24"/>
          <w:szCs w:val="24"/>
        </w:rPr>
        <w:t xml:space="preserve">pieteikumu iesniegšanas kārtības noteikumus un nosaka darbības specifikācijas un obligātos kritērijus, kas ir saistoši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 izstrādājot darbības priekšlikumu, tostarp daudzgadu darbības programmu un pirmo gada darba plānu. Vienīgo atbalsta saņēmēju uzaicinās noteiktā laikā s</w:t>
      </w:r>
      <w:r w:rsidR="00597732" w:rsidRPr="00C2109B">
        <w:rPr>
          <w:rFonts w:ascii="Times New Roman" w:hAnsi="Times New Roman" w:cs="Times New Roman"/>
          <w:sz w:val="24"/>
          <w:szCs w:val="24"/>
        </w:rPr>
        <w:t>agatavot darbības priekšlikumu.</w:t>
      </w:r>
    </w:p>
    <w:p w:rsidR="00D86073" w:rsidRPr="00C2109B" w:rsidRDefault="009D73E6" w:rsidP="00413A5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Ar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 atbalsta saņēmēja iesniegtajiem darbības priekšlikumiem iepazīstina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dalībniekus. Ja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 nolemj izveidot vērtēšanas komiteju, kurā darbojas ierobežots skaits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dalībnieku, tiem var tikt atlīdzināti ceļa izdevumi. Vadošā iestāde atbalsta šo procesu, organizējot vērtēšanas procedūru, kas pamatota ar atbilstības un kvalitātes kritērijiem, ko apstiprinājusi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w:t>
      </w:r>
      <w:r w:rsidRPr="00C2109B">
        <w:rPr>
          <w:rFonts w:ascii="Times New Roman" w:hAnsi="Times New Roman" w:cs="Times New Roman"/>
          <w:sz w:val="24"/>
          <w:szCs w:val="24"/>
        </w:rPr>
        <w:lastRenderedPageBreak/>
        <w:t xml:space="preserve">komiteja, un saskaņā ar </w:t>
      </w:r>
      <w:r w:rsidR="002938D0" w:rsidRPr="00C2109B">
        <w:rPr>
          <w:rFonts w:ascii="Times New Roman" w:hAnsi="Times New Roman" w:cs="Times New Roman"/>
          <w:sz w:val="24"/>
          <w:szCs w:val="24"/>
        </w:rPr>
        <w:t xml:space="preserve">vērtēšanas komitejas sniegto </w:t>
      </w:r>
      <w:r w:rsidRPr="00C2109B">
        <w:rPr>
          <w:rFonts w:ascii="Times New Roman" w:hAnsi="Times New Roman" w:cs="Times New Roman"/>
          <w:sz w:val="24"/>
          <w:szCs w:val="24"/>
        </w:rPr>
        <w:t xml:space="preserve">novērtējumu sagatavo darbības priekšlikumus, par kuriem lemj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 Atkarībā no vērtējuma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zraudzības komiteja var lemt par priekšlikuma noraidīšanu, apspriešanu vai pieņemšanu, sniedzot ieteikumus uzla</w:t>
      </w:r>
      <w:r w:rsidR="00597732" w:rsidRPr="00C2109B">
        <w:rPr>
          <w:rFonts w:ascii="Times New Roman" w:hAnsi="Times New Roman" w:cs="Times New Roman"/>
          <w:sz w:val="24"/>
          <w:szCs w:val="24"/>
        </w:rPr>
        <w:t>bojumiem.</w:t>
      </w:r>
    </w:p>
    <w:p w:rsidR="00FA6E03" w:rsidRPr="00C2109B" w:rsidRDefault="009D73E6" w:rsidP="00FA6E0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r>
      <w:r w:rsidR="007B120A" w:rsidRPr="00C2109B">
        <w:rPr>
          <w:rFonts w:ascii="Times New Roman" w:hAnsi="Times New Roman" w:cs="Times New Roman"/>
          <w:sz w:val="24"/>
          <w:szCs w:val="24"/>
        </w:rPr>
        <w:t xml:space="preserve">Uzraudzības komitejas apstiprināto </w:t>
      </w:r>
      <w:r w:rsidR="009A73D2" w:rsidRPr="00C2109B">
        <w:rPr>
          <w:rFonts w:ascii="Times New Roman" w:hAnsi="Times New Roman" w:cs="Times New Roman"/>
          <w:sz w:val="24"/>
          <w:szCs w:val="24"/>
        </w:rPr>
        <w:t xml:space="preserve">granta </w:t>
      </w:r>
      <w:r w:rsidR="007B120A" w:rsidRPr="00C2109B">
        <w:rPr>
          <w:rFonts w:ascii="Times New Roman" w:hAnsi="Times New Roman" w:cs="Times New Roman"/>
          <w:sz w:val="24"/>
          <w:szCs w:val="24"/>
        </w:rPr>
        <w:t>līgumu v</w:t>
      </w:r>
      <w:r w:rsidRPr="00C2109B">
        <w:rPr>
          <w:rFonts w:ascii="Times New Roman" w:hAnsi="Times New Roman" w:cs="Times New Roman"/>
          <w:sz w:val="24"/>
          <w:szCs w:val="24"/>
        </w:rPr>
        <w:t xml:space="preserve">adošā iestāde piedāvā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Tā sīki apraksta abu pušu tiesības un pienākumus un ziņojumu sniegšanas grafiku un prasības. Darbības priekšlikums, tostarp daudzgadu darbības programma, gada darba plāns 2015. gadam, darbības specifikācija, </w:t>
      </w:r>
      <w:r w:rsidR="00DF67B0" w:rsidRPr="00C2109B">
        <w:rPr>
          <w:rFonts w:ascii="Times New Roman" w:hAnsi="Times New Roman" w:cs="Times New Roman"/>
          <w:sz w:val="24"/>
          <w:szCs w:val="24"/>
        </w:rPr>
        <w:t>D</w:t>
      </w:r>
      <w:r w:rsidRPr="00C2109B">
        <w:rPr>
          <w:rFonts w:ascii="Times New Roman" w:hAnsi="Times New Roman" w:cs="Times New Roman"/>
          <w:sz w:val="24"/>
          <w:szCs w:val="24"/>
        </w:rPr>
        <w:t xml:space="preserve">arbības īstenošanas </w:t>
      </w:r>
      <w:r w:rsidR="00DF67B0" w:rsidRPr="00C2109B">
        <w:rPr>
          <w:rFonts w:ascii="Times New Roman" w:hAnsi="Times New Roman" w:cs="Times New Roman"/>
          <w:sz w:val="24"/>
          <w:szCs w:val="24"/>
        </w:rPr>
        <w:t xml:space="preserve">vadlīnijas </w:t>
      </w:r>
      <w:r w:rsidRPr="00C2109B">
        <w:rPr>
          <w:rFonts w:ascii="Times New Roman" w:hAnsi="Times New Roman" w:cs="Times New Roman"/>
          <w:sz w:val="24"/>
          <w:szCs w:val="24"/>
        </w:rPr>
        <w:t xml:space="preserve">un </w:t>
      </w:r>
      <w:r w:rsidR="000F4C1E" w:rsidRPr="00C2109B">
        <w:rPr>
          <w:rFonts w:ascii="Times New Roman" w:hAnsi="Times New Roman" w:cs="Times New Roman"/>
          <w:sz w:val="24"/>
          <w:szCs w:val="24"/>
        </w:rPr>
        <w:t xml:space="preserve">riska </w:t>
      </w:r>
      <w:r w:rsidRPr="00C2109B">
        <w:rPr>
          <w:rFonts w:ascii="Times New Roman" w:hAnsi="Times New Roman" w:cs="Times New Roman"/>
          <w:sz w:val="24"/>
          <w:szCs w:val="24"/>
        </w:rPr>
        <w:t xml:space="preserve">atbildības mehānisma atsauces dokuments, kļūst par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līguma neatņemamu sastāvdaļu. Pirmo gada darba plānu un darbības īstenošanas pamatn</w:t>
      </w:r>
      <w:r w:rsidR="00597732" w:rsidRPr="00C2109B">
        <w:rPr>
          <w:rFonts w:ascii="Times New Roman" w:hAnsi="Times New Roman" w:cs="Times New Roman"/>
          <w:sz w:val="24"/>
          <w:szCs w:val="24"/>
        </w:rPr>
        <w:t>ostādnes uzskata par pielikumu.</w:t>
      </w:r>
    </w:p>
    <w:p w:rsidR="00FA6E03" w:rsidRPr="00C2109B" w:rsidRDefault="009D73E6" w:rsidP="003D590F">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 xml:space="preserve">Turpmākajos gados, pamatojoties uz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lēmumu par gada darba plāna obligātajām prasībām,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ienīgais atbalsta saņēmējs sagatavo gada darba plāna priekšlikumu un ar vadošās iestādes starpniecību iesniedz to novērtēšanai, apspriešanai un apstiprināšanai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w:t>
      </w:r>
      <w:r w:rsidR="00993774" w:rsidRPr="00C2109B">
        <w:rPr>
          <w:rFonts w:ascii="Times New Roman" w:hAnsi="Times New Roman" w:cs="Times New Roman"/>
          <w:sz w:val="24"/>
          <w:szCs w:val="24"/>
        </w:rPr>
        <w:t>komitej</w:t>
      </w:r>
      <w:r w:rsidRPr="00C2109B">
        <w:rPr>
          <w:rFonts w:ascii="Times New Roman" w:hAnsi="Times New Roman" w:cs="Times New Roman"/>
          <w:sz w:val="24"/>
          <w:szCs w:val="24"/>
        </w:rPr>
        <w:t xml:space="preserve">ā. Šajā procesā var izstrādāt ieteikumus uzlabojumiem gada darba programmā, pirms to pievieno </w:t>
      </w:r>
      <w:r w:rsidR="00597732" w:rsidRPr="00C2109B">
        <w:rPr>
          <w:rFonts w:ascii="Times New Roman" w:hAnsi="Times New Roman" w:cs="Times New Roman"/>
          <w:sz w:val="24"/>
          <w:szCs w:val="24"/>
        </w:rPr>
        <w:t xml:space="preserve">kā pielikumu </w:t>
      </w:r>
      <w:r w:rsidR="009A73D2" w:rsidRPr="00C2109B">
        <w:rPr>
          <w:rFonts w:ascii="Times New Roman" w:hAnsi="Times New Roman" w:cs="Times New Roman"/>
          <w:sz w:val="24"/>
          <w:szCs w:val="24"/>
        </w:rPr>
        <w:t xml:space="preserve">granta </w:t>
      </w:r>
      <w:r w:rsidR="00597732" w:rsidRPr="00C2109B">
        <w:rPr>
          <w:rFonts w:ascii="Times New Roman" w:hAnsi="Times New Roman" w:cs="Times New Roman"/>
          <w:sz w:val="24"/>
          <w:szCs w:val="24"/>
        </w:rPr>
        <w:t>līgumam.</w:t>
      </w:r>
    </w:p>
    <w:p w:rsidR="002C1F47" w:rsidRPr="00C2109B" w:rsidRDefault="002C1F47" w:rsidP="002C1F47">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5)</w:t>
      </w:r>
      <w:r w:rsidRPr="00C2109B">
        <w:rPr>
          <w:rFonts w:ascii="Times New Roman" w:hAnsi="Times New Roman" w:cs="Times New Roman"/>
          <w:sz w:val="24"/>
          <w:szCs w:val="24"/>
        </w:rPr>
        <w:tab/>
        <w:t xml:space="preserve">Uzraudzības komiteja var lūgt vadošo iestādi izmantot tiesības izbeigt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līgumu, ja ar </w:t>
      </w:r>
      <w:r w:rsidR="0087279A" w:rsidRPr="00C2109B">
        <w:rPr>
          <w:rFonts w:ascii="Times New Roman" w:hAnsi="Times New Roman" w:cs="Times New Roman"/>
          <w:sz w:val="24"/>
          <w:szCs w:val="24"/>
        </w:rPr>
        <w:t>V</w:t>
      </w:r>
      <w:r w:rsidRPr="00C2109B">
        <w:rPr>
          <w:rFonts w:ascii="Times New Roman" w:hAnsi="Times New Roman" w:cs="Times New Roman"/>
          <w:sz w:val="24"/>
          <w:szCs w:val="24"/>
        </w:rPr>
        <w:t>ienīgo darbību nopietni pārkāpj tā noteikumus.</w:t>
      </w:r>
    </w:p>
    <w:p w:rsidR="00927EB6" w:rsidRPr="00C2109B" w:rsidRDefault="00927EB6" w:rsidP="00927EB6">
      <w:pPr>
        <w:pStyle w:val="Heading3"/>
        <w:rPr>
          <w:rFonts w:ascii="Times New Roman" w:hAnsi="Times New Roman" w:cs="Times New Roman"/>
          <w:sz w:val="24"/>
          <w:szCs w:val="24"/>
        </w:rPr>
      </w:pPr>
      <w:bookmarkStart w:id="34" w:name="_Toc423349158"/>
      <w:bookmarkStart w:id="35" w:name="_Toc427826203"/>
      <w:r w:rsidRPr="00C2109B">
        <w:rPr>
          <w:rFonts w:ascii="Times New Roman" w:hAnsi="Times New Roman" w:cs="Times New Roman"/>
          <w:sz w:val="24"/>
          <w:szCs w:val="24"/>
        </w:rPr>
        <w:t>15. pants. Vienīgās darbības uzraudzība</w:t>
      </w:r>
      <w:bookmarkEnd w:id="34"/>
      <w:bookmarkEnd w:id="35"/>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Vadošā iestāde izmanto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zraudzības komitejas apstiprināt</w:t>
      </w:r>
      <w:r w:rsidR="004477E5" w:rsidRPr="00C2109B">
        <w:rPr>
          <w:rFonts w:ascii="Times New Roman" w:hAnsi="Times New Roman" w:cs="Times New Roman"/>
          <w:sz w:val="24"/>
          <w:szCs w:val="24"/>
        </w:rPr>
        <w:t>u</w:t>
      </w:r>
      <w:r w:rsidRPr="00C2109B">
        <w:rPr>
          <w:rFonts w:ascii="Times New Roman" w:hAnsi="Times New Roman" w:cs="Times New Roman"/>
          <w:sz w:val="24"/>
          <w:szCs w:val="24"/>
        </w:rPr>
        <w:t xml:space="preserve">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līguma veidlapu un sīkāk nosaka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 atbalsta saņēmēja pienākumus un atbildību.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līgumu paraksta vadošā iestāde </w:t>
      </w:r>
      <w:r w:rsidR="00597732" w:rsidRPr="00C2109B">
        <w:rPr>
          <w:rFonts w:ascii="Times New Roman" w:hAnsi="Times New Roman" w:cs="Times New Roman"/>
          <w:sz w:val="24"/>
          <w:szCs w:val="24"/>
        </w:rPr>
        <w:t xml:space="preserve">un </w:t>
      </w:r>
      <w:r w:rsidR="00B56E18" w:rsidRPr="00C2109B">
        <w:rPr>
          <w:rFonts w:ascii="Times New Roman" w:hAnsi="Times New Roman" w:cs="Times New Roman"/>
          <w:sz w:val="24"/>
          <w:szCs w:val="24"/>
        </w:rPr>
        <w:t>V</w:t>
      </w:r>
      <w:r w:rsidR="00597732" w:rsidRPr="00C2109B">
        <w:rPr>
          <w:rFonts w:ascii="Times New Roman" w:hAnsi="Times New Roman" w:cs="Times New Roman"/>
          <w:sz w:val="24"/>
          <w:szCs w:val="24"/>
        </w:rPr>
        <w:t>ienīgais atbalsta saņēmējs.</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Uzraudzības iestāde veic papildu pārbaudes attiecībā uz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 atbalsta saņēmēja administratīvajām, finanšu un tehniskajām iespējām. Šo informāciju kopā ar dokumentiem, ko sagatavo darbības apstiprināšanai, iesniedz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zraudzības komitejai pirms ga</w:t>
      </w:r>
      <w:r w:rsidR="00597732" w:rsidRPr="00C2109B">
        <w:rPr>
          <w:rFonts w:ascii="Times New Roman" w:hAnsi="Times New Roman" w:cs="Times New Roman"/>
          <w:sz w:val="24"/>
          <w:szCs w:val="24"/>
        </w:rPr>
        <w:t>da darba plānu apstiprināšanas.</w:t>
      </w:r>
    </w:p>
    <w:p w:rsidR="00927EB6" w:rsidRPr="00C2109B" w:rsidRDefault="00927EB6"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Vadošā iestāde nodrošina, ka saskaņā ar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līgumu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ienīgais atbalsta saņēmējs apzinās savu pienākumu:</w:t>
      </w:r>
    </w:p>
    <w:p w:rsidR="00927EB6" w:rsidRPr="00C2109B" w:rsidRDefault="00927EB6" w:rsidP="00927EB6">
      <w:pPr>
        <w:pStyle w:val="NoSpacing"/>
        <w:numPr>
          <w:ilvl w:val="0"/>
          <w:numId w:val="17"/>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pieņemt attiecīgo iestāžu (vadošās iestādes, Luksemburgas valsts iestāžu, sertifikācijas iestādes, revīzijas iestādes, Komisijas dienestu un Eiropas Revīzijas palātas) kontroles pasākumus, nodrošināt piekļuvi tā telpām, piekļuvi visai informācijai un dokumentiem, kas vajadzīgi atbilstīgu revīzijas liecību nodrošināšanai saskaņā ar KNR 125. panta 4. punkta d) apakšpunktu;</w:t>
      </w:r>
    </w:p>
    <w:p w:rsidR="00927EB6" w:rsidRPr="00C2109B" w:rsidRDefault="00927EB6" w:rsidP="00927EB6">
      <w:pPr>
        <w:pStyle w:val="NoSpacing"/>
        <w:numPr>
          <w:ilvl w:val="0"/>
          <w:numId w:val="17"/>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ievērot publiskā iepirkuma, informācijas un publicitātes, </w:t>
      </w:r>
      <w:r w:rsidR="007436D7" w:rsidRPr="00C2109B">
        <w:rPr>
          <w:rFonts w:ascii="Times New Roman" w:hAnsi="Times New Roman" w:cs="Times New Roman"/>
          <w:sz w:val="24"/>
          <w:szCs w:val="24"/>
        </w:rPr>
        <w:t xml:space="preserve">vides </w:t>
      </w:r>
      <w:r w:rsidRPr="00C2109B">
        <w:rPr>
          <w:rFonts w:ascii="Times New Roman" w:hAnsi="Times New Roman" w:cs="Times New Roman"/>
          <w:sz w:val="24"/>
          <w:szCs w:val="24"/>
        </w:rPr>
        <w:t>aizsardzības un iespēju vienlīdzības noteikumus;</w:t>
      </w:r>
    </w:p>
    <w:p w:rsidR="00927EB6" w:rsidRPr="00C2109B" w:rsidRDefault="00927EB6" w:rsidP="00927EB6">
      <w:pPr>
        <w:pStyle w:val="NoSpacing"/>
        <w:numPr>
          <w:ilvl w:val="0"/>
          <w:numId w:val="17"/>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visu informāciju un darbības pamatojuma dokumentus glabāt vismaz trīs </w:t>
      </w:r>
      <w:r w:rsidR="00597732" w:rsidRPr="00C2109B">
        <w:rPr>
          <w:rFonts w:ascii="Times New Roman" w:hAnsi="Times New Roman" w:cs="Times New Roman"/>
          <w:sz w:val="24"/>
          <w:szCs w:val="24"/>
        </w:rPr>
        <w:t>gadus pēc programmas slēgšanas.</w:t>
      </w:r>
    </w:p>
    <w:p w:rsidR="00927EB6" w:rsidRPr="00C2109B" w:rsidRDefault="002C1F47"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r>
      <w:r w:rsidR="00B15D2C" w:rsidRPr="00C2109B">
        <w:rPr>
          <w:rFonts w:ascii="Times New Roman" w:hAnsi="Times New Roman" w:cs="Times New Roman"/>
          <w:sz w:val="24"/>
          <w:szCs w:val="24"/>
        </w:rPr>
        <w:t>J</w:t>
      </w:r>
      <w:r w:rsidRPr="00C2109B">
        <w:rPr>
          <w:rFonts w:ascii="Times New Roman" w:hAnsi="Times New Roman" w:cs="Times New Roman"/>
          <w:sz w:val="24"/>
          <w:szCs w:val="24"/>
        </w:rPr>
        <w:t xml:space="preserve">a </w:t>
      </w:r>
      <w:r w:rsidR="00B15D2C" w:rsidRPr="00C2109B">
        <w:rPr>
          <w:rFonts w:ascii="Times New Roman" w:hAnsi="Times New Roman" w:cs="Times New Roman"/>
          <w:sz w:val="24"/>
          <w:szCs w:val="24"/>
        </w:rPr>
        <w:t>izmaiņas</w:t>
      </w:r>
      <w:r w:rsidRPr="00C2109B">
        <w:rPr>
          <w:rFonts w:ascii="Times New Roman" w:hAnsi="Times New Roman" w:cs="Times New Roman"/>
          <w:sz w:val="24"/>
          <w:szCs w:val="24"/>
        </w:rPr>
        <w:t xml:space="preserve"> neietekmē </w:t>
      </w:r>
      <w:r w:rsidR="00E50E45"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ienīgās darbības pamatfunkcijas un nerada ietekmi uz attiecināmību vai </w:t>
      </w:r>
      <w:r w:rsidR="00E50E45"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ienīgās darbības rezultātiem, </w:t>
      </w:r>
      <w:r w:rsidR="00B15D2C" w:rsidRPr="00C2109B">
        <w:rPr>
          <w:rFonts w:ascii="Times New Roman" w:hAnsi="Times New Roman" w:cs="Times New Roman"/>
          <w:sz w:val="24"/>
          <w:szCs w:val="24"/>
        </w:rPr>
        <w:t xml:space="preserve">par tām </w:t>
      </w:r>
      <w:r w:rsidRPr="00C2109B">
        <w:rPr>
          <w:rFonts w:ascii="Times New Roman" w:hAnsi="Times New Roman" w:cs="Times New Roman"/>
          <w:sz w:val="24"/>
          <w:szCs w:val="24"/>
        </w:rPr>
        <w:t>lemj vadošā iestāde. Jo īpaši vadošā iestāde lemj par:</w:t>
      </w:r>
    </w:p>
    <w:p w:rsidR="00927EB6" w:rsidRPr="00C2109B" w:rsidRDefault="00612921" w:rsidP="00927EB6">
      <w:pPr>
        <w:pStyle w:val="NoSpacing"/>
        <w:numPr>
          <w:ilvl w:val="0"/>
          <w:numId w:val="23"/>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apstiprinātās darbības mazsvarīgākiem papildu nosacījumiem, ja sarunās ar </w:t>
      </w:r>
      <w:r w:rsidR="000F46A6" w:rsidRPr="00C2109B">
        <w:rPr>
          <w:rFonts w:ascii="Times New Roman" w:hAnsi="Times New Roman" w:cs="Times New Roman"/>
          <w:sz w:val="24"/>
          <w:szCs w:val="24"/>
        </w:rPr>
        <w:t>V</w:t>
      </w:r>
      <w:r w:rsidRPr="00C2109B">
        <w:rPr>
          <w:rFonts w:ascii="Times New Roman" w:hAnsi="Times New Roman" w:cs="Times New Roman"/>
          <w:sz w:val="24"/>
          <w:szCs w:val="24"/>
        </w:rPr>
        <w:t>ienīgo atbalsta saņēmēju tiek konstatētas papildu kļūdas vai pārskatīšanās vai pieprasīti skaidrojumi;</w:t>
      </w:r>
    </w:p>
    <w:p w:rsidR="00927EB6" w:rsidRPr="00C2109B" w:rsidRDefault="00612921" w:rsidP="00927EB6">
      <w:pPr>
        <w:pStyle w:val="NoSpacing"/>
        <w:numPr>
          <w:ilvl w:val="0"/>
          <w:numId w:val="23"/>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lastRenderedPageBreak/>
        <w:t xml:space="preserve">termiņa pagarināšanu, līdz kuram </w:t>
      </w:r>
      <w:r w:rsidR="000F46A6"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ienīgajam atbalsta saņēmējam saskaņā 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w:t>
      </w:r>
      <w:r w:rsidR="00597732" w:rsidRPr="00C2109B">
        <w:rPr>
          <w:rFonts w:ascii="Times New Roman" w:hAnsi="Times New Roman" w:cs="Times New Roman"/>
          <w:sz w:val="24"/>
          <w:szCs w:val="24"/>
        </w:rPr>
        <w:t>mmu jāsniedz progresa ziņojumi.</w:t>
      </w:r>
    </w:p>
    <w:p w:rsidR="00927EB6" w:rsidRPr="00C2109B" w:rsidRDefault="00EA69B0"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4) Visos pārējos gadījumus lēmumu pieņem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 saskaņā ar </w:t>
      </w:r>
      <w:r w:rsidR="00DF67B0" w:rsidRPr="00C2109B">
        <w:rPr>
          <w:rFonts w:ascii="Times New Roman" w:hAnsi="Times New Roman" w:cs="Times New Roman"/>
          <w:sz w:val="24"/>
          <w:szCs w:val="24"/>
        </w:rPr>
        <w:t>D</w:t>
      </w:r>
      <w:r w:rsidRPr="00C2109B">
        <w:rPr>
          <w:rFonts w:ascii="Times New Roman" w:hAnsi="Times New Roman" w:cs="Times New Roman"/>
          <w:sz w:val="24"/>
          <w:szCs w:val="24"/>
        </w:rPr>
        <w:t xml:space="preserve">arbības īstenošanas </w:t>
      </w:r>
      <w:r w:rsidR="00DF67B0" w:rsidRPr="00C2109B">
        <w:rPr>
          <w:rFonts w:ascii="Times New Roman" w:hAnsi="Times New Roman" w:cs="Times New Roman"/>
          <w:sz w:val="24"/>
          <w:szCs w:val="24"/>
        </w:rPr>
        <w:t xml:space="preserve">vadlīniju </w:t>
      </w:r>
      <w:r w:rsidRPr="00C2109B">
        <w:rPr>
          <w:rFonts w:ascii="Times New Roman" w:hAnsi="Times New Roman" w:cs="Times New Roman"/>
          <w:sz w:val="24"/>
          <w:szCs w:val="24"/>
        </w:rPr>
        <w:t xml:space="preserve">noteikumiem, un tā tiek informēta par vadošās </w:t>
      </w:r>
      <w:r w:rsidR="00597732" w:rsidRPr="00C2109B">
        <w:rPr>
          <w:rFonts w:ascii="Times New Roman" w:hAnsi="Times New Roman" w:cs="Times New Roman"/>
          <w:sz w:val="24"/>
          <w:szCs w:val="24"/>
        </w:rPr>
        <w:t>iestādes pieņemtajiem lēmumiem.</w:t>
      </w:r>
    </w:p>
    <w:p w:rsidR="00927EB6" w:rsidRPr="00C2109B" w:rsidRDefault="00612921" w:rsidP="00927EB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5)</w:t>
      </w:r>
      <w:r w:rsidRPr="00C2109B">
        <w:rPr>
          <w:rFonts w:ascii="Times New Roman" w:hAnsi="Times New Roman" w:cs="Times New Roman"/>
          <w:sz w:val="24"/>
          <w:szCs w:val="24"/>
        </w:rPr>
        <w:tab/>
        <w:t xml:space="preserve">Lai noteiktu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izdevumu attiecināmību, piemēro vispārīgos noteikumus par attiecināmiem izdevumiem, kas paredzēti KNR 65. pantā un ETS regulas 18. pantā un turpmākajos deleģētajos aktos, ko pieņēmusi Eiropas Komisija. Šīs prasības sīkāk izklāstītas darbības īstenošanas pamatnostādnēs, par kurām lemj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zraudzības komiteja.</w:t>
      </w:r>
    </w:p>
    <w:p w:rsidR="00EF2C93" w:rsidRPr="00C2109B" w:rsidRDefault="00EF2C93" w:rsidP="002F0DCB">
      <w:pPr>
        <w:pStyle w:val="Heading3"/>
        <w:rPr>
          <w:rFonts w:ascii="Times New Roman" w:hAnsi="Times New Roman" w:cs="Times New Roman"/>
          <w:sz w:val="24"/>
          <w:szCs w:val="24"/>
        </w:rPr>
      </w:pPr>
      <w:bookmarkStart w:id="36" w:name="_Toc423349159"/>
      <w:bookmarkStart w:id="37" w:name="_Toc427826204"/>
      <w:r w:rsidRPr="00C2109B">
        <w:rPr>
          <w:rFonts w:ascii="Times New Roman" w:hAnsi="Times New Roman" w:cs="Times New Roman"/>
          <w:sz w:val="24"/>
          <w:szCs w:val="24"/>
        </w:rPr>
        <w:t>16. pants. Pirmā līmeņa kontrole</w:t>
      </w:r>
      <w:bookmarkEnd w:id="36"/>
      <w:bookmarkEnd w:id="37"/>
    </w:p>
    <w:p w:rsidR="002C1F47" w:rsidRPr="00C2109B" w:rsidRDefault="002C1F47" w:rsidP="002C1F47">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Attiecībā uz izdevumiem, kas rodas saskaņā ar </w:t>
      </w:r>
      <w:r w:rsidR="00E50E45"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ienīgās darbības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līgumu, KNR 125. panta 4. punkta a) apakšpunktā minētās pārbaudes veic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ienīgā atbalsta saņēmēja izvirzītais kontrolieris, kas saņēmis aprobāciju saskaņā ar š</w:t>
      </w:r>
      <w:r w:rsidR="00AC738A" w:rsidRPr="00C2109B">
        <w:rPr>
          <w:rFonts w:ascii="Times New Roman" w:hAnsi="Times New Roman" w:cs="Times New Roman"/>
          <w:sz w:val="24"/>
          <w:szCs w:val="24"/>
        </w:rPr>
        <w:t>īs</w:t>
      </w:r>
      <w:r w:rsidRPr="00C2109B">
        <w:rPr>
          <w:rFonts w:ascii="Times New Roman" w:hAnsi="Times New Roman" w:cs="Times New Roman"/>
          <w:sz w:val="24"/>
          <w:szCs w:val="24"/>
        </w:rPr>
        <w:t xml:space="preserve"> </w:t>
      </w:r>
      <w:r w:rsidR="00AC738A" w:rsidRPr="00C2109B">
        <w:rPr>
          <w:rFonts w:ascii="Times New Roman" w:hAnsi="Times New Roman" w:cs="Times New Roman"/>
          <w:sz w:val="24"/>
          <w:szCs w:val="24"/>
        </w:rPr>
        <w:t xml:space="preserve">vienošanās </w:t>
      </w:r>
      <w:r w:rsidRPr="00C2109B">
        <w:rPr>
          <w:rFonts w:ascii="Times New Roman" w:hAnsi="Times New Roman" w:cs="Times New Roman"/>
          <w:sz w:val="24"/>
          <w:szCs w:val="24"/>
        </w:rPr>
        <w:t>8. pantu.</w:t>
      </w:r>
    </w:p>
    <w:p w:rsidR="001E0BE1" w:rsidRPr="00C2109B" w:rsidRDefault="002C1F47" w:rsidP="002C1F47">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Pirmā līmeņa kontroles procedūras tiks sīkāk definētas darbības īstenošanas </w:t>
      </w:r>
      <w:r w:rsidR="007436D7" w:rsidRPr="00C2109B">
        <w:rPr>
          <w:rFonts w:ascii="Times New Roman" w:hAnsi="Times New Roman" w:cs="Times New Roman"/>
          <w:sz w:val="24"/>
          <w:szCs w:val="24"/>
        </w:rPr>
        <w:t>vadlīnijās</w:t>
      </w:r>
      <w:r w:rsidRPr="00C2109B">
        <w:rPr>
          <w:rFonts w:ascii="Times New Roman" w:hAnsi="Times New Roman" w:cs="Times New Roman"/>
          <w:sz w:val="24"/>
          <w:szCs w:val="24"/>
        </w:rPr>
        <w:t>, kurām pievienotas izdevumu a</w:t>
      </w:r>
      <w:r w:rsidR="00597732" w:rsidRPr="00C2109B">
        <w:rPr>
          <w:rFonts w:ascii="Times New Roman" w:hAnsi="Times New Roman" w:cs="Times New Roman"/>
          <w:sz w:val="24"/>
          <w:szCs w:val="24"/>
        </w:rPr>
        <w:t>pliecināšanas veidlapas.</w:t>
      </w:r>
    </w:p>
    <w:p w:rsidR="002C1F47" w:rsidRPr="00C2109B" w:rsidRDefault="002C1F47" w:rsidP="002C1F47">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Programmas vadošā iestāde nodrošina, ka </w:t>
      </w:r>
      <w:r w:rsidR="000F46A6" w:rsidRPr="00C2109B">
        <w:rPr>
          <w:rFonts w:ascii="Times New Roman" w:hAnsi="Times New Roman" w:cs="Times New Roman"/>
          <w:sz w:val="24"/>
          <w:szCs w:val="24"/>
        </w:rPr>
        <w:t>V</w:t>
      </w:r>
      <w:r w:rsidRPr="00C2109B">
        <w:rPr>
          <w:rFonts w:ascii="Times New Roman" w:hAnsi="Times New Roman" w:cs="Times New Roman"/>
          <w:sz w:val="24"/>
          <w:szCs w:val="24"/>
        </w:rPr>
        <w:t>ienīgā atbalsta saņēmēja izdevumus var pārbaudīt divu mēnešu laikposmā, kopš tas iesniedzis dokumentus.</w:t>
      </w:r>
    </w:p>
    <w:p w:rsidR="00DC489E" w:rsidRPr="00C2109B" w:rsidRDefault="00326945" w:rsidP="002F0DCB">
      <w:pPr>
        <w:pStyle w:val="Heading3"/>
        <w:rPr>
          <w:rFonts w:ascii="Times New Roman" w:hAnsi="Times New Roman" w:cs="Times New Roman"/>
          <w:sz w:val="24"/>
          <w:szCs w:val="24"/>
        </w:rPr>
      </w:pPr>
      <w:bookmarkStart w:id="38" w:name="_Toc423349160"/>
      <w:bookmarkStart w:id="39" w:name="_Toc427826205"/>
      <w:r w:rsidRPr="00C2109B">
        <w:rPr>
          <w:rFonts w:ascii="Times New Roman" w:hAnsi="Times New Roman" w:cs="Times New Roman"/>
          <w:sz w:val="24"/>
          <w:szCs w:val="24"/>
        </w:rPr>
        <w:t>17. pants. Revīzija</w:t>
      </w:r>
      <w:bookmarkEnd w:id="38"/>
      <w:bookmarkEnd w:id="39"/>
    </w:p>
    <w:p w:rsidR="00360D02" w:rsidRPr="00C2109B" w:rsidRDefault="007F17CB" w:rsidP="005032E0">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r>
      <w:r w:rsidR="00360D02" w:rsidRPr="00C2109B">
        <w:rPr>
          <w:rFonts w:ascii="Times New Roman" w:hAnsi="Times New Roman" w:cs="Times New Roman"/>
          <w:sz w:val="24"/>
          <w:szCs w:val="24"/>
        </w:rPr>
        <w:t xml:space="preserve">Saskaņā ar KNR 127. panta 4. punktu astoņos mēnešos pēc </w:t>
      </w:r>
      <w:r w:rsidR="0012053A" w:rsidRPr="00C2109B">
        <w:rPr>
          <w:rFonts w:ascii="Times New Roman" w:hAnsi="Times New Roman" w:cs="Times New Roman"/>
          <w:sz w:val="24"/>
          <w:szCs w:val="24"/>
        </w:rPr>
        <w:t>„</w:t>
      </w:r>
      <w:r w:rsidR="00360D02"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00360D02" w:rsidRPr="00C2109B">
        <w:rPr>
          <w:rFonts w:ascii="Times New Roman" w:hAnsi="Times New Roman" w:cs="Times New Roman"/>
          <w:sz w:val="24"/>
          <w:szCs w:val="24"/>
        </w:rPr>
        <w:t xml:space="preserve"> sadarbības programmas pieņemšanas revīzijas iestāde sagatavo revīzijas stratēģiju revīziju veikšanai. Revīzijas stratēģijā izklāsta revīzijas metodoloģiju, metodi darbību izlasei revīzijas mērķiem un revīziju plānošanu saistībā ar kārtējo grāmatvedības gadu un diviem nākamajiem grāmatvedības gadiem. Revīzijas stratēģiju atjaunina katru gadu, sākot no 2016. g</w:t>
      </w:r>
      <w:r w:rsidR="00597732" w:rsidRPr="00C2109B">
        <w:rPr>
          <w:rFonts w:ascii="Times New Roman" w:hAnsi="Times New Roman" w:cs="Times New Roman"/>
          <w:sz w:val="24"/>
          <w:szCs w:val="24"/>
        </w:rPr>
        <w:t>ada līdz 2024. gadam ieskaitot.</w:t>
      </w:r>
    </w:p>
    <w:p w:rsidR="00360D02" w:rsidRPr="00C2109B" w:rsidRDefault="007F17CB" w:rsidP="007F17CB">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r>
      <w:r w:rsidR="00CC7EE8" w:rsidRPr="00C2109B">
        <w:rPr>
          <w:rFonts w:ascii="Times New Roman" w:hAnsi="Times New Roman" w:cs="Times New Roman"/>
          <w:sz w:val="24"/>
          <w:szCs w:val="24"/>
        </w:rPr>
        <w:t>Saskaņā ar KNR 127. panta 5. punktu revīzijas iestāde sagatavo:</w:t>
      </w:r>
    </w:p>
    <w:p w:rsidR="00360D02" w:rsidRPr="00C2109B" w:rsidRDefault="00360D02" w:rsidP="00B87576">
      <w:pPr>
        <w:pStyle w:val="NoSpacing"/>
        <w:spacing w:line="276" w:lineRule="auto"/>
        <w:ind w:left="708" w:hanging="348"/>
        <w:jc w:val="both"/>
        <w:rPr>
          <w:rFonts w:ascii="Times New Roman" w:hAnsi="Times New Roman" w:cs="Times New Roman"/>
          <w:sz w:val="24"/>
          <w:szCs w:val="24"/>
        </w:rPr>
      </w:pPr>
      <w:r w:rsidRPr="00C2109B">
        <w:rPr>
          <w:rFonts w:ascii="Times New Roman" w:hAnsi="Times New Roman" w:cs="Times New Roman"/>
          <w:sz w:val="24"/>
          <w:szCs w:val="24"/>
        </w:rPr>
        <w:t>a) revīzijas atzinumu saskaņā ar Finanšu regulas 59. panta 5. punkta otro daļu;</w:t>
      </w:r>
    </w:p>
    <w:p w:rsidR="00360D02" w:rsidRPr="00C2109B" w:rsidRDefault="00360D02" w:rsidP="00B87576">
      <w:pPr>
        <w:pStyle w:val="NoSpacing"/>
        <w:spacing w:line="276" w:lineRule="auto"/>
        <w:ind w:left="708" w:hanging="348"/>
        <w:jc w:val="both"/>
        <w:rPr>
          <w:rFonts w:ascii="Times New Roman" w:hAnsi="Times New Roman" w:cs="Times New Roman"/>
          <w:sz w:val="24"/>
          <w:szCs w:val="24"/>
        </w:rPr>
      </w:pPr>
      <w:r w:rsidRPr="00C2109B">
        <w:rPr>
          <w:rFonts w:ascii="Times New Roman" w:hAnsi="Times New Roman" w:cs="Times New Roman"/>
          <w:sz w:val="24"/>
          <w:szCs w:val="24"/>
        </w:rPr>
        <w:t>b) kontroles ziņojumu, kurā izklāsta saskaņā ar 1. punktu veikto revīziju galvenos secinājumus, tostarp konstatētās pārvaldības un kontroles sistēmu nepilnības un ierosinātās un īstenotās korektīvās darbības.</w:t>
      </w:r>
    </w:p>
    <w:p w:rsidR="00360D02" w:rsidRPr="00C2109B" w:rsidRDefault="0077459B" w:rsidP="005032E0">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Lai saskaņā ar KNR 149. pantu noteiktu darbību un grāmatvedības revīzijas apjomu un saturu un metodoloģiju darbību izlasei revīzijas mērķiem, kā minēts KNR 127. panta 1. punktā, revīzijas pamatā būs deleģētie akti.</w:t>
      </w:r>
    </w:p>
    <w:p w:rsidR="00EF2C93" w:rsidRPr="00C2109B" w:rsidRDefault="00EF2C93" w:rsidP="002F0DCB">
      <w:pPr>
        <w:pStyle w:val="Heading3"/>
        <w:rPr>
          <w:rFonts w:ascii="Times New Roman" w:hAnsi="Times New Roman" w:cs="Times New Roman"/>
          <w:sz w:val="24"/>
          <w:szCs w:val="24"/>
        </w:rPr>
      </w:pPr>
      <w:bookmarkStart w:id="40" w:name="_Toc423349161"/>
      <w:bookmarkStart w:id="41" w:name="_Toc427826206"/>
      <w:r w:rsidRPr="00C2109B">
        <w:rPr>
          <w:rFonts w:ascii="Times New Roman" w:hAnsi="Times New Roman" w:cs="Times New Roman"/>
          <w:sz w:val="24"/>
          <w:szCs w:val="24"/>
        </w:rPr>
        <w:t>18. pants. Informācijas sniegšana Eiropas Komisijai</w:t>
      </w:r>
      <w:bookmarkEnd w:id="40"/>
      <w:bookmarkEnd w:id="41"/>
    </w:p>
    <w:p w:rsidR="008360EE" w:rsidRPr="00C2109B" w:rsidRDefault="007C667D" w:rsidP="00055629">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kompetentās iestādes par katru gadu, sākot no 2016. gada līdz 2025. gadam ieskaitot, sagatavo KNR 138. pantā minētos dokumentus un, ievērojot attiecīgos ikgadējos termiņus, iesniedz tos Eiropas Komisijai.</w:t>
      </w:r>
    </w:p>
    <w:p w:rsidR="008360EE" w:rsidRPr="00C2109B" w:rsidRDefault="007C667D" w:rsidP="00055629">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Sertifikācijas iestāde saskaņā ar KNR 137. pant</w:t>
      </w:r>
      <w:r w:rsidR="003258C1" w:rsidRPr="00C2109B">
        <w:rPr>
          <w:rFonts w:ascii="Times New Roman" w:hAnsi="Times New Roman" w:cs="Times New Roman"/>
          <w:sz w:val="24"/>
          <w:szCs w:val="24"/>
        </w:rPr>
        <w:t xml:space="preserve">a 1. punktu izstrādā pārskatus </w:t>
      </w:r>
      <w:r w:rsidRPr="00C2109B">
        <w:rPr>
          <w:rFonts w:ascii="Times New Roman" w:hAnsi="Times New Roman" w:cs="Times New Roman"/>
          <w:sz w:val="24"/>
          <w:szCs w:val="24"/>
        </w:rPr>
        <w:t>par iepriekšējo grāmatvedības gadu.</w:t>
      </w:r>
    </w:p>
    <w:p w:rsidR="00E21066" w:rsidRPr="00C2109B" w:rsidRDefault="007C667D" w:rsidP="00055629">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Vadošā iestāde saskaņā ar KNR 125. panta 4. punkta e) apakšpunktu izstrādā pārvaldības deklarācijas, kas ietver:</w:t>
      </w:r>
    </w:p>
    <w:p w:rsidR="00A7508E" w:rsidRPr="00C2109B" w:rsidRDefault="00EF0EFB" w:rsidP="00055629">
      <w:pPr>
        <w:pStyle w:val="NoSpacing"/>
        <w:numPr>
          <w:ilvl w:val="0"/>
          <w:numId w:val="16"/>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lastRenderedPageBreak/>
        <w:t>apstiprinājumu saskaņā ar Finanšu regulas 59. panta 5. punkta a) un b) apakšpunktu, kurā apliecina par līdzekļu pārvaldību atbildīgo personu viedokli, ka i) šī informācija ir pareizi izklāstīta, pilnīga un precīza, ii) izdevumi ir izmantoti paredzētajam mērķim, kā noteikts nozaru noteikumos, un iii) ieviestās kontroles sistēmas dod vajadzīgās garantijas pamatā esošo darījumu likumībai un pareizībai.</w:t>
      </w:r>
    </w:p>
    <w:p w:rsidR="007C667D" w:rsidRPr="00C2109B" w:rsidRDefault="00EF0EFB" w:rsidP="00055629">
      <w:pPr>
        <w:pStyle w:val="NoSpacing"/>
        <w:numPr>
          <w:ilvl w:val="0"/>
          <w:numId w:val="16"/>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veikto kontroļu gada kopsavilkumu un galīgo revīzijas ziņojumu, tostarp ziņojumu par vadības pārbaudēm, ko veic vadošā iestāde (vai starpniecības </w:t>
      </w:r>
      <w:r w:rsidR="00AF74F9" w:rsidRPr="00C2109B">
        <w:rPr>
          <w:rFonts w:ascii="Times New Roman" w:hAnsi="Times New Roman" w:cs="Times New Roman"/>
          <w:sz w:val="24"/>
          <w:szCs w:val="24"/>
        </w:rPr>
        <w:t xml:space="preserve">iestādes </w:t>
      </w:r>
      <w:r w:rsidRPr="00C2109B">
        <w:rPr>
          <w:rFonts w:ascii="Times New Roman" w:hAnsi="Times New Roman" w:cs="Times New Roman"/>
          <w:sz w:val="24"/>
          <w:szCs w:val="24"/>
        </w:rPr>
        <w:t xml:space="preserve">tās vārdā). Tajā ietver arī analīzi par sistēmās identificēto kļūdu un trūkumu raksturu un apjomu, kā arī veikto </w:t>
      </w:r>
      <w:r w:rsidR="001F3E0E" w:rsidRPr="00C2109B">
        <w:rPr>
          <w:rFonts w:ascii="Times New Roman" w:hAnsi="Times New Roman" w:cs="Times New Roman"/>
          <w:sz w:val="24"/>
          <w:szCs w:val="24"/>
        </w:rPr>
        <w:t>vai plānoto korektīvo pasākumu.</w:t>
      </w:r>
    </w:p>
    <w:p w:rsidR="008360EE" w:rsidRPr="00C2109B" w:rsidRDefault="007C667D" w:rsidP="00055629">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Saskaņā ar KNR 127. panta 5. punkta pirmās daļas a) un b) apakšpunktu revīzijas iestāde sagatavo revīzijas atzinumu un kontroles ziņojumu par iepriekšējo grāmatvedības gadu.</w:t>
      </w:r>
    </w:p>
    <w:p w:rsidR="00EF2C93" w:rsidRPr="00C2109B" w:rsidRDefault="00EF2C93" w:rsidP="002F0DCB">
      <w:pPr>
        <w:pStyle w:val="Heading3"/>
        <w:rPr>
          <w:rFonts w:ascii="Times New Roman" w:hAnsi="Times New Roman" w:cs="Times New Roman"/>
          <w:sz w:val="24"/>
          <w:szCs w:val="24"/>
        </w:rPr>
      </w:pPr>
      <w:bookmarkStart w:id="42" w:name="_Toc423349162"/>
      <w:bookmarkStart w:id="43" w:name="_Toc427826207"/>
      <w:r w:rsidRPr="00C2109B">
        <w:rPr>
          <w:rFonts w:ascii="Times New Roman" w:hAnsi="Times New Roman" w:cs="Times New Roman"/>
          <w:sz w:val="24"/>
          <w:szCs w:val="24"/>
        </w:rPr>
        <w:t xml:space="preserve">19. pants.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slēgšana</w:t>
      </w:r>
      <w:bookmarkEnd w:id="42"/>
      <w:bookmarkEnd w:id="43"/>
    </w:p>
    <w:p w:rsidR="00973D07" w:rsidRPr="00C2109B" w:rsidRDefault="00973D07" w:rsidP="00055629">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tās kompetentās iestādes s</w:t>
      </w:r>
      <w:r w:rsidR="001F3E0E" w:rsidRPr="00C2109B">
        <w:rPr>
          <w:rFonts w:ascii="Times New Roman" w:hAnsi="Times New Roman" w:cs="Times New Roman"/>
          <w:sz w:val="24"/>
          <w:szCs w:val="24"/>
        </w:rPr>
        <w:t>lēdz saskaņā ar KNR 141. pantu.</w:t>
      </w:r>
    </w:p>
    <w:p w:rsidR="002D2E08" w:rsidRPr="00C2109B" w:rsidRDefault="00C50925" w:rsidP="002F0DCB">
      <w:pPr>
        <w:pStyle w:val="Heading2"/>
        <w:rPr>
          <w:rFonts w:ascii="Times New Roman" w:hAnsi="Times New Roman" w:cs="Times New Roman"/>
          <w:sz w:val="24"/>
          <w:szCs w:val="24"/>
        </w:rPr>
      </w:pPr>
      <w:bookmarkStart w:id="44" w:name="_Toc423349163"/>
      <w:bookmarkStart w:id="45" w:name="_Toc427826208"/>
      <w:r w:rsidRPr="00C2109B">
        <w:rPr>
          <w:rFonts w:ascii="Times New Roman" w:hAnsi="Times New Roman" w:cs="Times New Roman"/>
          <w:sz w:val="24"/>
          <w:szCs w:val="24"/>
        </w:rPr>
        <w:t>4. DAĻA. LĪDZFINANSĒŠANAS, MAKSĀJUMU VEIKŠANAS UN ATBILDĪBAS NOTEIKŠANAS KĀRTĪBA</w:t>
      </w:r>
      <w:bookmarkEnd w:id="44"/>
      <w:bookmarkEnd w:id="45"/>
    </w:p>
    <w:p w:rsidR="00EF2C93" w:rsidRPr="00C2109B" w:rsidRDefault="00EF2C93" w:rsidP="002F0DCB">
      <w:pPr>
        <w:pStyle w:val="Heading3"/>
        <w:rPr>
          <w:rFonts w:ascii="Times New Roman" w:hAnsi="Times New Roman" w:cs="Times New Roman"/>
          <w:sz w:val="24"/>
          <w:szCs w:val="24"/>
        </w:rPr>
      </w:pPr>
      <w:bookmarkStart w:id="46" w:name="_Toc423349164"/>
      <w:bookmarkStart w:id="47" w:name="_Toc427826209"/>
      <w:r w:rsidRPr="00C2109B">
        <w:rPr>
          <w:rFonts w:ascii="Times New Roman" w:hAnsi="Times New Roman" w:cs="Times New Roman"/>
          <w:sz w:val="24"/>
          <w:szCs w:val="24"/>
        </w:rPr>
        <w:t xml:space="preserve">20. pants.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līdzfinansēšana</w:t>
      </w:r>
      <w:bookmarkEnd w:id="46"/>
      <w:bookmarkEnd w:id="47"/>
    </w:p>
    <w:p w:rsidR="007A78CC" w:rsidRPr="00C2109B" w:rsidRDefault="00976B4C" w:rsidP="000D16D8">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Katra gada sākumā vadošā iestāde nosūta dalībvalstīm un partnervalstīm pieprasījumu ieskaitīt valsts līdzfinansējumu kā ieguldījumu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Līdz februāra beigām vai, ja tas nav iespējams, izņēmuma gadījumā vēlākais vienu mēnesi pēc valsts budžeta apstiprināšanas dalībvalstis un partnervalstis ieskaita programmā savas valsts ieguldījumu nākamajam gadam, pamatojot</w:t>
      </w:r>
      <w:r w:rsidR="001F3E0E" w:rsidRPr="00C2109B">
        <w:rPr>
          <w:rFonts w:ascii="Times New Roman" w:hAnsi="Times New Roman" w:cs="Times New Roman"/>
          <w:sz w:val="24"/>
          <w:szCs w:val="24"/>
        </w:rPr>
        <w:t>ies uz saskaņoto finanšu plānu.</w:t>
      </w:r>
    </w:p>
    <w:p w:rsidR="00BB4366" w:rsidRPr="00C2109B" w:rsidRDefault="007A78CC" w:rsidP="000D16D8">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Visus valstu līdzfinansējuma un ieguldījuma maksājumus ieskaita vienotajā eiro valūtas (EUR) bankas kontā, kas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programmai atvērts Luksemburgas Valsts kasē un kuru sertifikācijas iestāde pārvalda atsevišķi kā trasta fondu (trasta konts).</w:t>
      </w:r>
    </w:p>
    <w:p w:rsidR="00BB4366" w:rsidRPr="00C2109B" w:rsidRDefault="007A78CC" w:rsidP="000D16D8">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Uzraudzības komitejai regulāri </w:t>
      </w:r>
      <w:r w:rsidR="00AF74F9" w:rsidRPr="00C2109B">
        <w:rPr>
          <w:rFonts w:ascii="Times New Roman" w:hAnsi="Times New Roman" w:cs="Times New Roman"/>
          <w:sz w:val="24"/>
          <w:szCs w:val="24"/>
        </w:rPr>
        <w:t xml:space="preserve">tiek </w:t>
      </w:r>
      <w:r w:rsidRPr="00C2109B">
        <w:rPr>
          <w:rFonts w:ascii="Times New Roman" w:hAnsi="Times New Roman" w:cs="Times New Roman"/>
          <w:sz w:val="24"/>
          <w:szCs w:val="24"/>
        </w:rPr>
        <w:t>snie</w:t>
      </w:r>
      <w:r w:rsidR="00AF74F9" w:rsidRPr="00C2109B">
        <w:rPr>
          <w:rFonts w:ascii="Times New Roman" w:hAnsi="Times New Roman" w:cs="Times New Roman"/>
          <w:sz w:val="24"/>
          <w:szCs w:val="24"/>
        </w:rPr>
        <w:t>gti</w:t>
      </w:r>
      <w:r w:rsidRPr="00C2109B">
        <w:rPr>
          <w:rFonts w:ascii="Times New Roman" w:hAnsi="Times New Roman" w:cs="Times New Roman"/>
          <w:sz w:val="24"/>
          <w:szCs w:val="24"/>
        </w:rPr>
        <w:t xml:space="preserve"> ziņojum</w:t>
      </w:r>
      <w:r w:rsidR="00E50E45" w:rsidRPr="00C2109B">
        <w:rPr>
          <w:rFonts w:ascii="Times New Roman" w:hAnsi="Times New Roman" w:cs="Times New Roman"/>
          <w:sz w:val="24"/>
          <w:szCs w:val="24"/>
        </w:rPr>
        <w:t>i</w:t>
      </w:r>
      <w:r w:rsidRPr="00C2109B">
        <w:rPr>
          <w:rFonts w:ascii="Times New Roman" w:hAnsi="Times New Roman" w:cs="Times New Roman"/>
          <w:sz w:val="24"/>
          <w:szCs w:val="24"/>
        </w:rPr>
        <w:t xml:space="preserve"> par maksājumu stāvokli.</w:t>
      </w:r>
    </w:p>
    <w:p w:rsidR="00BB4366" w:rsidRPr="00C2109B" w:rsidRDefault="007A78CC" w:rsidP="000D16D8">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 xml:space="preserve">Ja programmas īstenošanas perioda beigās dalībvalstis ir pārskaitījušas vairāk līdzekļu nekā faktiski nepieciešams, lai līdzfinansētu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sertifikācijas iestāde šos līdzekļus atmaksā, ja vien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zraudzības komiteja un tajā pārstāvē</w:t>
      </w:r>
      <w:r w:rsidR="001F3E0E" w:rsidRPr="00C2109B">
        <w:rPr>
          <w:rFonts w:ascii="Times New Roman" w:hAnsi="Times New Roman" w:cs="Times New Roman"/>
          <w:sz w:val="24"/>
          <w:szCs w:val="24"/>
        </w:rPr>
        <w:t>tās dalībvalstis nelemj citādi.</w:t>
      </w:r>
    </w:p>
    <w:p w:rsidR="003F553B" w:rsidRPr="00C2109B" w:rsidRDefault="00326945" w:rsidP="002F0DCB">
      <w:pPr>
        <w:pStyle w:val="Heading3"/>
        <w:rPr>
          <w:rFonts w:ascii="Times New Roman" w:hAnsi="Times New Roman" w:cs="Times New Roman"/>
          <w:sz w:val="24"/>
          <w:szCs w:val="24"/>
        </w:rPr>
      </w:pPr>
      <w:bookmarkStart w:id="48" w:name="_Toc423349165"/>
      <w:bookmarkStart w:id="49" w:name="_Toc427826210"/>
      <w:r w:rsidRPr="00C2109B">
        <w:rPr>
          <w:rFonts w:ascii="Times New Roman" w:hAnsi="Times New Roman" w:cs="Times New Roman"/>
          <w:sz w:val="24"/>
          <w:szCs w:val="24"/>
        </w:rPr>
        <w:t xml:space="preserve">21. pants. Maksājumi saskaņā 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w:t>
      </w:r>
      <w:bookmarkEnd w:id="48"/>
      <w:bookmarkEnd w:id="49"/>
    </w:p>
    <w:p w:rsidR="006413A8" w:rsidRPr="00C2109B" w:rsidRDefault="002D03E6" w:rsidP="00C23D86">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Visus maksājumus saskaņā 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veic sertifikācijas iestāde no vienotā bankas konta, kas paredzēts izmantošanai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w:t>
      </w:r>
    </w:p>
    <w:p w:rsidR="00495FB6" w:rsidRPr="00C2109B" w:rsidRDefault="00BE6032" w:rsidP="00DA46A4">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No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līgumā minētajām summām, kas izteiktas EURO (EUR),</w:t>
      </w:r>
      <w:r w:rsidR="00F76A72" w:rsidRPr="00C2109B">
        <w:rPr>
          <w:rFonts w:ascii="Times New Roman" w:hAnsi="Times New Roman" w:cs="Times New Roman"/>
          <w:sz w:val="24"/>
          <w:szCs w:val="24"/>
        </w:rPr>
        <w:t xml:space="preserve"> </w:t>
      </w:r>
      <w:r w:rsidRPr="00C2109B">
        <w:rPr>
          <w:rFonts w:ascii="Times New Roman" w:hAnsi="Times New Roman" w:cs="Times New Roman"/>
          <w:sz w:val="24"/>
          <w:szCs w:val="24"/>
        </w:rPr>
        <w:t xml:space="preserve">veic regulārus maksājumus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w:t>
      </w:r>
      <w:r w:rsidR="001F3E0E" w:rsidRPr="00C2109B">
        <w:rPr>
          <w:rFonts w:ascii="Times New Roman" w:hAnsi="Times New Roman" w:cs="Times New Roman"/>
          <w:sz w:val="24"/>
          <w:szCs w:val="24"/>
        </w:rPr>
        <w:t xml:space="preserve"> saskaņā ar šādiem nosacījumiem</w:t>
      </w:r>
      <w:r w:rsidR="00F76A72" w:rsidRPr="00C2109B">
        <w:rPr>
          <w:rFonts w:ascii="Times New Roman" w:hAnsi="Times New Roman" w:cs="Times New Roman"/>
          <w:sz w:val="24"/>
          <w:szCs w:val="24"/>
        </w:rPr>
        <w:t>:</w:t>
      </w:r>
    </w:p>
    <w:p w:rsidR="002D03E6" w:rsidRPr="00C2109B" w:rsidRDefault="00F76A72" w:rsidP="00DA46A4">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w:t>
      </w:r>
      <w:r w:rsidR="006413A8" w:rsidRPr="00C2109B">
        <w:rPr>
          <w:rFonts w:ascii="Times New Roman" w:hAnsi="Times New Roman" w:cs="Times New Roman"/>
          <w:sz w:val="24"/>
          <w:szCs w:val="24"/>
        </w:rPr>
        <w:t xml:space="preserve">isus maksājumus saskaņā ar </w:t>
      </w:r>
      <w:r w:rsidR="009A73D2" w:rsidRPr="00C2109B">
        <w:rPr>
          <w:rFonts w:ascii="Times New Roman" w:hAnsi="Times New Roman" w:cs="Times New Roman"/>
          <w:sz w:val="24"/>
          <w:szCs w:val="24"/>
        </w:rPr>
        <w:t xml:space="preserve">granta </w:t>
      </w:r>
      <w:r w:rsidR="006413A8" w:rsidRPr="00C2109B">
        <w:rPr>
          <w:rFonts w:ascii="Times New Roman" w:hAnsi="Times New Roman" w:cs="Times New Roman"/>
          <w:sz w:val="24"/>
          <w:szCs w:val="24"/>
        </w:rPr>
        <w:t xml:space="preserve">līgumu veic tikai uz </w:t>
      </w:r>
      <w:r w:rsidR="000F46A6" w:rsidRPr="00C2109B">
        <w:rPr>
          <w:rFonts w:ascii="Times New Roman" w:hAnsi="Times New Roman" w:cs="Times New Roman"/>
          <w:sz w:val="24"/>
          <w:szCs w:val="24"/>
        </w:rPr>
        <w:t>V</w:t>
      </w:r>
      <w:r w:rsidR="006413A8" w:rsidRPr="00C2109B">
        <w:rPr>
          <w:rFonts w:ascii="Times New Roman" w:hAnsi="Times New Roman" w:cs="Times New Roman"/>
          <w:sz w:val="24"/>
          <w:szCs w:val="24"/>
        </w:rPr>
        <w:t>ienīgā atbalsta saņēmēja bankas kontu, kas norādīts apsti</w:t>
      </w:r>
      <w:r w:rsidRPr="00C2109B">
        <w:rPr>
          <w:rFonts w:ascii="Times New Roman" w:hAnsi="Times New Roman" w:cs="Times New Roman"/>
          <w:sz w:val="24"/>
          <w:szCs w:val="24"/>
        </w:rPr>
        <w:t>prinātajā darbības priekšlikumā;</w:t>
      </w:r>
    </w:p>
    <w:p w:rsidR="00A83814" w:rsidRPr="00C2109B" w:rsidRDefault="00F76A72" w:rsidP="00DA46A4">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lastRenderedPageBreak/>
        <w:t>p</w:t>
      </w:r>
      <w:r w:rsidR="004210ED" w:rsidRPr="00C2109B">
        <w:rPr>
          <w:rFonts w:ascii="Times New Roman" w:hAnsi="Times New Roman" w:cs="Times New Roman"/>
          <w:sz w:val="24"/>
          <w:szCs w:val="24"/>
        </w:rPr>
        <w:t xml:space="preserve">irms katra </w:t>
      </w:r>
      <w:r w:rsidR="009A73D2" w:rsidRPr="00C2109B">
        <w:rPr>
          <w:rFonts w:ascii="Times New Roman" w:hAnsi="Times New Roman" w:cs="Times New Roman"/>
          <w:sz w:val="24"/>
          <w:szCs w:val="24"/>
        </w:rPr>
        <w:t xml:space="preserve">granta </w:t>
      </w:r>
      <w:r w:rsidR="004210ED" w:rsidRPr="00C2109B">
        <w:rPr>
          <w:rFonts w:ascii="Times New Roman" w:hAnsi="Times New Roman" w:cs="Times New Roman"/>
          <w:sz w:val="24"/>
          <w:szCs w:val="24"/>
        </w:rPr>
        <w:t xml:space="preserve">līgumā paredzētā maksājuma </w:t>
      </w:r>
      <w:r w:rsidR="00B56E18" w:rsidRPr="00C2109B">
        <w:rPr>
          <w:rFonts w:ascii="Times New Roman" w:hAnsi="Times New Roman" w:cs="Times New Roman"/>
          <w:sz w:val="24"/>
          <w:szCs w:val="24"/>
        </w:rPr>
        <w:t>V</w:t>
      </w:r>
      <w:r w:rsidR="004210ED" w:rsidRPr="00C2109B">
        <w:rPr>
          <w:rFonts w:ascii="Times New Roman" w:hAnsi="Times New Roman" w:cs="Times New Roman"/>
          <w:sz w:val="24"/>
          <w:szCs w:val="24"/>
        </w:rPr>
        <w:t xml:space="preserve">ienīgais atbalsta saņēmējs iesniedz vadošajai iestādei maksājuma pieprasījumu. Visiem maksājuma pieprasījumiem jābūt pamatotiem ar progresa ziņojumu, tostarp darbības un finanšu pārskatu. Ziņojumiem pievieno izdevumu apstiprinājumu, ko parakstījis </w:t>
      </w:r>
      <w:r w:rsidR="000F46A6" w:rsidRPr="00C2109B">
        <w:rPr>
          <w:rFonts w:ascii="Times New Roman" w:hAnsi="Times New Roman" w:cs="Times New Roman"/>
          <w:sz w:val="24"/>
          <w:szCs w:val="24"/>
        </w:rPr>
        <w:t>V</w:t>
      </w:r>
      <w:r w:rsidR="004210ED" w:rsidRPr="00C2109B">
        <w:rPr>
          <w:rFonts w:ascii="Times New Roman" w:hAnsi="Times New Roman" w:cs="Times New Roman"/>
          <w:sz w:val="24"/>
          <w:szCs w:val="24"/>
        </w:rPr>
        <w:t>ienīgā atbalsta saņēmēja izraudz</w:t>
      </w:r>
      <w:r w:rsidRPr="00C2109B">
        <w:rPr>
          <w:rFonts w:ascii="Times New Roman" w:hAnsi="Times New Roman" w:cs="Times New Roman"/>
          <w:sz w:val="24"/>
          <w:szCs w:val="24"/>
        </w:rPr>
        <w:t>ītais pirmā līmeņa kontrolieris;</w:t>
      </w:r>
    </w:p>
    <w:p w:rsidR="00217804" w:rsidRPr="00C2109B" w:rsidRDefault="00F76A72" w:rsidP="00DA46A4">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w:t>
      </w:r>
      <w:r w:rsidR="00217804" w:rsidRPr="00C2109B">
        <w:rPr>
          <w:rFonts w:ascii="Times New Roman" w:hAnsi="Times New Roman" w:cs="Times New Roman"/>
          <w:sz w:val="24"/>
          <w:szCs w:val="24"/>
        </w:rPr>
        <w:t xml:space="preserve">adošā iestāde izvērtē progresa ziņojumus un uzrauga </w:t>
      </w:r>
      <w:r w:rsidR="00B56E18" w:rsidRPr="00C2109B">
        <w:rPr>
          <w:rFonts w:ascii="Times New Roman" w:hAnsi="Times New Roman" w:cs="Times New Roman"/>
          <w:sz w:val="24"/>
          <w:szCs w:val="24"/>
        </w:rPr>
        <w:t>V</w:t>
      </w:r>
      <w:r w:rsidR="00217804" w:rsidRPr="00C2109B">
        <w:rPr>
          <w:rFonts w:ascii="Times New Roman" w:hAnsi="Times New Roman" w:cs="Times New Roman"/>
          <w:sz w:val="24"/>
          <w:szCs w:val="24"/>
        </w:rPr>
        <w:t xml:space="preserve">ienīgās darbības un tās pasākumu īstenošanu saskaņā ar vadības un kontroles sistēmas aprakstā paredzēto kārtību. Sertifikācijas iestāde veic maksājumu </w:t>
      </w:r>
      <w:r w:rsidR="00CB7B8A" w:rsidRPr="00C2109B">
        <w:rPr>
          <w:rFonts w:ascii="Times New Roman" w:hAnsi="Times New Roman" w:cs="Times New Roman"/>
          <w:sz w:val="24"/>
          <w:szCs w:val="24"/>
        </w:rPr>
        <w:t>V</w:t>
      </w:r>
      <w:r w:rsidR="00217804" w:rsidRPr="00C2109B">
        <w:rPr>
          <w:rFonts w:ascii="Times New Roman" w:hAnsi="Times New Roman" w:cs="Times New Roman"/>
          <w:sz w:val="24"/>
          <w:szCs w:val="24"/>
        </w:rPr>
        <w:t>ienīgajam atbalsta saņēmējam tikai pēc tam, kad vadošā iestāde ir aps</w:t>
      </w:r>
      <w:r w:rsidRPr="00C2109B">
        <w:rPr>
          <w:rFonts w:ascii="Times New Roman" w:hAnsi="Times New Roman" w:cs="Times New Roman"/>
          <w:sz w:val="24"/>
          <w:szCs w:val="24"/>
        </w:rPr>
        <w:t>tiprinājusi progresa ziņojumus;</w:t>
      </w:r>
    </w:p>
    <w:p w:rsidR="00C57181" w:rsidRPr="00C2109B" w:rsidRDefault="00F76A72" w:rsidP="00DA46A4">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p</w:t>
      </w:r>
      <w:r w:rsidR="00563CB3" w:rsidRPr="00C2109B">
        <w:rPr>
          <w:rFonts w:ascii="Times New Roman" w:hAnsi="Times New Roman" w:cs="Times New Roman"/>
          <w:sz w:val="24"/>
          <w:szCs w:val="24"/>
        </w:rPr>
        <w:t xml:space="preserve">irmajā maksājuma pieprasījumā iekļauj darbības priekšlikuma sagatavošanas izmaksu atlīdzināšanu. Sagatavošanas izmaksu atlīdzināšanu akceptē līdz 2% no </w:t>
      </w:r>
      <w:r w:rsidR="004F1878" w:rsidRPr="00C2109B">
        <w:rPr>
          <w:rFonts w:ascii="Times New Roman" w:hAnsi="Times New Roman" w:cs="Times New Roman"/>
          <w:sz w:val="24"/>
          <w:szCs w:val="24"/>
        </w:rPr>
        <w:t>V</w:t>
      </w:r>
      <w:r w:rsidR="00563CB3" w:rsidRPr="00C2109B">
        <w:rPr>
          <w:rFonts w:ascii="Times New Roman" w:hAnsi="Times New Roman" w:cs="Times New Roman"/>
          <w:sz w:val="24"/>
          <w:szCs w:val="24"/>
        </w:rPr>
        <w:t xml:space="preserve">ienīgās darbības kopējām izmaksām, kas noteiktas </w:t>
      </w:r>
      <w:r w:rsidR="009A73D2" w:rsidRPr="00C2109B">
        <w:rPr>
          <w:rFonts w:ascii="Times New Roman" w:hAnsi="Times New Roman" w:cs="Times New Roman"/>
          <w:sz w:val="24"/>
          <w:szCs w:val="24"/>
        </w:rPr>
        <w:t xml:space="preserve">granta </w:t>
      </w:r>
      <w:r w:rsidR="00563CB3" w:rsidRPr="00C2109B">
        <w:rPr>
          <w:rFonts w:ascii="Times New Roman" w:hAnsi="Times New Roman" w:cs="Times New Roman"/>
          <w:sz w:val="24"/>
          <w:szCs w:val="24"/>
        </w:rPr>
        <w:t>līgumā. Akceptē vienīgi tās sagatavošanas izmaksas, kas radušās pēc uzaicinājuma iesniegt darbības priekšlikumu un ir tieši saistītas ar apstipri</w:t>
      </w:r>
      <w:r w:rsidRPr="00C2109B">
        <w:rPr>
          <w:rFonts w:ascii="Times New Roman" w:hAnsi="Times New Roman" w:cs="Times New Roman"/>
          <w:sz w:val="24"/>
          <w:szCs w:val="24"/>
        </w:rPr>
        <w:t>nātā priekšlikuma sagatavošanu;</w:t>
      </w:r>
    </w:p>
    <w:p w:rsidR="00B01395" w:rsidRPr="00C2109B" w:rsidRDefault="00F76A72" w:rsidP="00041C73">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w:t>
      </w:r>
      <w:r w:rsidR="00BE6032" w:rsidRPr="00C2109B">
        <w:rPr>
          <w:rFonts w:ascii="Times New Roman" w:hAnsi="Times New Roman" w:cs="Times New Roman"/>
          <w:sz w:val="24"/>
          <w:szCs w:val="24"/>
        </w:rPr>
        <w:t xml:space="preserve">isus turpmākos maksājumu pieprasījumus iesniedz reizi sešos mēnešos saskaņā ar apstiprināto grafiku, kas sīki izklāstīts </w:t>
      </w:r>
      <w:r w:rsidR="009A73D2" w:rsidRPr="00C2109B">
        <w:rPr>
          <w:rFonts w:ascii="Times New Roman" w:hAnsi="Times New Roman" w:cs="Times New Roman"/>
          <w:sz w:val="24"/>
          <w:szCs w:val="24"/>
        </w:rPr>
        <w:t xml:space="preserve">granta </w:t>
      </w:r>
      <w:r w:rsidR="00BE6032" w:rsidRPr="00C2109B">
        <w:rPr>
          <w:rFonts w:ascii="Times New Roman" w:hAnsi="Times New Roman" w:cs="Times New Roman"/>
          <w:sz w:val="24"/>
          <w:szCs w:val="24"/>
        </w:rPr>
        <w:t xml:space="preserve">līgumā. Atkarībā no </w:t>
      </w:r>
      <w:r w:rsidR="00CB7B8A" w:rsidRPr="00C2109B">
        <w:rPr>
          <w:rFonts w:ascii="Times New Roman" w:hAnsi="Times New Roman" w:cs="Times New Roman"/>
          <w:sz w:val="24"/>
          <w:szCs w:val="24"/>
        </w:rPr>
        <w:t>V</w:t>
      </w:r>
      <w:r w:rsidR="00BE6032" w:rsidRPr="00C2109B">
        <w:rPr>
          <w:rFonts w:ascii="Times New Roman" w:hAnsi="Times New Roman" w:cs="Times New Roman"/>
          <w:sz w:val="24"/>
          <w:szCs w:val="24"/>
        </w:rPr>
        <w:t xml:space="preserve">ienīgā atbalsta saņēmēja likviditātes pēc vadošās iestādes pieprasījuma maksājumu pieprasījumus var iesniegt arī agrāk. Tādā gadījumā </w:t>
      </w:r>
      <w:r w:rsidR="000F46A6" w:rsidRPr="00C2109B">
        <w:rPr>
          <w:rFonts w:ascii="Times New Roman" w:hAnsi="Times New Roman" w:cs="Times New Roman"/>
          <w:sz w:val="24"/>
          <w:szCs w:val="24"/>
        </w:rPr>
        <w:t>V</w:t>
      </w:r>
      <w:r w:rsidR="00BE6032" w:rsidRPr="00C2109B">
        <w:rPr>
          <w:rFonts w:ascii="Times New Roman" w:hAnsi="Times New Roman" w:cs="Times New Roman"/>
          <w:sz w:val="24"/>
          <w:szCs w:val="24"/>
        </w:rPr>
        <w:t xml:space="preserve">ienīgais atbalsta saņēmējs var piedāvāt maksājumu pieprasījumu iesniegšanas </w:t>
      </w:r>
      <w:r w:rsidRPr="00C2109B">
        <w:rPr>
          <w:rFonts w:ascii="Times New Roman" w:hAnsi="Times New Roman" w:cs="Times New Roman"/>
          <w:sz w:val="24"/>
          <w:szCs w:val="24"/>
        </w:rPr>
        <w:t xml:space="preserve">pārskatītu </w:t>
      </w:r>
      <w:r w:rsidR="00BE6032" w:rsidRPr="00C2109B">
        <w:rPr>
          <w:rFonts w:ascii="Times New Roman" w:hAnsi="Times New Roman" w:cs="Times New Roman"/>
          <w:sz w:val="24"/>
          <w:szCs w:val="24"/>
        </w:rPr>
        <w:t>grafiku. Ja to akceptē, attiecīgi p</w:t>
      </w:r>
      <w:r w:rsidRPr="00C2109B">
        <w:rPr>
          <w:rFonts w:ascii="Times New Roman" w:hAnsi="Times New Roman" w:cs="Times New Roman"/>
          <w:sz w:val="24"/>
          <w:szCs w:val="24"/>
        </w:rPr>
        <w:t xml:space="preserve">ielāgo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līguma grafiku;</w:t>
      </w:r>
    </w:p>
    <w:p w:rsidR="00C23D86" w:rsidRPr="00C2109B" w:rsidRDefault="00F76A72" w:rsidP="001063AE">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s</w:t>
      </w:r>
      <w:r w:rsidR="00C23D86" w:rsidRPr="00C2109B">
        <w:rPr>
          <w:rFonts w:ascii="Times New Roman" w:hAnsi="Times New Roman" w:cs="Times New Roman"/>
          <w:sz w:val="24"/>
          <w:szCs w:val="24"/>
        </w:rPr>
        <w:t xml:space="preserve">askaņā ar KNR 132. panta 1. punktu vadošā iestāde nodrošina, ka </w:t>
      </w:r>
      <w:r w:rsidR="00CB7B8A" w:rsidRPr="00C2109B">
        <w:rPr>
          <w:rFonts w:ascii="Times New Roman" w:hAnsi="Times New Roman" w:cs="Times New Roman"/>
          <w:sz w:val="24"/>
          <w:szCs w:val="24"/>
        </w:rPr>
        <w:t>V</w:t>
      </w:r>
      <w:r w:rsidR="00C23D86" w:rsidRPr="00C2109B">
        <w:rPr>
          <w:rFonts w:ascii="Times New Roman" w:hAnsi="Times New Roman" w:cs="Times New Roman"/>
          <w:sz w:val="24"/>
          <w:szCs w:val="24"/>
        </w:rPr>
        <w:t xml:space="preserve">ienīgais atbalsta saņēmējs kopējo attiecināmā publiskā atbalsta summu no vēl neizmaksātajiem attiecināmajiem publiskajiem izdevumiem </w:t>
      </w:r>
      <w:r w:rsidRPr="00C2109B">
        <w:rPr>
          <w:rFonts w:ascii="Times New Roman" w:hAnsi="Times New Roman" w:cs="Times New Roman"/>
          <w:sz w:val="24"/>
          <w:szCs w:val="24"/>
        </w:rPr>
        <w:t xml:space="preserve">saņem </w:t>
      </w:r>
      <w:r w:rsidR="00C23D86" w:rsidRPr="00C2109B">
        <w:rPr>
          <w:rFonts w:ascii="Times New Roman" w:hAnsi="Times New Roman" w:cs="Times New Roman"/>
          <w:sz w:val="24"/>
          <w:szCs w:val="24"/>
        </w:rPr>
        <w:t xml:space="preserve">ne vēlāk kā 90 dienas no datuma, kad </w:t>
      </w:r>
      <w:r w:rsidR="00CB7B8A" w:rsidRPr="00C2109B">
        <w:rPr>
          <w:rFonts w:ascii="Times New Roman" w:hAnsi="Times New Roman" w:cs="Times New Roman"/>
          <w:sz w:val="24"/>
          <w:szCs w:val="24"/>
        </w:rPr>
        <w:t>V</w:t>
      </w:r>
      <w:r w:rsidR="00C23D86" w:rsidRPr="00C2109B">
        <w:rPr>
          <w:rFonts w:ascii="Times New Roman" w:hAnsi="Times New Roman" w:cs="Times New Roman"/>
          <w:sz w:val="24"/>
          <w:szCs w:val="24"/>
        </w:rPr>
        <w:t>ienīgais atbalsta saņēmējs ir iesniedzis maksājuma pieprasījumu</w:t>
      </w:r>
      <w:r w:rsidRPr="00C2109B">
        <w:rPr>
          <w:rFonts w:ascii="Times New Roman" w:hAnsi="Times New Roman" w:cs="Times New Roman"/>
          <w:sz w:val="24"/>
          <w:szCs w:val="24"/>
        </w:rPr>
        <w:t>.</w:t>
      </w:r>
      <w:r w:rsidR="00C23D86" w:rsidRPr="00C2109B">
        <w:rPr>
          <w:rFonts w:ascii="Times New Roman" w:hAnsi="Times New Roman" w:cs="Times New Roman"/>
          <w:sz w:val="24"/>
          <w:szCs w:val="24"/>
        </w:rPr>
        <w:t xml:space="preserve"> Vadošā iestāde arī nodrošina, ka </w:t>
      </w:r>
      <w:r w:rsidR="000F46A6" w:rsidRPr="00C2109B">
        <w:rPr>
          <w:rFonts w:ascii="Times New Roman" w:hAnsi="Times New Roman" w:cs="Times New Roman"/>
          <w:sz w:val="24"/>
          <w:szCs w:val="24"/>
        </w:rPr>
        <w:t>V</w:t>
      </w:r>
      <w:r w:rsidR="00C23D86" w:rsidRPr="00C2109B">
        <w:rPr>
          <w:rFonts w:ascii="Times New Roman" w:hAnsi="Times New Roman" w:cs="Times New Roman"/>
          <w:sz w:val="24"/>
          <w:szCs w:val="24"/>
        </w:rPr>
        <w:t>ienīgais atbalsta saņēmējs saņem maksājumus pilnībā, proti, netiek atvilktas vai ieturētas nekādas summas un netiek uzlikta nekāda īpaša maks</w:t>
      </w:r>
      <w:r w:rsidR="001F3E0E" w:rsidRPr="00C2109B">
        <w:rPr>
          <w:rFonts w:ascii="Times New Roman" w:hAnsi="Times New Roman" w:cs="Times New Roman"/>
          <w:sz w:val="24"/>
          <w:szCs w:val="24"/>
        </w:rPr>
        <w:t>a, kas samazinātu summas apmēru</w:t>
      </w:r>
      <w:r w:rsidRPr="00C2109B">
        <w:rPr>
          <w:rFonts w:ascii="Times New Roman" w:hAnsi="Times New Roman" w:cs="Times New Roman"/>
          <w:sz w:val="24"/>
          <w:szCs w:val="24"/>
        </w:rPr>
        <w:t>;</w:t>
      </w:r>
    </w:p>
    <w:p w:rsidR="00D844C6" w:rsidRPr="00C2109B" w:rsidRDefault="00F76A72" w:rsidP="00ED1BC2">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s</w:t>
      </w:r>
      <w:r w:rsidR="00B7795C" w:rsidRPr="00C2109B">
        <w:rPr>
          <w:rFonts w:ascii="Times New Roman" w:hAnsi="Times New Roman" w:cs="Times New Roman"/>
          <w:sz w:val="24"/>
          <w:szCs w:val="24"/>
        </w:rPr>
        <w:t xml:space="preserve">askaņā ar KNR 132. panta 2. punktu vadošā iestāde var pagarināt termiņu maksājumiem </w:t>
      </w:r>
      <w:r w:rsidR="00CB7B8A" w:rsidRPr="00C2109B">
        <w:rPr>
          <w:rFonts w:ascii="Times New Roman" w:hAnsi="Times New Roman" w:cs="Times New Roman"/>
          <w:sz w:val="24"/>
          <w:szCs w:val="24"/>
        </w:rPr>
        <w:t>V</w:t>
      </w:r>
      <w:r w:rsidR="00B7795C" w:rsidRPr="00C2109B">
        <w:rPr>
          <w:rFonts w:ascii="Times New Roman" w:hAnsi="Times New Roman" w:cs="Times New Roman"/>
          <w:sz w:val="24"/>
          <w:szCs w:val="24"/>
        </w:rPr>
        <w:t xml:space="preserve">ienīgajam atbalsta saņēmējam, ja maksājuma pieprasījumu pamatojošie dokumenti ir nepilnīgi vai pastāv aizdomas par pārkāpumiem </w:t>
      </w:r>
      <w:r w:rsidR="009A73D2" w:rsidRPr="00C2109B">
        <w:rPr>
          <w:rFonts w:ascii="Times New Roman" w:hAnsi="Times New Roman" w:cs="Times New Roman"/>
          <w:sz w:val="24"/>
          <w:szCs w:val="24"/>
        </w:rPr>
        <w:t xml:space="preserve">granta </w:t>
      </w:r>
      <w:r w:rsidR="00B7795C" w:rsidRPr="00C2109B">
        <w:rPr>
          <w:rFonts w:ascii="Times New Roman" w:hAnsi="Times New Roman" w:cs="Times New Roman"/>
          <w:sz w:val="24"/>
          <w:szCs w:val="24"/>
        </w:rPr>
        <w:t xml:space="preserve">līgumā paredzētā finansējuma izmantošanā un ir vajadzīga papildu izmeklēšana. Vadošajai iestādei ir tiesības pārtraukt maksājumus </w:t>
      </w:r>
      <w:r w:rsidR="00CB7B8A" w:rsidRPr="00C2109B">
        <w:rPr>
          <w:rFonts w:ascii="Times New Roman" w:hAnsi="Times New Roman" w:cs="Times New Roman"/>
          <w:sz w:val="24"/>
          <w:szCs w:val="24"/>
        </w:rPr>
        <w:t>V</w:t>
      </w:r>
      <w:r w:rsidR="00B7795C" w:rsidRPr="00C2109B">
        <w:rPr>
          <w:rFonts w:ascii="Times New Roman" w:hAnsi="Times New Roman" w:cs="Times New Roman"/>
          <w:sz w:val="24"/>
          <w:szCs w:val="24"/>
        </w:rPr>
        <w:t>ienīgajam atbalsta saņēmējam, ja ir acīmredz</w:t>
      </w:r>
      <w:r w:rsidRPr="00C2109B">
        <w:rPr>
          <w:rFonts w:ascii="Times New Roman" w:hAnsi="Times New Roman" w:cs="Times New Roman"/>
          <w:sz w:val="24"/>
          <w:szCs w:val="24"/>
        </w:rPr>
        <w:t>ami pierādījumi par pārkāpumiem;</w:t>
      </w:r>
    </w:p>
    <w:p w:rsidR="00750295" w:rsidRPr="00C2109B" w:rsidRDefault="00F76A72" w:rsidP="00750295">
      <w:pPr>
        <w:pStyle w:val="NoSpacing"/>
        <w:numPr>
          <w:ilvl w:val="0"/>
          <w:numId w:val="18"/>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w:t>
      </w:r>
      <w:r w:rsidR="00D844C6" w:rsidRPr="00C2109B">
        <w:rPr>
          <w:rFonts w:ascii="Times New Roman" w:hAnsi="Times New Roman" w:cs="Times New Roman"/>
          <w:sz w:val="24"/>
          <w:szCs w:val="24"/>
        </w:rPr>
        <w:t xml:space="preserve">adošajai iestādei un sertifikācijas iestādei ir tiesības uz laiku apturēt maksājumus </w:t>
      </w:r>
      <w:r w:rsidR="00CB7B8A" w:rsidRPr="00C2109B">
        <w:rPr>
          <w:rFonts w:ascii="Times New Roman" w:hAnsi="Times New Roman" w:cs="Times New Roman"/>
          <w:sz w:val="24"/>
          <w:szCs w:val="24"/>
        </w:rPr>
        <w:t>V</w:t>
      </w:r>
      <w:r w:rsidR="00D844C6" w:rsidRPr="00C2109B">
        <w:rPr>
          <w:rFonts w:ascii="Times New Roman" w:hAnsi="Times New Roman" w:cs="Times New Roman"/>
          <w:sz w:val="24"/>
          <w:szCs w:val="24"/>
        </w:rPr>
        <w:t>ienīgajam atbalsta saņēmējam, ja notiek sistēmiski pārkāpumi KNR 2. panta 38. punkta nozīmē, kas izriet no nopietniem trūkumiem to pārvaldības un kontroles sistēmu efektīvā darbībā, kuras izveidojusi Luksemburgas Lielhercogiste. Maksājumu apturēšanu atceļ, tiklīdz vadošā iestāde un sertifikācijas iestāde ir saņēmušas pietiekamus pierādījumus par risinājumu konstatē</w:t>
      </w:r>
      <w:r w:rsidR="001F3E0E" w:rsidRPr="00C2109B">
        <w:rPr>
          <w:rFonts w:ascii="Times New Roman" w:hAnsi="Times New Roman" w:cs="Times New Roman"/>
          <w:sz w:val="24"/>
          <w:szCs w:val="24"/>
        </w:rPr>
        <w:t>to nopietno trūkumu novēršanai.</w:t>
      </w:r>
    </w:p>
    <w:p w:rsidR="00320415" w:rsidRPr="00C2109B" w:rsidRDefault="002D03E6" w:rsidP="005A49D2">
      <w:pPr>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Vienīgajam atbalsta saņēmējam piešķir vienu avansa maksājumu līdz 6% no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līguma. Parakstot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līgumu, tiek veikts pirmais maksājums 2% apmērā un pēc tam vēl divi papildu maksājumi 2% apmērā 4 vai 8 mēnešus pēc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līguma parakstīšanas, attiecīgi izmantojot sākotnējo priekšfinansējuma summu, ko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programmai maksā Eiropas Komisija saskaņā ar KNR 134. panta 1. punkta noteikumiem. Pēc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 </w:t>
      </w:r>
      <w:r w:rsidRPr="00C2109B">
        <w:rPr>
          <w:rFonts w:ascii="Times New Roman" w:hAnsi="Times New Roman" w:cs="Times New Roman"/>
          <w:sz w:val="24"/>
          <w:szCs w:val="24"/>
        </w:rPr>
        <w:lastRenderedPageBreak/>
        <w:t xml:space="preserve">atbalsta saņēmēja pieprasījuma var piešķirt papildu maksājumu 2% apmērā, ja to apstiprina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 un programmai ir pieejams finansējums. Ja ikgadējie priekšfinansējuma maksājumi nav pietiekami, lai nodrošinātu </w:t>
      </w:r>
      <w:r w:rsidR="000F46A6"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 atbalsta saņēmēja likviditāti un nevainojamu darbību, vadošā iestāde mēģina rast risinājumu Luksemburgas Lielhercogistē. Vienīgi tad, ja risinājumu neizdodas rast Luksemburgas Lielhercogistē, vadošā iestāde lūdz dalībvalstis un partnervalstis rast kopīgu risinājumu, kas novērstu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ienīgā atbalsta</w:t>
      </w:r>
      <w:r w:rsidR="001F3E0E" w:rsidRPr="00C2109B">
        <w:rPr>
          <w:rFonts w:ascii="Times New Roman" w:hAnsi="Times New Roman" w:cs="Times New Roman"/>
          <w:sz w:val="24"/>
          <w:szCs w:val="24"/>
        </w:rPr>
        <w:t xml:space="preserve"> saņēmēja likviditātes trūkumu.</w:t>
      </w:r>
    </w:p>
    <w:p w:rsidR="00750295" w:rsidRPr="00C2109B" w:rsidRDefault="009E5050" w:rsidP="00F76A72">
      <w:pPr>
        <w:pStyle w:val="NoSpacing"/>
        <w:spacing w:after="120"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Pamatojoties uz maksājumu pieprasījumiem, ko vadošā iestāde iesniedz sertifikācijas iestādei, tiek veikti regulāri maksājumi vadošajai iestādei 2. prioritārajā virzienā paredzētās tehniskās palīdzības finansēšanai.</w:t>
      </w:r>
    </w:p>
    <w:p w:rsidR="00910A45" w:rsidRPr="00C2109B" w:rsidRDefault="005C62A6" w:rsidP="00910A45">
      <w:pPr>
        <w:jc w:val="both"/>
        <w:rPr>
          <w:rFonts w:ascii="Times New Roman" w:hAnsi="Times New Roman" w:cs="Times New Roman"/>
          <w:sz w:val="24"/>
          <w:szCs w:val="24"/>
        </w:rPr>
      </w:pPr>
      <w:r w:rsidRPr="00C2109B">
        <w:rPr>
          <w:rFonts w:ascii="Times New Roman" w:hAnsi="Times New Roman" w:cs="Times New Roman"/>
          <w:sz w:val="24"/>
          <w:szCs w:val="24"/>
        </w:rPr>
        <w:t>5)</w:t>
      </w:r>
      <w:r w:rsidRPr="00C2109B">
        <w:rPr>
          <w:rFonts w:ascii="Times New Roman" w:hAnsi="Times New Roman" w:cs="Times New Roman"/>
          <w:sz w:val="24"/>
          <w:szCs w:val="24"/>
        </w:rPr>
        <w:tab/>
        <w:t xml:space="preserve">Saskaņā ar KNR 130. pantu Komisija atlīdzina kā starpposma maksājumus 90% no summas par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katru prioritāro virzienu līdz prioritārajam virzienam noteiktajam attiecināmo izdevumu apmēram, kas iekļauts maksājuma pieteikumā. Šai nolūkā dalībvalstis vienojas ar vadošo </w:t>
      </w:r>
      <w:r w:rsidR="00501E85" w:rsidRPr="00C2109B">
        <w:rPr>
          <w:rFonts w:ascii="Times New Roman" w:hAnsi="Times New Roman" w:cs="Times New Roman"/>
          <w:sz w:val="24"/>
          <w:szCs w:val="24"/>
        </w:rPr>
        <w:t>iestādi</w:t>
      </w:r>
      <w:r w:rsidRPr="00C2109B">
        <w:rPr>
          <w:rFonts w:ascii="Times New Roman" w:hAnsi="Times New Roman" w:cs="Times New Roman"/>
          <w:sz w:val="24"/>
          <w:szCs w:val="24"/>
        </w:rPr>
        <w:t xml:space="preserve"> un sertifikācijas iestādi par šādu procedūru, ko piemēro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ienīgajam atbalsta saņēmējam: ja izdevumus apstiprina,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ienīgajam atbalsta saņēmējam tiek garantēti maksājumi līdz 90% no apstiprinātajiem ERAF līdzekļiem </w:t>
      </w:r>
      <w:r w:rsidR="0087279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ienīgajai darbībai un 100% no valstu līdzfinansējuma. Atlikušo ERAF līdzekļu maksājumi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ienīgajam atbalsta saņēmējam ir atkarīgi no to pieejamības. Ja līdzekļi nav pietiekami, lai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ienīgajam atbalsta saņēmējam samaksātu 100% no summas, finansējuma beigu atlikumu izmaksā tikai tad, kad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 sasniegusi faktisko nobeiguma posmu un Eiropas Komisija ir pārskaitījusi sertifikāc</w:t>
      </w:r>
      <w:r w:rsidR="001F3E0E" w:rsidRPr="00C2109B">
        <w:rPr>
          <w:rFonts w:ascii="Times New Roman" w:hAnsi="Times New Roman" w:cs="Times New Roman"/>
          <w:sz w:val="24"/>
          <w:szCs w:val="24"/>
        </w:rPr>
        <w:t>ijas iestādei galīgo maksājumu.</w:t>
      </w:r>
    </w:p>
    <w:p w:rsidR="00EF2C93" w:rsidRPr="00C2109B" w:rsidRDefault="00326945" w:rsidP="00910A45">
      <w:pPr>
        <w:pStyle w:val="Heading3"/>
        <w:rPr>
          <w:rFonts w:ascii="Times New Roman" w:hAnsi="Times New Roman" w:cs="Times New Roman"/>
          <w:sz w:val="24"/>
          <w:szCs w:val="24"/>
        </w:rPr>
      </w:pPr>
      <w:bookmarkStart w:id="50" w:name="_Toc423349166"/>
      <w:bookmarkStart w:id="51" w:name="_Toc427826211"/>
      <w:r w:rsidRPr="00C2109B">
        <w:rPr>
          <w:rFonts w:ascii="Times New Roman" w:hAnsi="Times New Roman" w:cs="Times New Roman"/>
          <w:sz w:val="24"/>
          <w:szCs w:val="24"/>
        </w:rPr>
        <w:t xml:space="preserve">22. pants.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pārkāpumi</w:t>
      </w:r>
      <w:bookmarkEnd w:id="50"/>
      <w:bookmarkEnd w:id="51"/>
    </w:p>
    <w:p w:rsidR="007023A6" w:rsidRPr="00C2109B" w:rsidRDefault="007023A6" w:rsidP="0016706D">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pārkāpumi v</w:t>
      </w:r>
      <w:r w:rsidR="001F3E0E" w:rsidRPr="00C2109B">
        <w:rPr>
          <w:rFonts w:ascii="Times New Roman" w:hAnsi="Times New Roman" w:cs="Times New Roman"/>
          <w:sz w:val="24"/>
          <w:szCs w:val="24"/>
        </w:rPr>
        <w:t>ar rasties šādos trīs aspektos:</w:t>
      </w:r>
    </w:p>
    <w:p w:rsidR="00533B78" w:rsidRPr="00C2109B" w:rsidRDefault="007023A6" w:rsidP="0016706D">
      <w:pPr>
        <w:pStyle w:val="NoSpacing"/>
        <w:numPr>
          <w:ilvl w:val="0"/>
          <w:numId w:val="13"/>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ar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līgumu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 piešķirtā finansējuma izlietoj</w:t>
      </w:r>
      <w:r w:rsidR="001F3E0E" w:rsidRPr="00C2109B">
        <w:rPr>
          <w:rFonts w:ascii="Times New Roman" w:hAnsi="Times New Roman" w:cs="Times New Roman"/>
          <w:sz w:val="24"/>
          <w:szCs w:val="24"/>
        </w:rPr>
        <w:t>umā 1. prioritārajam virzienam;</w:t>
      </w:r>
    </w:p>
    <w:p w:rsidR="007023A6" w:rsidRPr="00C2109B" w:rsidRDefault="007023A6" w:rsidP="0016706D">
      <w:pPr>
        <w:pStyle w:val="NoSpacing"/>
        <w:numPr>
          <w:ilvl w:val="0"/>
          <w:numId w:val="13"/>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tehniskās palīdzības finans</w:t>
      </w:r>
      <w:r w:rsidR="007F17CB" w:rsidRPr="00C2109B">
        <w:rPr>
          <w:rFonts w:ascii="Times New Roman" w:hAnsi="Times New Roman" w:cs="Times New Roman"/>
          <w:sz w:val="24"/>
          <w:szCs w:val="24"/>
        </w:rPr>
        <w:t xml:space="preserve">ējuma izlietojumā </w:t>
      </w:r>
      <w:r w:rsidR="0012053A" w:rsidRPr="00C2109B">
        <w:rPr>
          <w:rFonts w:ascii="Times New Roman" w:hAnsi="Times New Roman" w:cs="Times New Roman"/>
          <w:sz w:val="24"/>
          <w:szCs w:val="24"/>
        </w:rPr>
        <w:t>„</w:t>
      </w:r>
      <w:r w:rsidR="007F17CB"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007F17CB" w:rsidRPr="00C2109B">
        <w:rPr>
          <w:rFonts w:ascii="Times New Roman" w:hAnsi="Times New Roman" w:cs="Times New Roman"/>
          <w:sz w:val="24"/>
          <w:szCs w:val="24"/>
        </w:rPr>
        <w:t xml:space="preserve"> </w:t>
      </w:r>
      <w:r w:rsidRPr="00C2109B">
        <w:rPr>
          <w:rFonts w:ascii="Times New Roman" w:hAnsi="Times New Roman" w:cs="Times New Roman"/>
          <w:sz w:val="24"/>
          <w:szCs w:val="24"/>
        </w:rPr>
        <w:t>sadarbības programmas 2. prioritārajam virzienam;</w:t>
      </w:r>
    </w:p>
    <w:p w:rsidR="00EF2C93" w:rsidRPr="00C2109B" w:rsidRDefault="00134B52" w:rsidP="0016706D">
      <w:pPr>
        <w:pStyle w:val="NoSpacing"/>
        <w:numPr>
          <w:ilvl w:val="0"/>
          <w:numId w:val="13"/>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programmas līmenī </w:t>
      </w:r>
      <w:r w:rsidR="00B938CB" w:rsidRPr="00C2109B">
        <w:rPr>
          <w:rFonts w:ascii="Times New Roman" w:hAnsi="Times New Roman" w:cs="Times New Roman"/>
          <w:sz w:val="24"/>
          <w:szCs w:val="24"/>
        </w:rPr>
        <w:t>piemērojot vienotās likmes korekciju saskaņā ar KNR 143. pantu.</w:t>
      </w:r>
    </w:p>
    <w:p w:rsidR="00D20FFF" w:rsidRPr="00C2109B" w:rsidRDefault="006660B7" w:rsidP="006660B7">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Lai pilnībā izpildītu KNR 122. panta 2. punktā paredzētos noteikumus,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galvenās īstenošanas struktūras saskaņā ar to attiecīgajām funkcijām un pienākumiem sekmē pārkāpumu novēršanu, konstatēšanu un izlabošanu un nepamatoti izmaksāto summu atgūšanu.</w:t>
      </w:r>
    </w:p>
    <w:p w:rsidR="000F365F" w:rsidRPr="00C2109B" w:rsidRDefault="006660B7" w:rsidP="00EA5A33">
      <w:pPr>
        <w:pStyle w:val="NoSpacing"/>
        <w:numPr>
          <w:ilvl w:val="0"/>
          <w:numId w:val="15"/>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Vadošā iestāde nodrošina, ka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kā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ienīgais </w:t>
      </w:r>
      <w:r w:rsidR="00CB7B8A" w:rsidRPr="00C2109B">
        <w:rPr>
          <w:rFonts w:ascii="Times New Roman" w:hAnsi="Times New Roman" w:cs="Times New Roman"/>
          <w:sz w:val="24"/>
          <w:szCs w:val="24"/>
        </w:rPr>
        <w:t xml:space="preserve">atbalsta </w:t>
      </w:r>
      <w:r w:rsidRPr="00C2109B">
        <w:rPr>
          <w:rFonts w:ascii="Times New Roman" w:hAnsi="Times New Roman" w:cs="Times New Roman"/>
          <w:sz w:val="24"/>
          <w:szCs w:val="24"/>
        </w:rPr>
        <w:t xml:space="preserve">saņēmējs saskaņā 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1. prioritāro virzienu izstrādā visus nepieciešamos normatīvos un darbības noteikumus, lai novērstu pārkāpumus, kas var rasties finansējuma izmantoša</w:t>
      </w:r>
      <w:r w:rsidR="001F3E0E" w:rsidRPr="00C2109B">
        <w:rPr>
          <w:rFonts w:ascii="Times New Roman" w:hAnsi="Times New Roman" w:cs="Times New Roman"/>
          <w:sz w:val="24"/>
          <w:szCs w:val="24"/>
        </w:rPr>
        <w:t>nā saskaņā ar dotācijas līgumu.</w:t>
      </w:r>
    </w:p>
    <w:p w:rsidR="006660B7" w:rsidRPr="00C2109B" w:rsidRDefault="00195D73" w:rsidP="00195D73">
      <w:pPr>
        <w:pStyle w:val="NoSpacing"/>
        <w:numPr>
          <w:ilvl w:val="0"/>
          <w:numId w:val="15"/>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Vadošā iestāde veic vajadzīgos organizatoriskos un darbības pasākumus, lai novērstu pārkāpumus, kas var rasties tehniskās palīdzības finansējuma izmantošanā 2. prioritārajā virzienā.</w:t>
      </w:r>
    </w:p>
    <w:p w:rsidR="00195D73" w:rsidRPr="00C2109B" w:rsidRDefault="004C5738" w:rsidP="00EA5A33">
      <w:pPr>
        <w:pStyle w:val="NoSpacing"/>
        <w:numPr>
          <w:ilvl w:val="0"/>
          <w:numId w:val="15"/>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Ja vadošajai iestādei vai sertifikācijas iestādei, vai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ienīgajam atbalsta saņēmējam, vai kādai no dalībvalstīm un partnervalstīm rodas aizdomas par pārkāpumiem, tie nekavējoties informē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komiteju </w:t>
      </w:r>
      <w:r w:rsidRPr="00C2109B">
        <w:rPr>
          <w:rFonts w:ascii="Times New Roman" w:hAnsi="Times New Roman" w:cs="Times New Roman"/>
          <w:sz w:val="24"/>
          <w:szCs w:val="24"/>
        </w:rPr>
        <w:lastRenderedPageBreak/>
        <w:t>un to vadošās iestādes struktūrvienību, kas veic kopīgā sekre</w:t>
      </w:r>
      <w:r w:rsidR="001F3E0E" w:rsidRPr="00C2109B">
        <w:rPr>
          <w:rFonts w:ascii="Times New Roman" w:hAnsi="Times New Roman" w:cs="Times New Roman"/>
          <w:sz w:val="24"/>
          <w:szCs w:val="24"/>
        </w:rPr>
        <w:t>tariāta funkcijas un uzdevumus.</w:t>
      </w:r>
    </w:p>
    <w:p w:rsidR="00D20FFF" w:rsidRPr="00C2109B" w:rsidRDefault="00585BFB" w:rsidP="00EA5A33">
      <w:pPr>
        <w:pStyle w:val="NoSpacing"/>
        <w:numPr>
          <w:ilvl w:val="0"/>
          <w:numId w:val="15"/>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Luksemburgas Lielhercogiste kā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ienīgā atbalsta saņēmēja un vadošās iestādes uzņemošā valsts ir atbildīga par ziņojumu sniegšanu Komisijai un tās informēšanu par pārkāpumiem, kas pārsniedz EUR 10 000 no ERAF sniegtā ieguldījuma, un informācijas sniegšanu par saistīto administratīvo procedūru un tiesvedības būtisku virzību.</w:t>
      </w:r>
    </w:p>
    <w:p w:rsidR="00585BFB" w:rsidRPr="00C2109B" w:rsidRDefault="000F365F" w:rsidP="00585BFB">
      <w:pPr>
        <w:pStyle w:val="NoSpacing"/>
        <w:numPr>
          <w:ilvl w:val="0"/>
          <w:numId w:val="15"/>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Vadošā iestāde apņemas nekavējoties sniegt </w:t>
      </w:r>
      <w:r w:rsidR="00E50E45"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komitejai, sertifikācijas iestādei un revīzijas iestādei visu informāciju par konstatētiem pārkāpumiem attiecībā uz summām, kas nepārsniedz </w:t>
      </w:r>
      <w:r w:rsidR="001F3E0E" w:rsidRPr="00C2109B">
        <w:rPr>
          <w:rFonts w:ascii="Times New Roman" w:hAnsi="Times New Roman" w:cs="Times New Roman"/>
          <w:sz w:val="24"/>
          <w:szCs w:val="24"/>
        </w:rPr>
        <w:t>EUR 10 000 no ERAF finansējuma.</w:t>
      </w:r>
    </w:p>
    <w:p w:rsidR="00D20FFF" w:rsidRPr="00C2109B" w:rsidRDefault="00406375" w:rsidP="006660B7">
      <w:pPr>
        <w:pStyle w:val="NoSpacing"/>
        <w:numPr>
          <w:ilvl w:val="0"/>
          <w:numId w:val="15"/>
        </w:numPr>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Vadošā iestāde kopā ar pārējām skartajām dalībvalstīm un partnervalstīm pieliek visas pūles, lai atgūtu nepamatoti izmaksātās summas kopā ar</w:t>
      </w:r>
      <w:r w:rsidR="001F3E0E" w:rsidRPr="00C2109B">
        <w:rPr>
          <w:rFonts w:ascii="Times New Roman" w:hAnsi="Times New Roman" w:cs="Times New Roman"/>
          <w:sz w:val="24"/>
          <w:szCs w:val="24"/>
        </w:rPr>
        <w:t xml:space="preserve"> jebkuriem kavējuma procentiem.</w:t>
      </w:r>
    </w:p>
    <w:p w:rsidR="00094251" w:rsidRPr="00C2109B" w:rsidRDefault="00326945" w:rsidP="00CC38E4">
      <w:pPr>
        <w:pStyle w:val="Heading3"/>
        <w:keepNext/>
        <w:rPr>
          <w:rFonts w:ascii="Times New Roman" w:hAnsi="Times New Roman" w:cs="Times New Roman"/>
          <w:sz w:val="24"/>
          <w:szCs w:val="24"/>
        </w:rPr>
      </w:pPr>
      <w:bookmarkStart w:id="52" w:name="_Toc423349167"/>
      <w:bookmarkStart w:id="53" w:name="_Toc427826212"/>
      <w:r w:rsidRPr="00C2109B">
        <w:rPr>
          <w:rFonts w:ascii="Times New Roman" w:hAnsi="Times New Roman" w:cs="Times New Roman"/>
          <w:sz w:val="24"/>
          <w:szCs w:val="24"/>
        </w:rPr>
        <w:t xml:space="preserve">23. pants. Atbildības noteikšana un </w:t>
      </w:r>
      <w:r w:rsidR="00AC738A" w:rsidRPr="00C2109B">
        <w:rPr>
          <w:rFonts w:ascii="Times New Roman" w:hAnsi="Times New Roman" w:cs="Times New Roman"/>
          <w:sz w:val="24"/>
          <w:szCs w:val="24"/>
        </w:rPr>
        <w:t xml:space="preserve">riska </w:t>
      </w:r>
      <w:r w:rsidRPr="00C2109B">
        <w:rPr>
          <w:rFonts w:ascii="Times New Roman" w:hAnsi="Times New Roman" w:cs="Times New Roman"/>
          <w:sz w:val="24"/>
          <w:szCs w:val="24"/>
        </w:rPr>
        <w:t>atbildības mehānisms</w:t>
      </w:r>
      <w:bookmarkEnd w:id="52"/>
      <w:bookmarkEnd w:id="53"/>
    </w:p>
    <w:p w:rsidR="00A162B7" w:rsidRPr="00C2109B" w:rsidRDefault="003F168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1) </w:t>
      </w:r>
      <w:r w:rsidRPr="00C2109B">
        <w:rPr>
          <w:rFonts w:ascii="Times New Roman" w:hAnsi="Times New Roman" w:cs="Times New Roman"/>
          <w:sz w:val="24"/>
          <w:szCs w:val="24"/>
        </w:rPr>
        <w:tab/>
        <w:t xml:space="preserve">Atsaucoties uz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situācija saistībā 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un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ienīgā atbalsta saņēmēja izveidi ir īpaša, jo subsīdijas saņems tikai divas vienības, tādējādi atbildību var diezgan skaidri noteikt:</w:t>
      </w:r>
    </w:p>
    <w:p w:rsidR="00A162B7" w:rsidRPr="00C2109B" w:rsidRDefault="003F1683">
      <w:pPr>
        <w:pStyle w:val="NoSpacing"/>
        <w:spacing w:line="276" w:lineRule="auto"/>
        <w:ind w:left="1418" w:hanging="710"/>
        <w:jc w:val="both"/>
        <w:rPr>
          <w:rFonts w:ascii="Times New Roman" w:hAnsi="Times New Roman" w:cs="Times New Roman"/>
          <w:sz w:val="24"/>
          <w:szCs w:val="24"/>
        </w:rPr>
      </w:pPr>
      <w:r w:rsidRPr="00C2109B">
        <w:rPr>
          <w:rFonts w:ascii="Times New Roman" w:hAnsi="Times New Roman" w:cs="Times New Roman"/>
          <w:sz w:val="24"/>
          <w:szCs w:val="24"/>
        </w:rPr>
        <w:t xml:space="preserve">(1) </w:t>
      </w:r>
      <w:r w:rsidRPr="00C2109B">
        <w:rPr>
          <w:rFonts w:ascii="Times New Roman" w:hAnsi="Times New Roman" w:cs="Times New Roman"/>
          <w:sz w:val="24"/>
          <w:szCs w:val="24"/>
        </w:rPr>
        <w:tab/>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ienīgais atbalsta saņēmējs saskaņā ar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līgumu saņem visu finansējumu, ko piešķir 1. prioritāraj</w:t>
      </w:r>
      <w:r w:rsidR="002956E0" w:rsidRPr="00C2109B">
        <w:rPr>
          <w:rFonts w:ascii="Times New Roman" w:hAnsi="Times New Roman" w:cs="Times New Roman"/>
          <w:sz w:val="24"/>
          <w:szCs w:val="24"/>
        </w:rPr>
        <w:t>ā</w:t>
      </w:r>
      <w:r w:rsidRPr="00C2109B">
        <w:rPr>
          <w:rFonts w:ascii="Times New Roman" w:hAnsi="Times New Roman" w:cs="Times New Roman"/>
          <w:sz w:val="24"/>
          <w:szCs w:val="24"/>
        </w:rPr>
        <w:t xml:space="preserve"> virzien</w:t>
      </w:r>
      <w:r w:rsidR="002956E0" w:rsidRPr="00C2109B">
        <w:rPr>
          <w:rFonts w:ascii="Times New Roman" w:hAnsi="Times New Roman" w:cs="Times New Roman"/>
          <w:sz w:val="24"/>
          <w:szCs w:val="24"/>
        </w:rPr>
        <w:t>ā</w:t>
      </w:r>
      <w:r w:rsidRPr="00C2109B">
        <w:rPr>
          <w:rFonts w:ascii="Times New Roman" w:hAnsi="Times New Roman" w:cs="Times New Roman"/>
          <w:sz w:val="24"/>
          <w:szCs w:val="24"/>
        </w:rPr>
        <w:t>;</w:t>
      </w:r>
    </w:p>
    <w:p w:rsidR="00A162B7" w:rsidRPr="00C2109B" w:rsidRDefault="003F1683">
      <w:pPr>
        <w:pStyle w:val="NoSpacing"/>
        <w:spacing w:line="276" w:lineRule="auto"/>
        <w:ind w:left="1418" w:hanging="710"/>
        <w:jc w:val="both"/>
        <w:rPr>
          <w:rFonts w:ascii="Times New Roman" w:hAnsi="Times New Roman" w:cs="Times New Roman"/>
          <w:sz w:val="24"/>
          <w:szCs w:val="24"/>
        </w:rPr>
      </w:pPr>
      <w:r w:rsidRPr="00C2109B">
        <w:rPr>
          <w:rFonts w:ascii="Times New Roman" w:hAnsi="Times New Roman" w:cs="Times New Roman"/>
          <w:sz w:val="24"/>
          <w:szCs w:val="24"/>
        </w:rPr>
        <w:t xml:space="preserve">(2) </w:t>
      </w:r>
      <w:r w:rsidRPr="00C2109B">
        <w:rPr>
          <w:rFonts w:ascii="Times New Roman" w:hAnsi="Times New Roman" w:cs="Times New Roman"/>
          <w:sz w:val="24"/>
          <w:szCs w:val="24"/>
        </w:rPr>
        <w:tab/>
        <w:t>vadošā iestāde saņem visu 2. prioritārā virziena (Tehniskā palīdzība) finansējumu;</w:t>
      </w:r>
    </w:p>
    <w:p w:rsidR="00A162B7" w:rsidRPr="00C2109B" w:rsidRDefault="003F1683">
      <w:pPr>
        <w:pStyle w:val="NoSpacing"/>
        <w:spacing w:line="276" w:lineRule="auto"/>
        <w:ind w:left="1418" w:hanging="710"/>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principā ir iespējams trešais atbildības veids, programmas līmenī nosakot vienotu korekcijas likmi, kas skar gan </w:t>
      </w:r>
      <w:r w:rsidR="00B56E18" w:rsidRPr="00C2109B">
        <w:rPr>
          <w:rFonts w:ascii="Times New Roman" w:hAnsi="Times New Roman" w:cs="Times New Roman"/>
          <w:sz w:val="24"/>
          <w:szCs w:val="24"/>
        </w:rPr>
        <w:t>V</w:t>
      </w:r>
      <w:r w:rsidRPr="00C2109B">
        <w:rPr>
          <w:rFonts w:ascii="Times New Roman" w:hAnsi="Times New Roman" w:cs="Times New Roman"/>
          <w:sz w:val="24"/>
          <w:szCs w:val="24"/>
        </w:rPr>
        <w:t>ienīgo atbalsta saņēmēju, gan vadošo iestādi.</w:t>
      </w:r>
    </w:p>
    <w:p w:rsidR="00A162B7" w:rsidRPr="00C2109B" w:rsidRDefault="003F168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Vienīgā atbalsta saņ</w:t>
      </w:r>
      <w:r w:rsidR="00746D58" w:rsidRPr="00C2109B">
        <w:rPr>
          <w:rFonts w:ascii="Times New Roman" w:hAnsi="Times New Roman" w:cs="Times New Roman"/>
          <w:sz w:val="24"/>
          <w:szCs w:val="24"/>
        </w:rPr>
        <w:t>ēmēja atbildība – 1. prioritāte. J</w:t>
      </w:r>
      <w:r w:rsidRPr="00C2109B">
        <w:rPr>
          <w:rFonts w:ascii="Times New Roman" w:hAnsi="Times New Roman" w:cs="Times New Roman"/>
          <w:sz w:val="24"/>
          <w:szCs w:val="24"/>
        </w:rPr>
        <w:t xml:space="preserve">a rodas neattiecināmi izdevumi vai pārkāpumi, kam ir finansiāla ietekme uz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 xml:space="preserve">ienīgā atbalsta saņēmēja finansējuma izlietojumu, atbildību uzņemas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Ja </w:t>
      </w:r>
      <w:r w:rsidRPr="00C2109B">
        <w:rPr>
          <w:rFonts w:ascii="Times New Roman" w:hAnsi="Times New Roman" w:cs="Times New Roman"/>
          <w:i/>
          <w:sz w:val="24"/>
          <w:szCs w:val="24"/>
        </w:rPr>
        <w:t>ETSG</w:t>
      </w:r>
      <w:r w:rsidRPr="00C2109B">
        <w:rPr>
          <w:rFonts w:ascii="Times New Roman" w:hAnsi="Times New Roman" w:cs="Times New Roman"/>
          <w:sz w:val="24"/>
          <w:szCs w:val="24"/>
        </w:rPr>
        <w:t xml:space="preserve"> nevar segt šīs izmaksas, atbildīgi ir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dalībnieki. Lai sniegtu atbalstu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dalībniekiem attiecībā uz finanšu slogu, ko rada neierobežota atbildība par ERAF finansējuma izmantošanu, kas piešķirts saskaņā ar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līgumu, tiek izveidots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xml:space="preserve"> </w:t>
      </w:r>
      <w:r w:rsidR="009A73D2" w:rsidRPr="00C2109B">
        <w:rPr>
          <w:rFonts w:ascii="Times New Roman" w:hAnsi="Times New Roman" w:cs="Times New Roman"/>
          <w:sz w:val="24"/>
          <w:szCs w:val="24"/>
        </w:rPr>
        <w:t xml:space="preserve">riska </w:t>
      </w:r>
      <w:r w:rsidRPr="00C2109B">
        <w:rPr>
          <w:rFonts w:ascii="Times New Roman" w:hAnsi="Times New Roman" w:cs="Times New Roman"/>
          <w:sz w:val="24"/>
          <w:szCs w:val="24"/>
        </w:rPr>
        <w:t>atbildības mehānisms (turpmāk tekstā –</w:t>
      </w:r>
      <w:r w:rsidR="009A73D2" w:rsidRPr="00C2109B">
        <w:rPr>
          <w:rFonts w:ascii="Times New Roman" w:hAnsi="Times New Roman" w:cs="Times New Roman"/>
          <w:sz w:val="24"/>
          <w:szCs w:val="24"/>
        </w:rPr>
        <w:t xml:space="preserve">Atbildības </w:t>
      </w:r>
      <w:r w:rsidRPr="00C2109B">
        <w:rPr>
          <w:rFonts w:ascii="Times New Roman" w:hAnsi="Times New Roman" w:cs="Times New Roman"/>
          <w:sz w:val="24"/>
          <w:szCs w:val="24"/>
        </w:rPr>
        <w:t>mehānisms), kas ir š</w:t>
      </w:r>
      <w:r w:rsidR="00AC738A" w:rsidRPr="00C2109B">
        <w:rPr>
          <w:rFonts w:ascii="Times New Roman" w:hAnsi="Times New Roman" w:cs="Times New Roman"/>
          <w:sz w:val="24"/>
          <w:szCs w:val="24"/>
        </w:rPr>
        <w:t>īs</w:t>
      </w:r>
      <w:r w:rsidRPr="00C2109B">
        <w:rPr>
          <w:rFonts w:ascii="Times New Roman" w:hAnsi="Times New Roman" w:cs="Times New Roman"/>
          <w:sz w:val="24"/>
          <w:szCs w:val="24"/>
        </w:rPr>
        <w:t xml:space="preserve"> </w:t>
      </w:r>
      <w:r w:rsidR="00AC738A" w:rsidRPr="00C2109B">
        <w:rPr>
          <w:rFonts w:ascii="Times New Roman" w:hAnsi="Times New Roman" w:cs="Times New Roman"/>
          <w:sz w:val="24"/>
          <w:szCs w:val="24"/>
        </w:rPr>
        <w:t xml:space="preserve">vienošanās </w:t>
      </w:r>
      <w:r w:rsidRPr="00C2109B">
        <w:rPr>
          <w:rFonts w:ascii="Times New Roman" w:hAnsi="Times New Roman" w:cs="Times New Roman"/>
          <w:sz w:val="24"/>
          <w:szCs w:val="24"/>
        </w:rPr>
        <w:t>fo</w:t>
      </w:r>
      <w:r w:rsidR="001F3E0E" w:rsidRPr="00C2109B">
        <w:rPr>
          <w:rFonts w:ascii="Times New Roman" w:hAnsi="Times New Roman" w:cs="Times New Roman"/>
          <w:sz w:val="24"/>
          <w:szCs w:val="24"/>
        </w:rPr>
        <w:t>rmāls pielikums (1. pielikums).</w:t>
      </w:r>
    </w:p>
    <w:p w:rsidR="00A162B7" w:rsidRPr="00C2109B" w:rsidRDefault="003F168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Atbildības mehānisma mērķis, finansējuma apjoms un praktiskā darbība ir aprakstīti īpašā atsauces dokumentā par </w:t>
      </w:r>
      <w:r w:rsidR="00AC738A" w:rsidRPr="00C2109B">
        <w:rPr>
          <w:rFonts w:ascii="Times New Roman" w:hAnsi="Times New Roman" w:cs="Times New Roman"/>
          <w:sz w:val="24"/>
          <w:szCs w:val="24"/>
        </w:rPr>
        <w:t xml:space="preserve">riska </w:t>
      </w:r>
      <w:r w:rsidRPr="00C2109B">
        <w:rPr>
          <w:rFonts w:ascii="Times New Roman" w:hAnsi="Times New Roman" w:cs="Times New Roman"/>
          <w:sz w:val="24"/>
          <w:szCs w:val="24"/>
        </w:rPr>
        <w:t xml:space="preserve">atbildības mehānismu, kas ir pielikums </w:t>
      </w:r>
      <w:r w:rsidR="00AC738A" w:rsidRPr="00C2109B">
        <w:rPr>
          <w:rFonts w:ascii="Times New Roman" w:hAnsi="Times New Roman" w:cs="Times New Roman"/>
          <w:sz w:val="24"/>
          <w:szCs w:val="24"/>
        </w:rPr>
        <w:t xml:space="preserve">daudzpusējai vienošanai </w:t>
      </w:r>
      <w:r w:rsidRPr="00C2109B">
        <w:rPr>
          <w:rFonts w:ascii="Times New Roman" w:hAnsi="Times New Roman" w:cs="Times New Roman"/>
          <w:sz w:val="24"/>
          <w:szCs w:val="24"/>
        </w:rPr>
        <w:t xml:space="preserve">starp Luksemburgu un dalībvalstīm un partnervalstīm par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w:t>
      </w:r>
    </w:p>
    <w:p w:rsidR="00A162B7" w:rsidRPr="00C2109B" w:rsidRDefault="003F168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Definējot atbildības sistēmu, nodrošina, ka vadošā iestāde var atgūt summas, kas var būt nepareizi izmaksātas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ienīgajam atbalsta saņēmējam.</w:t>
      </w:r>
    </w:p>
    <w:p w:rsidR="00A162B7" w:rsidRPr="00C2109B" w:rsidRDefault="003F1683">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 xml:space="preserve">3) </w:t>
      </w:r>
      <w:r w:rsidRPr="00C2109B">
        <w:rPr>
          <w:rFonts w:ascii="Times New Roman" w:hAnsi="Times New Roman" w:cs="Times New Roman"/>
          <w:sz w:val="24"/>
          <w:szCs w:val="24"/>
        </w:rPr>
        <w:tab/>
        <w:t>Vadošās iestā</w:t>
      </w:r>
      <w:r w:rsidR="00746D58" w:rsidRPr="00C2109B">
        <w:rPr>
          <w:rFonts w:ascii="Times New Roman" w:hAnsi="Times New Roman" w:cs="Times New Roman"/>
          <w:sz w:val="24"/>
          <w:szCs w:val="24"/>
        </w:rPr>
        <w:t>des atbildība – 2. prioritāte (</w:t>
      </w:r>
      <w:r w:rsidR="00E47BBC" w:rsidRPr="00C2109B">
        <w:rPr>
          <w:rFonts w:ascii="Times New Roman" w:hAnsi="Times New Roman" w:cs="Times New Roman"/>
          <w:sz w:val="24"/>
          <w:szCs w:val="24"/>
        </w:rPr>
        <w:t>T</w:t>
      </w:r>
      <w:r w:rsidRPr="00C2109B">
        <w:rPr>
          <w:rFonts w:ascii="Times New Roman" w:hAnsi="Times New Roman" w:cs="Times New Roman"/>
          <w:sz w:val="24"/>
          <w:szCs w:val="24"/>
        </w:rPr>
        <w:t>ehniskā palīdzība)</w:t>
      </w:r>
      <w:r w:rsidR="00746D58" w:rsidRPr="00C2109B">
        <w:rPr>
          <w:rFonts w:ascii="Times New Roman" w:hAnsi="Times New Roman" w:cs="Times New Roman"/>
          <w:sz w:val="24"/>
          <w:szCs w:val="24"/>
        </w:rPr>
        <w:t>.</w:t>
      </w:r>
      <w:r w:rsidRPr="00C2109B">
        <w:rPr>
          <w:rFonts w:ascii="Times New Roman" w:hAnsi="Times New Roman" w:cs="Times New Roman"/>
          <w:sz w:val="24"/>
          <w:szCs w:val="24"/>
        </w:rPr>
        <w:t xml:space="preserve"> </w:t>
      </w:r>
      <w:r w:rsidR="00746D58" w:rsidRPr="00C2109B">
        <w:rPr>
          <w:rFonts w:ascii="Times New Roman" w:hAnsi="Times New Roman" w:cs="Times New Roman"/>
          <w:sz w:val="24"/>
          <w:szCs w:val="24"/>
        </w:rPr>
        <w:t>A</w:t>
      </w:r>
      <w:r w:rsidRPr="00C2109B">
        <w:rPr>
          <w:rFonts w:ascii="Times New Roman" w:hAnsi="Times New Roman" w:cs="Times New Roman"/>
          <w:sz w:val="24"/>
          <w:szCs w:val="24"/>
        </w:rPr>
        <w:t xml:space="preserve">ttiecībā uz finansiālajām sekām, ko rada iespējamie pārkāpumi, izmantojot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tehniskās palīdzības finansējumu 2. prioritārajā virzienā, piemēro divas pieejas:</w:t>
      </w:r>
    </w:p>
    <w:p w:rsidR="00A162B7" w:rsidRPr="00C2109B" w:rsidRDefault="003F1683">
      <w:pPr>
        <w:pStyle w:val="NoSpacing"/>
        <w:spacing w:line="276" w:lineRule="auto"/>
        <w:ind w:left="709" w:hanging="425"/>
        <w:jc w:val="both"/>
        <w:rPr>
          <w:rFonts w:ascii="Times New Roman" w:hAnsi="Times New Roman" w:cs="Times New Roman"/>
          <w:sz w:val="24"/>
          <w:szCs w:val="24"/>
        </w:rPr>
      </w:pPr>
      <w:r w:rsidRPr="00C2109B">
        <w:rPr>
          <w:rFonts w:ascii="Times New Roman" w:hAnsi="Times New Roman" w:cs="Times New Roman"/>
          <w:sz w:val="24"/>
          <w:szCs w:val="24"/>
        </w:rPr>
        <w:t>a)</w:t>
      </w:r>
      <w:r w:rsidRPr="00C2109B">
        <w:rPr>
          <w:rFonts w:ascii="Times New Roman" w:hAnsi="Times New Roman" w:cs="Times New Roman"/>
          <w:sz w:val="24"/>
          <w:szCs w:val="24"/>
        </w:rPr>
        <w:tab/>
        <w:t xml:space="preserve">vadošā iestāde uzņemas visu finansiālo atbildību par pārkāpumiem ar finansiālu ietekmi, kas </w:t>
      </w:r>
      <w:r w:rsidR="00826024" w:rsidRPr="00C2109B">
        <w:rPr>
          <w:rFonts w:ascii="Times New Roman" w:hAnsi="Times New Roman" w:cs="Times New Roman"/>
          <w:sz w:val="24"/>
          <w:szCs w:val="24"/>
        </w:rPr>
        <w:t>saistīti ar</w:t>
      </w:r>
      <w:r w:rsidRPr="00C2109B">
        <w:rPr>
          <w:rFonts w:ascii="Times New Roman" w:hAnsi="Times New Roman" w:cs="Times New Roman"/>
          <w:sz w:val="24"/>
          <w:szCs w:val="24"/>
        </w:rPr>
        <w:t xml:space="preserve"> tehniskās palīdzības administrēšanu;</w:t>
      </w:r>
    </w:p>
    <w:p w:rsidR="00A162B7" w:rsidRPr="00C2109B" w:rsidRDefault="003F1683">
      <w:pPr>
        <w:pStyle w:val="NoSpacing"/>
        <w:spacing w:line="276" w:lineRule="auto"/>
        <w:ind w:left="709" w:hanging="425"/>
        <w:jc w:val="both"/>
        <w:rPr>
          <w:rFonts w:ascii="Times New Roman" w:hAnsi="Times New Roman" w:cs="Times New Roman"/>
          <w:sz w:val="24"/>
          <w:szCs w:val="24"/>
        </w:rPr>
      </w:pPr>
      <w:r w:rsidRPr="00C2109B">
        <w:rPr>
          <w:rFonts w:ascii="Times New Roman" w:hAnsi="Times New Roman" w:cs="Times New Roman"/>
          <w:sz w:val="24"/>
          <w:szCs w:val="24"/>
        </w:rPr>
        <w:lastRenderedPageBreak/>
        <w:t>b)</w:t>
      </w:r>
      <w:r w:rsidRPr="00C2109B">
        <w:rPr>
          <w:rFonts w:ascii="Times New Roman" w:hAnsi="Times New Roman" w:cs="Times New Roman"/>
          <w:sz w:val="24"/>
          <w:szCs w:val="24"/>
        </w:rPr>
        <w:tab/>
        <w:t xml:space="preserve">par pārkāpumiem ar finansiālu ietekmi, kas saistīti ar tehniskās palīdzības izmantošanu un radušies dalībvalstu un partnervalstu pieņemto lēmumu rezultātā </w:t>
      </w:r>
      <w:r w:rsidR="00AC738A"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komitejā, atbildību kopīgi uzņemas dalībvalstis un partnervalstis proporcionāli to finansiālajam ieguldījumam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w:t>
      </w:r>
    </w:p>
    <w:p w:rsidR="00DD23B0" w:rsidRPr="00C2109B" w:rsidRDefault="00C42A04">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Atbildība par vienotās likmes korekci</w:t>
      </w:r>
      <w:r w:rsidR="00746D58" w:rsidRPr="00C2109B">
        <w:rPr>
          <w:rFonts w:ascii="Times New Roman" w:hAnsi="Times New Roman" w:cs="Times New Roman"/>
          <w:sz w:val="24"/>
          <w:szCs w:val="24"/>
        </w:rPr>
        <w:t>ju sadarbības programmas līmenī.</w:t>
      </w:r>
      <w:r w:rsidRPr="00C2109B">
        <w:rPr>
          <w:rFonts w:ascii="Times New Roman" w:hAnsi="Times New Roman" w:cs="Times New Roman"/>
          <w:sz w:val="24"/>
          <w:szCs w:val="24"/>
        </w:rPr>
        <w:t xml:space="preserve"> </w:t>
      </w:r>
      <w:r w:rsidR="00746D58" w:rsidRPr="00C2109B">
        <w:rPr>
          <w:rFonts w:ascii="Times New Roman" w:hAnsi="Times New Roman" w:cs="Times New Roman"/>
          <w:sz w:val="24"/>
          <w:szCs w:val="24"/>
        </w:rPr>
        <w:t>Ņ</w:t>
      </w:r>
      <w:r w:rsidRPr="00C2109B">
        <w:rPr>
          <w:rFonts w:ascii="Times New Roman" w:hAnsi="Times New Roman" w:cs="Times New Roman"/>
          <w:sz w:val="24"/>
          <w:szCs w:val="24"/>
        </w:rPr>
        <w:t xml:space="preserve">emot vērā, ka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 paredz pārskatāmu un skaidri noteiktu vadības un kontroles struktūru un tajā ir tikai divi atbalsta saņēmēji – vadošā iestāde un </w:t>
      </w:r>
      <w:r w:rsidRPr="00C2109B">
        <w:rPr>
          <w:rFonts w:ascii="Times New Roman" w:hAnsi="Times New Roman" w:cs="Times New Roman"/>
          <w:i/>
          <w:sz w:val="24"/>
          <w:szCs w:val="24"/>
        </w:rPr>
        <w:t>ESPON ETSG</w:t>
      </w:r>
      <w:r w:rsidRPr="00C2109B">
        <w:rPr>
          <w:rFonts w:ascii="Times New Roman" w:hAnsi="Times New Roman" w:cs="Times New Roman"/>
          <w:sz w:val="24"/>
          <w:szCs w:val="24"/>
        </w:rPr>
        <w:t> –, visu atbildību principā ir iespējams attiecināt. Tāpēc varbūtība, ka tiks piemērotas vienotas likmes korekcijas, ir ļoti maza. Tomēr programmas līmenī ir jānosaka noteikumi attiecībā uz finansiālajām sekām vienotas likmes korekciju piemērošanā:</w:t>
      </w:r>
    </w:p>
    <w:p w:rsidR="00A162B7" w:rsidRPr="00C2109B" w:rsidRDefault="003F1683">
      <w:pPr>
        <w:pStyle w:val="NoSpacing"/>
        <w:tabs>
          <w:tab w:val="left" w:pos="709"/>
        </w:tabs>
        <w:spacing w:line="276" w:lineRule="auto"/>
        <w:ind w:left="709" w:hanging="425"/>
        <w:jc w:val="both"/>
        <w:rPr>
          <w:rFonts w:ascii="Times New Roman" w:hAnsi="Times New Roman" w:cs="Times New Roman"/>
          <w:sz w:val="24"/>
          <w:szCs w:val="24"/>
        </w:rPr>
      </w:pPr>
      <w:r w:rsidRPr="00C2109B">
        <w:rPr>
          <w:rFonts w:ascii="Times New Roman" w:hAnsi="Times New Roman" w:cs="Times New Roman"/>
          <w:sz w:val="24"/>
          <w:szCs w:val="24"/>
        </w:rPr>
        <w:t>a)</w:t>
      </w:r>
      <w:r w:rsidRPr="00C2109B">
        <w:rPr>
          <w:rFonts w:ascii="Times New Roman" w:hAnsi="Times New Roman" w:cs="Times New Roman"/>
          <w:sz w:val="24"/>
          <w:szCs w:val="24"/>
        </w:rPr>
        <w:tab/>
        <w:t xml:space="preserve">par vienotās likmes korekciju daļu, kas attiecas uz </w:t>
      </w:r>
      <w:r w:rsidR="009A73D2" w:rsidRPr="00C2109B">
        <w:rPr>
          <w:rFonts w:ascii="Times New Roman" w:hAnsi="Times New Roman" w:cs="Times New Roman"/>
          <w:sz w:val="24"/>
          <w:szCs w:val="24"/>
        </w:rPr>
        <w:t xml:space="preserve">granta </w:t>
      </w:r>
      <w:r w:rsidRPr="00C2109B">
        <w:rPr>
          <w:rFonts w:ascii="Times New Roman" w:hAnsi="Times New Roman" w:cs="Times New Roman"/>
          <w:sz w:val="24"/>
          <w:szCs w:val="24"/>
        </w:rPr>
        <w:t xml:space="preserve">līguma finansējumu 1. prioritārajā virzienā, atbildību uzņemas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ienīgais atbalsta saņēmējs, kurš var vēr</w:t>
      </w:r>
      <w:r w:rsidR="001F3E0E" w:rsidRPr="00C2109B">
        <w:rPr>
          <w:rFonts w:ascii="Times New Roman" w:hAnsi="Times New Roman" w:cs="Times New Roman"/>
          <w:sz w:val="24"/>
          <w:szCs w:val="24"/>
        </w:rPr>
        <w:t xml:space="preserve">sties pie </w:t>
      </w:r>
      <w:r w:rsidR="00AB525B" w:rsidRPr="00C2109B">
        <w:rPr>
          <w:rFonts w:ascii="Times New Roman" w:hAnsi="Times New Roman" w:cs="Times New Roman"/>
          <w:sz w:val="24"/>
          <w:szCs w:val="24"/>
        </w:rPr>
        <w:t>A</w:t>
      </w:r>
      <w:r w:rsidR="001F3E0E" w:rsidRPr="00C2109B">
        <w:rPr>
          <w:rFonts w:ascii="Times New Roman" w:hAnsi="Times New Roman" w:cs="Times New Roman"/>
          <w:sz w:val="24"/>
          <w:szCs w:val="24"/>
        </w:rPr>
        <w:t>tbildības mehānisma;</w:t>
      </w:r>
    </w:p>
    <w:p w:rsidR="00A162B7" w:rsidRPr="00C2109B" w:rsidRDefault="003F1683">
      <w:pPr>
        <w:pStyle w:val="NoSpacing"/>
        <w:spacing w:line="276" w:lineRule="auto"/>
        <w:ind w:left="709" w:hanging="425"/>
        <w:jc w:val="both"/>
        <w:rPr>
          <w:rFonts w:ascii="Times New Roman" w:hAnsi="Times New Roman" w:cs="Times New Roman"/>
          <w:sz w:val="24"/>
          <w:szCs w:val="24"/>
        </w:rPr>
      </w:pPr>
      <w:r w:rsidRPr="00C2109B">
        <w:rPr>
          <w:rFonts w:ascii="Times New Roman" w:hAnsi="Times New Roman" w:cs="Times New Roman"/>
          <w:sz w:val="24"/>
          <w:szCs w:val="24"/>
        </w:rPr>
        <w:t>b)</w:t>
      </w:r>
      <w:r w:rsidRPr="00C2109B">
        <w:rPr>
          <w:rFonts w:ascii="Times New Roman" w:hAnsi="Times New Roman" w:cs="Times New Roman"/>
          <w:sz w:val="24"/>
          <w:szCs w:val="24"/>
        </w:rPr>
        <w:tab/>
        <w:t>par vienotās likmes korekciju daļu, kas attiecas uz tehnisko palīdzību (2. prioritārais virziens), atbildību kopīgi uzņemas dalībvalstis un partnervalstis proporcionāli to finansiālaj</w:t>
      </w:r>
      <w:r w:rsidR="00746D58" w:rsidRPr="00C2109B">
        <w:rPr>
          <w:rFonts w:ascii="Times New Roman" w:hAnsi="Times New Roman" w:cs="Times New Roman"/>
          <w:sz w:val="24"/>
          <w:szCs w:val="24"/>
        </w:rPr>
        <w:t>a</w:t>
      </w:r>
      <w:r w:rsidRPr="00C2109B">
        <w:rPr>
          <w:rFonts w:ascii="Times New Roman" w:hAnsi="Times New Roman" w:cs="Times New Roman"/>
          <w:sz w:val="24"/>
          <w:szCs w:val="24"/>
        </w:rPr>
        <w:t>m ieguldījum</w:t>
      </w:r>
      <w:r w:rsidR="00746D58" w:rsidRPr="00C2109B">
        <w:rPr>
          <w:rFonts w:ascii="Times New Roman" w:hAnsi="Times New Roman" w:cs="Times New Roman"/>
          <w:sz w:val="24"/>
          <w:szCs w:val="24"/>
        </w:rPr>
        <w:t>a</w:t>
      </w:r>
      <w:r w:rsidRPr="00C2109B">
        <w:rPr>
          <w:rFonts w:ascii="Times New Roman" w:hAnsi="Times New Roman" w:cs="Times New Roman"/>
          <w:sz w:val="24"/>
          <w:szCs w:val="24"/>
        </w:rPr>
        <w:t xml:space="preserve">m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Dalībvalstis un partnervalstis nav atbildīgas par pārkāpumiem, tostarp sistēmiskiem, saistībā ar tehniskās palīdzības administrēšanu. Šajā gadījumā atbildību uzņemas vadošā iestāde.</w:t>
      </w:r>
    </w:p>
    <w:p w:rsidR="00EF2C93" w:rsidRPr="00C2109B" w:rsidRDefault="00C50925" w:rsidP="00910A45">
      <w:pPr>
        <w:pStyle w:val="Heading2"/>
        <w:keepNext/>
        <w:rPr>
          <w:rFonts w:ascii="Times New Roman" w:hAnsi="Times New Roman" w:cs="Times New Roman"/>
          <w:sz w:val="24"/>
          <w:szCs w:val="24"/>
        </w:rPr>
      </w:pPr>
      <w:bookmarkStart w:id="54" w:name="_Toc423349168"/>
      <w:bookmarkStart w:id="55" w:name="_Toc427826213"/>
      <w:r w:rsidRPr="00C2109B">
        <w:rPr>
          <w:rFonts w:ascii="Times New Roman" w:hAnsi="Times New Roman" w:cs="Times New Roman"/>
          <w:sz w:val="24"/>
          <w:szCs w:val="24"/>
        </w:rPr>
        <w:t>5. DAĻA. NOSLĒGUMA NOTEIKUMI</w:t>
      </w:r>
      <w:bookmarkEnd w:id="54"/>
      <w:bookmarkEnd w:id="55"/>
    </w:p>
    <w:p w:rsidR="00EF2C93" w:rsidRPr="00C2109B" w:rsidRDefault="00A704B0" w:rsidP="002F0DCB">
      <w:pPr>
        <w:pStyle w:val="Heading3"/>
        <w:rPr>
          <w:rFonts w:ascii="Times New Roman" w:hAnsi="Times New Roman" w:cs="Times New Roman"/>
          <w:sz w:val="24"/>
          <w:szCs w:val="24"/>
        </w:rPr>
      </w:pPr>
      <w:bookmarkStart w:id="56" w:name="_Toc427826214"/>
      <w:bookmarkStart w:id="57" w:name="_Toc423349169"/>
      <w:r w:rsidRPr="00C2109B">
        <w:rPr>
          <w:rFonts w:ascii="Times New Roman" w:hAnsi="Times New Roman" w:cs="Times New Roman"/>
          <w:sz w:val="24"/>
          <w:szCs w:val="24"/>
        </w:rPr>
        <w:t xml:space="preserve">24. pants. Tiesību akti, kas reglamentē </w:t>
      </w:r>
      <w:r w:rsidR="00AC738A" w:rsidRPr="00C2109B">
        <w:rPr>
          <w:rFonts w:ascii="Times New Roman" w:hAnsi="Times New Roman" w:cs="Times New Roman"/>
          <w:sz w:val="24"/>
          <w:szCs w:val="24"/>
        </w:rPr>
        <w:t>daudzpusējo vienošanos</w:t>
      </w:r>
      <w:bookmarkEnd w:id="56"/>
      <w:r w:rsidR="00AC738A" w:rsidRPr="00C2109B">
        <w:rPr>
          <w:rFonts w:ascii="Times New Roman" w:hAnsi="Times New Roman" w:cs="Times New Roman"/>
          <w:sz w:val="24"/>
          <w:szCs w:val="24"/>
        </w:rPr>
        <w:t xml:space="preserve"> </w:t>
      </w:r>
      <w:bookmarkEnd w:id="57"/>
    </w:p>
    <w:p w:rsidR="00F61C1E" w:rsidRPr="00C2109B" w:rsidRDefault="00F61C1E" w:rsidP="00F21121">
      <w:pPr>
        <w:pStyle w:val="NoSpacing"/>
        <w:spacing w:line="276" w:lineRule="auto"/>
        <w:rPr>
          <w:rFonts w:ascii="Times New Roman" w:hAnsi="Times New Roman" w:cs="Times New Roman"/>
          <w:sz w:val="24"/>
          <w:szCs w:val="24"/>
        </w:rPr>
      </w:pPr>
      <w:r w:rsidRPr="00C2109B">
        <w:rPr>
          <w:rFonts w:ascii="Times New Roman" w:hAnsi="Times New Roman" w:cs="Times New Roman"/>
          <w:sz w:val="24"/>
          <w:szCs w:val="24"/>
        </w:rPr>
        <w:t xml:space="preserve">Šo </w:t>
      </w:r>
      <w:r w:rsidR="008B5BB6" w:rsidRPr="00C2109B">
        <w:rPr>
          <w:rFonts w:ascii="Times New Roman" w:hAnsi="Times New Roman" w:cs="Times New Roman"/>
          <w:sz w:val="24"/>
          <w:szCs w:val="24"/>
        </w:rPr>
        <w:t xml:space="preserve">daudzpusējo vienošanos </w:t>
      </w:r>
      <w:r w:rsidRPr="00C2109B">
        <w:rPr>
          <w:rFonts w:ascii="Times New Roman" w:hAnsi="Times New Roman" w:cs="Times New Roman"/>
          <w:sz w:val="24"/>
          <w:szCs w:val="24"/>
        </w:rPr>
        <w:t>reglamentē Luksemburgas Lielhercogistes tiesību akti.</w:t>
      </w:r>
    </w:p>
    <w:p w:rsidR="00EF2C93" w:rsidRPr="00C2109B" w:rsidRDefault="00EF2C93" w:rsidP="002F0DCB">
      <w:pPr>
        <w:pStyle w:val="Heading3"/>
        <w:rPr>
          <w:rFonts w:ascii="Times New Roman" w:hAnsi="Times New Roman" w:cs="Times New Roman"/>
          <w:sz w:val="24"/>
          <w:szCs w:val="24"/>
        </w:rPr>
      </w:pPr>
      <w:bookmarkStart w:id="58" w:name="_Toc423349170"/>
      <w:bookmarkStart w:id="59" w:name="_Toc427826215"/>
      <w:r w:rsidRPr="00C2109B">
        <w:rPr>
          <w:rFonts w:ascii="Times New Roman" w:hAnsi="Times New Roman" w:cs="Times New Roman"/>
          <w:sz w:val="24"/>
          <w:szCs w:val="24"/>
        </w:rPr>
        <w:t>25. pants. Sadarbība</w:t>
      </w:r>
      <w:r w:rsidR="00C123D5" w:rsidRPr="00C2109B">
        <w:rPr>
          <w:rFonts w:ascii="Times New Roman" w:hAnsi="Times New Roman" w:cs="Times New Roman"/>
          <w:sz w:val="24"/>
          <w:szCs w:val="24"/>
        </w:rPr>
        <w:t>,</w:t>
      </w:r>
      <w:r w:rsidRPr="00C2109B">
        <w:rPr>
          <w:rFonts w:ascii="Times New Roman" w:hAnsi="Times New Roman" w:cs="Times New Roman"/>
          <w:sz w:val="24"/>
          <w:szCs w:val="24"/>
        </w:rPr>
        <w:t xml:space="preserve"> izmantojamā valoda</w:t>
      </w:r>
      <w:r w:rsidR="00C123D5" w:rsidRPr="00C2109B">
        <w:rPr>
          <w:rFonts w:ascii="Times New Roman" w:hAnsi="Times New Roman" w:cs="Times New Roman"/>
          <w:sz w:val="24"/>
          <w:szCs w:val="24"/>
        </w:rPr>
        <w:t xml:space="preserve"> un</w:t>
      </w:r>
      <w:r w:rsidRPr="00C2109B">
        <w:rPr>
          <w:rFonts w:ascii="Times New Roman" w:hAnsi="Times New Roman" w:cs="Times New Roman"/>
          <w:sz w:val="24"/>
          <w:szCs w:val="24"/>
        </w:rPr>
        <w:t xml:space="preserve"> saziņa</w:t>
      </w:r>
      <w:bookmarkEnd w:id="58"/>
      <w:bookmarkEnd w:id="59"/>
    </w:p>
    <w:p w:rsidR="002208A9" w:rsidRPr="00C2109B" w:rsidRDefault="002208A9"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Laba sadarbība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komitejas dalībnieku starpā, starp vadošo iestādi, sertifikācijas iestādi un revīzijas iestādi ir </w:t>
      </w:r>
      <w:r w:rsidRPr="00C2109B">
        <w:rPr>
          <w:rFonts w:ascii="Times New Roman" w:hAnsi="Times New Roman" w:cs="Times New Roman"/>
          <w:i/>
          <w:sz w:val="24"/>
          <w:szCs w:val="24"/>
        </w:rPr>
        <w:t>sine qua non</w:t>
      </w:r>
      <w:r w:rsidRPr="00C2109B">
        <w:rPr>
          <w:rFonts w:ascii="Times New Roman" w:hAnsi="Times New Roman" w:cs="Times New Roman"/>
          <w:sz w:val="24"/>
          <w:szCs w:val="24"/>
        </w:rPr>
        <w:t xml:space="preserve"> nosacījums tam, lai nodrošinātu visu to programmas daļu pareizu un pilnīgu pārvaldību, finanšu kontroli un revīziju, ko līdzfinans</w:t>
      </w:r>
      <w:r w:rsidR="001F3E0E" w:rsidRPr="00C2109B">
        <w:rPr>
          <w:rFonts w:ascii="Times New Roman" w:hAnsi="Times New Roman" w:cs="Times New Roman"/>
          <w:sz w:val="24"/>
          <w:szCs w:val="24"/>
        </w:rPr>
        <w:t>ē no ERAF un valstu līdzekļiem.</w:t>
      </w:r>
    </w:p>
    <w:p w:rsidR="00325014" w:rsidRPr="00C2109B" w:rsidRDefault="002208A9"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Visa saziņa starp dalībvalstīm un partnervalstīm,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komiteju, vadošo iestādi, sertifikācijas iestādi un revīzijas iestādi, un visām pārējām struktūrām, kas minētas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vai </w:t>
      </w:r>
      <w:r w:rsidR="008B5BB6" w:rsidRPr="00C2109B">
        <w:rPr>
          <w:rFonts w:ascii="Times New Roman" w:hAnsi="Times New Roman" w:cs="Times New Roman"/>
          <w:sz w:val="24"/>
          <w:szCs w:val="24"/>
        </w:rPr>
        <w:t>šajā daudzpusējajā vienošanās</w:t>
      </w:r>
      <w:r w:rsidRPr="00C2109B">
        <w:rPr>
          <w:rFonts w:ascii="Times New Roman" w:hAnsi="Times New Roman" w:cs="Times New Roman"/>
          <w:sz w:val="24"/>
          <w:szCs w:val="24"/>
        </w:rPr>
        <w:t xml:space="preserve">, kā arī visa saziņa, kas nepieciešama, lai pārvaldītu un īstenotu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programmu, notiek angļu valodā.</w:t>
      </w:r>
    </w:p>
    <w:p w:rsidR="00EF2C93" w:rsidRPr="00C2109B" w:rsidRDefault="00325014"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Ja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komiteja skaidri nenolemj citādi, saziņa starp dalībvalstīm, </w:t>
      </w:r>
      <w:r w:rsidR="006C4E41" w:rsidRPr="00C2109B">
        <w:rPr>
          <w:rFonts w:ascii="Times New Roman" w:hAnsi="Times New Roman" w:cs="Times New Roman"/>
          <w:sz w:val="24"/>
          <w:szCs w:val="24"/>
        </w:rPr>
        <w:t>U</w:t>
      </w:r>
      <w:r w:rsidRPr="00C2109B">
        <w:rPr>
          <w:rFonts w:ascii="Times New Roman" w:hAnsi="Times New Roman" w:cs="Times New Roman"/>
          <w:sz w:val="24"/>
          <w:szCs w:val="24"/>
        </w:rPr>
        <w:t xml:space="preserve">zraudzības komiteju un programmas struktūrām, kā arī ar </w:t>
      </w:r>
      <w:r w:rsidR="00CB7B8A" w:rsidRPr="00C2109B">
        <w:rPr>
          <w:rFonts w:ascii="Times New Roman" w:hAnsi="Times New Roman" w:cs="Times New Roman"/>
          <w:sz w:val="24"/>
          <w:szCs w:val="24"/>
        </w:rPr>
        <w:t>V</w:t>
      </w:r>
      <w:r w:rsidRPr="00C2109B">
        <w:rPr>
          <w:rFonts w:ascii="Times New Roman" w:hAnsi="Times New Roman" w:cs="Times New Roman"/>
          <w:sz w:val="24"/>
          <w:szCs w:val="24"/>
        </w:rPr>
        <w:t>ienīgo atbalsta saņē</w:t>
      </w:r>
      <w:r w:rsidR="003C2456" w:rsidRPr="00C2109B">
        <w:rPr>
          <w:rFonts w:ascii="Times New Roman" w:hAnsi="Times New Roman" w:cs="Times New Roman"/>
          <w:sz w:val="24"/>
          <w:szCs w:val="24"/>
        </w:rPr>
        <w:t>mēju, parasti notiek pa e-pastu.</w:t>
      </w:r>
      <w:r w:rsidRPr="00C2109B">
        <w:rPr>
          <w:rFonts w:ascii="Times New Roman" w:hAnsi="Times New Roman" w:cs="Times New Roman"/>
          <w:sz w:val="24"/>
          <w:szCs w:val="24"/>
        </w:rPr>
        <w:t xml:space="preserve"> </w:t>
      </w:r>
      <w:r w:rsidR="003C2456" w:rsidRPr="00C2109B">
        <w:rPr>
          <w:rFonts w:ascii="Times New Roman" w:hAnsi="Times New Roman" w:cs="Times New Roman"/>
          <w:sz w:val="24"/>
          <w:szCs w:val="24"/>
        </w:rPr>
        <w:t>J</w:t>
      </w:r>
      <w:r w:rsidRPr="00C2109B">
        <w:rPr>
          <w:rFonts w:ascii="Times New Roman" w:hAnsi="Times New Roman" w:cs="Times New Roman"/>
          <w:sz w:val="24"/>
          <w:szCs w:val="24"/>
        </w:rPr>
        <w:t xml:space="preserve">a pienācīgi pamatotos gadījumos tas nav iespējams, izmanto faksu vai īpašu </w:t>
      </w:r>
      <w:r w:rsidRPr="00C2109B">
        <w:rPr>
          <w:rFonts w:ascii="Times New Roman" w:hAnsi="Times New Roman" w:cs="Times New Roman"/>
          <w:i/>
          <w:sz w:val="24"/>
          <w:szCs w:val="24"/>
        </w:rPr>
        <w:t>ESPON</w:t>
      </w:r>
      <w:r w:rsidRPr="00C2109B">
        <w:rPr>
          <w:rFonts w:ascii="Times New Roman" w:hAnsi="Times New Roman" w:cs="Times New Roman"/>
          <w:sz w:val="24"/>
          <w:szCs w:val="24"/>
        </w:rPr>
        <w:t xml:space="preserve"> iekštīkla portālu, kas paredzēts saziņai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 Sūtot pa e-pastu tādus svarīgus dokumentus kā izvirzīšana amatā vai rēķinu izrakstīšana par valstu ieguldījumiem, tiem jābūt oficiā</w:t>
      </w:r>
      <w:r w:rsidR="001F3E0E" w:rsidRPr="00C2109B">
        <w:rPr>
          <w:rFonts w:ascii="Times New Roman" w:hAnsi="Times New Roman" w:cs="Times New Roman"/>
          <w:sz w:val="24"/>
          <w:szCs w:val="24"/>
        </w:rPr>
        <w:t>las vēstules sk</w:t>
      </w:r>
      <w:r w:rsidR="009A73D2" w:rsidRPr="00C2109B">
        <w:rPr>
          <w:rFonts w:ascii="Times New Roman" w:hAnsi="Times New Roman" w:cs="Times New Roman"/>
          <w:sz w:val="24"/>
          <w:szCs w:val="24"/>
        </w:rPr>
        <w:t>e</w:t>
      </w:r>
      <w:r w:rsidR="001F3E0E" w:rsidRPr="00C2109B">
        <w:rPr>
          <w:rFonts w:ascii="Times New Roman" w:hAnsi="Times New Roman" w:cs="Times New Roman"/>
          <w:sz w:val="24"/>
          <w:szCs w:val="24"/>
        </w:rPr>
        <w:t>nētām versijām.</w:t>
      </w:r>
    </w:p>
    <w:p w:rsidR="00EF2C93" w:rsidRPr="00C2109B" w:rsidRDefault="00326945" w:rsidP="002F0DCB">
      <w:pPr>
        <w:pStyle w:val="Heading3"/>
        <w:rPr>
          <w:rFonts w:ascii="Times New Roman" w:hAnsi="Times New Roman" w:cs="Times New Roman"/>
          <w:sz w:val="24"/>
          <w:szCs w:val="24"/>
        </w:rPr>
      </w:pPr>
      <w:bookmarkStart w:id="60" w:name="_Toc423349171"/>
      <w:bookmarkStart w:id="61" w:name="_Toc427826216"/>
      <w:r w:rsidRPr="00C2109B">
        <w:rPr>
          <w:rFonts w:ascii="Times New Roman" w:hAnsi="Times New Roman" w:cs="Times New Roman"/>
          <w:sz w:val="24"/>
          <w:szCs w:val="24"/>
        </w:rPr>
        <w:t>26. pants. Programmas īstenošanas struktūru izmaiņas</w:t>
      </w:r>
      <w:bookmarkEnd w:id="60"/>
      <w:bookmarkEnd w:id="61"/>
    </w:p>
    <w:p w:rsidR="002208A9" w:rsidRPr="00C2109B" w:rsidRDefault="002208A9"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Mainot ieceltā</w:t>
      </w:r>
      <w:r w:rsidR="002E7265" w:rsidRPr="00C2109B">
        <w:rPr>
          <w:rFonts w:ascii="Times New Roman" w:hAnsi="Times New Roman" w:cs="Times New Roman"/>
          <w:sz w:val="24"/>
          <w:szCs w:val="24"/>
        </w:rPr>
        <w:t xml:space="preserve">s atbildīgās personas, par to </w:t>
      </w:r>
      <w:r w:rsidRPr="00C2109B">
        <w:rPr>
          <w:rFonts w:ascii="Times New Roman" w:hAnsi="Times New Roman" w:cs="Times New Roman"/>
          <w:sz w:val="24"/>
          <w:szCs w:val="24"/>
        </w:rPr>
        <w:t>z</w:t>
      </w:r>
      <w:r w:rsidR="001F3E0E" w:rsidRPr="00C2109B">
        <w:rPr>
          <w:rFonts w:ascii="Times New Roman" w:hAnsi="Times New Roman" w:cs="Times New Roman"/>
          <w:sz w:val="24"/>
          <w:szCs w:val="24"/>
        </w:rPr>
        <w:t>iņo vienīgi vadošajai iestādei.</w:t>
      </w:r>
    </w:p>
    <w:p w:rsidR="002208A9" w:rsidRPr="00C2109B" w:rsidRDefault="002208A9"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Visas izmaiņas attiecībā uz norīkotajām iestādēm veicamas divpusējā vēstuļu apmaiņā starp vadošo iestādi un attiecīgo dalībval</w:t>
      </w:r>
      <w:r w:rsidR="001F3E0E" w:rsidRPr="00C2109B">
        <w:rPr>
          <w:rFonts w:ascii="Times New Roman" w:hAnsi="Times New Roman" w:cs="Times New Roman"/>
          <w:sz w:val="24"/>
          <w:szCs w:val="24"/>
        </w:rPr>
        <w:t>sti/partnervalsti.</w:t>
      </w:r>
    </w:p>
    <w:p w:rsidR="002208A9" w:rsidRPr="00C2109B" w:rsidRDefault="002208A9"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lastRenderedPageBreak/>
        <w:t>3)</w:t>
      </w:r>
      <w:r w:rsidRPr="00C2109B">
        <w:rPr>
          <w:rFonts w:ascii="Times New Roman" w:hAnsi="Times New Roman" w:cs="Times New Roman"/>
          <w:sz w:val="24"/>
          <w:szCs w:val="24"/>
        </w:rPr>
        <w:tab/>
        <w:t>Dalībvalstis vai partnervalstis ziņo vadošajai iestādei par visām 1. un 2. punkta minētajām izmaiņām ne vēlāk kā piecas darba dienas pēc to stāšanās spēkā.</w:t>
      </w:r>
    </w:p>
    <w:p w:rsidR="00EF2C93" w:rsidRPr="00C2109B" w:rsidRDefault="002208A9"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 xml:space="preserve">Vadošā iestāde ne vēlāk kā 15 darba dienās rakstveidā informē Eiropas Komisiju par visām izmaiņām īstenošanas struktūrā, norādot arī izmaiņu iespējamo ietekmi uz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īstenošanu.</w:t>
      </w:r>
    </w:p>
    <w:p w:rsidR="00EF2C93" w:rsidRPr="00C2109B" w:rsidRDefault="00EF2C93" w:rsidP="002F0DCB">
      <w:pPr>
        <w:pStyle w:val="Heading3"/>
        <w:rPr>
          <w:rFonts w:ascii="Times New Roman" w:hAnsi="Times New Roman" w:cs="Times New Roman"/>
          <w:sz w:val="24"/>
          <w:szCs w:val="24"/>
        </w:rPr>
      </w:pPr>
      <w:bookmarkStart w:id="62" w:name="_Toc423349172"/>
      <w:bookmarkStart w:id="63" w:name="_Toc427826217"/>
      <w:r w:rsidRPr="00C2109B">
        <w:rPr>
          <w:rFonts w:ascii="Times New Roman" w:hAnsi="Times New Roman" w:cs="Times New Roman"/>
          <w:sz w:val="24"/>
          <w:szCs w:val="24"/>
        </w:rPr>
        <w:t xml:space="preserve">27. pants. </w:t>
      </w:r>
      <w:r w:rsidR="00AC738A" w:rsidRPr="00C2109B">
        <w:rPr>
          <w:rFonts w:ascii="Times New Roman" w:hAnsi="Times New Roman" w:cs="Times New Roman"/>
          <w:sz w:val="24"/>
          <w:szCs w:val="24"/>
        </w:rPr>
        <w:t xml:space="preserve">Daudzpusējās vienošanās </w:t>
      </w:r>
      <w:r w:rsidRPr="00C2109B">
        <w:rPr>
          <w:rFonts w:ascii="Times New Roman" w:hAnsi="Times New Roman" w:cs="Times New Roman"/>
          <w:sz w:val="24"/>
          <w:szCs w:val="24"/>
        </w:rPr>
        <w:t>grozījumi un pilnveidojumi</w:t>
      </w:r>
      <w:bookmarkEnd w:id="62"/>
      <w:bookmarkEnd w:id="63"/>
    </w:p>
    <w:p w:rsidR="00CD6845" w:rsidRPr="00C2109B" w:rsidRDefault="00CD6845"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Šo </w:t>
      </w:r>
      <w:r w:rsidR="008B5BB6" w:rsidRPr="00C2109B">
        <w:rPr>
          <w:rFonts w:ascii="Times New Roman" w:hAnsi="Times New Roman" w:cs="Times New Roman"/>
          <w:sz w:val="24"/>
          <w:szCs w:val="24"/>
        </w:rPr>
        <w:t xml:space="preserve">daudzpusējo vienošanos </w:t>
      </w:r>
      <w:r w:rsidRPr="00C2109B">
        <w:rPr>
          <w:rFonts w:ascii="Times New Roman" w:hAnsi="Times New Roman" w:cs="Times New Roman"/>
          <w:sz w:val="24"/>
          <w:szCs w:val="24"/>
        </w:rPr>
        <w:t xml:space="preserve">var grozīt vienīgi rakstveidā ar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programmas dalībvalstu un partnervalstu vienprātīgu lēmumu.</w:t>
      </w:r>
    </w:p>
    <w:p w:rsidR="00CD6845" w:rsidRPr="00C2109B" w:rsidRDefault="00CD6845"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 xml:space="preserve">Ja kāds no </w:t>
      </w:r>
      <w:r w:rsidR="008B5BB6" w:rsidRPr="00C2109B">
        <w:rPr>
          <w:rFonts w:ascii="Times New Roman" w:hAnsi="Times New Roman" w:cs="Times New Roman"/>
          <w:sz w:val="24"/>
          <w:szCs w:val="24"/>
        </w:rPr>
        <w:t xml:space="preserve">šīs daudzpusējā vienošanās </w:t>
      </w:r>
      <w:r w:rsidRPr="00C2109B">
        <w:rPr>
          <w:rFonts w:ascii="Times New Roman" w:hAnsi="Times New Roman" w:cs="Times New Roman"/>
          <w:sz w:val="24"/>
          <w:szCs w:val="24"/>
        </w:rPr>
        <w:t>noteikumiem pilnībā vai daļēji nav spēkā vai zaudē spēku, līgumslēdzēji veic visus vajadzīgos pasākumus un darbības, lai aizstātu attiecīgo noteikumu ar efektīvāku noteikumu, kas pēc iespējas labāk atspoguļo par spēkā neesošu pasludi</w:t>
      </w:r>
      <w:r w:rsidR="001F3E0E" w:rsidRPr="00C2109B">
        <w:rPr>
          <w:rFonts w:ascii="Times New Roman" w:hAnsi="Times New Roman" w:cs="Times New Roman"/>
          <w:sz w:val="24"/>
          <w:szCs w:val="24"/>
        </w:rPr>
        <w:t>nātā noteikuma sākotnējo mērķi.</w:t>
      </w:r>
    </w:p>
    <w:p w:rsidR="00E71CE3" w:rsidRPr="00C2109B" w:rsidRDefault="00CD6845" w:rsidP="00DF29E2">
      <w:pPr>
        <w:pStyle w:val="NoSpacing"/>
        <w:spacing w:line="276" w:lineRule="auto"/>
        <w:jc w:val="both"/>
        <w:rPr>
          <w:rFonts w:ascii="Times New Roman" w:eastAsiaTheme="majorEastAsia"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 xml:space="preserve">Ja tiek aizstāts spēku zaudējis noteikums, visi pārējie </w:t>
      </w:r>
      <w:r w:rsidR="00AC738A" w:rsidRPr="00C2109B">
        <w:rPr>
          <w:rFonts w:ascii="Times New Roman" w:hAnsi="Times New Roman" w:cs="Times New Roman"/>
          <w:sz w:val="24"/>
          <w:szCs w:val="24"/>
        </w:rPr>
        <w:t xml:space="preserve">daudzpusējās vienošanās </w:t>
      </w:r>
      <w:r w:rsidRPr="00C2109B">
        <w:rPr>
          <w:rFonts w:ascii="Times New Roman" w:hAnsi="Times New Roman" w:cs="Times New Roman"/>
          <w:sz w:val="24"/>
          <w:szCs w:val="24"/>
        </w:rPr>
        <w:t>noteikumi paliek spēkā.</w:t>
      </w:r>
      <w:bookmarkStart w:id="64" w:name="_Toc423349173"/>
    </w:p>
    <w:p w:rsidR="00F21121" w:rsidRPr="00C2109B" w:rsidRDefault="00326945" w:rsidP="002F0DCB">
      <w:pPr>
        <w:pStyle w:val="Heading3"/>
        <w:rPr>
          <w:rFonts w:ascii="Times New Roman" w:hAnsi="Times New Roman" w:cs="Times New Roman"/>
          <w:sz w:val="24"/>
          <w:szCs w:val="24"/>
        </w:rPr>
      </w:pPr>
      <w:bookmarkStart w:id="65" w:name="_Toc427826218"/>
      <w:r w:rsidRPr="00C2109B">
        <w:rPr>
          <w:rFonts w:ascii="Times New Roman" w:hAnsi="Times New Roman" w:cs="Times New Roman"/>
          <w:sz w:val="24"/>
          <w:szCs w:val="24"/>
        </w:rPr>
        <w:t xml:space="preserve">28. pants. Apņemšanās pildīt </w:t>
      </w:r>
      <w:r w:rsidR="003C2456" w:rsidRPr="00C2109B">
        <w:rPr>
          <w:rFonts w:ascii="Times New Roman" w:hAnsi="Times New Roman" w:cs="Times New Roman"/>
          <w:sz w:val="24"/>
          <w:szCs w:val="24"/>
        </w:rPr>
        <w:t xml:space="preserve">apstiprinātos </w:t>
      </w:r>
      <w:r w:rsidRPr="00C2109B">
        <w:rPr>
          <w:rFonts w:ascii="Times New Roman" w:hAnsi="Times New Roman" w:cs="Times New Roman"/>
          <w:sz w:val="24"/>
          <w:szCs w:val="24"/>
        </w:rPr>
        <w:t>noteikumus, konfliktu noregulējums un sankcijas apstiprināto noteikumu neievērošanas gadījumā</w:t>
      </w:r>
      <w:bookmarkEnd w:id="64"/>
      <w:bookmarkEnd w:id="65"/>
    </w:p>
    <w:p w:rsidR="00F21121" w:rsidRPr="00C2109B" w:rsidRDefault="00F21121"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Dalībvalstis un partnervalstis apņemas veikt visus vajadzīgos pasākumus, lai pilnībā izpildītu </w:t>
      </w:r>
      <w:r w:rsidR="00AC738A" w:rsidRPr="00C2109B">
        <w:rPr>
          <w:rFonts w:ascii="Times New Roman" w:hAnsi="Times New Roman" w:cs="Times New Roman"/>
          <w:sz w:val="24"/>
          <w:szCs w:val="24"/>
        </w:rPr>
        <w:t xml:space="preserve">šīs daudzpusējās vienošanās </w:t>
      </w:r>
      <w:r w:rsidRPr="00C2109B">
        <w:rPr>
          <w:rFonts w:ascii="Times New Roman" w:hAnsi="Times New Roman" w:cs="Times New Roman"/>
          <w:sz w:val="24"/>
          <w:szCs w:val="24"/>
        </w:rPr>
        <w:t>noteikumus.</w:t>
      </w:r>
    </w:p>
    <w:p w:rsidR="00F21121" w:rsidRPr="00C2109B" w:rsidRDefault="00F21121"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Ja rodas domstarpības saistībā ar viena vai vairāku š</w:t>
      </w:r>
      <w:r w:rsidR="00AC738A" w:rsidRPr="00C2109B">
        <w:rPr>
          <w:rFonts w:ascii="Times New Roman" w:hAnsi="Times New Roman" w:cs="Times New Roman"/>
          <w:sz w:val="24"/>
          <w:szCs w:val="24"/>
        </w:rPr>
        <w:t>īs</w:t>
      </w:r>
      <w:r w:rsidRPr="00C2109B">
        <w:rPr>
          <w:rFonts w:ascii="Times New Roman" w:hAnsi="Times New Roman" w:cs="Times New Roman"/>
          <w:sz w:val="24"/>
          <w:szCs w:val="24"/>
        </w:rPr>
        <w:t xml:space="preserve"> </w:t>
      </w:r>
      <w:r w:rsidR="00AC738A" w:rsidRPr="00C2109B">
        <w:rPr>
          <w:rFonts w:ascii="Times New Roman" w:hAnsi="Times New Roman" w:cs="Times New Roman"/>
          <w:sz w:val="24"/>
          <w:szCs w:val="24"/>
        </w:rPr>
        <w:t xml:space="preserve">vienošanās </w:t>
      </w:r>
      <w:r w:rsidRPr="00C2109B">
        <w:rPr>
          <w:rFonts w:ascii="Times New Roman" w:hAnsi="Times New Roman" w:cs="Times New Roman"/>
          <w:sz w:val="24"/>
          <w:szCs w:val="24"/>
        </w:rPr>
        <w:t>noteikumu neievērošanu, attiecīgās puses pirmkārt cenšas panākt mierizlīgumu.</w:t>
      </w:r>
    </w:p>
    <w:p w:rsidR="00B00027" w:rsidRPr="00C2109B" w:rsidRDefault="00F21121"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Ja attiecīgās puses nevar panākt mierizlīgumu 3 mēnešos, pirms vērsties tiesā, jāmeklē risi</w:t>
      </w:r>
      <w:r w:rsidR="00E71CE3" w:rsidRPr="00C2109B">
        <w:rPr>
          <w:rFonts w:ascii="Times New Roman" w:hAnsi="Times New Roman" w:cs="Times New Roman"/>
          <w:sz w:val="24"/>
          <w:szCs w:val="24"/>
        </w:rPr>
        <w:t>nājums ar starpnieka palīdzību.</w:t>
      </w:r>
    </w:p>
    <w:p w:rsidR="00F21121" w:rsidRPr="00C2109B" w:rsidRDefault="00512030"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4)</w:t>
      </w:r>
      <w:r w:rsidRPr="00C2109B">
        <w:rPr>
          <w:rFonts w:ascii="Times New Roman" w:hAnsi="Times New Roman" w:cs="Times New Roman"/>
          <w:sz w:val="24"/>
          <w:szCs w:val="24"/>
        </w:rPr>
        <w:tab/>
        <w:t xml:space="preserve">Ja pastāv domstarpības </w:t>
      </w:r>
      <w:r w:rsidR="00E71CE3" w:rsidRPr="00C2109B">
        <w:rPr>
          <w:rFonts w:ascii="Times New Roman" w:hAnsi="Times New Roman" w:cs="Times New Roman"/>
          <w:sz w:val="24"/>
          <w:szCs w:val="24"/>
        </w:rPr>
        <w:t>p</w:t>
      </w:r>
      <w:r w:rsidRPr="00C2109B">
        <w:rPr>
          <w:rFonts w:ascii="Times New Roman" w:hAnsi="Times New Roman" w:cs="Times New Roman"/>
          <w:sz w:val="24"/>
          <w:szCs w:val="24"/>
        </w:rPr>
        <w:t xml:space="preserve">ar to, ka </w:t>
      </w:r>
      <w:r w:rsidR="00AC738A" w:rsidRPr="00C2109B">
        <w:rPr>
          <w:rFonts w:ascii="Times New Roman" w:hAnsi="Times New Roman" w:cs="Times New Roman"/>
          <w:sz w:val="24"/>
          <w:szCs w:val="24"/>
        </w:rPr>
        <w:t xml:space="preserve">vienošanās </w:t>
      </w:r>
      <w:r w:rsidRPr="00C2109B">
        <w:rPr>
          <w:rFonts w:ascii="Times New Roman" w:hAnsi="Times New Roman" w:cs="Times New Roman"/>
          <w:sz w:val="24"/>
          <w:szCs w:val="24"/>
        </w:rPr>
        <w:t>neievērošana turpinās, tās risina Luksemburgas Lielhercogistes kompetentajā jurisdikcijā.</w:t>
      </w:r>
    </w:p>
    <w:p w:rsidR="00F21121" w:rsidRPr="00C2109B" w:rsidRDefault="00512030"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5)</w:t>
      </w:r>
      <w:r w:rsidRPr="00C2109B">
        <w:rPr>
          <w:rFonts w:ascii="Times New Roman" w:hAnsi="Times New Roman" w:cs="Times New Roman"/>
          <w:sz w:val="24"/>
          <w:szCs w:val="24"/>
        </w:rPr>
        <w:tab/>
        <w:t xml:space="preserve">Ja sakarā ar to, ka </w:t>
      </w:r>
      <w:r w:rsidR="00AC738A" w:rsidRPr="00C2109B">
        <w:rPr>
          <w:rFonts w:ascii="Times New Roman" w:hAnsi="Times New Roman" w:cs="Times New Roman"/>
          <w:sz w:val="24"/>
          <w:szCs w:val="24"/>
        </w:rPr>
        <w:t xml:space="preserve">vienošanās </w:t>
      </w:r>
      <w:r w:rsidRPr="00C2109B">
        <w:rPr>
          <w:rFonts w:ascii="Times New Roman" w:hAnsi="Times New Roman" w:cs="Times New Roman"/>
          <w:sz w:val="24"/>
          <w:szCs w:val="24"/>
        </w:rPr>
        <w:t xml:space="preserve">neievērošana turpinās, tiek nodarīts finansiāls kaitējums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programmai (finansējuma zaudēšana utt.), pusei, k</w:t>
      </w:r>
      <w:r w:rsidR="005064FC" w:rsidRPr="00C2109B">
        <w:rPr>
          <w:rFonts w:ascii="Times New Roman" w:hAnsi="Times New Roman" w:cs="Times New Roman"/>
          <w:sz w:val="24"/>
          <w:szCs w:val="24"/>
        </w:rPr>
        <w:t>as</w:t>
      </w:r>
      <w:r w:rsidRPr="00C2109B">
        <w:rPr>
          <w:rFonts w:ascii="Times New Roman" w:hAnsi="Times New Roman" w:cs="Times New Roman"/>
          <w:sz w:val="24"/>
          <w:szCs w:val="24"/>
        </w:rPr>
        <w:t xml:space="preserve"> izraisījusi šo kaitējumu, var pieprasīt atbilstoši kompensēt kaitējumu un </w:t>
      </w:r>
      <w:r w:rsidR="005064FC" w:rsidRPr="00C2109B">
        <w:rPr>
          <w:rFonts w:ascii="Times New Roman" w:hAnsi="Times New Roman" w:cs="Times New Roman"/>
          <w:sz w:val="24"/>
          <w:szCs w:val="24"/>
        </w:rPr>
        <w:t xml:space="preserve">tā </w:t>
      </w:r>
      <w:r w:rsidRPr="00C2109B">
        <w:rPr>
          <w:rFonts w:ascii="Times New Roman" w:hAnsi="Times New Roman" w:cs="Times New Roman"/>
          <w:sz w:val="24"/>
          <w:szCs w:val="24"/>
        </w:rPr>
        <w:t>finansiālo ietekmi.</w:t>
      </w:r>
    </w:p>
    <w:p w:rsidR="00EF2C93" w:rsidRPr="00C2109B" w:rsidRDefault="00326945" w:rsidP="002F0DCB">
      <w:pPr>
        <w:pStyle w:val="Heading3"/>
        <w:rPr>
          <w:rFonts w:ascii="Times New Roman" w:hAnsi="Times New Roman" w:cs="Times New Roman"/>
          <w:sz w:val="24"/>
          <w:szCs w:val="24"/>
        </w:rPr>
      </w:pPr>
      <w:bookmarkStart w:id="66" w:name="_Toc423349174"/>
      <w:bookmarkStart w:id="67" w:name="_Toc427826219"/>
      <w:r w:rsidRPr="00C2109B">
        <w:rPr>
          <w:rFonts w:ascii="Times New Roman" w:hAnsi="Times New Roman" w:cs="Times New Roman"/>
          <w:sz w:val="24"/>
          <w:szCs w:val="24"/>
        </w:rPr>
        <w:t xml:space="preserve">29. pants. </w:t>
      </w:r>
      <w:r w:rsidR="00AC738A" w:rsidRPr="00C2109B">
        <w:rPr>
          <w:rFonts w:ascii="Times New Roman" w:hAnsi="Times New Roman" w:cs="Times New Roman"/>
          <w:sz w:val="24"/>
          <w:szCs w:val="24"/>
        </w:rPr>
        <w:t xml:space="preserve">Daudzpusējās vienošanās </w:t>
      </w:r>
      <w:r w:rsidRPr="00C2109B">
        <w:rPr>
          <w:rFonts w:ascii="Times New Roman" w:hAnsi="Times New Roman" w:cs="Times New Roman"/>
          <w:sz w:val="24"/>
          <w:szCs w:val="24"/>
        </w:rPr>
        <w:t>parakstīšana, stāšanās spēkā un darbības ilgums</w:t>
      </w:r>
      <w:bookmarkEnd w:id="66"/>
      <w:bookmarkEnd w:id="67"/>
    </w:p>
    <w:p w:rsidR="00F61C1E" w:rsidRPr="00C2109B" w:rsidRDefault="00F61C1E"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1)</w:t>
      </w:r>
      <w:r w:rsidRPr="00C2109B">
        <w:rPr>
          <w:rFonts w:ascii="Times New Roman" w:hAnsi="Times New Roman" w:cs="Times New Roman"/>
          <w:sz w:val="24"/>
          <w:szCs w:val="24"/>
        </w:rPr>
        <w:tab/>
        <w:t xml:space="preserve">Šo </w:t>
      </w:r>
      <w:r w:rsidR="00737906" w:rsidRPr="00C2109B">
        <w:rPr>
          <w:rFonts w:ascii="Times New Roman" w:hAnsi="Times New Roman" w:cs="Times New Roman"/>
          <w:sz w:val="24"/>
          <w:szCs w:val="24"/>
        </w:rPr>
        <w:t>Daudzpusējo vienošan</w:t>
      </w:r>
      <w:r w:rsidR="008B5BB6" w:rsidRPr="00C2109B">
        <w:rPr>
          <w:rFonts w:ascii="Times New Roman" w:hAnsi="Times New Roman" w:cs="Times New Roman"/>
          <w:sz w:val="24"/>
          <w:szCs w:val="24"/>
        </w:rPr>
        <w:t>o</w:t>
      </w:r>
      <w:r w:rsidR="00737906" w:rsidRPr="00C2109B">
        <w:rPr>
          <w:rFonts w:ascii="Times New Roman" w:hAnsi="Times New Roman" w:cs="Times New Roman"/>
          <w:sz w:val="24"/>
          <w:szCs w:val="24"/>
        </w:rPr>
        <w:t xml:space="preserve">s </w:t>
      </w:r>
      <w:r w:rsidRPr="00C2109B">
        <w:rPr>
          <w:rFonts w:ascii="Times New Roman" w:hAnsi="Times New Roman" w:cs="Times New Roman"/>
          <w:sz w:val="24"/>
          <w:szCs w:val="24"/>
        </w:rPr>
        <w:t xml:space="preserve">paraksta visu to dalībvalstu un partnervalstu, kuras piedalās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programmā</w:t>
      </w:r>
      <w:r w:rsidR="001D03EE" w:rsidRPr="00C2109B">
        <w:rPr>
          <w:rFonts w:ascii="Times New Roman" w:hAnsi="Times New Roman" w:cs="Times New Roman"/>
          <w:sz w:val="24"/>
          <w:szCs w:val="24"/>
        </w:rPr>
        <w:t>, valdību pārstāvji</w:t>
      </w:r>
      <w:r w:rsidRPr="00C2109B">
        <w:rPr>
          <w:rFonts w:ascii="Times New Roman" w:hAnsi="Times New Roman" w:cs="Times New Roman"/>
          <w:sz w:val="24"/>
          <w:szCs w:val="24"/>
        </w:rPr>
        <w:t>.</w:t>
      </w:r>
    </w:p>
    <w:p w:rsidR="00F61C1E" w:rsidRPr="00C2109B" w:rsidRDefault="00F61C1E" w:rsidP="00F21121">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2)</w:t>
      </w:r>
      <w:r w:rsidRPr="00C2109B">
        <w:rPr>
          <w:rFonts w:ascii="Times New Roman" w:hAnsi="Times New Roman" w:cs="Times New Roman"/>
          <w:sz w:val="24"/>
          <w:szCs w:val="24"/>
        </w:rPr>
        <w:tab/>
        <w:t>Š</w:t>
      </w:r>
      <w:r w:rsidR="008B5BB6" w:rsidRPr="00C2109B">
        <w:rPr>
          <w:rFonts w:ascii="Times New Roman" w:hAnsi="Times New Roman" w:cs="Times New Roman"/>
          <w:sz w:val="24"/>
          <w:szCs w:val="24"/>
        </w:rPr>
        <w:t>ī</w:t>
      </w:r>
      <w:r w:rsidRPr="00C2109B">
        <w:rPr>
          <w:rFonts w:ascii="Times New Roman" w:hAnsi="Times New Roman" w:cs="Times New Roman"/>
          <w:sz w:val="24"/>
          <w:szCs w:val="24"/>
        </w:rPr>
        <w:t xml:space="preserve"> </w:t>
      </w:r>
      <w:r w:rsidR="008B5BB6" w:rsidRPr="00C2109B">
        <w:rPr>
          <w:rFonts w:ascii="Times New Roman" w:hAnsi="Times New Roman" w:cs="Times New Roman"/>
          <w:sz w:val="24"/>
          <w:szCs w:val="24"/>
        </w:rPr>
        <w:t xml:space="preserve">Daudzpusējā vienošanās </w:t>
      </w:r>
      <w:r w:rsidRPr="00C2109B">
        <w:rPr>
          <w:rFonts w:ascii="Times New Roman" w:hAnsi="Times New Roman" w:cs="Times New Roman"/>
          <w:sz w:val="24"/>
          <w:szCs w:val="24"/>
        </w:rPr>
        <w:t>stājas spēkā dienā, kad to parakstījuši visu pušu pārstāvji.</w:t>
      </w:r>
    </w:p>
    <w:p w:rsidR="001845E6" w:rsidRPr="00C2109B" w:rsidRDefault="00F61C1E" w:rsidP="006745D9">
      <w:pPr>
        <w:pStyle w:val="NoSpacing"/>
        <w:spacing w:line="276" w:lineRule="auto"/>
        <w:jc w:val="both"/>
        <w:rPr>
          <w:rFonts w:ascii="Times New Roman" w:hAnsi="Times New Roman" w:cs="Times New Roman"/>
          <w:sz w:val="24"/>
          <w:szCs w:val="24"/>
        </w:rPr>
      </w:pPr>
      <w:r w:rsidRPr="00C2109B">
        <w:rPr>
          <w:rFonts w:ascii="Times New Roman" w:hAnsi="Times New Roman" w:cs="Times New Roman"/>
          <w:sz w:val="24"/>
          <w:szCs w:val="24"/>
        </w:rPr>
        <w:t>3)</w:t>
      </w:r>
      <w:r w:rsidRPr="00C2109B">
        <w:rPr>
          <w:rFonts w:ascii="Times New Roman" w:hAnsi="Times New Roman" w:cs="Times New Roman"/>
          <w:sz w:val="24"/>
          <w:szCs w:val="24"/>
        </w:rPr>
        <w:tab/>
        <w:t>Š</w:t>
      </w:r>
      <w:r w:rsidR="008B5BB6" w:rsidRPr="00C2109B">
        <w:rPr>
          <w:rFonts w:ascii="Times New Roman" w:hAnsi="Times New Roman" w:cs="Times New Roman"/>
          <w:sz w:val="24"/>
          <w:szCs w:val="24"/>
        </w:rPr>
        <w:t>ī</w:t>
      </w:r>
      <w:r w:rsidRPr="00C2109B">
        <w:rPr>
          <w:rFonts w:ascii="Times New Roman" w:hAnsi="Times New Roman" w:cs="Times New Roman"/>
          <w:sz w:val="24"/>
          <w:szCs w:val="24"/>
        </w:rPr>
        <w:t xml:space="preserve"> </w:t>
      </w:r>
      <w:r w:rsidR="008B5BB6" w:rsidRPr="00C2109B">
        <w:rPr>
          <w:rFonts w:ascii="Times New Roman" w:hAnsi="Times New Roman" w:cs="Times New Roman"/>
          <w:sz w:val="24"/>
          <w:szCs w:val="24"/>
        </w:rPr>
        <w:t xml:space="preserve">Daudzpusējā vienošanās </w:t>
      </w:r>
      <w:r w:rsidRPr="00C2109B">
        <w:rPr>
          <w:rFonts w:ascii="Times New Roman" w:hAnsi="Times New Roman" w:cs="Times New Roman"/>
          <w:sz w:val="24"/>
          <w:szCs w:val="24"/>
        </w:rPr>
        <w:t xml:space="preserve">ir spēkā tik ilgi, kamēr tiek īstenota </w:t>
      </w:r>
      <w:r w:rsidR="0012053A" w:rsidRPr="00C2109B">
        <w:rPr>
          <w:rFonts w:ascii="Times New Roman" w:hAnsi="Times New Roman" w:cs="Times New Roman"/>
          <w:sz w:val="24"/>
          <w:szCs w:val="24"/>
        </w:rPr>
        <w:t>„</w:t>
      </w:r>
      <w:r w:rsidRPr="00C2109B">
        <w:rPr>
          <w:rFonts w:ascii="Times New Roman" w:hAnsi="Times New Roman" w:cs="Times New Roman"/>
          <w:sz w:val="24"/>
          <w:szCs w:val="24"/>
        </w:rPr>
        <w:t>ESPON 202</w:t>
      </w:r>
      <w:r w:rsidR="0012053A" w:rsidRPr="00C2109B">
        <w:rPr>
          <w:rFonts w:ascii="Times New Roman" w:hAnsi="Times New Roman" w:cs="Times New Roman"/>
          <w:sz w:val="24"/>
          <w:szCs w:val="24"/>
        </w:rPr>
        <w:t>0”</w:t>
      </w:r>
      <w:r w:rsidRPr="00C2109B">
        <w:rPr>
          <w:rFonts w:ascii="Times New Roman" w:hAnsi="Times New Roman" w:cs="Times New Roman"/>
          <w:sz w:val="24"/>
          <w:szCs w:val="24"/>
        </w:rPr>
        <w:t xml:space="preserve"> sadarbības programma, un paliek spēkā, līdz to formāli un pilnībā slēdz Eiropas Komisija.</w:t>
      </w:r>
    </w:p>
    <w:p w:rsidR="006745D9" w:rsidRPr="00C2109B" w:rsidRDefault="006745D9" w:rsidP="006745D9">
      <w:pPr>
        <w:pStyle w:val="Heading2"/>
        <w:spacing w:before="0"/>
        <w:rPr>
          <w:rFonts w:ascii="Times New Roman" w:hAnsi="Times New Roman" w:cs="Times New Roman"/>
          <w:sz w:val="24"/>
          <w:szCs w:val="24"/>
        </w:rPr>
      </w:pPr>
    </w:p>
    <w:p w:rsidR="001845E6" w:rsidRPr="00C2109B" w:rsidRDefault="001845E6" w:rsidP="006745D9">
      <w:pPr>
        <w:pStyle w:val="Heading2"/>
        <w:spacing w:before="0" w:after="120"/>
        <w:rPr>
          <w:rFonts w:ascii="Times New Roman" w:hAnsi="Times New Roman" w:cs="Times New Roman"/>
          <w:sz w:val="24"/>
          <w:szCs w:val="24"/>
        </w:rPr>
      </w:pPr>
      <w:bookmarkStart w:id="68" w:name="_Toc423349175"/>
      <w:bookmarkStart w:id="69" w:name="_Toc427826220"/>
      <w:r w:rsidRPr="00C2109B">
        <w:rPr>
          <w:rFonts w:ascii="Times New Roman" w:hAnsi="Times New Roman" w:cs="Times New Roman"/>
          <w:sz w:val="24"/>
          <w:szCs w:val="24"/>
        </w:rPr>
        <w:t xml:space="preserve">6. DAĻA. </w:t>
      </w:r>
      <w:r w:rsidR="00AC738A" w:rsidRPr="00C2109B">
        <w:rPr>
          <w:rFonts w:ascii="Times New Roman" w:hAnsi="Times New Roman" w:cs="Times New Roman"/>
          <w:sz w:val="24"/>
          <w:szCs w:val="24"/>
        </w:rPr>
        <w:t xml:space="preserve">DAUDZPUSĒJĀS VIENOŠANĀS </w:t>
      </w:r>
      <w:r w:rsidRPr="00C2109B">
        <w:rPr>
          <w:rFonts w:ascii="Times New Roman" w:hAnsi="Times New Roman" w:cs="Times New Roman"/>
          <w:sz w:val="24"/>
          <w:szCs w:val="24"/>
        </w:rPr>
        <w:t>PIELIKUMI</w:t>
      </w:r>
      <w:bookmarkEnd w:id="68"/>
      <w:bookmarkEnd w:id="69"/>
    </w:p>
    <w:p w:rsidR="00EB7345" w:rsidRPr="00C2109B" w:rsidRDefault="001845E6" w:rsidP="009C47E2">
      <w:pPr>
        <w:pStyle w:val="NoSpacing"/>
        <w:spacing w:line="276" w:lineRule="auto"/>
        <w:jc w:val="both"/>
        <w:rPr>
          <w:rFonts w:ascii="Times New Roman" w:hAnsi="Times New Roman" w:cs="Times New Roman"/>
          <w:b/>
          <w:sz w:val="24"/>
          <w:szCs w:val="24"/>
        </w:rPr>
      </w:pPr>
      <w:r w:rsidRPr="00C2109B">
        <w:rPr>
          <w:rFonts w:ascii="Times New Roman" w:hAnsi="Times New Roman" w:cs="Times New Roman"/>
          <w:b/>
          <w:sz w:val="24"/>
          <w:szCs w:val="24"/>
        </w:rPr>
        <w:t xml:space="preserve">I pielikums. Atsauces dokuments par </w:t>
      </w:r>
      <w:r w:rsidRPr="00C2109B">
        <w:rPr>
          <w:rFonts w:ascii="Times New Roman" w:hAnsi="Times New Roman" w:cs="Times New Roman"/>
          <w:b/>
          <w:i/>
          <w:sz w:val="24"/>
          <w:szCs w:val="24"/>
        </w:rPr>
        <w:t>ESPON ETSG</w:t>
      </w:r>
      <w:r w:rsidR="001F3E0E" w:rsidRPr="00C2109B">
        <w:rPr>
          <w:rFonts w:ascii="Times New Roman" w:hAnsi="Times New Roman" w:cs="Times New Roman"/>
          <w:b/>
          <w:sz w:val="24"/>
          <w:szCs w:val="24"/>
        </w:rPr>
        <w:t xml:space="preserve"> </w:t>
      </w:r>
      <w:r w:rsidR="00AC738A" w:rsidRPr="00C2109B">
        <w:rPr>
          <w:rFonts w:ascii="Times New Roman" w:hAnsi="Times New Roman" w:cs="Times New Roman"/>
          <w:b/>
          <w:sz w:val="24"/>
          <w:szCs w:val="24"/>
        </w:rPr>
        <w:t xml:space="preserve">riska </w:t>
      </w:r>
      <w:r w:rsidR="001F3E0E" w:rsidRPr="00C2109B">
        <w:rPr>
          <w:rFonts w:ascii="Times New Roman" w:hAnsi="Times New Roman" w:cs="Times New Roman"/>
          <w:b/>
          <w:sz w:val="24"/>
          <w:szCs w:val="24"/>
        </w:rPr>
        <w:t>atbildības mehānismu</w:t>
      </w:r>
    </w:p>
    <w:p w:rsidR="00EF0EFB" w:rsidRPr="00C2109B" w:rsidRDefault="00EF0EFB" w:rsidP="009C47E2">
      <w:pPr>
        <w:pStyle w:val="NoSpacing"/>
        <w:spacing w:line="276" w:lineRule="auto"/>
        <w:jc w:val="both"/>
        <w:rPr>
          <w:rFonts w:ascii="Times New Roman" w:hAnsi="Times New Roman" w:cs="Times New Roman"/>
          <w:b/>
          <w:sz w:val="24"/>
          <w:szCs w:val="24"/>
        </w:rPr>
      </w:pPr>
      <w:bookmarkStart w:id="70" w:name="_GoBack"/>
      <w:bookmarkEnd w:id="70"/>
    </w:p>
    <w:sectPr w:rsidR="00EF0EFB" w:rsidRPr="00C2109B" w:rsidSect="00D92ECC">
      <w:headerReference w:type="even" r:id="rId8"/>
      <w:headerReference w:type="default" r:id="rId9"/>
      <w:footerReference w:type="default" r:id="rId10"/>
      <w:headerReference w:type="first" r:id="rId11"/>
      <w:pgSz w:w="11906" w:h="16838"/>
      <w:pgMar w:top="162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72" w:rsidRDefault="00F46172" w:rsidP="00DD1141">
      <w:pPr>
        <w:spacing w:after="0" w:line="240" w:lineRule="auto"/>
      </w:pPr>
      <w:r>
        <w:separator/>
      </w:r>
    </w:p>
  </w:endnote>
  <w:endnote w:type="continuationSeparator" w:id="0">
    <w:p w:rsidR="00F46172" w:rsidRDefault="00F46172" w:rsidP="00DD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6514"/>
      <w:docPartObj>
        <w:docPartGallery w:val="Page Numbers (Bottom of Page)"/>
        <w:docPartUnique/>
      </w:docPartObj>
    </w:sdtPr>
    <w:sdtContent>
      <w:p w:rsidR="000F46A6" w:rsidRDefault="00681B05">
        <w:pPr>
          <w:pStyle w:val="Footer"/>
          <w:jc w:val="center"/>
        </w:pPr>
        <w:r>
          <w:fldChar w:fldCharType="begin"/>
        </w:r>
        <w:r w:rsidR="006E5B48">
          <w:instrText xml:space="preserve"> PAGE   \* MERGEFORMAT </w:instrText>
        </w:r>
        <w:r>
          <w:fldChar w:fldCharType="separate"/>
        </w:r>
        <w:r w:rsidR="000C6B94">
          <w:rPr>
            <w:noProof/>
          </w:rPr>
          <w:t>19</w:t>
        </w:r>
        <w:r>
          <w:rPr>
            <w:noProof/>
          </w:rPr>
          <w:fldChar w:fldCharType="end"/>
        </w:r>
      </w:p>
    </w:sdtContent>
  </w:sdt>
  <w:p w:rsidR="000F46A6" w:rsidRDefault="000F4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72" w:rsidRDefault="00F46172" w:rsidP="00DD1141">
      <w:pPr>
        <w:spacing w:after="0" w:line="240" w:lineRule="auto"/>
      </w:pPr>
      <w:r>
        <w:separator/>
      </w:r>
    </w:p>
  </w:footnote>
  <w:footnote w:type="continuationSeparator" w:id="0">
    <w:p w:rsidR="00F46172" w:rsidRDefault="00F46172" w:rsidP="00DD1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A6" w:rsidRDefault="00681B05">
    <w:pPr>
      <w:pStyle w:val="Header"/>
    </w:pPr>
    <w:r w:rsidRPr="00681B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2717"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A6" w:rsidRPr="004D62A1" w:rsidRDefault="000F46A6" w:rsidP="004D62A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A6" w:rsidRDefault="00681B05">
    <w:pPr>
      <w:pStyle w:val="Header"/>
    </w:pPr>
    <w:r w:rsidRPr="00681B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2716"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C6E"/>
    <w:multiLevelType w:val="hybridMultilevel"/>
    <w:tmpl w:val="744029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FA4CB2"/>
    <w:multiLevelType w:val="hybridMultilevel"/>
    <w:tmpl w:val="665EBAFA"/>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A244C3"/>
    <w:multiLevelType w:val="hybridMultilevel"/>
    <w:tmpl w:val="527CC024"/>
    <w:lvl w:ilvl="0" w:tplc="04260017">
      <w:start w:val="1"/>
      <w:numFmt w:val="low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
    <w:nsid w:val="0EFC7B87"/>
    <w:multiLevelType w:val="hybridMultilevel"/>
    <w:tmpl w:val="35D2357C"/>
    <w:lvl w:ilvl="0" w:tplc="04260017">
      <w:start w:val="1"/>
      <w:numFmt w:val="lowerLetter"/>
      <w:lvlText w:val="%1)"/>
      <w:lvlJc w:val="left"/>
      <w:pPr>
        <w:ind w:left="644" w:hanging="360"/>
      </w:pPr>
      <w:rPr>
        <w:rFont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17FB2F74"/>
    <w:multiLevelType w:val="hybridMultilevel"/>
    <w:tmpl w:val="73D896A6"/>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B14657"/>
    <w:multiLevelType w:val="hybridMultilevel"/>
    <w:tmpl w:val="62B43116"/>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052CCE"/>
    <w:multiLevelType w:val="hybridMultilevel"/>
    <w:tmpl w:val="227EB8E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nsid w:val="246B47E7"/>
    <w:multiLevelType w:val="hybridMultilevel"/>
    <w:tmpl w:val="37E8120E"/>
    <w:lvl w:ilvl="0" w:tplc="4C2490D2">
      <w:numFmt w:val="bullet"/>
      <w:lvlText w:val="-"/>
      <w:lvlJc w:val="left"/>
      <w:pPr>
        <w:ind w:left="1065" w:hanging="705"/>
      </w:pPr>
      <w:rPr>
        <w:rFonts w:ascii="Calibri" w:eastAsiaTheme="minorEastAsia" w:hAnsi="Calibri"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nsid w:val="27565A90"/>
    <w:multiLevelType w:val="hybridMultilevel"/>
    <w:tmpl w:val="E0A0DFEA"/>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DD3A4D"/>
    <w:multiLevelType w:val="hybridMultilevel"/>
    <w:tmpl w:val="56CC43DC"/>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5464B5"/>
    <w:multiLevelType w:val="hybridMultilevel"/>
    <w:tmpl w:val="6F9C2E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E6460C"/>
    <w:multiLevelType w:val="hybridMultilevel"/>
    <w:tmpl w:val="665EBAFA"/>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BC554A"/>
    <w:multiLevelType w:val="hybridMultilevel"/>
    <w:tmpl w:val="A596E5BE"/>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3">
    <w:nsid w:val="3C913BD1"/>
    <w:multiLevelType w:val="hybridMultilevel"/>
    <w:tmpl w:val="0BCE3394"/>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963641"/>
    <w:multiLevelType w:val="hybridMultilevel"/>
    <w:tmpl w:val="55BECA76"/>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A65D08"/>
    <w:multiLevelType w:val="hybridMultilevel"/>
    <w:tmpl w:val="941C799E"/>
    <w:lvl w:ilvl="0" w:tplc="512210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1D4273"/>
    <w:multiLevelType w:val="hybridMultilevel"/>
    <w:tmpl w:val="5AFE41E0"/>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BF0364"/>
    <w:multiLevelType w:val="hybridMultilevel"/>
    <w:tmpl w:val="403E1E98"/>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415A84"/>
    <w:multiLevelType w:val="hybridMultilevel"/>
    <w:tmpl w:val="80F48058"/>
    <w:lvl w:ilvl="0" w:tplc="046E000F">
      <w:start w:val="1"/>
      <w:numFmt w:val="decimal"/>
      <w:lvlText w:val="%1."/>
      <w:lvlJc w:val="left"/>
      <w:pPr>
        <w:ind w:left="360" w:hanging="360"/>
      </w:pPr>
    </w:lvl>
    <w:lvl w:ilvl="1" w:tplc="046E0019" w:tentative="1">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19">
    <w:nsid w:val="54267E9D"/>
    <w:multiLevelType w:val="hybridMultilevel"/>
    <w:tmpl w:val="28221F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B27694"/>
    <w:multiLevelType w:val="hybridMultilevel"/>
    <w:tmpl w:val="6B643640"/>
    <w:lvl w:ilvl="0" w:tplc="53624990">
      <w:start w:val="3"/>
      <w:numFmt w:val="bullet"/>
      <w:lvlText w:val="-"/>
      <w:lvlJc w:val="left"/>
      <w:pPr>
        <w:ind w:left="720" w:hanging="360"/>
      </w:pPr>
      <w:rPr>
        <w:rFonts w:ascii="Calibri" w:eastAsiaTheme="minorEastAsia" w:hAnsi="Calibri"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1">
    <w:nsid w:val="59C22169"/>
    <w:multiLevelType w:val="hybridMultilevel"/>
    <w:tmpl w:val="CEAE626A"/>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3F4444"/>
    <w:multiLevelType w:val="hybridMultilevel"/>
    <w:tmpl w:val="13503610"/>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FB60C8F"/>
    <w:multiLevelType w:val="hybridMultilevel"/>
    <w:tmpl w:val="AD2638E4"/>
    <w:lvl w:ilvl="0" w:tplc="0426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CFB397E"/>
    <w:multiLevelType w:val="hybridMultilevel"/>
    <w:tmpl w:val="96280F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FC46C6"/>
    <w:multiLevelType w:val="hybridMultilevel"/>
    <w:tmpl w:val="D6EEE3A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87022F8"/>
    <w:multiLevelType w:val="hybridMultilevel"/>
    <w:tmpl w:val="9E186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592900"/>
    <w:multiLevelType w:val="hybridMultilevel"/>
    <w:tmpl w:val="60FCFAA4"/>
    <w:lvl w:ilvl="0" w:tplc="DC6CA5A8">
      <w:start w:val="2"/>
      <w:numFmt w:val="decimal"/>
      <w:lvlText w:val="(%1)"/>
      <w:lvlJc w:val="left"/>
      <w:pPr>
        <w:ind w:left="360" w:hanging="360"/>
      </w:pPr>
      <w:rPr>
        <w:rFonts w:hint="default"/>
      </w:rPr>
    </w:lvl>
    <w:lvl w:ilvl="1" w:tplc="046E0019">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28">
    <w:nsid w:val="7ACA79C6"/>
    <w:multiLevelType w:val="hybridMultilevel"/>
    <w:tmpl w:val="6D3857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FAB0E5A"/>
    <w:multiLevelType w:val="hybridMultilevel"/>
    <w:tmpl w:val="8130A1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25"/>
  </w:num>
  <w:num w:numId="5">
    <w:abstractNumId w:val="10"/>
  </w:num>
  <w:num w:numId="6">
    <w:abstractNumId w:val="28"/>
  </w:num>
  <w:num w:numId="7">
    <w:abstractNumId w:val="29"/>
  </w:num>
  <w:num w:numId="8">
    <w:abstractNumId w:val="23"/>
  </w:num>
  <w:num w:numId="9">
    <w:abstractNumId w:val="16"/>
  </w:num>
  <w:num w:numId="10">
    <w:abstractNumId w:val="13"/>
  </w:num>
  <w:num w:numId="11">
    <w:abstractNumId w:val="5"/>
  </w:num>
  <w:num w:numId="12">
    <w:abstractNumId w:val="4"/>
  </w:num>
  <w:num w:numId="13">
    <w:abstractNumId w:val="8"/>
  </w:num>
  <w:num w:numId="14">
    <w:abstractNumId w:val="3"/>
  </w:num>
  <w:num w:numId="15">
    <w:abstractNumId w:val="17"/>
  </w:num>
  <w:num w:numId="16">
    <w:abstractNumId w:val="21"/>
  </w:num>
  <w:num w:numId="17">
    <w:abstractNumId w:val="9"/>
  </w:num>
  <w:num w:numId="18">
    <w:abstractNumId w:val="22"/>
  </w:num>
  <w:num w:numId="19">
    <w:abstractNumId w:val="11"/>
  </w:num>
  <w:num w:numId="20">
    <w:abstractNumId w:val="1"/>
  </w:num>
  <w:num w:numId="21">
    <w:abstractNumId w:val="14"/>
  </w:num>
  <w:num w:numId="22">
    <w:abstractNumId w:val="6"/>
  </w:num>
  <w:num w:numId="23">
    <w:abstractNumId w:val="2"/>
  </w:num>
  <w:num w:numId="24">
    <w:abstractNumId w:val="7"/>
  </w:num>
  <w:num w:numId="25">
    <w:abstractNumId w:val="15"/>
  </w:num>
  <w:num w:numId="26">
    <w:abstractNumId w:val="24"/>
  </w:num>
  <w:num w:numId="27">
    <w:abstractNumId w:val="12"/>
  </w:num>
  <w:num w:numId="28">
    <w:abstractNumId w:val="18"/>
  </w:num>
  <w:num w:numId="29">
    <w:abstractNumId w:val="2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F2C93"/>
    <w:rsid w:val="0000164A"/>
    <w:rsid w:val="00001B88"/>
    <w:rsid w:val="000036FC"/>
    <w:rsid w:val="00007E09"/>
    <w:rsid w:val="00010C7C"/>
    <w:rsid w:val="00013846"/>
    <w:rsid w:val="00015425"/>
    <w:rsid w:val="000158B0"/>
    <w:rsid w:val="000179F3"/>
    <w:rsid w:val="0002316C"/>
    <w:rsid w:val="00023A28"/>
    <w:rsid w:val="000254CA"/>
    <w:rsid w:val="00031A8E"/>
    <w:rsid w:val="000370E3"/>
    <w:rsid w:val="00041C73"/>
    <w:rsid w:val="00042D2F"/>
    <w:rsid w:val="00044AF3"/>
    <w:rsid w:val="000458BD"/>
    <w:rsid w:val="00045A3B"/>
    <w:rsid w:val="00046841"/>
    <w:rsid w:val="00051E12"/>
    <w:rsid w:val="000520FD"/>
    <w:rsid w:val="00054AB3"/>
    <w:rsid w:val="00054F21"/>
    <w:rsid w:val="00055629"/>
    <w:rsid w:val="00055E1E"/>
    <w:rsid w:val="000645C5"/>
    <w:rsid w:val="00074BB4"/>
    <w:rsid w:val="0007608E"/>
    <w:rsid w:val="00076CF6"/>
    <w:rsid w:val="00076D59"/>
    <w:rsid w:val="00080F55"/>
    <w:rsid w:val="00084F25"/>
    <w:rsid w:val="00085F0F"/>
    <w:rsid w:val="00091AB9"/>
    <w:rsid w:val="000924C9"/>
    <w:rsid w:val="000929ED"/>
    <w:rsid w:val="00094251"/>
    <w:rsid w:val="000A000C"/>
    <w:rsid w:val="000A1481"/>
    <w:rsid w:val="000C098E"/>
    <w:rsid w:val="000C1B65"/>
    <w:rsid w:val="000C1C6F"/>
    <w:rsid w:val="000C3C23"/>
    <w:rsid w:val="000C6B94"/>
    <w:rsid w:val="000D16D8"/>
    <w:rsid w:val="000D1A7C"/>
    <w:rsid w:val="000D289F"/>
    <w:rsid w:val="000D4B01"/>
    <w:rsid w:val="000D5F12"/>
    <w:rsid w:val="000E1558"/>
    <w:rsid w:val="000E2BC7"/>
    <w:rsid w:val="000E4F0B"/>
    <w:rsid w:val="000F365F"/>
    <w:rsid w:val="000F46A6"/>
    <w:rsid w:val="000F4C1E"/>
    <w:rsid w:val="000F630C"/>
    <w:rsid w:val="001063AE"/>
    <w:rsid w:val="00106FA2"/>
    <w:rsid w:val="00111DDA"/>
    <w:rsid w:val="001123BF"/>
    <w:rsid w:val="0011294F"/>
    <w:rsid w:val="00114722"/>
    <w:rsid w:val="0012053A"/>
    <w:rsid w:val="00120E84"/>
    <w:rsid w:val="00120F95"/>
    <w:rsid w:val="0013366E"/>
    <w:rsid w:val="00134B52"/>
    <w:rsid w:val="001358E2"/>
    <w:rsid w:val="00136FDE"/>
    <w:rsid w:val="00140FD0"/>
    <w:rsid w:val="001471F1"/>
    <w:rsid w:val="001606F2"/>
    <w:rsid w:val="001665D4"/>
    <w:rsid w:val="0016706D"/>
    <w:rsid w:val="00167A08"/>
    <w:rsid w:val="001751E2"/>
    <w:rsid w:val="00176D3B"/>
    <w:rsid w:val="00183271"/>
    <w:rsid w:val="00183BCB"/>
    <w:rsid w:val="001845E6"/>
    <w:rsid w:val="001905E3"/>
    <w:rsid w:val="001954C0"/>
    <w:rsid w:val="001957AE"/>
    <w:rsid w:val="00195D73"/>
    <w:rsid w:val="00196ED5"/>
    <w:rsid w:val="00197D73"/>
    <w:rsid w:val="001A13B5"/>
    <w:rsid w:val="001A3572"/>
    <w:rsid w:val="001B42BE"/>
    <w:rsid w:val="001B4C25"/>
    <w:rsid w:val="001B6E43"/>
    <w:rsid w:val="001C0C82"/>
    <w:rsid w:val="001C3B7A"/>
    <w:rsid w:val="001C5FE3"/>
    <w:rsid w:val="001C6677"/>
    <w:rsid w:val="001C76E1"/>
    <w:rsid w:val="001D03EE"/>
    <w:rsid w:val="001D2D5E"/>
    <w:rsid w:val="001D2E75"/>
    <w:rsid w:val="001E075F"/>
    <w:rsid w:val="001E0BE1"/>
    <w:rsid w:val="001E30E5"/>
    <w:rsid w:val="001E4CB6"/>
    <w:rsid w:val="001F27F6"/>
    <w:rsid w:val="001F3E0E"/>
    <w:rsid w:val="001F3F8A"/>
    <w:rsid w:val="001F5E44"/>
    <w:rsid w:val="002005E7"/>
    <w:rsid w:val="002033F7"/>
    <w:rsid w:val="00204EFF"/>
    <w:rsid w:val="002053CB"/>
    <w:rsid w:val="002078C0"/>
    <w:rsid w:val="00207EE8"/>
    <w:rsid w:val="00213DC9"/>
    <w:rsid w:val="00217804"/>
    <w:rsid w:val="0022061E"/>
    <w:rsid w:val="002208A9"/>
    <w:rsid w:val="00221798"/>
    <w:rsid w:val="00230D62"/>
    <w:rsid w:val="00231055"/>
    <w:rsid w:val="00232843"/>
    <w:rsid w:val="00234598"/>
    <w:rsid w:val="00240FD9"/>
    <w:rsid w:val="002433EF"/>
    <w:rsid w:val="00243F6F"/>
    <w:rsid w:val="002465C9"/>
    <w:rsid w:val="00250535"/>
    <w:rsid w:val="00251125"/>
    <w:rsid w:val="0025201F"/>
    <w:rsid w:val="0025253E"/>
    <w:rsid w:val="00252831"/>
    <w:rsid w:val="00260797"/>
    <w:rsid w:val="00266268"/>
    <w:rsid w:val="00272FCC"/>
    <w:rsid w:val="0027771B"/>
    <w:rsid w:val="0028492E"/>
    <w:rsid w:val="00285840"/>
    <w:rsid w:val="00287AAC"/>
    <w:rsid w:val="00290480"/>
    <w:rsid w:val="00293173"/>
    <w:rsid w:val="002938D0"/>
    <w:rsid w:val="002956E0"/>
    <w:rsid w:val="00296B40"/>
    <w:rsid w:val="002A20CB"/>
    <w:rsid w:val="002A280B"/>
    <w:rsid w:val="002B01D2"/>
    <w:rsid w:val="002B5FC7"/>
    <w:rsid w:val="002C1F47"/>
    <w:rsid w:val="002C4301"/>
    <w:rsid w:val="002C6392"/>
    <w:rsid w:val="002C7F90"/>
    <w:rsid w:val="002D03E6"/>
    <w:rsid w:val="002D2E08"/>
    <w:rsid w:val="002D6D2B"/>
    <w:rsid w:val="002E2B62"/>
    <w:rsid w:val="002E60EF"/>
    <w:rsid w:val="002E7265"/>
    <w:rsid w:val="002F0743"/>
    <w:rsid w:val="002F0DCB"/>
    <w:rsid w:val="002F2685"/>
    <w:rsid w:val="002F5856"/>
    <w:rsid w:val="002F72D7"/>
    <w:rsid w:val="002F7E3A"/>
    <w:rsid w:val="00301588"/>
    <w:rsid w:val="00302214"/>
    <w:rsid w:val="003027C4"/>
    <w:rsid w:val="003065EE"/>
    <w:rsid w:val="00307D50"/>
    <w:rsid w:val="003156E8"/>
    <w:rsid w:val="00320415"/>
    <w:rsid w:val="00321F26"/>
    <w:rsid w:val="0032275E"/>
    <w:rsid w:val="00325014"/>
    <w:rsid w:val="003258C1"/>
    <w:rsid w:val="00326945"/>
    <w:rsid w:val="00326BCB"/>
    <w:rsid w:val="00330A99"/>
    <w:rsid w:val="003313C0"/>
    <w:rsid w:val="00340A23"/>
    <w:rsid w:val="00360D02"/>
    <w:rsid w:val="00360E3A"/>
    <w:rsid w:val="00361C4F"/>
    <w:rsid w:val="00362062"/>
    <w:rsid w:val="00365D9F"/>
    <w:rsid w:val="00372EAD"/>
    <w:rsid w:val="00373303"/>
    <w:rsid w:val="00373603"/>
    <w:rsid w:val="00380BAB"/>
    <w:rsid w:val="00380D0C"/>
    <w:rsid w:val="00381DA2"/>
    <w:rsid w:val="00385A3A"/>
    <w:rsid w:val="00390243"/>
    <w:rsid w:val="003926BD"/>
    <w:rsid w:val="0039407E"/>
    <w:rsid w:val="00394E02"/>
    <w:rsid w:val="00395F73"/>
    <w:rsid w:val="003A48FD"/>
    <w:rsid w:val="003A4EB9"/>
    <w:rsid w:val="003A6A56"/>
    <w:rsid w:val="003A6DCD"/>
    <w:rsid w:val="003B6DA4"/>
    <w:rsid w:val="003C0762"/>
    <w:rsid w:val="003C1922"/>
    <w:rsid w:val="003C2456"/>
    <w:rsid w:val="003C3B09"/>
    <w:rsid w:val="003D21EA"/>
    <w:rsid w:val="003D3247"/>
    <w:rsid w:val="003D590F"/>
    <w:rsid w:val="003E0106"/>
    <w:rsid w:val="003E068D"/>
    <w:rsid w:val="003E2EEC"/>
    <w:rsid w:val="003F15D4"/>
    <w:rsid w:val="003F1683"/>
    <w:rsid w:val="003F4636"/>
    <w:rsid w:val="003F553B"/>
    <w:rsid w:val="003F60F0"/>
    <w:rsid w:val="003F6478"/>
    <w:rsid w:val="003F6600"/>
    <w:rsid w:val="003F67F3"/>
    <w:rsid w:val="003F79A1"/>
    <w:rsid w:val="004000FB"/>
    <w:rsid w:val="00400C75"/>
    <w:rsid w:val="0040417B"/>
    <w:rsid w:val="0040583A"/>
    <w:rsid w:val="00406375"/>
    <w:rsid w:val="004123D4"/>
    <w:rsid w:val="00413A53"/>
    <w:rsid w:val="0041713F"/>
    <w:rsid w:val="004210ED"/>
    <w:rsid w:val="0042123F"/>
    <w:rsid w:val="00422981"/>
    <w:rsid w:val="004264E9"/>
    <w:rsid w:val="00431D93"/>
    <w:rsid w:val="00432BB0"/>
    <w:rsid w:val="00433A80"/>
    <w:rsid w:val="00433F33"/>
    <w:rsid w:val="004344E5"/>
    <w:rsid w:val="004460C0"/>
    <w:rsid w:val="004477E5"/>
    <w:rsid w:val="004479CE"/>
    <w:rsid w:val="004512D7"/>
    <w:rsid w:val="0045456F"/>
    <w:rsid w:val="00455EF6"/>
    <w:rsid w:val="0046739E"/>
    <w:rsid w:val="00467437"/>
    <w:rsid w:val="00473A4F"/>
    <w:rsid w:val="0048774E"/>
    <w:rsid w:val="00491AF3"/>
    <w:rsid w:val="00492CBC"/>
    <w:rsid w:val="00494024"/>
    <w:rsid w:val="004955B1"/>
    <w:rsid w:val="004959E9"/>
    <w:rsid w:val="00495FB6"/>
    <w:rsid w:val="004A08B9"/>
    <w:rsid w:val="004A4DF5"/>
    <w:rsid w:val="004A68C8"/>
    <w:rsid w:val="004B0F69"/>
    <w:rsid w:val="004B191F"/>
    <w:rsid w:val="004B2CCD"/>
    <w:rsid w:val="004C0045"/>
    <w:rsid w:val="004C5738"/>
    <w:rsid w:val="004C74E7"/>
    <w:rsid w:val="004D5C87"/>
    <w:rsid w:val="004D62A1"/>
    <w:rsid w:val="004D728F"/>
    <w:rsid w:val="004E2667"/>
    <w:rsid w:val="004E376F"/>
    <w:rsid w:val="004E4933"/>
    <w:rsid w:val="004F1878"/>
    <w:rsid w:val="00501E85"/>
    <w:rsid w:val="005032E0"/>
    <w:rsid w:val="005064FC"/>
    <w:rsid w:val="00512030"/>
    <w:rsid w:val="00512516"/>
    <w:rsid w:val="00515F2C"/>
    <w:rsid w:val="00516F0D"/>
    <w:rsid w:val="00526E03"/>
    <w:rsid w:val="00533B78"/>
    <w:rsid w:val="005350E8"/>
    <w:rsid w:val="00540916"/>
    <w:rsid w:val="00542174"/>
    <w:rsid w:val="00542461"/>
    <w:rsid w:val="00546911"/>
    <w:rsid w:val="0054748B"/>
    <w:rsid w:val="00555DF9"/>
    <w:rsid w:val="00563CB3"/>
    <w:rsid w:val="00564415"/>
    <w:rsid w:val="00575448"/>
    <w:rsid w:val="00582E7F"/>
    <w:rsid w:val="00585BFB"/>
    <w:rsid w:val="00585F96"/>
    <w:rsid w:val="005867AD"/>
    <w:rsid w:val="00592982"/>
    <w:rsid w:val="00592C6A"/>
    <w:rsid w:val="005967E5"/>
    <w:rsid w:val="00597732"/>
    <w:rsid w:val="005A1E7D"/>
    <w:rsid w:val="005A3E96"/>
    <w:rsid w:val="005A49D2"/>
    <w:rsid w:val="005A60B7"/>
    <w:rsid w:val="005B3B1F"/>
    <w:rsid w:val="005C23D3"/>
    <w:rsid w:val="005C62A6"/>
    <w:rsid w:val="005D0012"/>
    <w:rsid w:val="005D2CAA"/>
    <w:rsid w:val="005D42EC"/>
    <w:rsid w:val="005D47D4"/>
    <w:rsid w:val="005D5901"/>
    <w:rsid w:val="005D768C"/>
    <w:rsid w:val="005E0C2C"/>
    <w:rsid w:val="005E18C3"/>
    <w:rsid w:val="005E66C5"/>
    <w:rsid w:val="005F3D42"/>
    <w:rsid w:val="005F609E"/>
    <w:rsid w:val="0060467E"/>
    <w:rsid w:val="0061101B"/>
    <w:rsid w:val="006112F2"/>
    <w:rsid w:val="00612921"/>
    <w:rsid w:val="00621615"/>
    <w:rsid w:val="0062232D"/>
    <w:rsid w:val="00624AEF"/>
    <w:rsid w:val="006413A8"/>
    <w:rsid w:val="0064662A"/>
    <w:rsid w:val="0065161D"/>
    <w:rsid w:val="006544BD"/>
    <w:rsid w:val="006660B7"/>
    <w:rsid w:val="00670F09"/>
    <w:rsid w:val="00671343"/>
    <w:rsid w:val="00672ABE"/>
    <w:rsid w:val="006745D9"/>
    <w:rsid w:val="0067483B"/>
    <w:rsid w:val="006803F5"/>
    <w:rsid w:val="00681B05"/>
    <w:rsid w:val="0068364B"/>
    <w:rsid w:val="00684B6D"/>
    <w:rsid w:val="00684F1B"/>
    <w:rsid w:val="0068731D"/>
    <w:rsid w:val="0068760A"/>
    <w:rsid w:val="00695BDD"/>
    <w:rsid w:val="00697BEC"/>
    <w:rsid w:val="006A3FE6"/>
    <w:rsid w:val="006B0460"/>
    <w:rsid w:val="006C18EC"/>
    <w:rsid w:val="006C1C5D"/>
    <w:rsid w:val="006C4E41"/>
    <w:rsid w:val="006C6511"/>
    <w:rsid w:val="006C6DFD"/>
    <w:rsid w:val="006D3EB1"/>
    <w:rsid w:val="006D5698"/>
    <w:rsid w:val="006D5D3F"/>
    <w:rsid w:val="006E1467"/>
    <w:rsid w:val="006E2B57"/>
    <w:rsid w:val="006E5B48"/>
    <w:rsid w:val="006E5BE0"/>
    <w:rsid w:val="006F689D"/>
    <w:rsid w:val="007023A6"/>
    <w:rsid w:val="00704E6D"/>
    <w:rsid w:val="007051FF"/>
    <w:rsid w:val="007058C3"/>
    <w:rsid w:val="007069BF"/>
    <w:rsid w:val="00713911"/>
    <w:rsid w:val="007140B6"/>
    <w:rsid w:val="007153BD"/>
    <w:rsid w:val="00716CB3"/>
    <w:rsid w:val="00717AC6"/>
    <w:rsid w:val="00721239"/>
    <w:rsid w:val="00723A66"/>
    <w:rsid w:val="00724C03"/>
    <w:rsid w:val="00725AC2"/>
    <w:rsid w:val="007350DA"/>
    <w:rsid w:val="00737906"/>
    <w:rsid w:val="007401D7"/>
    <w:rsid w:val="007436D7"/>
    <w:rsid w:val="00746D58"/>
    <w:rsid w:val="0074733B"/>
    <w:rsid w:val="00750295"/>
    <w:rsid w:val="00752FD1"/>
    <w:rsid w:val="00757280"/>
    <w:rsid w:val="00761FE4"/>
    <w:rsid w:val="007625F7"/>
    <w:rsid w:val="0077459B"/>
    <w:rsid w:val="00774998"/>
    <w:rsid w:val="007815B2"/>
    <w:rsid w:val="00790535"/>
    <w:rsid w:val="00791155"/>
    <w:rsid w:val="00793F03"/>
    <w:rsid w:val="0079450F"/>
    <w:rsid w:val="00797DD9"/>
    <w:rsid w:val="007A093C"/>
    <w:rsid w:val="007A2054"/>
    <w:rsid w:val="007A78CC"/>
    <w:rsid w:val="007A7A6A"/>
    <w:rsid w:val="007A7E8E"/>
    <w:rsid w:val="007B120A"/>
    <w:rsid w:val="007B1C22"/>
    <w:rsid w:val="007B3A5A"/>
    <w:rsid w:val="007C0940"/>
    <w:rsid w:val="007C3D03"/>
    <w:rsid w:val="007C5F96"/>
    <w:rsid w:val="007C667D"/>
    <w:rsid w:val="007C7615"/>
    <w:rsid w:val="007C7E37"/>
    <w:rsid w:val="007E11DA"/>
    <w:rsid w:val="007E1ACF"/>
    <w:rsid w:val="007E7739"/>
    <w:rsid w:val="007F0228"/>
    <w:rsid w:val="007F17CB"/>
    <w:rsid w:val="007F4269"/>
    <w:rsid w:val="00802AA6"/>
    <w:rsid w:val="0080517C"/>
    <w:rsid w:val="008102B1"/>
    <w:rsid w:val="00811148"/>
    <w:rsid w:val="00811A25"/>
    <w:rsid w:val="0081244D"/>
    <w:rsid w:val="00812D12"/>
    <w:rsid w:val="00821ACA"/>
    <w:rsid w:val="008249EB"/>
    <w:rsid w:val="00825881"/>
    <w:rsid w:val="00826024"/>
    <w:rsid w:val="008313AF"/>
    <w:rsid w:val="00831D3F"/>
    <w:rsid w:val="00832540"/>
    <w:rsid w:val="008360EE"/>
    <w:rsid w:val="00836356"/>
    <w:rsid w:val="00842934"/>
    <w:rsid w:val="008433A6"/>
    <w:rsid w:val="00844911"/>
    <w:rsid w:val="00847903"/>
    <w:rsid w:val="008514F4"/>
    <w:rsid w:val="00854C21"/>
    <w:rsid w:val="00862CA3"/>
    <w:rsid w:val="00863111"/>
    <w:rsid w:val="0087279A"/>
    <w:rsid w:val="00873B8E"/>
    <w:rsid w:val="00873C1D"/>
    <w:rsid w:val="008814A7"/>
    <w:rsid w:val="00882D54"/>
    <w:rsid w:val="008830FD"/>
    <w:rsid w:val="008849FA"/>
    <w:rsid w:val="00891CBF"/>
    <w:rsid w:val="008A1F5E"/>
    <w:rsid w:val="008A32AA"/>
    <w:rsid w:val="008A3B33"/>
    <w:rsid w:val="008A6C91"/>
    <w:rsid w:val="008B568B"/>
    <w:rsid w:val="008B5A6F"/>
    <w:rsid w:val="008B5BB6"/>
    <w:rsid w:val="008C30FE"/>
    <w:rsid w:val="008C3899"/>
    <w:rsid w:val="008C66AE"/>
    <w:rsid w:val="008D34D7"/>
    <w:rsid w:val="008D44ED"/>
    <w:rsid w:val="008D679B"/>
    <w:rsid w:val="008E0618"/>
    <w:rsid w:val="008E2ED4"/>
    <w:rsid w:val="008E6CC7"/>
    <w:rsid w:val="008F273E"/>
    <w:rsid w:val="008F3F5F"/>
    <w:rsid w:val="008F6632"/>
    <w:rsid w:val="009014A9"/>
    <w:rsid w:val="00901AB1"/>
    <w:rsid w:val="00901DB7"/>
    <w:rsid w:val="00905B77"/>
    <w:rsid w:val="009063C2"/>
    <w:rsid w:val="00910A45"/>
    <w:rsid w:val="009115E9"/>
    <w:rsid w:val="00912C9F"/>
    <w:rsid w:val="009176F7"/>
    <w:rsid w:val="00920FCC"/>
    <w:rsid w:val="0092244F"/>
    <w:rsid w:val="00927EB6"/>
    <w:rsid w:val="009309CC"/>
    <w:rsid w:val="00930A6D"/>
    <w:rsid w:val="009311FF"/>
    <w:rsid w:val="00932746"/>
    <w:rsid w:val="009423F0"/>
    <w:rsid w:val="00944411"/>
    <w:rsid w:val="009454FB"/>
    <w:rsid w:val="009514E2"/>
    <w:rsid w:val="00952AC7"/>
    <w:rsid w:val="0095456D"/>
    <w:rsid w:val="00960EEE"/>
    <w:rsid w:val="00971524"/>
    <w:rsid w:val="00971FF4"/>
    <w:rsid w:val="00973D07"/>
    <w:rsid w:val="009757C8"/>
    <w:rsid w:val="00976B4C"/>
    <w:rsid w:val="009803F1"/>
    <w:rsid w:val="00986A3A"/>
    <w:rsid w:val="009904AC"/>
    <w:rsid w:val="00992F27"/>
    <w:rsid w:val="00993274"/>
    <w:rsid w:val="00993774"/>
    <w:rsid w:val="0099471A"/>
    <w:rsid w:val="009A18A8"/>
    <w:rsid w:val="009A340C"/>
    <w:rsid w:val="009A418C"/>
    <w:rsid w:val="009A73D2"/>
    <w:rsid w:val="009B1B76"/>
    <w:rsid w:val="009B1C5D"/>
    <w:rsid w:val="009C20CE"/>
    <w:rsid w:val="009C47E2"/>
    <w:rsid w:val="009C6A5C"/>
    <w:rsid w:val="009C77D8"/>
    <w:rsid w:val="009D04BE"/>
    <w:rsid w:val="009D3416"/>
    <w:rsid w:val="009D3566"/>
    <w:rsid w:val="009D4DB6"/>
    <w:rsid w:val="009D5D4B"/>
    <w:rsid w:val="009D73E6"/>
    <w:rsid w:val="009E03C9"/>
    <w:rsid w:val="009E0671"/>
    <w:rsid w:val="009E2B6D"/>
    <w:rsid w:val="009E5050"/>
    <w:rsid w:val="009F1199"/>
    <w:rsid w:val="009F7BD9"/>
    <w:rsid w:val="00A0103E"/>
    <w:rsid w:val="00A0523A"/>
    <w:rsid w:val="00A07BFF"/>
    <w:rsid w:val="00A108D6"/>
    <w:rsid w:val="00A130DB"/>
    <w:rsid w:val="00A1391B"/>
    <w:rsid w:val="00A150BE"/>
    <w:rsid w:val="00A151A8"/>
    <w:rsid w:val="00A162B7"/>
    <w:rsid w:val="00A201C2"/>
    <w:rsid w:val="00A2325E"/>
    <w:rsid w:val="00A254B3"/>
    <w:rsid w:val="00A27B8F"/>
    <w:rsid w:val="00A30484"/>
    <w:rsid w:val="00A352AB"/>
    <w:rsid w:val="00A40190"/>
    <w:rsid w:val="00A419F7"/>
    <w:rsid w:val="00A517BC"/>
    <w:rsid w:val="00A62C64"/>
    <w:rsid w:val="00A635A3"/>
    <w:rsid w:val="00A704B0"/>
    <w:rsid w:val="00A73AE6"/>
    <w:rsid w:val="00A7508E"/>
    <w:rsid w:val="00A762B1"/>
    <w:rsid w:val="00A80AB1"/>
    <w:rsid w:val="00A81FEE"/>
    <w:rsid w:val="00A82498"/>
    <w:rsid w:val="00A83814"/>
    <w:rsid w:val="00A90D08"/>
    <w:rsid w:val="00A96BCE"/>
    <w:rsid w:val="00A97993"/>
    <w:rsid w:val="00AA05B9"/>
    <w:rsid w:val="00AA2255"/>
    <w:rsid w:val="00AA3A88"/>
    <w:rsid w:val="00AB3903"/>
    <w:rsid w:val="00AB525B"/>
    <w:rsid w:val="00AC0F6E"/>
    <w:rsid w:val="00AC6FAF"/>
    <w:rsid w:val="00AC738A"/>
    <w:rsid w:val="00AD110E"/>
    <w:rsid w:val="00AD651C"/>
    <w:rsid w:val="00AD7688"/>
    <w:rsid w:val="00AD7894"/>
    <w:rsid w:val="00AF0628"/>
    <w:rsid w:val="00AF1B41"/>
    <w:rsid w:val="00AF29A7"/>
    <w:rsid w:val="00AF74F9"/>
    <w:rsid w:val="00B00027"/>
    <w:rsid w:val="00B01395"/>
    <w:rsid w:val="00B02770"/>
    <w:rsid w:val="00B03BAD"/>
    <w:rsid w:val="00B05B79"/>
    <w:rsid w:val="00B05F67"/>
    <w:rsid w:val="00B075F0"/>
    <w:rsid w:val="00B15C7E"/>
    <w:rsid w:val="00B15D2C"/>
    <w:rsid w:val="00B22728"/>
    <w:rsid w:val="00B22A44"/>
    <w:rsid w:val="00B236EC"/>
    <w:rsid w:val="00B26A51"/>
    <w:rsid w:val="00B34EDC"/>
    <w:rsid w:val="00B501DA"/>
    <w:rsid w:val="00B56616"/>
    <w:rsid w:val="00B56E18"/>
    <w:rsid w:val="00B573AB"/>
    <w:rsid w:val="00B63A31"/>
    <w:rsid w:val="00B66272"/>
    <w:rsid w:val="00B70DE6"/>
    <w:rsid w:val="00B73456"/>
    <w:rsid w:val="00B73E6C"/>
    <w:rsid w:val="00B7717A"/>
    <w:rsid w:val="00B7795C"/>
    <w:rsid w:val="00B77EFB"/>
    <w:rsid w:val="00B8232C"/>
    <w:rsid w:val="00B84A0D"/>
    <w:rsid w:val="00B865B8"/>
    <w:rsid w:val="00B87576"/>
    <w:rsid w:val="00B90A03"/>
    <w:rsid w:val="00B92FA4"/>
    <w:rsid w:val="00B938CB"/>
    <w:rsid w:val="00B97092"/>
    <w:rsid w:val="00BA308A"/>
    <w:rsid w:val="00BA4C1C"/>
    <w:rsid w:val="00BA5719"/>
    <w:rsid w:val="00BB064E"/>
    <w:rsid w:val="00BB2BC2"/>
    <w:rsid w:val="00BB4366"/>
    <w:rsid w:val="00BC05DF"/>
    <w:rsid w:val="00BC3B4E"/>
    <w:rsid w:val="00BD273F"/>
    <w:rsid w:val="00BD7D1B"/>
    <w:rsid w:val="00BE348A"/>
    <w:rsid w:val="00BE5D3A"/>
    <w:rsid w:val="00BE6032"/>
    <w:rsid w:val="00BE6115"/>
    <w:rsid w:val="00BE7E0E"/>
    <w:rsid w:val="00BF0799"/>
    <w:rsid w:val="00BF6C16"/>
    <w:rsid w:val="00C06D6D"/>
    <w:rsid w:val="00C07F31"/>
    <w:rsid w:val="00C11451"/>
    <w:rsid w:val="00C123D5"/>
    <w:rsid w:val="00C1245D"/>
    <w:rsid w:val="00C17EA1"/>
    <w:rsid w:val="00C2109B"/>
    <w:rsid w:val="00C23D86"/>
    <w:rsid w:val="00C331B0"/>
    <w:rsid w:val="00C33F91"/>
    <w:rsid w:val="00C34795"/>
    <w:rsid w:val="00C350D9"/>
    <w:rsid w:val="00C37FFE"/>
    <w:rsid w:val="00C421A6"/>
    <w:rsid w:val="00C42A04"/>
    <w:rsid w:val="00C43FFA"/>
    <w:rsid w:val="00C468D9"/>
    <w:rsid w:val="00C50925"/>
    <w:rsid w:val="00C5100C"/>
    <w:rsid w:val="00C51731"/>
    <w:rsid w:val="00C517AA"/>
    <w:rsid w:val="00C519F1"/>
    <w:rsid w:val="00C5389E"/>
    <w:rsid w:val="00C57181"/>
    <w:rsid w:val="00C61C0E"/>
    <w:rsid w:val="00C62CF3"/>
    <w:rsid w:val="00C641D5"/>
    <w:rsid w:val="00C675B3"/>
    <w:rsid w:val="00C6787A"/>
    <w:rsid w:val="00C733C5"/>
    <w:rsid w:val="00C80092"/>
    <w:rsid w:val="00C84FAF"/>
    <w:rsid w:val="00C86924"/>
    <w:rsid w:val="00C914DB"/>
    <w:rsid w:val="00C96D41"/>
    <w:rsid w:val="00C9733E"/>
    <w:rsid w:val="00C974B6"/>
    <w:rsid w:val="00CB21FD"/>
    <w:rsid w:val="00CB4F97"/>
    <w:rsid w:val="00CB67A1"/>
    <w:rsid w:val="00CB7B8A"/>
    <w:rsid w:val="00CC2558"/>
    <w:rsid w:val="00CC38E4"/>
    <w:rsid w:val="00CC4C77"/>
    <w:rsid w:val="00CC70B5"/>
    <w:rsid w:val="00CC7EE8"/>
    <w:rsid w:val="00CD6845"/>
    <w:rsid w:val="00CE1514"/>
    <w:rsid w:val="00CE303D"/>
    <w:rsid w:val="00CF2AB2"/>
    <w:rsid w:val="00CF6CF6"/>
    <w:rsid w:val="00D00BB6"/>
    <w:rsid w:val="00D028EF"/>
    <w:rsid w:val="00D070DE"/>
    <w:rsid w:val="00D07EDA"/>
    <w:rsid w:val="00D13E5E"/>
    <w:rsid w:val="00D175D5"/>
    <w:rsid w:val="00D20FFF"/>
    <w:rsid w:val="00D2287C"/>
    <w:rsid w:val="00D273EE"/>
    <w:rsid w:val="00D30194"/>
    <w:rsid w:val="00D32FA5"/>
    <w:rsid w:val="00D357BA"/>
    <w:rsid w:val="00D379E0"/>
    <w:rsid w:val="00D41281"/>
    <w:rsid w:val="00D435C8"/>
    <w:rsid w:val="00D45D20"/>
    <w:rsid w:val="00D47A8E"/>
    <w:rsid w:val="00D52AFE"/>
    <w:rsid w:val="00D5667C"/>
    <w:rsid w:val="00D63105"/>
    <w:rsid w:val="00D665C2"/>
    <w:rsid w:val="00D70D4F"/>
    <w:rsid w:val="00D73C59"/>
    <w:rsid w:val="00D77683"/>
    <w:rsid w:val="00D828C7"/>
    <w:rsid w:val="00D844C6"/>
    <w:rsid w:val="00D86073"/>
    <w:rsid w:val="00D92BD3"/>
    <w:rsid w:val="00D92ECC"/>
    <w:rsid w:val="00D93586"/>
    <w:rsid w:val="00D9489F"/>
    <w:rsid w:val="00D97E3E"/>
    <w:rsid w:val="00DA46A4"/>
    <w:rsid w:val="00DA5EA4"/>
    <w:rsid w:val="00DA7908"/>
    <w:rsid w:val="00DB2F17"/>
    <w:rsid w:val="00DB51B3"/>
    <w:rsid w:val="00DB6D74"/>
    <w:rsid w:val="00DB7BD7"/>
    <w:rsid w:val="00DC183D"/>
    <w:rsid w:val="00DC489E"/>
    <w:rsid w:val="00DD0AE6"/>
    <w:rsid w:val="00DD1141"/>
    <w:rsid w:val="00DD23B0"/>
    <w:rsid w:val="00DD603C"/>
    <w:rsid w:val="00DE0240"/>
    <w:rsid w:val="00DE2404"/>
    <w:rsid w:val="00DE4B22"/>
    <w:rsid w:val="00DE4BDF"/>
    <w:rsid w:val="00DF2344"/>
    <w:rsid w:val="00DF29E2"/>
    <w:rsid w:val="00DF37A3"/>
    <w:rsid w:val="00DF67B0"/>
    <w:rsid w:val="00DF7F95"/>
    <w:rsid w:val="00E008EF"/>
    <w:rsid w:val="00E11842"/>
    <w:rsid w:val="00E13C23"/>
    <w:rsid w:val="00E156B8"/>
    <w:rsid w:val="00E20355"/>
    <w:rsid w:val="00E20B89"/>
    <w:rsid w:val="00E21066"/>
    <w:rsid w:val="00E23049"/>
    <w:rsid w:val="00E2474C"/>
    <w:rsid w:val="00E30DC0"/>
    <w:rsid w:val="00E37426"/>
    <w:rsid w:val="00E40F72"/>
    <w:rsid w:val="00E412E5"/>
    <w:rsid w:val="00E41B08"/>
    <w:rsid w:val="00E41FF3"/>
    <w:rsid w:val="00E477E7"/>
    <w:rsid w:val="00E4799A"/>
    <w:rsid w:val="00E47BBC"/>
    <w:rsid w:val="00E47FCF"/>
    <w:rsid w:val="00E50E45"/>
    <w:rsid w:val="00E5180B"/>
    <w:rsid w:val="00E53CB1"/>
    <w:rsid w:val="00E54E8C"/>
    <w:rsid w:val="00E57DC0"/>
    <w:rsid w:val="00E6354C"/>
    <w:rsid w:val="00E63CCB"/>
    <w:rsid w:val="00E64CD2"/>
    <w:rsid w:val="00E64D9C"/>
    <w:rsid w:val="00E707B1"/>
    <w:rsid w:val="00E71CE3"/>
    <w:rsid w:val="00E724D9"/>
    <w:rsid w:val="00E7341F"/>
    <w:rsid w:val="00E77E80"/>
    <w:rsid w:val="00E83505"/>
    <w:rsid w:val="00E8522F"/>
    <w:rsid w:val="00E86925"/>
    <w:rsid w:val="00E9380C"/>
    <w:rsid w:val="00EA2D3B"/>
    <w:rsid w:val="00EA5A33"/>
    <w:rsid w:val="00EA5D1F"/>
    <w:rsid w:val="00EA69B0"/>
    <w:rsid w:val="00EB40DD"/>
    <w:rsid w:val="00EB687A"/>
    <w:rsid w:val="00EB7345"/>
    <w:rsid w:val="00EC4501"/>
    <w:rsid w:val="00EC4963"/>
    <w:rsid w:val="00EC5228"/>
    <w:rsid w:val="00EC7A2D"/>
    <w:rsid w:val="00ED1BC2"/>
    <w:rsid w:val="00ED33D2"/>
    <w:rsid w:val="00ED779A"/>
    <w:rsid w:val="00EE0499"/>
    <w:rsid w:val="00EE32FD"/>
    <w:rsid w:val="00EE5C34"/>
    <w:rsid w:val="00EE6A88"/>
    <w:rsid w:val="00EE72D8"/>
    <w:rsid w:val="00EE769E"/>
    <w:rsid w:val="00EE798F"/>
    <w:rsid w:val="00EE7E14"/>
    <w:rsid w:val="00EF0453"/>
    <w:rsid w:val="00EF0EFB"/>
    <w:rsid w:val="00EF2C93"/>
    <w:rsid w:val="00EF408E"/>
    <w:rsid w:val="00F0543D"/>
    <w:rsid w:val="00F13F18"/>
    <w:rsid w:val="00F21121"/>
    <w:rsid w:val="00F220F9"/>
    <w:rsid w:val="00F22621"/>
    <w:rsid w:val="00F226E1"/>
    <w:rsid w:val="00F23B18"/>
    <w:rsid w:val="00F271B0"/>
    <w:rsid w:val="00F34063"/>
    <w:rsid w:val="00F3464A"/>
    <w:rsid w:val="00F3534F"/>
    <w:rsid w:val="00F35B1A"/>
    <w:rsid w:val="00F41269"/>
    <w:rsid w:val="00F428AF"/>
    <w:rsid w:val="00F4370C"/>
    <w:rsid w:val="00F44042"/>
    <w:rsid w:val="00F44472"/>
    <w:rsid w:val="00F44507"/>
    <w:rsid w:val="00F4498D"/>
    <w:rsid w:val="00F46172"/>
    <w:rsid w:val="00F50A42"/>
    <w:rsid w:val="00F51D7E"/>
    <w:rsid w:val="00F60085"/>
    <w:rsid w:val="00F61C1E"/>
    <w:rsid w:val="00F63DF1"/>
    <w:rsid w:val="00F72F54"/>
    <w:rsid w:val="00F76A72"/>
    <w:rsid w:val="00F807B9"/>
    <w:rsid w:val="00F80C8C"/>
    <w:rsid w:val="00F8131B"/>
    <w:rsid w:val="00F82D56"/>
    <w:rsid w:val="00F846C1"/>
    <w:rsid w:val="00F86567"/>
    <w:rsid w:val="00F86C08"/>
    <w:rsid w:val="00F90F9A"/>
    <w:rsid w:val="00FA17E4"/>
    <w:rsid w:val="00FA230A"/>
    <w:rsid w:val="00FA5393"/>
    <w:rsid w:val="00FA65E5"/>
    <w:rsid w:val="00FA6E03"/>
    <w:rsid w:val="00FA7ACC"/>
    <w:rsid w:val="00FB0627"/>
    <w:rsid w:val="00FB19A1"/>
    <w:rsid w:val="00FB1A56"/>
    <w:rsid w:val="00FB1B27"/>
    <w:rsid w:val="00FB59A7"/>
    <w:rsid w:val="00FC1412"/>
    <w:rsid w:val="00FC3767"/>
    <w:rsid w:val="00FC5B94"/>
    <w:rsid w:val="00FC5F06"/>
    <w:rsid w:val="00FC679F"/>
    <w:rsid w:val="00FC7485"/>
    <w:rsid w:val="00FD11FB"/>
    <w:rsid w:val="00FE3C01"/>
    <w:rsid w:val="00FF1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03"/>
  </w:style>
  <w:style w:type="paragraph" w:styleId="Heading1">
    <w:name w:val="heading 1"/>
    <w:basedOn w:val="Normal"/>
    <w:next w:val="Normal"/>
    <w:link w:val="Heading1Char"/>
    <w:uiPriority w:val="9"/>
    <w:qFormat/>
    <w:rsid w:val="003736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36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736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736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36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36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36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36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36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3603"/>
    <w:pPr>
      <w:spacing w:after="0" w:line="240" w:lineRule="auto"/>
    </w:pPr>
  </w:style>
  <w:style w:type="paragraph" w:styleId="ListParagraph">
    <w:name w:val="List Paragraph"/>
    <w:basedOn w:val="Normal"/>
    <w:uiPriority w:val="34"/>
    <w:qFormat/>
    <w:rsid w:val="00373603"/>
    <w:pPr>
      <w:ind w:left="720"/>
      <w:contextualSpacing/>
    </w:pPr>
  </w:style>
  <w:style w:type="paragraph" w:customStyle="1" w:styleId="Text1">
    <w:name w:val="Text 1"/>
    <w:basedOn w:val="Normal"/>
    <w:link w:val="Text1Char"/>
    <w:rsid w:val="00D5667C"/>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locked/>
    <w:rsid w:val="00D5667C"/>
    <w:rPr>
      <w:rFonts w:ascii="Times New Roman" w:eastAsia="Times New Roman" w:hAnsi="Times New Roman" w:cs="Times New Roman"/>
      <w:sz w:val="24"/>
      <w:szCs w:val="20"/>
      <w:lang w:val="lv-LV"/>
    </w:rPr>
  </w:style>
  <w:style w:type="character" w:customStyle="1" w:styleId="Heading1Char">
    <w:name w:val="Heading 1 Char"/>
    <w:basedOn w:val="DefaultParagraphFont"/>
    <w:link w:val="Heading1"/>
    <w:uiPriority w:val="9"/>
    <w:rsid w:val="003736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36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736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36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36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36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36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36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36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36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36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36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3603"/>
    <w:rPr>
      <w:rFonts w:asciiTheme="majorHAnsi" w:eastAsiaTheme="majorEastAsia" w:hAnsiTheme="majorHAnsi" w:cstheme="majorBidi"/>
      <w:i/>
      <w:iCs/>
      <w:spacing w:val="13"/>
      <w:sz w:val="24"/>
      <w:szCs w:val="24"/>
    </w:rPr>
  </w:style>
  <w:style w:type="character" w:styleId="Strong">
    <w:name w:val="Strong"/>
    <w:uiPriority w:val="22"/>
    <w:qFormat/>
    <w:rsid w:val="00373603"/>
    <w:rPr>
      <w:b/>
      <w:bCs/>
    </w:rPr>
  </w:style>
  <w:style w:type="character" w:styleId="Emphasis">
    <w:name w:val="Emphasis"/>
    <w:uiPriority w:val="20"/>
    <w:qFormat/>
    <w:rsid w:val="00373603"/>
    <w:rPr>
      <w:b/>
      <w:bCs/>
      <w:i/>
      <w:iCs/>
      <w:spacing w:val="10"/>
      <w:bdr w:val="none" w:sz="0" w:space="0" w:color="auto"/>
      <w:shd w:val="clear" w:color="auto" w:fill="auto"/>
    </w:rPr>
  </w:style>
  <w:style w:type="paragraph" w:styleId="Quote">
    <w:name w:val="Quote"/>
    <w:basedOn w:val="Normal"/>
    <w:next w:val="Normal"/>
    <w:link w:val="QuoteChar"/>
    <w:uiPriority w:val="29"/>
    <w:qFormat/>
    <w:rsid w:val="00373603"/>
    <w:pPr>
      <w:spacing w:before="200" w:after="0"/>
      <w:ind w:left="360" w:right="360"/>
    </w:pPr>
    <w:rPr>
      <w:i/>
      <w:iCs/>
    </w:rPr>
  </w:style>
  <w:style w:type="character" w:customStyle="1" w:styleId="QuoteChar">
    <w:name w:val="Quote Char"/>
    <w:basedOn w:val="DefaultParagraphFont"/>
    <w:link w:val="Quote"/>
    <w:uiPriority w:val="29"/>
    <w:rsid w:val="00373603"/>
    <w:rPr>
      <w:i/>
      <w:iCs/>
    </w:rPr>
  </w:style>
  <w:style w:type="paragraph" w:styleId="IntenseQuote">
    <w:name w:val="Intense Quote"/>
    <w:basedOn w:val="Normal"/>
    <w:next w:val="Normal"/>
    <w:link w:val="IntenseQuoteChar"/>
    <w:uiPriority w:val="30"/>
    <w:qFormat/>
    <w:rsid w:val="003736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3603"/>
    <w:rPr>
      <w:b/>
      <w:bCs/>
      <w:i/>
      <w:iCs/>
    </w:rPr>
  </w:style>
  <w:style w:type="character" w:styleId="SubtleEmphasis">
    <w:name w:val="Subtle Emphasis"/>
    <w:uiPriority w:val="19"/>
    <w:qFormat/>
    <w:rsid w:val="00373603"/>
    <w:rPr>
      <w:i/>
      <w:iCs/>
    </w:rPr>
  </w:style>
  <w:style w:type="character" w:styleId="IntenseEmphasis">
    <w:name w:val="Intense Emphasis"/>
    <w:uiPriority w:val="21"/>
    <w:qFormat/>
    <w:rsid w:val="00373603"/>
    <w:rPr>
      <w:b/>
      <w:bCs/>
    </w:rPr>
  </w:style>
  <w:style w:type="character" w:styleId="SubtleReference">
    <w:name w:val="Subtle Reference"/>
    <w:uiPriority w:val="31"/>
    <w:qFormat/>
    <w:rsid w:val="00373603"/>
    <w:rPr>
      <w:smallCaps/>
    </w:rPr>
  </w:style>
  <w:style w:type="character" w:styleId="IntenseReference">
    <w:name w:val="Intense Reference"/>
    <w:uiPriority w:val="32"/>
    <w:qFormat/>
    <w:rsid w:val="00373603"/>
    <w:rPr>
      <w:smallCaps/>
      <w:spacing w:val="5"/>
      <w:u w:val="single"/>
    </w:rPr>
  </w:style>
  <w:style w:type="character" w:styleId="BookTitle">
    <w:name w:val="Book Title"/>
    <w:uiPriority w:val="33"/>
    <w:qFormat/>
    <w:rsid w:val="00373603"/>
    <w:rPr>
      <w:i/>
      <w:iCs/>
      <w:smallCaps/>
      <w:spacing w:val="5"/>
    </w:rPr>
  </w:style>
  <w:style w:type="paragraph" w:styleId="TOCHeading">
    <w:name w:val="TOC Heading"/>
    <w:basedOn w:val="Heading1"/>
    <w:next w:val="Normal"/>
    <w:uiPriority w:val="39"/>
    <w:semiHidden/>
    <w:unhideWhenUsed/>
    <w:qFormat/>
    <w:rsid w:val="00373603"/>
    <w:pPr>
      <w:outlineLvl w:val="9"/>
    </w:pPr>
  </w:style>
  <w:style w:type="paragraph" w:styleId="TOC2">
    <w:name w:val="toc 2"/>
    <w:basedOn w:val="Normal"/>
    <w:next w:val="Normal"/>
    <w:autoRedefine/>
    <w:uiPriority w:val="39"/>
    <w:unhideWhenUsed/>
    <w:rsid w:val="00DD1141"/>
    <w:pPr>
      <w:tabs>
        <w:tab w:val="right" w:leader="dot" w:pos="9062"/>
      </w:tabs>
      <w:spacing w:after="0" w:line="240" w:lineRule="auto"/>
      <w:ind w:left="221"/>
    </w:pPr>
  </w:style>
  <w:style w:type="paragraph" w:styleId="TOC3">
    <w:name w:val="toc 3"/>
    <w:basedOn w:val="Normal"/>
    <w:next w:val="Normal"/>
    <w:autoRedefine/>
    <w:uiPriority w:val="39"/>
    <w:unhideWhenUsed/>
    <w:rsid w:val="001905E3"/>
    <w:pPr>
      <w:spacing w:after="100"/>
      <w:ind w:left="440"/>
    </w:pPr>
  </w:style>
  <w:style w:type="character" w:styleId="Hyperlink">
    <w:name w:val="Hyperlink"/>
    <w:basedOn w:val="DefaultParagraphFont"/>
    <w:uiPriority w:val="99"/>
    <w:unhideWhenUsed/>
    <w:rsid w:val="001905E3"/>
    <w:rPr>
      <w:color w:val="0000FF" w:themeColor="hyperlink"/>
      <w:u w:val="single"/>
    </w:rPr>
  </w:style>
  <w:style w:type="paragraph" w:styleId="BalloonText">
    <w:name w:val="Balloon Text"/>
    <w:basedOn w:val="Normal"/>
    <w:link w:val="BalloonTextChar"/>
    <w:uiPriority w:val="99"/>
    <w:semiHidden/>
    <w:unhideWhenUsed/>
    <w:rsid w:val="0019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3"/>
    <w:rPr>
      <w:rFonts w:ascii="Tahoma" w:hAnsi="Tahoma" w:cs="Tahoma"/>
      <w:sz w:val="16"/>
      <w:szCs w:val="16"/>
    </w:rPr>
  </w:style>
  <w:style w:type="character" w:styleId="CommentReference">
    <w:name w:val="annotation reference"/>
    <w:basedOn w:val="DefaultParagraphFont"/>
    <w:uiPriority w:val="99"/>
    <w:semiHidden/>
    <w:unhideWhenUsed/>
    <w:rsid w:val="00B63A31"/>
    <w:rPr>
      <w:sz w:val="16"/>
      <w:szCs w:val="16"/>
    </w:rPr>
  </w:style>
  <w:style w:type="paragraph" w:styleId="CommentText">
    <w:name w:val="annotation text"/>
    <w:basedOn w:val="Normal"/>
    <w:link w:val="CommentTextChar"/>
    <w:uiPriority w:val="99"/>
    <w:unhideWhenUsed/>
    <w:rsid w:val="00B63A31"/>
    <w:pPr>
      <w:spacing w:line="240" w:lineRule="auto"/>
    </w:pPr>
    <w:rPr>
      <w:sz w:val="20"/>
      <w:szCs w:val="20"/>
    </w:rPr>
  </w:style>
  <w:style w:type="character" w:customStyle="1" w:styleId="CommentTextChar">
    <w:name w:val="Comment Text Char"/>
    <w:basedOn w:val="DefaultParagraphFont"/>
    <w:link w:val="CommentText"/>
    <w:uiPriority w:val="99"/>
    <w:rsid w:val="00B63A31"/>
    <w:rPr>
      <w:sz w:val="20"/>
      <w:szCs w:val="20"/>
    </w:rPr>
  </w:style>
  <w:style w:type="paragraph" w:styleId="CommentSubject">
    <w:name w:val="annotation subject"/>
    <w:basedOn w:val="CommentText"/>
    <w:next w:val="CommentText"/>
    <w:link w:val="CommentSubjectChar"/>
    <w:uiPriority w:val="99"/>
    <w:semiHidden/>
    <w:unhideWhenUsed/>
    <w:rsid w:val="00B63A31"/>
    <w:rPr>
      <w:b/>
      <w:bCs/>
    </w:rPr>
  </w:style>
  <w:style w:type="character" w:customStyle="1" w:styleId="CommentSubjectChar">
    <w:name w:val="Comment Subject Char"/>
    <w:basedOn w:val="CommentTextChar"/>
    <w:link w:val="CommentSubject"/>
    <w:uiPriority w:val="99"/>
    <w:semiHidden/>
    <w:rsid w:val="00B63A31"/>
    <w:rPr>
      <w:b/>
      <w:bCs/>
      <w:sz w:val="20"/>
      <w:szCs w:val="20"/>
    </w:rPr>
  </w:style>
  <w:style w:type="paragraph" w:styleId="Header">
    <w:name w:val="header"/>
    <w:basedOn w:val="Normal"/>
    <w:link w:val="HeaderChar"/>
    <w:uiPriority w:val="99"/>
    <w:unhideWhenUsed/>
    <w:rsid w:val="00DD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41"/>
  </w:style>
  <w:style w:type="paragraph" w:styleId="Footer">
    <w:name w:val="footer"/>
    <w:basedOn w:val="Normal"/>
    <w:link w:val="FooterChar"/>
    <w:uiPriority w:val="99"/>
    <w:unhideWhenUsed/>
    <w:rsid w:val="00DD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41"/>
  </w:style>
  <w:style w:type="paragraph" w:customStyle="1" w:styleId="Default">
    <w:name w:val="Default"/>
    <w:rsid w:val="00592C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92C6A"/>
    <w:rPr>
      <w:rFonts w:cstheme="minorBidi"/>
      <w:color w:val="auto"/>
    </w:rPr>
  </w:style>
  <w:style w:type="paragraph" w:customStyle="1" w:styleId="CM3">
    <w:name w:val="CM3"/>
    <w:basedOn w:val="Default"/>
    <w:next w:val="Default"/>
    <w:uiPriority w:val="99"/>
    <w:rsid w:val="00592C6A"/>
    <w:rPr>
      <w:rFonts w:cstheme="minorBidi"/>
      <w:color w:val="auto"/>
    </w:rPr>
  </w:style>
  <w:style w:type="paragraph" w:styleId="Revision">
    <w:name w:val="Revision"/>
    <w:hidden/>
    <w:uiPriority w:val="99"/>
    <w:semiHidden/>
    <w:rsid w:val="00C210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9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878C-0086-4481-903B-0AADE3BB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8259</Words>
  <Characters>47081</Characters>
  <Application>Microsoft Office Word</Application>
  <DocSecurity>0</DocSecurity>
  <Lines>392</Lines>
  <Paragraphs>110</Paragraphs>
  <ScaleCrop>false</ScaleCrop>
  <HeadingPairs>
    <vt:vector size="8" baseType="variant">
      <vt:variant>
        <vt:lpstr>Title</vt:lpstr>
      </vt:variant>
      <vt:variant>
        <vt:i4>1</vt:i4>
      </vt:variant>
      <vt:variant>
        <vt:lpstr>Nosaukums</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Hauptnutzer</dc:creator>
  <cp:lastModifiedBy>martao</cp:lastModifiedBy>
  <cp:revision>2</cp:revision>
  <cp:lastPrinted>2015-06-26T07:06:00Z</cp:lastPrinted>
  <dcterms:created xsi:type="dcterms:W3CDTF">2015-09-09T06:15:00Z</dcterms:created>
  <dcterms:modified xsi:type="dcterms:W3CDTF">2015-09-09T06:15:00Z</dcterms:modified>
</cp:coreProperties>
</file>