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41" w:rsidRPr="005F7C2C" w:rsidRDefault="00BE09F3" w:rsidP="00B63149">
      <w:pPr>
        <w:jc w:val="center"/>
        <w:rPr>
          <w:b/>
          <w:sz w:val="28"/>
          <w:szCs w:val="28"/>
        </w:rPr>
      </w:pPr>
      <w:bookmarkStart w:id="0" w:name="OLE_LINK1"/>
      <w:bookmarkStart w:id="1" w:name="OLE_LINK2"/>
      <w:bookmarkStart w:id="2" w:name="OLE_LINK9"/>
      <w:bookmarkStart w:id="3" w:name="OLE_LINK3"/>
      <w:bookmarkStart w:id="4" w:name="OLE_LINK4"/>
      <w:bookmarkStart w:id="5" w:name="OLE_LINK7"/>
      <w:r w:rsidRPr="005F7C2C">
        <w:rPr>
          <w:b/>
          <w:bCs/>
          <w:sz w:val="28"/>
          <w:szCs w:val="28"/>
        </w:rPr>
        <w:t xml:space="preserve">Ministru kabineta noteikumu projekta </w:t>
      </w:r>
      <w:r w:rsidR="004F6013" w:rsidRPr="005F7C2C">
        <w:rPr>
          <w:b/>
          <w:bCs/>
          <w:sz w:val="28"/>
          <w:szCs w:val="28"/>
        </w:rPr>
        <w:t>„</w:t>
      </w:r>
      <w:bookmarkStart w:id="6" w:name="OLE_LINK27"/>
      <w:bookmarkStart w:id="7" w:name="OLE_LINK26"/>
      <w:r w:rsidR="00B63149" w:rsidRPr="005F7C2C">
        <w:rPr>
          <w:b/>
          <w:bCs/>
          <w:sz w:val="28"/>
          <w:szCs w:val="28"/>
        </w:rPr>
        <w:t xml:space="preserve">Grozījumi Ministru kabineta </w:t>
      </w:r>
      <w:bookmarkEnd w:id="6"/>
      <w:bookmarkEnd w:id="7"/>
      <w:r w:rsidR="00B63149" w:rsidRPr="005F7C2C">
        <w:rPr>
          <w:b/>
          <w:bCs/>
          <w:iCs/>
          <w:sz w:val="28"/>
          <w:szCs w:val="28"/>
        </w:rPr>
        <w:t>2009.gada 13.janvāra noteikumos Nr.44 „Noteikumi par darbības programmas „Infrastruktūra un pakalpojumi” papildinājuma 3.1.5.3.1.apakšaktivitāti „Stacionārās veselības aprūpes attīstība”””</w:t>
      </w:r>
      <w:r w:rsidRPr="005F7C2C">
        <w:rPr>
          <w:b/>
          <w:sz w:val="28"/>
          <w:szCs w:val="28"/>
        </w:rPr>
        <w:t xml:space="preserve"> </w:t>
      </w:r>
      <w:r w:rsidR="000746DD" w:rsidRPr="005F7C2C">
        <w:rPr>
          <w:b/>
          <w:sz w:val="28"/>
          <w:szCs w:val="28"/>
        </w:rPr>
        <w:t>sākotnējās ietekmes novērtējuma ziņojums (anotācija)</w:t>
      </w:r>
      <w:bookmarkEnd w:id="0"/>
      <w:bookmarkEnd w:id="1"/>
      <w:bookmarkEnd w:id="2"/>
    </w:p>
    <w:bookmarkEnd w:id="3"/>
    <w:bookmarkEnd w:id="4"/>
    <w:bookmarkEnd w:id="5"/>
    <w:p w:rsidR="001A52A1" w:rsidRPr="005F7C2C" w:rsidRDefault="001A52A1" w:rsidP="00B9292C">
      <w:pPr>
        <w:rPr>
          <w:i/>
          <w:sz w:val="28"/>
          <w:szCs w:val="28"/>
        </w:rPr>
      </w:pPr>
    </w:p>
    <w:tbl>
      <w:tblPr>
        <w:tblW w:w="5598" w:type="pct"/>
        <w:tblInd w:w="-53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60"/>
        <w:gridCol w:w="1629"/>
        <w:gridCol w:w="7477"/>
      </w:tblGrid>
      <w:tr w:rsidR="00283496" w:rsidRPr="005F7C2C" w:rsidTr="006436FB">
        <w:tc>
          <w:tcPr>
            <w:tcW w:w="5000" w:type="pct"/>
            <w:gridSpan w:val="3"/>
            <w:tcBorders>
              <w:top w:val="single" w:sz="6" w:space="0" w:color="auto"/>
              <w:left w:val="single" w:sz="6" w:space="0" w:color="auto"/>
              <w:bottom w:val="outset" w:sz="6" w:space="0" w:color="000000"/>
              <w:right w:val="single" w:sz="6" w:space="0" w:color="auto"/>
            </w:tcBorders>
            <w:vAlign w:val="center"/>
          </w:tcPr>
          <w:p w:rsidR="00283496" w:rsidRPr="005F7C2C" w:rsidRDefault="00283496" w:rsidP="00283496">
            <w:pPr>
              <w:jc w:val="center"/>
              <w:rPr>
                <w:b/>
                <w:bCs/>
                <w:sz w:val="26"/>
                <w:szCs w:val="26"/>
              </w:rPr>
            </w:pPr>
            <w:r w:rsidRPr="005F7C2C">
              <w:rPr>
                <w:b/>
                <w:bCs/>
                <w:sz w:val="26"/>
                <w:szCs w:val="26"/>
              </w:rPr>
              <w:t>I. Tiesību akta projekta izstrādes nepieciešamība</w:t>
            </w:r>
          </w:p>
        </w:tc>
      </w:tr>
      <w:tr w:rsidR="00283496" w:rsidRPr="005F7C2C" w:rsidTr="006436FB">
        <w:trPr>
          <w:trHeight w:val="2017"/>
        </w:trPr>
        <w:tc>
          <w:tcPr>
            <w:tcW w:w="477" w:type="pct"/>
            <w:tcBorders>
              <w:top w:val="outset" w:sz="6" w:space="0" w:color="000000"/>
              <w:left w:val="outset" w:sz="6" w:space="0" w:color="000000"/>
              <w:bottom w:val="outset" w:sz="6" w:space="0" w:color="000000"/>
              <w:right w:val="outset" w:sz="6" w:space="0" w:color="000000"/>
            </w:tcBorders>
          </w:tcPr>
          <w:p w:rsidR="00283496" w:rsidRPr="005F7C2C" w:rsidRDefault="00283496" w:rsidP="00283496">
            <w:r w:rsidRPr="005F7C2C">
              <w:t>1.</w:t>
            </w:r>
          </w:p>
        </w:tc>
        <w:tc>
          <w:tcPr>
            <w:tcW w:w="809" w:type="pct"/>
            <w:tcBorders>
              <w:top w:val="outset" w:sz="6" w:space="0" w:color="000000"/>
              <w:left w:val="outset" w:sz="6" w:space="0" w:color="000000"/>
              <w:bottom w:val="outset" w:sz="6" w:space="0" w:color="000000"/>
              <w:right w:val="outset" w:sz="6" w:space="0" w:color="000000"/>
            </w:tcBorders>
          </w:tcPr>
          <w:p w:rsidR="00283496" w:rsidRPr="005F7C2C" w:rsidRDefault="00283496" w:rsidP="00283496">
            <w:r w:rsidRPr="005F7C2C">
              <w:t>Pamatojums</w:t>
            </w:r>
          </w:p>
          <w:p w:rsidR="00283496" w:rsidRPr="005F7C2C" w:rsidRDefault="00283496" w:rsidP="00283496"/>
          <w:p w:rsidR="00283496" w:rsidRPr="005F7C2C" w:rsidRDefault="00283496" w:rsidP="00283496"/>
          <w:p w:rsidR="00283496" w:rsidRPr="005F7C2C" w:rsidRDefault="00283496" w:rsidP="00283496"/>
          <w:p w:rsidR="00283496" w:rsidRPr="005F7C2C" w:rsidRDefault="00283496" w:rsidP="00283496"/>
          <w:p w:rsidR="00283496" w:rsidRPr="005F7C2C" w:rsidRDefault="00283496" w:rsidP="00283496"/>
          <w:p w:rsidR="00283496" w:rsidRPr="005F7C2C" w:rsidRDefault="00283496" w:rsidP="00283496"/>
        </w:tc>
        <w:tc>
          <w:tcPr>
            <w:tcW w:w="3713" w:type="pct"/>
            <w:tcBorders>
              <w:top w:val="outset" w:sz="6" w:space="0" w:color="000000"/>
              <w:left w:val="outset" w:sz="6" w:space="0" w:color="000000"/>
              <w:bottom w:val="outset" w:sz="6" w:space="0" w:color="000000"/>
              <w:right w:val="outset" w:sz="6" w:space="0" w:color="000000"/>
            </w:tcBorders>
          </w:tcPr>
          <w:p w:rsidR="00283496" w:rsidRPr="005F7C2C" w:rsidRDefault="00283496" w:rsidP="00830072">
            <w:pPr>
              <w:ind w:left="136" w:right="142"/>
              <w:jc w:val="both"/>
            </w:pPr>
            <w:r w:rsidRPr="005F7C2C">
              <w:t xml:space="preserve">Ministru kabineta noteikumu projekts „Grozījumi Ministru kabineta 2009.gada 13.janvāra noteikumos Nr.44 „Noteikumi par darbības programmas „Infrastruktūra un pakalpojumi” papildinājuma 3.1.5.3.1.apakšaktivitāti „Stacionārās veselības aprūpes attīstība””” (turpmāk – noteikumu projekts) ir izstrādāts pamatojoties </w:t>
            </w:r>
            <w:r w:rsidR="00A90124" w:rsidRPr="005F7C2C">
              <w:t>uz Eiropas Savienības struktūrfondu un Kohēzijas fonda vadības likuma 18.panta 10.punktu</w:t>
            </w:r>
            <w:r w:rsidR="009E025B" w:rsidRPr="005F7C2C">
              <w:t xml:space="preserve"> un</w:t>
            </w:r>
            <w:r w:rsidR="00517513" w:rsidRPr="005F7C2C">
              <w:t xml:space="preserve"> atbilstoši Ministru kabineta 2015.gada 31.marta sēdes protokola Nr.17 43.§ </w:t>
            </w:r>
            <w:r w:rsidR="0031467A" w:rsidRPr="005F7C2C">
              <w:t xml:space="preserve">(turpmāk – MK prot.17 43.§) </w:t>
            </w:r>
            <w:r w:rsidR="00517513" w:rsidRPr="005F7C2C">
              <w:t>4.punktam, kurš uzdod Veselības ministrijai sadarbībā ar Finanšu ministriju vienoties par risinājumu, nepieciešamības gadījumā savlaicīgi veicot grozījumus Ministru kabineta 2010.gada 9.novembra noteikumos Nr.1041 “Kārtība, kādā paredzami valsts budžeta līdzekļi Eiropas Savienības struktūrfondu un Kohēzijas fonda līdzfinansēto projektu īstenošanai, kā arī maksājumu veikšanas un izdevumu deklarācijas sagatavošanas kārtība”</w:t>
            </w:r>
            <w:r w:rsidR="00BF5B69" w:rsidRPr="005F7C2C">
              <w:t xml:space="preserve"> (turpmāk – MK noteikumi Nr.1041) </w:t>
            </w:r>
            <w:r w:rsidR="00517513" w:rsidRPr="005F7C2C">
              <w:t>un Ministru kabineta 2009.gada 13.janvāra noteikumos Nr.44 “Noteikumi par darbības programmas “Infrastruktūra un pakalpojumi” papildinājuma 3.1.5.3.1.apakšaktivitāti “Stacionārās veselības aprūpes attīstība””</w:t>
            </w:r>
            <w:r w:rsidR="00BF5B69" w:rsidRPr="005F7C2C">
              <w:t xml:space="preserve"> (turpmāk – MK noteikumi Nr.44) </w:t>
            </w:r>
            <w:r w:rsidR="00517513" w:rsidRPr="005F7C2C">
              <w:t xml:space="preserve"> ar mērķi nodrošināt VSIA „Paula Stradiņa klīniskā universitātes slimnīca” jaunā A korpusa 1.kārtas izveidei nepieciešamo finansējumu, neieturot 10% noslēguma maksājumu, un iespēju deklarēt Eiropas Komisijai attiecināmos izdevumus maksimāli iespējamā apjomā, ko finansējuma saņēmējs ir veicis līdz 2015.gada beigām Eiropas Reģionālās attīstības fonda </w:t>
            </w:r>
            <w:r w:rsidR="00F31B76" w:rsidRPr="005F7C2C">
              <w:t xml:space="preserve">(turpmāk – ERAF) </w:t>
            </w:r>
            <w:r w:rsidR="00517513" w:rsidRPr="005F7C2C">
              <w:t>līdzfinansētā VSIA „Paula Stradiņa klīniskā universitātes slimnīca” A korpusa 1.kārtas izveides projekt</w:t>
            </w:r>
            <w:r w:rsidR="00CE196E" w:rsidRPr="005F7C2C">
              <w:t xml:space="preserve">u </w:t>
            </w:r>
            <w:r w:rsidR="00517513" w:rsidRPr="005F7C2C">
              <w:t>ietvaros.</w:t>
            </w:r>
            <w:r w:rsidRPr="005F7C2C">
              <w:tab/>
            </w:r>
          </w:p>
        </w:tc>
      </w:tr>
      <w:tr w:rsidR="00283496" w:rsidRPr="005F7C2C" w:rsidTr="006436FB">
        <w:trPr>
          <w:trHeight w:val="664"/>
        </w:trPr>
        <w:tc>
          <w:tcPr>
            <w:tcW w:w="477" w:type="pct"/>
            <w:tcBorders>
              <w:top w:val="outset" w:sz="6" w:space="0" w:color="000000"/>
              <w:left w:val="outset" w:sz="6" w:space="0" w:color="000000"/>
              <w:bottom w:val="outset" w:sz="6" w:space="0" w:color="000000"/>
              <w:right w:val="outset" w:sz="6" w:space="0" w:color="000000"/>
            </w:tcBorders>
          </w:tcPr>
          <w:p w:rsidR="00283496" w:rsidRPr="005F7C2C" w:rsidRDefault="00283496" w:rsidP="00283496">
            <w:r w:rsidRPr="005F7C2C">
              <w:t>2.</w:t>
            </w:r>
          </w:p>
        </w:tc>
        <w:tc>
          <w:tcPr>
            <w:tcW w:w="809" w:type="pct"/>
            <w:tcBorders>
              <w:top w:val="outset" w:sz="6" w:space="0" w:color="000000"/>
              <w:left w:val="outset" w:sz="6" w:space="0" w:color="000000"/>
              <w:bottom w:val="outset" w:sz="6" w:space="0" w:color="000000"/>
              <w:right w:val="outset" w:sz="6" w:space="0" w:color="000000"/>
            </w:tcBorders>
          </w:tcPr>
          <w:p w:rsidR="00283496" w:rsidRPr="005F7C2C" w:rsidRDefault="00283496" w:rsidP="00283496">
            <w:r w:rsidRPr="005F7C2C">
              <w:t>Pašreizējā situācija un problēmas, kuru risināšanai tiesību akta projekts izstrādāts, tiesiskā regulējuma mērķis un būtība</w:t>
            </w:r>
          </w:p>
        </w:tc>
        <w:tc>
          <w:tcPr>
            <w:tcW w:w="3713" w:type="pct"/>
            <w:tcBorders>
              <w:top w:val="outset" w:sz="6" w:space="0" w:color="000000"/>
              <w:left w:val="outset" w:sz="6" w:space="0" w:color="000000"/>
              <w:bottom w:val="outset" w:sz="6" w:space="0" w:color="000000"/>
              <w:right w:val="outset" w:sz="6" w:space="0" w:color="000000"/>
            </w:tcBorders>
            <w:vAlign w:val="center"/>
          </w:tcPr>
          <w:p w:rsidR="009E21A8" w:rsidRPr="005F7C2C" w:rsidRDefault="009C4B63" w:rsidP="00C36727">
            <w:pPr>
              <w:pStyle w:val="tv2131"/>
              <w:spacing w:line="240" w:lineRule="auto"/>
              <w:ind w:left="75" w:right="142" w:firstLine="0"/>
              <w:jc w:val="both"/>
              <w:rPr>
                <w:color w:val="auto"/>
                <w:sz w:val="24"/>
                <w:szCs w:val="24"/>
                <w:lang w:val="lv-LV"/>
              </w:rPr>
            </w:pPr>
            <w:r w:rsidRPr="005F7C2C">
              <w:rPr>
                <w:color w:val="auto"/>
                <w:sz w:val="24"/>
                <w:szCs w:val="24"/>
                <w:lang w:val="lv-LV"/>
              </w:rPr>
              <w:t>Saskaņā ar MK noteikum</w:t>
            </w:r>
            <w:r w:rsidR="00BF5B69" w:rsidRPr="005F7C2C">
              <w:rPr>
                <w:color w:val="auto"/>
                <w:sz w:val="24"/>
                <w:szCs w:val="24"/>
                <w:lang w:val="lv-LV"/>
              </w:rPr>
              <w:t>iem</w:t>
            </w:r>
            <w:r w:rsidRPr="005F7C2C">
              <w:rPr>
                <w:color w:val="auto"/>
                <w:sz w:val="24"/>
                <w:szCs w:val="24"/>
                <w:lang w:val="lv-LV"/>
              </w:rPr>
              <w:t xml:space="preserve"> Nr.44</w:t>
            </w:r>
            <w:r w:rsidR="00BF5B69" w:rsidRPr="005F7C2C">
              <w:rPr>
                <w:color w:val="auto"/>
                <w:sz w:val="24"/>
                <w:szCs w:val="24"/>
                <w:lang w:val="lv-LV"/>
              </w:rPr>
              <w:t xml:space="preserve"> </w:t>
            </w:r>
            <w:r w:rsidR="004A2333" w:rsidRPr="005F7C2C">
              <w:rPr>
                <w:color w:val="auto"/>
                <w:sz w:val="24"/>
                <w:szCs w:val="24"/>
                <w:lang w:val="lv-LV"/>
              </w:rPr>
              <w:t>attiecībā uz lielo projektu 14.</w:t>
            </w:r>
            <w:r w:rsidR="004A2333" w:rsidRPr="005F7C2C">
              <w:rPr>
                <w:color w:val="auto"/>
                <w:sz w:val="24"/>
                <w:szCs w:val="24"/>
                <w:vertAlign w:val="superscript"/>
                <w:lang w:val="lv-LV"/>
              </w:rPr>
              <w:t>1</w:t>
            </w:r>
            <w:r w:rsidR="004A2333" w:rsidRPr="005F7C2C">
              <w:rPr>
                <w:color w:val="auto"/>
                <w:sz w:val="24"/>
                <w:szCs w:val="24"/>
                <w:lang w:val="lv-LV"/>
              </w:rPr>
              <w:t xml:space="preserve">punkts noteica, </w:t>
            </w:r>
            <w:r w:rsidR="00D661B4" w:rsidRPr="005F7C2C">
              <w:rPr>
                <w:color w:val="auto"/>
                <w:sz w:val="24"/>
                <w:szCs w:val="24"/>
                <w:lang w:val="lv-LV"/>
              </w:rPr>
              <w:t>ja aktivitātes ietvaros paredzēts finansēt darbību, kura ietver virkni būvdarbu, darbību vai pakalpojumu ar mērķi veikt vienotu un noteiktu ekonomisku vai tehnisku uzdevumu un kurai ir skaidri noteikti mērķi, un kuras kopējās izmaksas, ieskaitot citu finanšu instrumentu izmaksas, sasniedz</w:t>
            </w:r>
            <w:r w:rsidR="006B5903" w:rsidRPr="005F7C2C">
              <w:rPr>
                <w:color w:val="auto"/>
                <w:sz w:val="24"/>
                <w:szCs w:val="24"/>
                <w:lang w:val="lv-LV"/>
              </w:rPr>
              <w:t xml:space="preserve"> Padomes 2006.gada 11.jūlija Regulas (EK) Nr. </w:t>
            </w:r>
            <w:hyperlink r:id="rId8" w:tgtFrame="_blank" w:history="1">
              <w:r w:rsidR="006B5903" w:rsidRPr="005F7C2C">
                <w:rPr>
                  <w:color w:val="auto"/>
                  <w:sz w:val="24"/>
                  <w:szCs w:val="24"/>
                  <w:lang w:val="lv-LV"/>
                </w:rPr>
                <w:t>1083/2006</w:t>
              </w:r>
            </w:hyperlink>
            <w:r w:rsidR="006B5903" w:rsidRPr="005F7C2C">
              <w:rPr>
                <w:color w:val="auto"/>
                <w:sz w:val="24"/>
                <w:szCs w:val="24"/>
                <w:lang w:val="lv-LV"/>
              </w:rPr>
              <w:t xml:space="preserve">, </w:t>
            </w:r>
            <w:r w:rsidR="006B5903" w:rsidRPr="005F7C2C">
              <w:rPr>
                <w:i/>
                <w:color w:val="auto"/>
                <w:sz w:val="24"/>
                <w:szCs w:val="24"/>
                <w:lang w:val="lv-LV"/>
              </w:rPr>
              <w:t xml:space="preserve">ar ko paredz vispārīgus noteikumus par Eiropas Reģionālās attīstības fondu, Eiropas Sociālo fondu un Kohēzijas fondu un atceļ Regulu (EK) Nr. </w:t>
            </w:r>
            <w:hyperlink r:id="rId9" w:tgtFrame="_blank" w:history="1">
              <w:r w:rsidR="006B5903" w:rsidRPr="005F7C2C">
                <w:rPr>
                  <w:i/>
                  <w:color w:val="auto"/>
                  <w:sz w:val="24"/>
                  <w:szCs w:val="24"/>
                  <w:lang w:val="lv-LV"/>
                </w:rPr>
                <w:t>1260/1999</w:t>
              </w:r>
            </w:hyperlink>
            <w:r w:rsidR="006B5903" w:rsidRPr="005F7C2C">
              <w:rPr>
                <w:color w:val="auto"/>
                <w:sz w:val="24"/>
                <w:szCs w:val="24"/>
                <w:lang w:val="lv-LV"/>
              </w:rPr>
              <w:t xml:space="preserve">, </w:t>
            </w:r>
            <w:r w:rsidR="004816E0" w:rsidRPr="005F7C2C">
              <w:rPr>
                <w:color w:val="auto"/>
                <w:sz w:val="24"/>
                <w:szCs w:val="24"/>
                <w:lang w:val="lv-LV"/>
              </w:rPr>
              <w:t xml:space="preserve">(turpmāk - </w:t>
            </w:r>
            <w:r w:rsidR="00D327ED" w:rsidRPr="005F7C2C">
              <w:rPr>
                <w:color w:val="auto"/>
                <w:sz w:val="24"/>
                <w:szCs w:val="24"/>
                <w:lang w:val="lv-LV"/>
              </w:rPr>
              <w:t>Komisijas Regula Nr.1083/2006</w:t>
            </w:r>
            <w:r w:rsidR="004816E0" w:rsidRPr="005F7C2C">
              <w:rPr>
                <w:color w:val="auto"/>
                <w:sz w:val="24"/>
                <w:szCs w:val="24"/>
                <w:lang w:val="lv-LV"/>
              </w:rPr>
              <w:t xml:space="preserve">) </w:t>
            </w:r>
            <w:r w:rsidR="006B5903" w:rsidRPr="005F7C2C">
              <w:rPr>
                <w:color w:val="auto"/>
                <w:sz w:val="24"/>
                <w:szCs w:val="24"/>
                <w:lang w:val="lv-LV"/>
              </w:rPr>
              <w:t xml:space="preserve">39.pantā noteikto izmaksu slieksni, finansējuma saņēmējs sagatavo un iesniedz atbildīgajā iestādē lielā projekta (turpmāk – lielais projekts) iesniegumu. </w:t>
            </w:r>
          </w:p>
          <w:p w:rsidR="002B0785" w:rsidRPr="005F7C2C" w:rsidRDefault="002B0785" w:rsidP="00C36727">
            <w:pPr>
              <w:pStyle w:val="tv2131"/>
              <w:spacing w:line="240" w:lineRule="auto"/>
              <w:ind w:left="75" w:right="142" w:firstLine="0"/>
              <w:jc w:val="both"/>
              <w:rPr>
                <w:color w:val="auto"/>
                <w:sz w:val="24"/>
                <w:szCs w:val="24"/>
                <w:lang w:val="lv-LV"/>
              </w:rPr>
            </w:pPr>
            <w:r w:rsidRPr="005F7C2C">
              <w:rPr>
                <w:color w:val="auto"/>
                <w:sz w:val="24"/>
                <w:szCs w:val="24"/>
                <w:lang w:val="lv-LV"/>
              </w:rPr>
              <w:t>VSIA „Paula Stradiņa klīniskā universitātes slimnīca” jaunā slimnīcas A korpusa izveide tiek finansēt</w:t>
            </w:r>
            <w:r w:rsidR="00813D91" w:rsidRPr="005F7C2C">
              <w:rPr>
                <w:color w:val="auto"/>
                <w:sz w:val="24"/>
                <w:szCs w:val="24"/>
                <w:lang w:val="lv-LV"/>
              </w:rPr>
              <w:t xml:space="preserve">s </w:t>
            </w:r>
            <w:r w:rsidR="00F31B76" w:rsidRPr="005F7C2C">
              <w:rPr>
                <w:color w:val="auto"/>
                <w:sz w:val="24"/>
                <w:szCs w:val="24"/>
                <w:lang w:val="lv-LV"/>
              </w:rPr>
              <w:t xml:space="preserve">ERAF </w:t>
            </w:r>
            <w:r w:rsidR="00813D91" w:rsidRPr="005F7C2C">
              <w:rPr>
                <w:color w:val="auto"/>
                <w:sz w:val="24"/>
                <w:szCs w:val="24"/>
                <w:lang w:val="lv-LV"/>
              </w:rPr>
              <w:t xml:space="preserve">darbības programmas “Infrastruktūra un pakalpojumi” papildinājuma 3.1.5.3.1.apakšaktivitātes “Stacionārās veselības aprūpes attīstība” ietvaros VSIA „Paula Stradiņa klīniskā </w:t>
            </w:r>
            <w:r w:rsidR="00813D91" w:rsidRPr="005F7C2C">
              <w:rPr>
                <w:color w:val="auto"/>
                <w:sz w:val="24"/>
                <w:szCs w:val="24"/>
                <w:lang w:val="lv-LV"/>
              </w:rPr>
              <w:lastRenderedPageBreak/>
              <w:t>universitātes slimnīca” īstenotā projekta Nr.3DP/3.1.5.3.1/09/IPIA/VSMTVA/013 „Paula Stradiņa klīniskās universitātes slimnīcas infrastruktūras attīstība, uzlabojot veselības aprūpes pakalpojumu kvalitāti un izmaksu efektivitāti, paaugstinot pakalpojuma kvalitāti un izmaksu efektivitāti” un projekta Nr.3DP/3.1.5.3.1/11/IPIA/VEC/012 „Paula Stradiņa klīniskās universitātes slimnīcas infrastruktūras attīstība, uzlabojot veselības aprūpes pakalpojumu kvalitāti un izmaksu efektivitāti, 2.kārta”</w:t>
            </w:r>
            <w:r w:rsidR="00F31B76" w:rsidRPr="005F7C2C">
              <w:rPr>
                <w:color w:val="auto"/>
                <w:sz w:val="24"/>
                <w:szCs w:val="24"/>
                <w:lang w:val="lv-LV"/>
              </w:rPr>
              <w:t xml:space="preserve"> (turpmāk ERAF projekti)</w:t>
            </w:r>
            <w:r w:rsidR="00813D91" w:rsidRPr="005F7C2C">
              <w:rPr>
                <w:color w:val="auto"/>
                <w:sz w:val="24"/>
                <w:szCs w:val="24"/>
                <w:lang w:val="lv-LV"/>
              </w:rPr>
              <w:t xml:space="preserve">, kā arī </w:t>
            </w:r>
            <w:r w:rsidR="006D2BF3" w:rsidRPr="005F7C2C">
              <w:rPr>
                <w:color w:val="auto"/>
                <w:sz w:val="24"/>
                <w:szCs w:val="24"/>
                <w:lang w:val="lv-LV"/>
              </w:rPr>
              <w:t>Valsts galvotā aizdevuma projekta „Jaunā korpusa 1.kārtas būvniecība” ietvaros.</w:t>
            </w:r>
          </w:p>
          <w:p w:rsidR="004C3833" w:rsidRPr="005F7C2C" w:rsidRDefault="004C3833" w:rsidP="004C3833">
            <w:pPr>
              <w:pStyle w:val="tv2131"/>
              <w:spacing w:line="240" w:lineRule="auto"/>
              <w:ind w:left="75" w:right="142" w:firstLine="0"/>
              <w:jc w:val="both"/>
              <w:rPr>
                <w:color w:val="auto"/>
                <w:sz w:val="24"/>
                <w:szCs w:val="24"/>
                <w:lang w:val="lv-LV"/>
              </w:rPr>
            </w:pPr>
            <w:r w:rsidRPr="005F7C2C">
              <w:rPr>
                <w:color w:val="auto"/>
                <w:sz w:val="24"/>
                <w:szCs w:val="24"/>
                <w:lang w:val="lv-LV"/>
              </w:rPr>
              <w:t>VSIA „Paula Stradiņa klīniskā universitātes slimnīca” 11.06.2015 ir iesnie</w:t>
            </w:r>
            <w:r w:rsidR="008A525C" w:rsidRPr="005F7C2C">
              <w:rPr>
                <w:color w:val="auto"/>
                <w:sz w:val="24"/>
                <w:szCs w:val="24"/>
                <w:lang w:val="lv-LV"/>
              </w:rPr>
              <w:t>gusi</w:t>
            </w:r>
            <w:r w:rsidR="00144F86" w:rsidRPr="005F7C2C">
              <w:rPr>
                <w:color w:val="auto"/>
                <w:sz w:val="24"/>
                <w:szCs w:val="24"/>
                <w:lang w:val="lv-LV"/>
              </w:rPr>
              <w:t xml:space="preserve"> Vesel</w:t>
            </w:r>
            <w:r w:rsidR="006D2BF3" w:rsidRPr="005F7C2C">
              <w:rPr>
                <w:color w:val="auto"/>
                <w:sz w:val="24"/>
                <w:szCs w:val="24"/>
                <w:lang w:val="lv-LV"/>
              </w:rPr>
              <w:t xml:space="preserve">ības </w:t>
            </w:r>
            <w:r w:rsidR="00144F86" w:rsidRPr="005F7C2C">
              <w:rPr>
                <w:color w:val="auto"/>
                <w:sz w:val="24"/>
                <w:szCs w:val="24"/>
                <w:lang w:val="lv-LV"/>
              </w:rPr>
              <w:t>ministrijai</w:t>
            </w:r>
            <w:r w:rsidRPr="005F7C2C">
              <w:rPr>
                <w:color w:val="auto"/>
                <w:sz w:val="24"/>
                <w:szCs w:val="24"/>
                <w:lang w:val="lv-LV"/>
              </w:rPr>
              <w:t xml:space="preserve"> izvērtēšanai un virzīšanai iesniegšanai Eiropas Komisijā lielo projektu par  kopējām izmaksām </w:t>
            </w:r>
            <w:r w:rsidRPr="005F7C2C">
              <w:rPr>
                <w:bCs/>
                <w:color w:val="auto"/>
                <w:sz w:val="24"/>
                <w:szCs w:val="24"/>
                <w:lang w:val="lv-LV"/>
              </w:rPr>
              <w:t>86 211 665,15 EUR</w:t>
            </w:r>
            <w:r w:rsidR="00144F86" w:rsidRPr="005F7C2C">
              <w:rPr>
                <w:bCs/>
                <w:color w:val="auto"/>
                <w:sz w:val="24"/>
                <w:szCs w:val="24"/>
                <w:lang w:val="lv-LV"/>
              </w:rPr>
              <w:t xml:space="preserve"> apmē</w:t>
            </w:r>
            <w:r w:rsidRPr="005F7C2C">
              <w:rPr>
                <w:bCs/>
                <w:color w:val="auto"/>
                <w:sz w:val="24"/>
                <w:szCs w:val="24"/>
                <w:lang w:val="lv-LV"/>
              </w:rPr>
              <w:t>rā</w:t>
            </w:r>
            <w:r w:rsidRPr="005F7C2C">
              <w:rPr>
                <w:color w:val="auto"/>
                <w:sz w:val="24"/>
                <w:szCs w:val="24"/>
                <w:lang w:val="lv-LV"/>
              </w:rPr>
              <w:t xml:space="preserve">, no kurām : </w:t>
            </w:r>
          </w:p>
          <w:p w:rsidR="004C3833" w:rsidRPr="005F7C2C" w:rsidRDefault="004C3833" w:rsidP="004C3833">
            <w:pPr>
              <w:pStyle w:val="tv2131"/>
              <w:numPr>
                <w:ilvl w:val="2"/>
                <w:numId w:val="31"/>
              </w:numPr>
              <w:tabs>
                <w:tab w:val="clear" w:pos="2160"/>
                <w:tab w:val="num" w:pos="783"/>
              </w:tabs>
              <w:spacing w:line="240" w:lineRule="auto"/>
              <w:ind w:left="783" w:right="142" w:hanging="283"/>
              <w:rPr>
                <w:color w:val="auto"/>
                <w:sz w:val="24"/>
                <w:szCs w:val="24"/>
                <w:lang w:val="lv-LV"/>
              </w:rPr>
            </w:pPr>
            <w:r w:rsidRPr="005F7C2C">
              <w:rPr>
                <w:bCs/>
                <w:color w:val="auto"/>
                <w:sz w:val="24"/>
                <w:szCs w:val="24"/>
                <w:lang w:val="lv-LV"/>
              </w:rPr>
              <w:t xml:space="preserve">24 076 323,02 EUR </w:t>
            </w:r>
            <w:r w:rsidRPr="005F7C2C">
              <w:rPr>
                <w:color w:val="auto"/>
                <w:sz w:val="24"/>
                <w:szCs w:val="24"/>
                <w:lang w:val="lv-LV"/>
              </w:rPr>
              <w:t>– ERAF līdzfinansējums;</w:t>
            </w:r>
          </w:p>
          <w:p w:rsidR="004C3833" w:rsidRPr="005F7C2C" w:rsidRDefault="004C3833" w:rsidP="004C3833">
            <w:pPr>
              <w:pStyle w:val="tv2131"/>
              <w:numPr>
                <w:ilvl w:val="2"/>
                <w:numId w:val="31"/>
              </w:numPr>
              <w:tabs>
                <w:tab w:val="clear" w:pos="2160"/>
              </w:tabs>
              <w:spacing w:line="240" w:lineRule="auto"/>
              <w:ind w:left="441" w:right="142" w:firstLine="41"/>
              <w:rPr>
                <w:color w:val="auto"/>
                <w:sz w:val="24"/>
                <w:szCs w:val="24"/>
                <w:lang w:val="lv-LV"/>
              </w:rPr>
            </w:pPr>
            <w:r w:rsidRPr="005F7C2C">
              <w:rPr>
                <w:bCs/>
                <w:color w:val="auto"/>
                <w:sz w:val="24"/>
                <w:szCs w:val="24"/>
                <w:lang w:val="lv-LV"/>
              </w:rPr>
              <w:t xml:space="preserve">11 619 010,18 EUR </w:t>
            </w:r>
            <w:r w:rsidRPr="005F7C2C">
              <w:rPr>
                <w:color w:val="auto"/>
                <w:sz w:val="24"/>
                <w:szCs w:val="24"/>
                <w:lang w:val="lv-LV"/>
              </w:rPr>
              <w:t xml:space="preserve">– valsts budžeta finansējums, </w:t>
            </w:r>
            <w:r w:rsidRPr="005F7C2C">
              <w:rPr>
                <w:i/>
                <w:iCs/>
                <w:color w:val="auto"/>
                <w:sz w:val="24"/>
                <w:szCs w:val="24"/>
                <w:lang w:val="lv-LV"/>
              </w:rPr>
              <w:t xml:space="preserve">tai skaitā, </w:t>
            </w:r>
          </w:p>
          <w:p w:rsidR="004C3833" w:rsidRPr="005F7C2C" w:rsidRDefault="004C3833" w:rsidP="004C3833">
            <w:pPr>
              <w:pStyle w:val="tv2131"/>
              <w:numPr>
                <w:ilvl w:val="3"/>
                <w:numId w:val="31"/>
              </w:numPr>
              <w:tabs>
                <w:tab w:val="clear" w:pos="2880"/>
              </w:tabs>
              <w:spacing w:line="240" w:lineRule="auto"/>
              <w:ind w:left="1634" w:right="142"/>
              <w:rPr>
                <w:color w:val="auto"/>
                <w:sz w:val="24"/>
                <w:szCs w:val="24"/>
                <w:lang w:val="lv-LV"/>
              </w:rPr>
            </w:pPr>
            <w:r w:rsidRPr="005F7C2C">
              <w:rPr>
                <w:iCs/>
                <w:color w:val="auto"/>
                <w:sz w:val="24"/>
                <w:szCs w:val="24"/>
                <w:lang w:val="lv-LV"/>
              </w:rPr>
              <w:t>1 879 507,51 EUR kā ERAF projekt</w:t>
            </w:r>
            <w:r w:rsidR="00F31B76" w:rsidRPr="005F7C2C">
              <w:rPr>
                <w:iCs/>
                <w:color w:val="auto"/>
                <w:sz w:val="24"/>
                <w:szCs w:val="24"/>
                <w:lang w:val="lv-LV"/>
              </w:rPr>
              <w:t>u</w:t>
            </w:r>
            <w:r w:rsidRPr="005F7C2C">
              <w:rPr>
                <w:iCs/>
                <w:color w:val="auto"/>
                <w:sz w:val="24"/>
                <w:szCs w:val="24"/>
                <w:lang w:val="lv-LV"/>
              </w:rPr>
              <w:t xml:space="preserve"> valsts budžeta līdzfinansējums;</w:t>
            </w:r>
          </w:p>
          <w:p w:rsidR="004C3833" w:rsidRPr="005F7C2C" w:rsidRDefault="004C3833" w:rsidP="004C3833">
            <w:pPr>
              <w:pStyle w:val="tv2131"/>
              <w:numPr>
                <w:ilvl w:val="3"/>
                <w:numId w:val="31"/>
              </w:numPr>
              <w:tabs>
                <w:tab w:val="clear" w:pos="2880"/>
              </w:tabs>
              <w:spacing w:line="240" w:lineRule="auto"/>
              <w:ind w:left="1634" w:right="142"/>
              <w:rPr>
                <w:color w:val="auto"/>
                <w:sz w:val="24"/>
                <w:szCs w:val="24"/>
                <w:lang w:val="lv-LV"/>
              </w:rPr>
            </w:pPr>
            <w:r w:rsidRPr="005F7C2C">
              <w:rPr>
                <w:iCs/>
                <w:color w:val="auto"/>
                <w:sz w:val="24"/>
                <w:szCs w:val="24"/>
                <w:lang w:val="lv-LV"/>
              </w:rPr>
              <w:t xml:space="preserve">9 739 502,67 EUR ar </w:t>
            </w:r>
            <w:r w:rsidR="008B44C5" w:rsidRPr="005F7C2C">
              <w:rPr>
                <w:color w:val="auto"/>
                <w:sz w:val="24"/>
                <w:szCs w:val="24"/>
                <w:lang w:val="lv-LV"/>
              </w:rPr>
              <w:t>(MK sēdes protokola Nr.17 43.§ l</w:t>
            </w:r>
            <w:r w:rsidRPr="005F7C2C">
              <w:rPr>
                <w:iCs/>
                <w:color w:val="auto"/>
                <w:sz w:val="24"/>
                <w:szCs w:val="24"/>
                <w:lang w:val="lv-LV"/>
              </w:rPr>
              <w:t>ēmumu papildus piešķirtais valsts budžeta finansējums, kas tostarp ietver finansējumu</w:t>
            </w:r>
            <w:r w:rsidRPr="005F7C2C">
              <w:rPr>
                <w:color w:val="auto"/>
                <w:sz w:val="24"/>
                <w:szCs w:val="24"/>
                <w:lang w:val="lv-LV"/>
              </w:rPr>
              <w:t>:</w:t>
            </w:r>
          </w:p>
          <w:p w:rsidR="004C3833" w:rsidRPr="005F7C2C" w:rsidRDefault="004C3833" w:rsidP="004C3833">
            <w:pPr>
              <w:pStyle w:val="tv2131"/>
              <w:numPr>
                <w:ilvl w:val="4"/>
                <w:numId w:val="31"/>
              </w:numPr>
              <w:tabs>
                <w:tab w:val="clear" w:pos="3600"/>
                <w:tab w:val="num" w:pos="2484"/>
              </w:tabs>
              <w:spacing w:line="240" w:lineRule="auto"/>
              <w:ind w:left="2484" w:right="142"/>
              <w:rPr>
                <w:i/>
                <w:color w:val="auto"/>
                <w:sz w:val="24"/>
                <w:szCs w:val="24"/>
                <w:lang w:val="lv-LV"/>
              </w:rPr>
            </w:pPr>
            <w:r w:rsidRPr="005F7C2C">
              <w:rPr>
                <w:i/>
                <w:iCs/>
                <w:color w:val="auto"/>
                <w:sz w:val="24"/>
                <w:szCs w:val="24"/>
                <w:lang w:val="lv-LV"/>
              </w:rPr>
              <w:t xml:space="preserve">385 587 EUR </w:t>
            </w:r>
            <w:proofErr w:type="spellStart"/>
            <w:r w:rsidRPr="005F7C2C">
              <w:rPr>
                <w:i/>
                <w:iCs/>
                <w:color w:val="auto"/>
                <w:sz w:val="24"/>
                <w:szCs w:val="24"/>
                <w:lang w:val="lv-LV"/>
              </w:rPr>
              <w:t>lietusūdens</w:t>
            </w:r>
            <w:proofErr w:type="spellEnd"/>
            <w:r w:rsidRPr="005F7C2C">
              <w:rPr>
                <w:i/>
                <w:iCs/>
                <w:color w:val="auto"/>
                <w:sz w:val="24"/>
                <w:szCs w:val="24"/>
                <w:lang w:val="lv-LV"/>
              </w:rPr>
              <w:t xml:space="preserve"> novadīšanas kolektora izbūvei;</w:t>
            </w:r>
          </w:p>
          <w:p w:rsidR="004C3833" w:rsidRPr="005F7C2C" w:rsidRDefault="004C3833" w:rsidP="004C3833">
            <w:pPr>
              <w:pStyle w:val="tv2131"/>
              <w:numPr>
                <w:ilvl w:val="4"/>
                <w:numId w:val="31"/>
              </w:numPr>
              <w:tabs>
                <w:tab w:val="clear" w:pos="3600"/>
                <w:tab w:val="num" w:pos="2484"/>
              </w:tabs>
              <w:spacing w:line="240" w:lineRule="auto"/>
              <w:ind w:left="2484" w:right="142"/>
              <w:rPr>
                <w:i/>
                <w:color w:val="auto"/>
                <w:sz w:val="24"/>
                <w:szCs w:val="24"/>
                <w:lang w:val="lv-LV"/>
              </w:rPr>
            </w:pPr>
            <w:r w:rsidRPr="005F7C2C">
              <w:rPr>
                <w:i/>
                <w:iCs/>
                <w:color w:val="auto"/>
                <w:sz w:val="24"/>
                <w:szCs w:val="24"/>
                <w:lang w:val="lv-LV"/>
              </w:rPr>
              <w:t>786 067 EUR uzņemto saistību izpildei;</w:t>
            </w:r>
          </w:p>
          <w:p w:rsidR="004C3833" w:rsidRPr="005F7C2C" w:rsidRDefault="004C3833" w:rsidP="004C3833">
            <w:pPr>
              <w:pStyle w:val="tv2131"/>
              <w:numPr>
                <w:ilvl w:val="4"/>
                <w:numId w:val="31"/>
              </w:numPr>
              <w:tabs>
                <w:tab w:val="clear" w:pos="3600"/>
                <w:tab w:val="num" w:pos="2484"/>
              </w:tabs>
              <w:spacing w:line="240" w:lineRule="auto"/>
              <w:ind w:left="2484" w:right="142"/>
              <w:rPr>
                <w:i/>
                <w:color w:val="auto"/>
                <w:sz w:val="24"/>
                <w:szCs w:val="24"/>
                <w:lang w:val="lv-LV"/>
              </w:rPr>
            </w:pPr>
            <w:r w:rsidRPr="005F7C2C">
              <w:rPr>
                <w:i/>
                <w:iCs/>
                <w:color w:val="auto"/>
                <w:sz w:val="24"/>
                <w:szCs w:val="24"/>
                <w:lang w:val="lv-LV"/>
              </w:rPr>
              <w:t>8 567 848 EUR iekārtu un aprīkojuma iegādei;</w:t>
            </w:r>
          </w:p>
          <w:p w:rsidR="004C3833" w:rsidRPr="005F7C2C" w:rsidRDefault="004C3833" w:rsidP="004C3833">
            <w:pPr>
              <w:pStyle w:val="tv2131"/>
              <w:numPr>
                <w:ilvl w:val="2"/>
                <w:numId w:val="31"/>
              </w:numPr>
              <w:tabs>
                <w:tab w:val="clear" w:pos="2160"/>
              </w:tabs>
              <w:spacing w:line="240" w:lineRule="auto"/>
              <w:ind w:left="441" w:right="142" w:firstLine="41"/>
              <w:rPr>
                <w:color w:val="auto"/>
                <w:sz w:val="24"/>
                <w:szCs w:val="24"/>
                <w:lang w:val="lv-LV"/>
              </w:rPr>
            </w:pPr>
            <w:r w:rsidRPr="005F7C2C">
              <w:rPr>
                <w:bCs/>
                <w:color w:val="auto"/>
                <w:sz w:val="24"/>
                <w:szCs w:val="24"/>
                <w:lang w:val="lv-LV"/>
              </w:rPr>
              <w:t xml:space="preserve">44 322 399,66 EUR </w:t>
            </w:r>
            <w:r w:rsidRPr="005F7C2C">
              <w:rPr>
                <w:color w:val="auto"/>
                <w:sz w:val="24"/>
                <w:szCs w:val="24"/>
                <w:lang w:val="lv-LV"/>
              </w:rPr>
              <w:t>– PSKUS valsts galvotais kredīts</w:t>
            </w:r>
            <w:r w:rsidR="00E2061C" w:rsidRPr="005F7C2C">
              <w:rPr>
                <w:color w:val="auto"/>
                <w:sz w:val="24"/>
                <w:szCs w:val="24"/>
                <w:lang w:val="lv-LV"/>
              </w:rPr>
              <w:t>(t.sk. ar MK sēdes protokola Nr.17 43.§ l</w:t>
            </w:r>
            <w:r w:rsidR="00E2061C" w:rsidRPr="005F7C2C">
              <w:rPr>
                <w:iCs/>
                <w:color w:val="auto"/>
                <w:sz w:val="24"/>
                <w:szCs w:val="24"/>
                <w:lang w:val="lv-LV"/>
              </w:rPr>
              <w:t xml:space="preserve">ēmumu papildus piešķirtais valsts budžeta finansējums, kas ietver </w:t>
            </w:r>
            <w:r w:rsidR="00E2061C" w:rsidRPr="005F7C2C">
              <w:rPr>
                <w:color w:val="auto"/>
                <w:sz w:val="24"/>
                <w:szCs w:val="24"/>
                <w:lang w:val="lv-LV"/>
              </w:rPr>
              <w:t>6 322 872 EUR „</w:t>
            </w:r>
            <w:r w:rsidR="00E2061C" w:rsidRPr="005F7C2C">
              <w:rPr>
                <w:color w:val="auto"/>
                <w:sz w:val="24"/>
                <w:szCs w:val="24"/>
                <w:lang w:val="lv-LV" w:eastAsia="lv-LV"/>
              </w:rPr>
              <w:t xml:space="preserve">Latvijas Krājbanka” maksātnespējas rezultātā šobrīd neatgūto </w:t>
            </w:r>
            <w:r w:rsidR="00E2061C" w:rsidRPr="005F7C2C">
              <w:rPr>
                <w:color w:val="auto"/>
                <w:sz w:val="24"/>
                <w:szCs w:val="24"/>
                <w:lang w:val="lv-LV"/>
              </w:rPr>
              <w:t>valsts galvotā aizdevuma finansējumu)</w:t>
            </w:r>
            <w:r w:rsidR="00E97B9A" w:rsidRPr="005F7C2C">
              <w:rPr>
                <w:color w:val="auto"/>
                <w:sz w:val="24"/>
                <w:szCs w:val="24"/>
                <w:lang w:val="lv-LV"/>
              </w:rPr>
              <w:t>;</w:t>
            </w:r>
          </w:p>
          <w:p w:rsidR="004C3833" w:rsidRPr="005F7C2C" w:rsidRDefault="004C3833" w:rsidP="004C3833">
            <w:pPr>
              <w:pStyle w:val="tv2131"/>
              <w:numPr>
                <w:ilvl w:val="2"/>
                <w:numId w:val="31"/>
              </w:numPr>
              <w:tabs>
                <w:tab w:val="clear" w:pos="2160"/>
              </w:tabs>
              <w:spacing w:line="240" w:lineRule="auto"/>
              <w:ind w:left="441" w:right="142" w:firstLine="41"/>
              <w:rPr>
                <w:color w:val="auto"/>
                <w:sz w:val="24"/>
                <w:szCs w:val="24"/>
                <w:lang w:val="lv-LV"/>
              </w:rPr>
            </w:pPr>
            <w:r w:rsidRPr="005F7C2C">
              <w:rPr>
                <w:bCs/>
                <w:color w:val="auto"/>
                <w:sz w:val="24"/>
                <w:szCs w:val="24"/>
                <w:lang w:val="lv-LV"/>
              </w:rPr>
              <w:t xml:space="preserve">6 193 932,29 EUR </w:t>
            </w:r>
            <w:r w:rsidRPr="005F7C2C">
              <w:rPr>
                <w:color w:val="auto"/>
                <w:sz w:val="24"/>
                <w:szCs w:val="24"/>
                <w:lang w:val="lv-LV"/>
              </w:rPr>
              <w:t>– PSKUS finansējums.</w:t>
            </w:r>
          </w:p>
          <w:p w:rsidR="008B44C5" w:rsidRPr="005F7C2C" w:rsidRDefault="00594D74" w:rsidP="008A525C">
            <w:pPr>
              <w:pStyle w:val="tv2131"/>
              <w:spacing w:before="120" w:line="240" w:lineRule="auto"/>
              <w:ind w:left="74" w:right="142" w:firstLine="0"/>
              <w:jc w:val="both"/>
              <w:rPr>
                <w:color w:val="auto"/>
                <w:szCs w:val="28"/>
                <w:lang w:val="lv-LV"/>
              </w:rPr>
            </w:pPr>
            <w:r w:rsidRPr="005F7C2C">
              <w:rPr>
                <w:color w:val="auto"/>
                <w:sz w:val="24"/>
                <w:szCs w:val="24"/>
                <w:lang w:val="lv-LV"/>
              </w:rPr>
              <w:t>Atbilstoši MK prot.17 43.§ 3.punktam Veselības ministrijai sadarbībā ar Finanšu ministriju ir uzdots lielā projekta iesniegumu līdz 2015.gada 30.jūnijam iesniegt izvērtēšanai Eiropas Komisijai. Finansējuma saņēm</w:t>
            </w:r>
            <w:r w:rsidR="0005745A" w:rsidRPr="005F7C2C">
              <w:rPr>
                <w:color w:val="auto"/>
                <w:sz w:val="24"/>
                <w:szCs w:val="24"/>
                <w:lang w:val="lv-LV"/>
              </w:rPr>
              <w:t>ējs 2015.gada 10.jū</w:t>
            </w:r>
            <w:r w:rsidRPr="005F7C2C">
              <w:rPr>
                <w:color w:val="auto"/>
                <w:sz w:val="24"/>
                <w:szCs w:val="24"/>
                <w:lang w:val="lv-LV"/>
              </w:rPr>
              <w:t xml:space="preserve">nijā Veselības ministrijā ir iesniedzis lielā projekta iesniegumu un </w:t>
            </w:r>
            <w:r w:rsidR="0005745A" w:rsidRPr="005F7C2C">
              <w:rPr>
                <w:color w:val="auto"/>
                <w:sz w:val="24"/>
                <w:szCs w:val="24"/>
                <w:lang w:val="lv-LV"/>
              </w:rPr>
              <w:t>JASPERS (</w:t>
            </w:r>
            <w:proofErr w:type="spellStart"/>
            <w:r w:rsidR="0005745A" w:rsidRPr="005F7C2C">
              <w:rPr>
                <w:color w:val="auto"/>
                <w:sz w:val="24"/>
                <w:szCs w:val="24"/>
                <w:lang w:val="lv-LV"/>
              </w:rPr>
              <w:t>Joint</w:t>
            </w:r>
            <w:proofErr w:type="spellEnd"/>
            <w:r w:rsidR="0005745A" w:rsidRPr="005F7C2C">
              <w:rPr>
                <w:color w:val="auto"/>
                <w:sz w:val="24"/>
                <w:szCs w:val="24"/>
                <w:lang w:val="lv-LV"/>
              </w:rPr>
              <w:t xml:space="preserve"> </w:t>
            </w:r>
            <w:proofErr w:type="spellStart"/>
            <w:r w:rsidR="0005745A" w:rsidRPr="005F7C2C">
              <w:rPr>
                <w:color w:val="auto"/>
                <w:sz w:val="24"/>
                <w:szCs w:val="24"/>
                <w:lang w:val="lv-LV"/>
              </w:rPr>
              <w:t>Assistance</w:t>
            </w:r>
            <w:proofErr w:type="spellEnd"/>
            <w:r w:rsidR="0005745A" w:rsidRPr="005F7C2C">
              <w:rPr>
                <w:color w:val="auto"/>
                <w:sz w:val="24"/>
                <w:szCs w:val="24"/>
                <w:lang w:val="lv-LV"/>
              </w:rPr>
              <w:t xml:space="preserve"> to </w:t>
            </w:r>
            <w:proofErr w:type="spellStart"/>
            <w:r w:rsidR="0005745A" w:rsidRPr="005F7C2C">
              <w:rPr>
                <w:color w:val="auto"/>
                <w:sz w:val="24"/>
                <w:szCs w:val="24"/>
                <w:lang w:val="lv-LV"/>
              </w:rPr>
              <w:t>Support</w:t>
            </w:r>
            <w:proofErr w:type="spellEnd"/>
            <w:r w:rsidR="0005745A" w:rsidRPr="005F7C2C">
              <w:rPr>
                <w:color w:val="auto"/>
                <w:sz w:val="24"/>
                <w:szCs w:val="24"/>
                <w:lang w:val="lv-LV"/>
              </w:rPr>
              <w:t xml:space="preserve"> </w:t>
            </w:r>
            <w:proofErr w:type="spellStart"/>
            <w:r w:rsidR="0005745A" w:rsidRPr="005F7C2C">
              <w:rPr>
                <w:color w:val="auto"/>
                <w:sz w:val="24"/>
                <w:szCs w:val="24"/>
                <w:lang w:val="lv-LV"/>
              </w:rPr>
              <w:t>Projects</w:t>
            </w:r>
            <w:proofErr w:type="spellEnd"/>
            <w:r w:rsidR="0005745A" w:rsidRPr="005F7C2C">
              <w:rPr>
                <w:color w:val="auto"/>
                <w:sz w:val="24"/>
                <w:szCs w:val="24"/>
                <w:lang w:val="lv-LV"/>
              </w:rPr>
              <w:t xml:space="preserve"> </w:t>
            </w:r>
            <w:proofErr w:type="spellStart"/>
            <w:r w:rsidR="0005745A" w:rsidRPr="005F7C2C">
              <w:rPr>
                <w:color w:val="auto"/>
                <w:sz w:val="24"/>
                <w:szCs w:val="24"/>
                <w:lang w:val="lv-LV"/>
              </w:rPr>
              <w:t>in</w:t>
            </w:r>
            <w:proofErr w:type="spellEnd"/>
            <w:r w:rsidR="0005745A" w:rsidRPr="005F7C2C">
              <w:rPr>
                <w:color w:val="auto"/>
                <w:sz w:val="24"/>
                <w:szCs w:val="24"/>
                <w:lang w:val="lv-LV"/>
              </w:rPr>
              <w:t xml:space="preserve"> </w:t>
            </w:r>
            <w:proofErr w:type="spellStart"/>
            <w:r w:rsidR="0005745A" w:rsidRPr="005F7C2C">
              <w:rPr>
                <w:color w:val="auto"/>
                <w:sz w:val="24"/>
                <w:szCs w:val="24"/>
                <w:lang w:val="lv-LV"/>
              </w:rPr>
              <w:t>European</w:t>
            </w:r>
            <w:proofErr w:type="spellEnd"/>
            <w:r w:rsidR="0005745A" w:rsidRPr="005F7C2C">
              <w:rPr>
                <w:color w:val="auto"/>
                <w:sz w:val="24"/>
                <w:szCs w:val="24"/>
                <w:lang w:val="lv-LV"/>
              </w:rPr>
              <w:t xml:space="preserve"> </w:t>
            </w:r>
            <w:proofErr w:type="spellStart"/>
            <w:r w:rsidR="0005745A" w:rsidRPr="005F7C2C">
              <w:rPr>
                <w:color w:val="auto"/>
                <w:sz w:val="24"/>
                <w:szCs w:val="24"/>
                <w:lang w:val="lv-LV"/>
              </w:rPr>
              <w:t>Regions</w:t>
            </w:r>
            <w:proofErr w:type="spellEnd"/>
            <w:r w:rsidR="0005745A" w:rsidRPr="005F7C2C">
              <w:rPr>
                <w:color w:val="auto"/>
                <w:sz w:val="24"/>
                <w:szCs w:val="24"/>
                <w:lang w:val="lv-LV"/>
              </w:rPr>
              <w:t xml:space="preserve">) gala vērtējumu. Atbilstoši regulējumam lielā projekta iesniegums </w:t>
            </w:r>
            <w:r w:rsidR="00D661B4" w:rsidRPr="005F7C2C">
              <w:rPr>
                <w:color w:val="auto"/>
                <w:sz w:val="24"/>
                <w:szCs w:val="24"/>
                <w:lang w:val="lv-LV"/>
              </w:rPr>
              <w:t xml:space="preserve">tika </w:t>
            </w:r>
            <w:r w:rsidR="0005745A" w:rsidRPr="005F7C2C">
              <w:rPr>
                <w:color w:val="auto"/>
                <w:sz w:val="24"/>
                <w:szCs w:val="24"/>
                <w:lang w:val="lv-LV"/>
              </w:rPr>
              <w:t>izvērtēts un iesniegts Finanšu ministrijai, kas savukārt to iesnieg</w:t>
            </w:r>
            <w:r w:rsidR="00B22F6A" w:rsidRPr="005F7C2C">
              <w:rPr>
                <w:color w:val="auto"/>
                <w:sz w:val="24"/>
                <w:szCs w:val="24"/>
                <w:lang w:val="lv-LV"/>
              </w:rPr>
              <w:t>usi</w:t>
            </w:r>
            <w:r w:rsidR="0005745A" w:rsidRPr="005F7C2C">
              <w:rPr>
                <w:color w:val="auto"/>
                <w:sz w:val="24"/>
                <w:szCs w:val="24"/>
                <w:lang w:val="lv-LV"/>
              </w:rPr>
              <w:t xml:space="preserve"> Eiropas Komisijai</w:t>
            </w:r>
            <w:r w:rsidR="00B22F6A" w:rsidRPr="005F7C2C">
              <w:rPr>
                <w:color w:val="auto"/>
                <w:sz w:val="24"/>
                <w:szCs w:val="24"/>
                <w:lang w:val="lv-LV"/>
              </w:rPr>
              <w:t xml:space="preserve"> 2015.gada 29.jūnijā</w:t>
            </w:r>
            <w:r w:rsidR="0005745A" w:rsidRPr="005F7C2C">
              <w:rPr>
                <w:color w:val="auto"/>
                <w:sz w:val="24"/>
                <w:szCs w:val="24"/>
                <w:lang w:val="lv-LV"/>
              </w:rPr>
              <w:t>.</w:t>
            </w:r>
            <w:r w:rsidR="0005745A" w:rsidRPr="005F7C2C">
              <w:rPr>
                <w:color w:val="auto"/>
                <w:szCs w:val="28"/>
                <w:lang w:val="lv-LV"/>
              </w:rPr>
              <w:t xml:space="preserve"> </w:t>
            </w:r>
          </w:p>
          <w:p w:rsidR="00D661B4" w:rsidRPr="005F7C2C" w:rsidRDefault="008A525C" w:rsidP="008A525C">
            <w:pPr>
              <w:pStyle w:val="tv2131"/>
              <w:spacing w:before="120" w:line="240" w:lineRule="auto"/>
              <w:ind w:left="74" w:right="142" w:firstLine="0"/>
              <w:jc w:val="both"/>
              <w:rPr>
                <w:color w:val="auto"/>
                <w:sz w:val="24"/>
                <w:szCs w:val="24"/>
                <w:lang w:val="lv-LV"/>
              </w:rPr>
            </w:pPr>
            <w:r w:rsidRPr="005F7C2C">
              <w:rPr>
                <w:color w:val="auto"/>
                <w:sz w:val="24"/>
                <w:szCs w:val="24"/>
                <w:lang w:val="lv-LV"/>
              </w:rPr>
              <w:t>Atbilstoši MK prot.17 43.§ 5.punktam Veselības ministrijai ir uzdots sadarbībā ar Centrālo finanšu un līgumu aģentūru nodrošināt kontroli p</w:t>
            </w:r>
            <w:r w:rsidR="00D11033" w:rsidRPr="005F7C2C">
              <w:rPr>
                <w:color w:val="auto"/>
                <w:sz w:val="24"/>
                <w:szCs w:val="24"/>
                <w:lang w:val="lv-LV"/>
              </w:rPr>
              <w:t>ā</w:t>
            </w:r>
            <w:r w:rsidRPr="005F7C2C">
              <w:rPr>
                <w:color w:val="auto"/>
                <w:sz w:val="24"/>
                <w:szCs w:val="24"/>
                <w:lang w:val="lv-LV"/>
              </w:rPr>
              <w:t xml:space="preserve">r slimnīcas jaunā A korpusa 1.kārtas būvniecības pabeigšanu un telpu aprīkošanu atbilstoši lielā projekta iesniegumam termiņā, kas noteikts Eiropas Komisijas 2013.gada 20.marta lēmuma </w:t>
            </w:r>
            <w:proofErr w:type="spellStart"/>
            <w:r w:rsidRPr="005F7C2C">
              <w:rPr>
                <w:color w:val="auto"/>
                <w:sz w:val="24"/>
                <w:szCs w:val="24"/>
                <w:lang w:val="lv-LV"/>
              </w:rPr>
              <w:t>Nr.C</w:t>
            </w:r>
            <w:proofErr w:type="spellEnd"/>
            <w:r w:rsidRPr="005F7C2C">
              <w:rPr>
                <w:color w:val="auto"/>
                <w:sz w:val="24"/>
                <w:szCs w:val="24"/>
                <w:lang w:val="lv-LV"/>
              </w:rPr>
              <w:t>(2013) 1573, ar ko apstiprina pamatnostādnes par to darbības programmu slēgšanu, kuras pieņemtas atbalsta saņemšanai no Eiropas Reģionālās attīstības fonda, Eiropas Sociālā fonda un Kohēzijas fonda (2007.–2013.gada periodam) (turpmāk – Slēgšanas pamatnostādnes)</w:t>
            </w:r>
            <w:r w:rsidRPr="005F7C2C">
              <w:rPr>
                <w:i/>
                <w:color w:val="auto"/>
                <w:sz w:val="24"/>
                <w:szCs w:val="24"/>
                <w:lang w:val="lv-LV"/>
              </w:rPr>
              <w:t xml:space="preserve"> </w:t>
            </w:r>
            <w:r w:rsidRPr="005F7C2C">
              <w:rPr>
                <w:color w:val="auto"/>
                <w:sz w:val="24"/>
                <w:szCs w:val="24"/>
                <w:lang w:val="lv-LV"/>
              </w:rPr>
              <w:t>3.5.apakšpunktā.</w:t>
            </w:r>
          </w:p>
          <w:p w:rsidR="0031467A" w:rsidRPr="005F7C2C" w:rsidRDefault="006B5903" w:rsidP="008A525C">
            <w:pPr>
              <w:pStyle w:val="tv2131"/>
              <w:spacing w:before="120" w:line="240" w:lineRule="auto"/>
              <w:ind w:left="74" w:right="142" w:firstLine="0"/>
              <w:jc w:val="both"/>
              <w:rPr>
                <w:color w:val="auto"/>
                <w:sz w:val="24"/>
                <w:szCs w:val="24"/>
                <w:lang w:val="lv-LV"/>
              </w:rPr>
            </w:pPr>
            <w:r w:rsidRPr="005F7C2C">
              <w:rPr>
                <w:color w:val="auto"/>
                <w:sz w:val="24"/>
                <w:szCs w:val="24"/>
                <w:lang w:val="lv-LV"/>
              </w:rPr>
              <w:lastRenderedPageBreak/>
              <w:t>Šobrīd nepieciešams papildināt MK noteikumus Nr.44 ar nosacījumiem</w:t>
            </w:r>
            <w:r w:rsidR="009E506D" w:rsidRPr="005F7C2C">
              <w:rPr>
                <w:color w:val="auto"/>
                <w:sz w:val="24"/>
                <w:szCs w:val="24"/>
                <w:lang w:val="lv-LV"/>
              </w:rPr>
              <w:t xml:space="preserve"> par</w:t>
            </w:r>
            <w:r w:rsidRPr="005F7C2C">
              <w:rPr>
                <w:color w:val="auto"/>
                <w:sz w:val="24"/>
                <w:szCs w:val="24"/>
                <w:lang w:val="lv-LV"/>
              </w:rPr>
              <w:t xml:space="preserve"> lielā projekta </w:t>
            </w:r>
            <w:r w:rsidR="009E506D" w:rsidRPr="005F7C2C">
              <w:rPr>
                <w:color w:val="auto"/>
                <w:sz w:val="24"/>
                <w:szCs w:val="24"/>
                <w:lang w:val="lv-LV"/>
              </w:rPr>
              <w:t xml:space="preserve">īstenošanu </w:t>
            </w:r>
            <w:r w:rsidR="005C2F78" w:rsidRPr="005F7C2C">
              <w:rPr>
                <w:color w:val="auto"/>
                <w:sz w:val="24"/>
                <w:szCs w:val="24"/>
                <w:lang w:val="lv-LV"/>
              </w:rPr>
              <w:t>un</w:t>
            </w:r>
            <w:r w:rsidRPr="005F7C2C">
              <w:rPr>
                <w:color w:val="auto"/>
                <w:sz w:val="24"/>
                <w:szCs w:val="24"/>
                <w:lang w:val="lv-LV"/>
              </w:rPr>
              <w:t xml:space="preserve"> </w:t>
            </w:r>
            <w:r w:rsidR="009E506D" w:rsidRPr="005F7C2C">
              <w:rPr>
                <w:color w:val="auto"/>
                <w:sz w:val="24"/>
                <w:szCs w:val="24"/>
                <w:lang w:val="lv-LV"/>
              </w:rPr>
              <w:t>uzraudzību un</w:t>
            </w:r>
            <w:r w:rsidR="00F31B76" w:rsidRPr="005F7C2C">
              <w:rPr>
                <w:color w:val="auto"/>
                <w:sz w:val="24"/>
                <w:szCs w:val="24"/>
                <w:lang w:val="lv-LV"/>
              </w:rPr>
              <w:t xml:space="preserve"> atšķirīb</w:t>
            </w:r>
            <w:r w:rsidR="009E506D" w:rsidRPr="005F7C2C">
              <w:rPr>
                <w:color w:val="auto"/>
                <w:sz w:val="24"/>
                <w:szCs w:val="24"/>
                <w:lang w:val="lv-LV"/>
              </w:rPr>
              <w:t>u</w:t>
            </w:r>
            <w:r w:rsidR="00F31B76" w:rsidRPr="005F7C2C">
              <w:rPr>
                <w:color w:val="auto"/>
                <w:sz w:val="24"/>
                <w:szCs w:val="24"/>
                <w:lang w:val="lv-LV"/>
              </w:rPr>
              <w:t xml:space="preserve"> st</w:t>
            </w:r>
            <w:r w:rsidR="00971B33" w:rsidRPr="005F7C2C">
              <w:rPr>
                <w:color w:val="auto"/>
                <w:sz w:val="24"/>
                <w:szCs w:val="24"/>
                <w:lang w:val="lv-LV"/>
              </w:rPr>
              <w:t>a</w:t>
            </w:r>
            <w:r w:rsidR="00F31B76" w:rsidRPr="005F7C2C">
              <w:rPr>
                <w:color w:val="auto"/>
                <w:sz w:val="24"/>
                <w:szCs w:val="24"/>
                <w:lang w:val="lv-LV"/>
              </w:rPr>
              <w:t>rp ERAF projekt</w:t>
            </w:r>
            <w:r w:rsidR="009E506D" w:rsidRPr="005F7C2C">
              <w:rPr>
                <w:color w:val="auto"/>
                <w:sz w:val="24"/>
                <w:szCs w:val="24"/>
                <w:lang w:val="lv-LV"/>
              </w:rPr>
              <w:t>iem</w:t>
            </w:r>
            <w:r w:rsidR="00F31B76" w:rsidRPr="005F7C2C">
              <w:rPr>
                <w:color w:val="auto"/>
                <w:sz w:val="24"/>
                <w:szCs w:val="24"/>
                <w:lang w:val="lv-LV"/>
              </w:rPr>
              <w:t xml:space="preserve"> un liel</w:t>
            </w:r>
            <w:r w:rsidR="009E506D" w:rsidRPr="005F7C2C">
              <w:rPr>
                <w:color w:val="auto"/>
                <w:sz w:val="24"/>
                <w:szCs w:val="24"/>
                <w:lang w:val="lv-LV"/>
              </w:rPr>
              <w:t>o</w:t>
            </w:r>
            <w:r w:rsidR="00F31B76" w:rsidRPr="005F7C2C">
              <w:rPr>
                <w:color w:val="auto"/>
                <w:sz w:val="24"/>
                <w:szCs w:val="24"/>
                <w:lang w:val="lv-LV"/>
              </w:rPr>
              <w:t xml:space="preserve"> projekt</w:t>
            </w:r>
            <w:r w:rsidR="009E506D" w:rsidRPr="005F7C2C">
              <w:rPr>
                <w:color w:val="auto"/>
                <w:sz w:val="24"/>
                <w:szCs w:val="24"/>
                <w:lang w:val="lv-LV"/>
              </w:rPr>
              <w:t>u</w:t>
            </w:r>
            <w:r w:rsidRPr="005F7C2C">
              <w:rPr>
                <w:color w:val="auto"/>
                <w:sz w:val="24"/>
                <w:szCs w:val="24"/>
                <w:lang w:val="lv-LV"/>
              </w:rPr>
              <w:t>.</w:t>
            </w:r>
            <w:r w:rsidR="0031467A" w:rsidRPr="005F7C2C">
              <w:rPr>
                <w:color w:val="auto"/>
                <w:sz w:val="24"/>
                <w:szCs w:val="24"/>
                <w:lang w:val="lv-LV"/>
              </w:rPr>
              <w:t xml:space="preserve"> Tādejādi noteikumu projekts paredz:</w:t>
            </w:r>
          </w:p>
          <w:p w:rsidR="00E97B9A" w:rsidRPr="005F7C2C" w:rsidRDefault="00E97B9A" w:rsidP="00E97B9A">
            <w:pPr>
              <w:pStyle w:val="tv2131"/>
              <w:numPr>
                <w:ilvl w:val="0"/>
                <w:numId w:val="27"/>
              </w:numPr>
              <w:spacing w:line="240" w:lineRule="auto"/>
              <w:ind w:right="142"/>
              <w:jc w:val="both"/>
              <w:rPr>
                <w:color w:val="auto"/>
                <w:sz w:val="24"/>
                <w:szCs w:val="24"/>
                <w:lang w:val="lv-LV"/>
              </w:rPr>
            </w:pPr>
            <w:r w:rsidRPr="005F7C2C">
              <w:rPr>
                <w:color w:val="auto"/>
                <w:sz w:val="24"/>
                <w:szCs w:val="24"/>
                <w:lang w:val="lv-LV"/>
              </w:rPr>
              <w:t>Papildināt 9.punktu, nosakot, ka punktā noteiktā atbildīgās iestādes kompetence neietver  kompetenci attiecībā uz 29.</w:t>
            </w:r>
            <w:r w:rsidRPr="005F7C2C">
              <w:rPr>
                <w:color w:val="auto"/>
                <w:sz w:val="24"/>
                <w:szCs w:val="24"/>
                <w:vertAlign w:val="superscript"/>
                <w:lang w:val="lv-LV"/>
              </w:rPr>
              <w:t>11</w:t>
            </w:r>
            <w:r w:rsidRPr="005F7C2C">
              <w:rPr>
                <w:color w:val="auto"/>
                <w:sz w:val="24"/>
                <w:szCs w:val="24"/>
                <w:lang w:val="lv-LV"/>
              </w:rPr>
              <w:t xml:space="preserve"> punktā minēto lielo projektu, kas noteikta atsevišķi 29.</w:t>
            </w:r>
            <w:r w:rsidRPr="005F7C2C">
              <w:rPr>
                <w:color w:val="auto"/>
                <w:sz w:val="24"/>
                <w:szCs w:val="24"/>
                <w:vertAlign w:val="superscript"/>
                <w:lang w:val="lv-LV"/>
              </w:rPr>
              <w:t>15</w:t>
            </w:r>
            <w:r w:rsidRPr="005F7C2C">
              <w:rPr>
                <w:color w:val="auto"/>
                <w:sz w:val="24"/>
                <w:szCs w:val="24"/>
                <w:lang w:val="lv-LV"/>
              </w:rPr>
              <w:t xml:space="preserve"> punktā.</w:t>
            </w:r>
          </w:p>
          <w:p w:rsidR="008B44C5" w:rsidRPr="005F7C2C" w:rsidRDefault="008B44C5" w:rsidP="0031467A">
            <w:pPr>
              <w:pStyle w:val="tv2131"/>
              <w:numPr>
                <w:ilvl w:val="0"/>
                <w:numId w:val="27"/>
              </w:numPr>
              <w:spacing w:line="240" w:lineRule="auto"/>
              <w:ind w:right="142"/>
              <w:jc w:val="both"/>
              <w:rPr>
                <w:color w:val="auto"/>
                <w:sz w:val="24"/>
                <w:szCs w:val="24"/>
                <w:lang w:val="lv-LV"/>
              </w:rPr>
            </w:pPr>
            <w:r w:rsidRPr="005F7C2C">
              <w:rPr>
                <w:color w:val="auto"/>
                <w:sz w:val="24"/>
                <w:szCs w:val="24"/>
                <w:lang w:val="lv-LV"/>
              </w:rPr>
              <w:t xml:space="preserve">Papildināt 10.punktu, nosakot, </w:t>
            </w:r>
            <w:r w:rsidR="00D661B4" w:rsidRPr="005F7C2C">
              <w:rPr>
                <w:color w:val="auto"/>
                <w:sz w:val="24"/>
                <w:szCs w:val="24"/>
                <w:lang w:val="lv-LV"/>
              </w:rPr>
              <w:t>ka punktā noteikt</w:t>
            </w:r>
            <w:r w:rsidR="00E97B9A" w:rsidRPr="005F7C2C">
              <w:rPr>
                <w:color w:val="auto"/>
                <w:sz w:val="24"/>
                <w:szCs w:val="24"/>
                <w:lang w:val="lv-LV"/>
              </w:rPr>
              <w:t>ā</w:t>
            </w:r>
            <w:r w:rsidR="00D661B4" w:rsidRPr="005F7C2C">
              <w:rPr>
                <w:color w:val="auto"/>
                <w:sz w:val="24"/>
                <w:szCs w:val="24"/>
                <w:lang w:val="lv-LV"/>
              </w:rPr>
              <w:t xml:space="preserve"> sadarbības iestādes kompetence neietver </w:t>
            </w:r>
            <w:r w:rsidRPr="005F7C2C">
              <w:rPr>
                <w:color w:val="auto"/>
                <w:sz w:val="24"/>
                <w:szCs w:val="24"/>
                <w:lang w:val="lv-LV"/>
              </w:rPr>
              <w:t xml:space="preserve"> kompetenci attiecībā uz 29.</w:t>
            </w:r>
            <w:r w:rsidRPr="005F7C2C">
              <w:rPr>
                <w:color w:val="auto"/>
                <w:sz w:val="24"/>
                <w:szCs w:val="24"/>
                <w:vertAlign w:val="superscript"/>
                <w:lang w:val="lv-LV"/>
              </w:rPr>
              <w:t>11</w:t>
            </w:r>
            <w:r w:rsidRPr="005F7C2C">
              <w:rPr>
                <w:color w:val="auto"/>
                <w:sz w:val="24"/>
                <w:szCs w:val="24"/>
                <w:lang w:val="lv-LV"/>
              </w:rPr>
              <w:t xml:space="preserve"> punktā minēto lielo projektu</w:t>
            </w:r>
            <w:r w:rsidR="00D661B4" w:rsidRPr="005F7C2C">
              <w:rPr>
                <w:color w:val="auto"/>
                <w:sz w:val="24"/>
                <w:szCs w:val="24"/>
                <w:lang w:val="lv-LV"/>
              </w:rPr>
              <w:t>, kas noteikta atsevišķi 29.</w:t>
            </w:r>
            <w:r w:rsidR="00D661B4" w:rsidRPr="005F7C2C">
              <w:rPr>
                <w:color w:val="auto"/>
                <w:sz w:val="24"/>
                <w:szCs w:val="24"/>
                <w:vertAlign w:val="superscript"/>
                <w:lang w:val="lv-LV"/>
              </w:rPr>
              <w:t>14</w:t>
            </w:r>
            <w:r w:rsidR="00D661B4" w:rsidRPr="005F7C2C">
              <w:rPr>
                <w:color w:val="auto"/>
                <w:sz w:val="24"/>
                <w:szCs w:val="24"/>
                <w:lang w:val="lv-LV"/>
              </w:rPr>
              <w:t xml:space="preserve"> punktā</w:t>
            </w:r>
            <w:r w:rsidRPr="005F7C2C">
              <w:rPr>
                <w:color w:val="auto"/>
                <w:sz w:val="24"/>
                <w:szCs w:val="24"/>
                <w:lang w:val="lv-LV"/>
              </w:rPr>
              <w:t>.</w:t>
            </w:r>
          </w:p>
          <w:p w:rsidR="0031467A" w:rsidRPr="005F7C2C" w:rsidRDefault="00D661B4" w:rsidP="0031467A">
            <w:pPr>
              <w:pStyle w:val="tv2131"/>
              <w:numPr>
                <w:ilvl w:val="0"/>
                <w:numId w:val="27"/>
              </w:numPr>
              <w:spacing w:line="240" w:lineRule="auto"/>
              <w:ind w:right="142"/>
              <w:jc w:val="both"/>
              <w:rPr>
                <w:color w:val="auto"/>
                <w:sz w:val="24"/>
                <w:szCs w:val="24"/>
                <w:lang w:val="lv-LV"/>
              </w:rPr>
            </w:pPr>
            <w:r w:rsidRPr="005F7C2C">
              <w:rPr>
                <w:color w:val="auto"/>
                <w:sz w:val="24"/>
                <w:szCs w:val="24"/>
                <w:lang w:val="lv-LV"/>
              </w:rPr>
              <w:t>Izveidot</w:t>
            </w:r>
            <w:r w:rsidR="00E97B9A" w:rsidRPr="005F7C2C">
              <w:rPr>
                <w:color w:val="auto"/>
                <w:sz w:val="24"/>
                <w:szCs w:val="24"/>
                <w:lang w:val="lv-LV"/>
              </w:rPr>
              <w:t>a</w:t>
            </w:r>
            <w:r w:rsidRPr="005F7C2C">
              <w:rPr>
                <w:color w:val="auto"/>
                <w:sz w:val="24"/>
                <w:szCs w:val="24"/>
                <w:lang w:val="lv-LV"/>
              </w:rPr>
              <w:t xml:space="preserve"> </w:t>
            </w:r>
            <w:r w:rsidR="00E97B9A" w:rsidRPr="005F7C2C">
              <w:rPr>
                <w:color w:val="auto"/>
                <w:sz w:val="24"/>
                <w:szCs w:val="24"/>
                <w:lang w:val="lv-LV"/>
              </w:rPr>
              <w:t xml:space="preserve">jauna </w:t>
            </w:r>
            <w:r w:rsidRPr="005F7C2C">
              <w:rPr>
                <w:color w:val="auto"/>
                <w:sz w:val="24"/>
                <w:szCs w:val="24"/>
                <w:lang w:val="lv-LV"/>
              </w:rPr>
              <w:t>sadaļa III</w:t>
            </w:r>
            <w:r w:rsidRPr="005F7C2C">
              <w:rPr>
                <w:color w:val="auto"/>
                <w:sz w:val="24"/>
                <w:szCs w:val="24"/>
                <w:vertAlign w:val="superscript"/>
                <w:lang w:val="lv-LV"/>
              </w:rPr>
              <w:t xml:space="preserve">1 </w:t>
            </w:r>
            <w:r w:rsidRPr="005F7C2C">
              <w:rPr>
                <w:color w:val="auto"/>
                <w:sz w:val="24"/>
                <w:szCs w:val="24"/>
                <w:lang w:val="lv-LV"/>
              </w:rPr>
              <w:t>„Lielā projekta ieviešana” un a</w:t>
            </w:r>
            <w:r w:rsidR="0031467A" w:rsidRPr="005F7C2C">
              <w:rPr>
                <w:color w:val="auto"/>
                <w:sz w:val="24"/>
                <w:szCs w:val="24"/>
                <w:lang w:val="lv-LV"/>
              </w:rPr>
              <w:t>ttiecīgi 14.</w:t>
            </w:r>
            <w:r w:rsidR="0031467A" w:rsidRPr="005F7C2C">
              <w:rPr>
                <w:color w:val="auto"/>
                <w:sz w:val="24"/>
                <w:szCs w:val="24"/>
                <w:vertAlign w:val="superscript"/>
                <w:lang w:val="lv-LV"/>
              </w:rPr>
              <w:t>1</w:t>
            </w:r>
            <w:r w:rsidR="0031467A" w:rsidRPr="005F7C2C">
              <w:rPr>
                <w:color w:val="auto"/>
                <w:sz w:val="24"/>
                <w:szCs w:val="24"/>
                <w:lang w:val="lv-LV"/>
              </w:rPr>
              <w:t>punkts</w:t>
            </w:r>
            <w:r w:rsidRPr="005F7C2C">
              <w:rPr>
                <w:color w:val="auto"/>
                <w:sz w:val="24"/>
                <w:szCs w:val="24"/>
                <w:lang w:val="lv-LV"/>
              </w:rPr>
              <w:t>, kas līdz šim noteica lielā projekta iesnieguma iesniegšanas pienākumu</w:t>
            </w:r>
            <w:r w:rsidR="0031467A" w:rsidRPr="005F7C2C">
              <w:rPr>
                <w:color w:val="auto"/>
                <w:sz w:val="24"/>
                <w:szCs w:val="24"/>
                <w:lang w:val="lv-LV"/>
              </w:rPr>
              <w:t xml:space="preserve"> tiek pārnests uz jaun</w:t>
            </w:r>
            <w:r w:rsidR="005C2F78" w:rsidRPr="005F7C2C">
              <w:rPr>
                <w:color w:val="auto"/>
                <w:sz w:val="24"/>
                <w:szCs w:val="24"/>
                <w:lang w:val="lv-LV"/>
              </w:rPr>
              <w:t>u</w:t>
            </w:r>
            <w:r w:rsidR="0031467A" w:rsidRPr="005F7C2C">
              <w:rPr>
                <w:color w:val="auto"/>
                <w:sz w:val="24"/>
                <w:szCs w:val="24"/>
                <w:lang w:val="lv-LV"/>
              </w:rPr>
              <w:t xml:space="preserve"> sadaļu kā 29.</w:t>
            </w:r>
            <w:r w:rsidR="0031467A" w:rsidRPr="005F7C2C">
              <w:rPr>
                <w:color w:val="auto"/>
                <w:sz w:val="24"/>
                <w:szCs w:val="24"/>
                <w:vertAlign w:val="superscript"/>
                <w:lang w:val="lv-LV"/>
              </w:rPr>
              <w:t>10</w:t>
            </w:r>
            <w:r w:rsidR="0031467A" w:rsidRPr="005F7C2C">
              <w:rPr>
                <w:color w:val="auto"/>
                <w:sz w:val="24"/>
                <w:szCs w:val="24"/>
                <w:lang w:val="lv-LV"/>
              </w:rPr>
              <w:t>punkt</w:t>
            </w:r>
            <w:r w:rsidR="006436FB" w:rsidRPr="005F7C2C">
              <w:rPr>
                <w:color w:val="auto"/>
                <w:sz w:val="24"/>
                <w:szCs w:val="24"/>
                <w:lang w:val="lv-LV"/>
              </w:rPr>
              <w:t>s</w:t>
            </w:r>
            <w:r w:rsidR="00CE196E" w:rsidRPr="005F7C2C">
              <w:rPr>
                <w:color w:val="auto"/>
                <w:sz w:val="24"/>
                <w:szCs w:val="24"/>
                <w:lang w:val="lv-LV"/>
              </w:rPr>
              <w:t>.</w:t>
            </w:r>
          </w:p>
          <w:p w:rsidR="00080126" w:rsidRPr="005F7C2C" w:rsidRDefault="00D661B4" w:rsidP="00080126">
            <w:pPr>
              <w:pStyle w:val="tv2131"/>
              <w:numPr>
                <w:ilvl w:val="0"/>
                <w:numId w:val="27"/>
              </w:numPr>
              <w:spacing w:line="240" w:lineRule="auto"/>
              <w:ind w:right="142"/>
              <w:jc w:val="both"/>
              <w:rPr>
                <w:color w:val="auto"/>
                <w:sz w:val="24"/>
                <w:szCs w:val="24"/>
                <w:lang w:val="lv-LV"/>
              </w:rPr>
            </w:pPr>
            <w:r w:rsidRPr="005F7C2C">
              <w:rPr>
                <w:color w:val="auto"/>
                <w:sz w:val="24"/>
                <w:szCs w:val="24"/>
                <w:lang w:val="lv-LV"/>
              </w:rPr>
              <w:t xml:space="preserve">Noteikumu projekts tiek papildināts </w:t>
            </w:r>
            <w:r w:rsidR="00910E01" w:rsidRPr="005F7C2C">
              <w:rPr>
                <w:color w:val="auto"/>
                <w:sz w:val="24"/>
                <w:szCs w:val="24"/>
                <w:lang w:val="lv-LV"/>
              </w:rPr>
              <w:t>ar 29.</w:t>
            </w:r>
            <w:r w:rsidR="00910E01" w:rsidRPr="005F7C2C">
              <w:rPr>
                <w:color w:val="auto"/>
                <w:sz w:val="24"/>
                <w:szCs w:val="24"/>
                <w:vertAlign w:val="superscript"/>
                <w:lang w:val="lv-LV"/>
              </w:rPr>
              <w:t>11</w:t>
            </w:r>
            <w:r w:rsidR="00910E01" w:rsidRPr="005F7C2C">
              <w:rPr>
                <w:color w:val="auto"/>
                <w:sz w:val="24"/>
                <w:szCs w:val="24"/>
                <w:lang w:val="lv-LV"/>
              </w:rPr>
              <w:t xml:space="preserve">punktu, kurš nosaka, ka lielajam projektam ir jābūt pilnībā pabeigtam, nodrošinot tā funkcionalitāti jeb nodrošinot lielā projekta mērķa sasniegšanu, ne vēlāk kā divus gadus pēc slēgšanas dokumentu iesniegšanas Eiropas Komisijā. </w:t>
            </w:r>
            <w:r w:rsidR="00CE196E" w:rsidRPr="005F7C2C">
              <w:rPr>
                <w:color w:val="auto"/>
                <w:sz w:val="24"/>
                <w:szCs w:val="24"/>
                <w:lang w:val="lv-LV"/>
              </w:rPr>
              <w:t>A</w:t>
            </w:r>
            <w:r w:rsidR="00080126" w:rsidRPr="005F7C2C">
              <w:rPr>
                <w:color w:val="auto"/>
                <w:sz w:val="24"/>
                <w:szCs w:val="24"/>
                <w:lang w:val="lv-LV"/>
              </w:rPr>
              <w:t xml:space="preserve">tbilstoši Finanšu ministrijas vadlīniju attiecināmo un neattiecināmo izmaksu noteikšanai 2007.-2013.gada plānošanas periodā 46.punktam lielo projektu ietvaros pastāv iespēja saskaņā </w:t>
            </w:r>
            <w:r w:rsidR="008A525C" w:rsidRPr="005F7C2C">
              <w:rPr>
                <w:color w:val="auto"/>
                <w:sz w:val="24"/>
                <w:szCs w:val="24"/>
                <w:lang w:val="lv-LV"/>
              </w:rPr>
              <w:t>s</w:t>
            </w:r>
            <w:r w:rsidR="008B44C5" w:rsidRPr="005F7C2C">
              <w:rPr>
                <w:color w:val="auto"/>
                <w:sz w:val="24"/>
                <w:szCs w:val="24"/>
                <w:lang w:val="lv-LV"/>
              </w:rPr>
              <w:t>lēgšanas pamatnostād</w:t>
            </w:r>
            <w:r w:rsidR="008A525C" w:rsidRPr="005F7C2C">
              <w:rPr>
                <w:color w:val="auto"/>
                <w:sz w:val="24"/>
                <w:szCs w:val="24"/>
                <w:lang w:val="lv-LV"/>
              </w:rPr>
              <w:t xml:space="preserve">ņu </w:t>
            </w:r>
            <w:r w:rsidR="00080126" w:rsidRPr="005F7C2C">
              <w:rPr>
                <w:color w:val="auto"/>
                <w:sz w:val="24"/>
                <w:szCs w:val="24"/>
                <w:lang w:val="lv-LV"/>
              </w:rPr>
              <w:t>3.5.apakšpunktu slēgšanas dokumentos iekļaut izdevumus, kas samaksāti par nefunkcionējošiem projektiem</w:t>
            </w:r>
            <w:r w:rsidR="00080126" w:rsidRPr="005F7C2C">
              <w:rPr>
                <w:color w:val="auto"/>
                <w:sz w:val="24"/>
                <w:szCs w:val="24"/>
                <w:vertAlign w:val="superscript"/>
                <w:lang w:val="lv-LV"/>
              </w:rPr>
              <w:footnoteReference w:id="2"/>
            </w:r>
            <w:r w:rsidR="00CE196E" w:rsidRPr="005F7C2C">
              <w:rPr>
                <w:color w:val="auto"/>
                <w:sz w:val="24"/>
                <w:szCs w:val="24"/>
                <w:lang w:val="lv-LV"/>
              </w:rPr>
              <w:t xml:space="preserve"> un </w:t>
            </w:r>
            <w:r w:rsidR="00DF6F8F" w:rsidRPr="005F7C2C">
              <w:rPr>
                <w:color w:val="auto"/>
                <w:sz w:val="24"/>
                <w:szCs w:val="24"/>
                <w:lang w:val="lv-LV"/>
              </w:rPr>
              <w:t>šādos gadījumos sadarbības iestāde vai atbildīgā iestāde un finansējuma saņēmējs, ar kuru noslēgts līgums par attiecīgā projekta īstenošanu, uzņemas pilnu atbildību pabeigt nefunkcionējošo projektu ne vēlāk kā divus gadus pēc slēgšanas dokumentu iesniegšanas EK, t.i. līdz 2019. gada 31.martam</w:t>
            </w:r>
            <w:r w:rsidR="00CE196E" w:rsidRPr="005F7C2C">
              <w:rPr>
                <w:color w:val="auto"/>
                <w:sz w:val="24"/>
                <w:szCs w:val="24"/>
                <w:lang w:val="lv-LV"/>
              </w:rPr>
              <w:t>.</w:t>
            </w:r>
            <w:r w:rsidR="00080126" w:rsidRPr="005F7C2C">
              <w:rPr>
                <w:color w:val="auto"/>
                <w:sz w:val="24"/>
                <w:szCs w:val="24"/>
                <w:lang w:val="lv-LV"/>
              </w:rPr>
              <w:t xml:space="preserve"> </w:t>
            </w:r>
            <w:r w:rsidRPr="005F7C2C">
              <w:rPr>
                <w:color w:val="auto"/>
                <w:sz w:val="24"/>
                <w:szCs w:val="24"/>
                <w:lang w:val="lv-LV"/>
              </w:rPr>
              <w:t>Savukārt a</w:t>
            </w:r>
            <w:r w:rsidR="0031467A" w:rsidRPr="005F7C2C">
              <w:rPr>
                <w:color w:val="auto"/>
                <w:sz w:val="24"/>
                <w:szCs w:val="24"/>
                <w:lang w:val="lv-LV"/>
              </w:rPr>
              <w:t xml:space="preserve">tbilstoši MK prot.17 43.§ </w:t>
            </w:r>
            <w:r w:rsidR="00080126" w:rsidRPr="005F7C2C">
              <w:rPr>
                <w:color w:val="auto"/>
                <w:sz w:val="24"/>
                <w:szCs w:val="24"/>
                <w:lang w:val="lv-LV"/>
              </w:rPr>
              <w:t xml:space="preserve">izskatītā informatīvā ziņojuma "Par VSIA "Paula Stradiņa klīniskā universitātes slimnīca" jaunā korpusa būvniecības un iekārtošanas finansējuma jautājumiem" </w:t>
            </w:r>
            <w:r w:rsidR="0058437C" w:rsidRPr="005F7C2C">
              <w:rPr>
                <w:color w:val="auto"/>
                <w:sz w:val="24"/>
                <w:szCs w:val="24"/>
                <w:lang w:val="lv-LV"/>
              </w:rPr>
              <w:t xml:space="preserve">(turpmāk - informatīvais ziņojums) </w:t>
            </w:r>
            <w:r w:rsidR="00080126" w:rsidRPr="005F7C2C">
              <w:rPr>
                <w:color w:val="auto"/>
                <w:sz w:val="24"/>
                <w:szCs w:val="24"/>
                <w:lang w:val="lv-LV"/>
              </w:rPr>
              <w:t xml:space="preserve">50.punktā noteiktajam </w:t>
            </w:r>
            <w:r w:rsidR="00F46CD8" w:rsidRPr="005F7C2C">
              <w:rPr>
                <w:color w:val="auto"/>
                <w:sz w:val="24"/>
                <w:szCs w:val="24"/>
                <w:lang w:val="lv-LV"/>
              </w:rPr>
              <w:t>finansējuma saņēmējs plāno projektu pabeigt līdz 2017.gada 31.martam</w:t>
            </w:r>
            <w:r w:rsidR="0031467A" w:rsidRPr="005F7C2C">
              <w:rPr>
                <w:color w:val="auto"/>
                <w:sz w:val="24"/>
                <w:szCs w:val="24"/>
                <w:lang w:val="lv-LV"/>
              </w:rPr>
              <w:t>.</w:t>
            </w:r>
            <w:r w:rsidR="00080126" w:rsidRPr="005F7C2C">
              <w:rPr>
                <w:color w:val="auto"/>
                <w:sz w:val="24"/>
                <w:szCs w:val="24"/>
                <w:lang w:val="lv-LV"/>
              </w:rPr>
              <w:t xml:space="preserve"> </w:t>
            </w:r>
          </w:p>
          <w:p w:rsidR="00080126" w:rsidRPr="005F7C2C" w:rsidRDefault="0055107F" w:rsidP="00682CDC">
            <w:pPr>
              <w:pStyle w:val="tv2131"/>
              <w:numPr>
                <w:ilvl w:val="0"/>
                <w:numId w:val="27"/>
              </w:numPr>
              <w:spacing w:line="240" w:lineRule="auto"/>
              <w:ind w:right="142"/>
              <w:jc w:val="both"/>
              <w:rPr>
                <w:color w:val="auto"/>
                <w:sz w:val="24"/>
                <w:szCs w:val="24"/>
                <w:lang w:val="lv-LV"/>
              </w:rPr>
            </w:pPr>
            <w:r w:rsidRPr="005F7C2C">
              <w:rPr>
                <w:color w:val="auto"/>
                <w:sz w:val="24"/>
                <w:szCs w:val="24"/>
                <w:lang w:val="lv-LV"/>
              </w:rPr>
              <w:t xml:space="preserve">Atbilstoši </w:t>
            </w:r>
            <w:r w:rsidR="00291330" w:rsidRPr="005F7C2C">
              <w:rPr>
                <w:color w:val="auto"/>
                <w:sz w:val="24"/>
                <w:szCs w:val="24"/>
                <w:lang w:val="lv-LV"/>
              </w:rPr>
              <w:t xml:space="preserve">2015.gada 10.jūlijā Ministru kabinetā apstiprinātajiem  </w:t>
            </w:r>
            <w:r w:rsidR="00BF5B69" w:rsidRPr="005F7C2C">
              <w:rPr>
                <w:color w:val="auto"/>
                <w:sz w:val="24"/>
                <w:szCs w:val="24"/>
                <w:lang w:val="lv-LV"/>
              </w:rPr>
              <w:t>grozījumiem MK noteikumos Nr.1041</w:t>
            </w:r>
            <w:r w:rsidR="00246491" w:rsidRPr="005F7C2C">
              <w:rPr>
                <w:color w:val="auto"/>
                <w:sz w:val="24"/>
                <w:szCs w:val="24"/>
                <w:lang w:val="lv-LV"/>
              </w:rPr>
              <w:t xml:space="preserve">, kas  </w:t>
            </w:r>
            <w:r w:rsidR="00291330" w:rsidRPr="005F7C2C">
              <w:rPr>
                <w:color w:val="auto"/>
                <w:sz w:val="24"/>
                <w:szCs w:val="24"/>
                <w:lang w:val="lv-LV"/>
              </w:rPr>
              <w:t xml:space="preserve">papildina 16.3.apakšpunktu nosakot, </w:t>
            </w:r>
            <w:r w:rsidR="00246491" w:rsidRPr="005F7C2C">
              <w:rPr>
                <w:color w:val="auto"/>
                <w:sz w:val="24"/>
                <w:szCs w:val="24"/>
                <w:lang w:val="lv-LV"/>
              </w:rPr>
              <w:t xml:space="preserve">ka noslēguma maksājums veicams pēc projekta īstenošanas, ja </w:t>
            </w:r>
            <w:r w:rsidR="00796B68" w:rsidRPr="005F7C2C">
              <w:rPr>
                <w:color w:val="auto"/>
                <w:sz w:val="24"/>
                <w:szCs w:val="24"/>
                <w:lang w:val="lv-LV"/>
              </w:rPr>
              <w:t xml:space="preserve">vien </w:t>
            </w:r>
            <w:r w:rsidR="00246491" w:rsidRPr="005F7C2C">
              <w:rPr>
                <w:color w:val="auto"/>
                <w:sz w:val="24"/>
                <w:szCs w:val="24"/>
                <w:lang w:val="lv-LV"/>
              </w:rPr>
              <w:t>normatīvajā aktā par aktivitātes īstenošanu nav no</w:t>
            </w:r>
            <w:r w:rsidR="00796B68" w:rsidRPr="005F7C2C">
              <w:rPr>
                <w:color w:val="auto"/>
                <w:sz w:val="24"/>
                <w:szCs w:val="24"/>
                <w:lang w:val="lv-LV"/>
              </w:rPr>
              <w:t xml:space="preserve">teikts citādi, </w:t>
            </w:r>
            <w:r w:rsidR="00246491" w:rsidRPr="005F7C2C">
              <w:rPr>
                <w:color w:val="auto"/>
                <w:sz w:val="24"/>
                <w:szCs w:val="24"/>
                <w:lang w:val="lv-LV"/>
              </w:rPr>
              <w:t xml:space="preserve">noteikumu projekts tiek papildināts ar </w:t>
            </w:r>
            <w:r w:rsidRPr="005F7C2C">
              <w:rPr>
                <w:color w:val="auto"/>
                <w:sz w:val="24"/>
                <w:szCs w:val="24"/>
                <w:lang w:val="lv-LV"/>
              </w:rPr>
              <w:t>29.</w:t>
            </w:r>
            <w:r w:rsidRPr="005F7C2C">
              <w:rPr>
                <w:color w:val="auto"/>
                <w:sz w:val="24"/>
                <w:szCs w:val="24"/>
                <w:vertAlign w:val="superscript"/>
                <w:lang w:val="lv-LV"/>
              </w:rPr>
              <w:t>1</w:t>
            </w:r>
            <w:r w:rsidR="00C93D0F" w:rsidRPr="005F7C2C">
              <w:rPr>
                <w:color w:val="auto"/>
                <w:sz w:val="24"/>
                <w:szCs w:val="24"/>
                <w:vertAlign w:val="superscript"/>
                <w:lang w:val="lv-LV"/>
              </w:rPr>
              <w:t>2</w:t>
            </w:r>
            <w:r w:rsidRPr="005F7C2C">
              <w:rPr>
                <w:color w:val="auto"/>
                <w:sz w:val="24"/>
                <w:szCs w:val="24"/>
                <w:lang w:val="lv-LV"/>
              </w:rPr>
              <w:t>punkt</w:t>
            </w:r>
            <w:r w:rsidR="00246491" w:rsidRPr="005F7C2C">
              <w:rPr>
                <w:color w:val="auto"/>
                <w:sz w:val="24"/>
                <w:szCs w:val="24"/>
                <w:lang w:val="lv-LV"/>
              </w:rPr>
              <w:t>u, kurš</w:t>
            </w:r>
            <w:r w:rsidR="00BF5B69" w:rsidRPr="005F7C2C">
              <w:rPr>
                <w:color w:val="auto"/>
                <w:sz w:val="24"/>
                <w:szCs w:val="24"/>
                <w:lang w:val="lv-LV"/>
              </w:rPr>
              <w:t xml:space="preserve"> nosaka, ka sadarbības iestāde </w:t>
            </w:r>
            <w:r w:rsidR="003C4448" w:rsidRPr="005F7C2C">
              <w:rPr>
                <w:color w:val="auto"/>
                <w:sz w:val="24"/>
                <w:szCs w:val="24"/>
                <w:lang w:val="lv-LV"/>
              </w:rPr>
              <w:t xml:space="preserve">projektiem, kas </w:t>
            </w:r>
            <w:r w:rsidR="00D367B3" w:rsidRPr="005F7C2C">
              <w:rPr>
                <w:color w:val="auto"/>
                <w:sz w:val="24"/>
                <w:szCs w:val="24"/>
                <w:lang w:val="lv-LV"/>
              </w:rPr>
              <w:t xml:space="preserve">ietilpst </w:t>
            </w:r>
            <w:r w:rsidR="00B53B64" w:rsidRPr="005F7C2C">
              <w:rPr>
                <w:color w:val="auto"/>
                <w:sz w:val="24"/>
                <w:szCs w:val="24"/>
                <w:lang w:val="lv-LV"/>
              </w:rPr>
              <w:t>šo noteikumu 29.</w:t>
            </w:r>
            <w:r w:rsidR="00B53B64" w:rsidRPr="005F7C2C">
              <w:rPr>
                <w:color w:val="auto"/>
                <w:sz w:val="24"/>
                <w:szCs w:val="24"/>
                <w:vertAlign w:val="superscript"/>
                <w:lang w:val="lv-LV"/>
              </w:rPr>
              <w:t>11</w:t>
            </w:r>
            <w:r w:rsidR="00B53B64" w:rsidRPr="005F7C2C">
              <w:rPr>
                <w:color w:val="auto"/>
                <w:sz w:val="24"/>
                <w:szCs w:val="24"/>
                <w:lang w:val="lv-LV"/>
              </w:rPr>
              <w:t>apkšpunktā minētajā</w:t>
            </w:r>
            <w:r w:rsidR="005F7C2C" w:rsidRPr="005F7C2C">
              <w:rPr>
                <w:color w:val="auto"/>
                <w:sz w:val="24"/>
                <w:szCs w:val="24"/>
                <w:lang w:val="lv-LV"/>
              </w:rPr>
              <w:t xml:space="preserve"> </w:t>
            </w:r>
            <w:r w:rsidR="003C4448" w:rsidRPr="005F7C2C">
              <w:rPr>
                <w:color w:val="auto"/>
                <w:sz w:val="24"/>
                <w:szCs w:val="24"/>
                <w:lang w:val="lv-LV"/>
              </w:rPr>
              <w:t>liel</w:t>
            </w:r>
            <w:r w:rsidR="00D367B3" w:rsidRPr="005F7C2C">
              <w:rPr>
                <w:color w:val="auto"/>
                <w:sz w:val="24"/>
                <w:szCs w:val="24"/>
                <w:lang w:val="lv-LV"/>
              </w:rPr>
              <w:t>ajā</w:t>
            </w:r>
            <w:r w:rsidR="003C4448" w:rsidRPr="005F7C2C">
              <w:rPr>
                <w:color w:val="auto"/>
                <w:sz w:val="24"/>
                <w:szCs w:val="24"/>
                <w:lang w:val="lv-LV"/>
              </w:rPr>
              <w:t xml:space="preserve"> projekt</w:t>
            </w:r>
            <w:r w:rsidR="00D367B3" w:rsidRPr="005F7C2C">
              <w:rPr>
                <w:color w:val="auto"/>
                <w:sz w:val="24"/>
                <w:szCs w:val="24"/>
                <w:lang w:val="lv-LV"/>
              </w:rPr>
              <w:t>ā</w:t>
            </w:r>
            <w:r w:rsidR="003C4448" w:rsidRPr="005F7C2C">
              <w:rPr>
                <w:color w:val="auto"/>
                <w:sz w:val="24"/>
                <w:szCs w:val="24"/>
                <w:lang w:val="lv-LV"/>
              </w:rPr>
              <w:t>, var veikt noslēguma maksājumu pirms lielā projekta īstenošanas beigām</w:t>
            </w:r>
            <w:r w:rsidR="00682CDC" w:rsidRPr="005F7C2C">
              <w:rPr>
                <w:color w:val="auto"/>
                <w:sz w:val="24"/>
                <w:szCs w:val="24"/>
                <w:lang w:val="lv-LV"/>
              </w:rPr>
              <w:t>.</w:t>
            </w:r>
          </w:p>
          <w:p w:rsidR="003D0782" w:rsidRPr="005F7C2C" w:rsidRDefault="00796B68">
            <w:pPr>
              <w:pStyle w:val="tv2131"/>
              <w:numPr>
                <w:ilvl w:val="0"/>
                <w:numId w:val="27"/>
              </w:numPr>
              <w:spacing w:line="240" w:lineRule="auto"/>
              <w:ind w:right="142"/>
              <w:jc w:val="both"/>
              <w:rPr>
                <w:color w:val="auto"/>
                <w:sz w:val="24"/>
                <w:szCs w:val="24"/>
                <w:lang w:val="lv-LV"/>
              </w:rPr>
            </w:pPr>
            <w:r w:rsidRPr="005F7C2C">
              <w:rPr>
                <w:color w:val="auto"/>
                <w:sz w:val="24"/>
                <w:szCs w:val="24"/>
                <w:lang w:val="lv-LV"/>
              </w:rPr>
              <w:t xml:space="preserve">Noteikumu projekts papildināts ar </w:t>
            </w:r>
            <w:r w:rsidR="00C93D0F" w:rsidRPr="005F7C2C">
              <w:rPr>
                <w:color w:val="auto"/>
                <w:sz w:val="24"/>
                <w:szCs w:val="24"/>
                <w:lang w:val="lv-LV"/>
              </w:rPr>
              <w:t>29.</w:t>
            </w:r>
            <w:r w:rsidR="00C93D0F" w:rsidRPr="005F7C2C">
              <w:rPr>
                <w:color w:val="auto"/>
                <w:sz w:val="24"/>
                <w:szCs w:val="24"/>
                <w:vertAlign w:val="superscript"/>
                <w:lang w:val="lv-LV"/>
              </w:rPr>
              <w:t>13</w:t>
            </w:r>
            <w:r w:rsidRPr="005F7C2C">
              <w:rPr>
                <w:color w:val="auto"/>
                <w:sz w:val="24"/>
                <w:szCs w:val="24"/>
                <w:lang w:val="lv-LV"/>
              </w:rPr>
              <w:t>punktu, kurš</w:t>
            </w:r>
            <w:r w:rsidR="00C93D0F" w:rsidRPr="005F7C2C">
              <w:rPr>
                <w:color w:val="auto"/>
                <w:sz w:val="24"/>
                <w:szCs w:val="24"/>
                <w:lang w:val="lv-LV"/>
              </w:rPr>
              <w:t xml:space="preserve"> nosaka pienākumus finansējuma saņēmējam</w:t>
            </w:r>
            <w:r w:rsidR="003A097D" w:rsidRPr="005F7C2C">
              <w:rPr>
                <w:color w:val="auto"/>
                <w:sz w:val="24"/>
                <w:szCs w:val="24"/>
                <w:lang w:val="lv-LV"/>
              </w:rPr>
              <w:t xml:space="preserve"> attiecībā uz lielā projekta īstenošanu</w:t>
            </w:r>
            <w:r w:rsidR="00D661B4" w:rsidRPr="005F7C2C">
              <w:rPr>
                <w:color w:val="auto"/>
                <w:sz w:val="24"/>
                <w:szCs w:val="24"/>
                <w:lang w:val="lv-LV"/>
              </w:rPr>
              <w:t xml:space="preserve">, tai skaitā attiecībā uz lielā projekta infrastruktūras izmantošanas proporcijas aprēķināšanu, </w:t>
            </w:r>
            <w:proofErr w:type="spellStart"/>
            <w:r w:rsidR="00D661B4" w:rsidRPr="005F7C2C">
              <w:rPr>
                <w:color w:val="auto"/>
                <w:sz w:val="24"/>
                <w:szCs w:val="24"/>
                <w:lang w:val="lv-LV"/>
              </w:rPr>
              <w:t>pēcuzraudzības</w:t>
            </w:r>
            <w:proofErr w:type="spellEnd"/>
            <w:r w:rsidR="00D661B4" w:rsidRPr="005F7C2C">
              <w:rPr>
                <w:color w:val="auto"/>
                <w:sz w:val="24"/>
                <w:szCs w:val="24"/>
                <w:lang w:val="lv-LV"/>
              </w:rPr>
              <w:t xml:space="preserve"> periodu, pārmērīgas kompensācijas atmaksu, informēšanu par iepirkumu līgumu izmaiņām un atskaitīšanu par lielā projekta ieviešanu.</w:t>
            </w:r>
            <w:r w:rsidR="003A097D" w:rsidRPr="005F7C2C">
              <w:rPr>
                <w:color w:val="auto"/>
                <w:sz w:val="24"/>
                <w:szCs w:val="24"/>
                <w:lang w:val="lv-LV"/>
              </w:rPr>
              <w:t xml:space="preserve"> </w:t>
            </w:r>
            <w:r w:rsidR="00392742" w:rsidRPr="005F7C2C">
              <w:rPr>
                <w:color w:val="auto"/>
                <w:sz w:val="24"/>
                <w:szCs w:val="24"/>
                <w:lang w:val="lv-LV"/>
              </w:rPr>
              <w:t xml:space="preserve">Tāpat punkts </w:t>
            </w:r>
            <w:r w:rsidR="00392742" w:rsidRPr="005F7C2C">
              <w:rPr>
                <w:color w:val="auto"/>
                <w:sz w:val="24"/>
                <w:szCs w:val="24"/>
                <w:lang w:val="lv-LV"/>
              </w:rPr>
              <w:lastRenderedPageBreak/>
              <w:t>nosaka pienākumu finansējuma saņēmējam atmaksāt projektu, kas ietilpst šo noteikumu 29.</w:t>
            </w:r>
            <w:r w:rsidR="00392742" w:rsidRPr="005F7C2C">
              <w:rPr>
                <w:color w:val="auto"/>
                <w:sz w:val="24"/>
                <w:szCs w:val="24"/>
                <w:vertAlign w:val="superscript"/>
                <w:lang w:val="lv-LV"/>
              </w:rPr>
              <w:t>11</w:t>
            </w:r>
            <w:r w:rsidR="00392742" w:rsidRPr="005F7C2C">
              <w:rPr>
                <w:color w:val="auto"/>
                <w:sz w:val="24"/>
                <w:szCs w:val="24"/>
                <w:lang w:val="lv-LV"/>
              </w:rPr>
              <w:t>punktā minētajā lielajā projektā</w:t>
            </w:r>
            <w:r w:rsidR="00392742" w:rsidRPr="005F7C2C">
              <w:rPr>
                <w:color w:val="auto"/>
                <w:sz w:val="24"/>
                <w:szCs w:val="24"/>
              </w:rPr>
              <w:t/>
            </w:r>
            <w:r w:rsidR="00392742" w:rsidRPr="005F7C2C">
              <w:rPr>
                <w:color w:val="auto"/>
                <w:sz w:val="24"/>
                <w:szCs w:val="24"/>
                <w:lang w:val="lv-LV"/>
              </w:rPr>
              <w:t xml:space="preserve">, ietvaros veiktos izdevumus, ja lielā projekta iesniegumā noteiktajā termiņā netiek sasniegts lielā projekta mērķis. </w:t>
            </w:r>
            <w:r w:rsidR="003A097D" w:rsidRPr="005F7C2C">
              <w:rPr>
                <w:color w:val="auto"/>
                <w:sz w:val="24"/>
                <w:szCs w:val="24"/>
                <w:lang w:val="lv-LV"/>
              </w:rPr>
              <w:t xml:space="preserve">Vienlaikus finansējuma saņēmējs </w:t>
            </w:r>
            <w:r w:rsidR="00A64480" w:rsidRPr="005F7C2C">
              <w:rPr>
                <w:color w:val="auto"/>
                <w:sz w:val="24"/>
                <w:szCs w:val="24"/>
                <w:lang w:val="lv-LV"/>
              </w:rPr>
              <w:t xml:space="preserve">saskaņā ar MK Noteikumiem Nr.44 </w:t>
            </w:r>
            <w:r w:rsidR="003A097D" w:rsidRPr="005F7C2C">
              <w:rPr>
                <w:color w:val="auto"/>
                <w:sz w:val="24"/>
                <w:szCs w:val="24"/>
                <w:lang w:val="lv-LV"/>
              </w:rPr>
              <w:t>saglabā visus pienākumus</w:t>
            </w:r>
            <w:r w:rsidR="00A64480" w:rsidRPr="005F7C2C">
              <w:rPr>
                <w:color w:val="auto"/>
                <w:sz w:val="24"/>
                <w:szCs w:val="24"/>
                <w:lang w:val="lv-LV"/>
              </w:rPr>
              <w:t xml:space="preserve"> un </w:t>
            </w:r>
            <w:r w:rsidR="00083386" w:rsidRPr="005F7C2C">
              <w:rPr>
                <w:color w:val="auto"/>
                <w:sz w:val="24"/>
                <w:szCs w:val="24"/>
                <w:lang w:val="lv-LV"/>
              </w:rPr>
              <w:t>saistības</w:t>
            </w:r>
            <w:r w:rsidR="003A097D" w:rsidRPr="005F7C2C">
              <w:rPr>
                <w:color w:val="auto"/>
                <w:sz w:val="24"/>
                <w:szCs w:val="24"/>
                <w:lang w:val="lv-LV"/>
              </w:rPr>
              <w:t xml:space="preserve">, kas attiecās uz </w:t>
            </w:r>
            <w:r w:rsidR="00D661B4" w:rsidRPr="005F7C2C">
              <w:rPr>
                <w:color w:val="auto"/>
                <w:sz w:val="24"/>
                <w:szCs w:val="24"/>
                <w:lang w:val="lv-LV"/>
              </w:rPr>
              <w:t xml:space="preserve">līdz šim apstiprināto </w:t>
            </w:r>
            <w:r w:rsidR="003A097D" w:rsidRPr="005F7C2C">
              <w:rPr>
                <w:color w:val="auto"/>
                <w:sz w:val="24"/>
                <w:szCs w:val="24"/>
                <w:lang w:val="lv-LV"/>
              </w:rPr>
              <w:t>projektu</w:t>
            </w:r>
            <w:r w:rsidR="00B53B64" w:rsidRPr="005F7C2C">
              <w:rPr>
                <w:color w:val="auto"/>
                <w:sz w:val="24"/>
                <w:szCs w:val="24"/>
                <w:lang w:val="lv-LV"/>
              </w:rPr>
              <w:t>, kas ietilpst šo noteikumu 29.</w:t>
            </w:r>
            <w:r w:rsidR="00B53B64" w:rsidRPr="005F7C2C">
              <w:rPr>
                <w:color w:val="auto"/>
                <w:sz w:val="24"/>
                <w:szCs w:val="24"/>
                <w:vertAlign w:val="superscript"/>
                <w:lang w:val="lv-LV"/>
              </w:rPr>
              <w:t>11</w:t>
            </w:r>
            <w:r w:rsidR="00B53B64" w:rsidRPr="005F7C2C">
              <w:rPr>
                <w:color w:val="auto"/>
                <w:sz w:val="24"/>
                <w:szCs w:val="24"/>
                <w:lang w:val="lv-LV"/>
              </w:rPr>
              <w:t>punktā minētajā lielajā projektā,</w:t>
            </w:r>
            <w:r w:rsidR="003A097D" w:rsidRPr="005F7C2C">
              <w:rPr>
                <w:color w:val="auto"/>
                <w:sz w:val="24"/>
                <w:szCs w:val="24"/>
                <w:lang w:val="lv-LV"/>
              </w:rPr>
              <w:t xml:space="preserve"> īstenošanu</w:t>
            </w:r>
            <w:r w:rsidR="00083386" w:rsidRPr="005F7C2C">
              <w:rPr>
                <w:color w:val="auto"/>
                <w:sz w:val="24"/>
                <w:szCs w:val="24"/>
                <w:lang w:val="lv-LV"/>
              </w:rPr>
              <w:t xml:space="preserve">, gan īstenošanas termiņā, gan </w:t>
            </w:r>
            <w:proofErr w:type="spellStart"/>
            <w:r w:rsidR="00083386" w:rsidRPr="005F7C2C">
              <w:rPr>
                <w:color w:val="auto"/>
                <w:sz w:val="24"/>
                <w:szCs w:val="24"/>
                <w:lang w:val="lv-LV"/>
              </w:rPr>
              <w:t>pēcuzraudzības</w:t>
            </w:r>
            <w:proofErr w:type="spellEnd"/>
            <w:r w:rsidR="00083386" w:rsidRPr="005F7C2C">
              <w:rPr>
                <w:color w:val="auto"/>
                <w:sz w:val="24"/>
                <w:szCs w:val="24"/>
                <w:lang w:val="lv-LV"/>
              </w:rPr>
              <w:t xml:space="preserve"> perioda ietvaros</w:t>
            </w:r>
            <w:r w:rsidRPr="005F7C2C">
              <w:rPr>
                <w:color w:val="auto"/>
                <w:sz w:val="24"/>
                <w:szCs w:val="24"/>
                <w:lang w:val="lv-LV"/>
              </w:rPr>
              <w:t xml:space="preserve">, </w:t>
            </w:r>
            <w:r w:rsidR="008E3361" w:rsidRPr="005F7C2C">
              <w:rPr>
                <w:color w:val="auto"/>
                <w:sz w:val="24"/>
                <w:szCs w:val="24"/>
                <w:lang w:val="lv-LV"/>
              </w:rPr>
              <w:t xml:space="preserve">savukārt </w:t>
            </w:r>
            <w:r w:rsidRPr="005F7C2C">
              <w:rPr>
                <w:color w:val="auto"/>
                <w:sz w:val="24"/>
                <w:szCs w:val="24"/>
                <w:lang w:val="lv-LV"/>
              </w:rPr>
              <w:t xml:space="preserve">šis punkts nosaka papildus pienākumus </w:t>
            </w:r>
            <w:r w:rsidR="008E3361" w:rsidRPr="005F7C2C">
              <w:rPr>
                <w:color w:val="auto"/>
                <w:sz w:val="24"/>
                <w:szCs w:val="24"/>
                <w:lang w:val="lv-LV"/>
              </w:rPr>
              <w:t xml:space="preserve">tieši </w:t>
            </w:r>
            <w:r w:rsidRPr="005F7C2C">
              <w:rPr>
                <w:color w:val="auto"/>
                <w:sz w:val="24"/>
                <w:szCs w:val="24"/>
                <w:lang w:val="lv-LV"/>
              </w:rPr>
              <w:t>lielā projekta īstenošanai</w:t>
            </w:r>
            <w:r w:rsidR="008E3361" w:rsidRPr="005F7C2C">
              <w:rPr>
                <w:color w:val="auto"/>
                <w:sz w:val="24"/>
                <w:szCs w:val="24"/>
                <w:lang w:val="lv-LV"/>
              </w:rPr>
              <w:t xml:space="preserve"> un </w:t>
            </w:r>
            <w:proofErr w:type="spellStart"/>
            <w:r w:rsidR="008E3361" w:rsidRPr="005F7C2C">
              <w:rPr>
                <w:color w:val="auto"/>
                <w:sz w:val="24"/>
                <w:szCs w:val="24"/>
                <w:lang w:val="lv-LV"/>
              </w:rPr>
              <w:t>pēcuzraudzības</w:t>
            </w:r>
            <w:proofErr w:type="spellEnd"/>
            <w:r w:rsidR="008E3361" w:rsidRPr="005F7C2C">
              <w:rPr>
                <w:color w:val="auto"/>
                <w:sz w:val="24"/>
                <w:szCs w:val="24"/>
                <w:lang w:val="lv-LV"/>
              </w:rPr>
              <w:t xml:space="preserve"> periodam</w:t>
            </w:r>
            <w:r w:rsidR="00D661B4" w:rsidRPr="005F7C2C">
              <w:rPr>
                <w:color w:val="auto"/>
                <w:sz w:val="24"/>
                <w:szCs w:val="24"/>
                <w:lang w:val="lv-LV"/>
              </w:rPr>
              <w:t>.</w:t>
            </w:r>
          </w:p>
          <w:p w:rsidR="00631729" w:rsidRPr="005F7C2C" w:rsidRDefault="00D661B4" w:rsidP="00F1427E">
            <w:pPr>
              <w:pStyle w:val="tv2131"/>
              <w:numPr>
                <w:ilvl w:val="0"/>
                <w:numId w:val="27"/>
              </w:numPr>
              <w:spacing w:line="240" w:lineRule="auto"/>
              <w:ind w:right="142"/>
              <w:jc w:val="both"/>
              <w:rPr>
                <w:color w:val="auto"/>
                <w:sz w:val="24"/>
                <w:szCs w:val="24"/>
                <w:lang w:val="lv-LV"/>
              </w:rPr>
            </w:pPr>
            <w:r w:rsidRPr="005F7C2C">
              <w:rPr>
                <w:color w:val="auto"/>
                <w:sz w:val="24"/>
                <w:szCs w:val="24"/>
                <w:lang w:val="lv-LV"/>
              </w:rPr>
              <w:t xml:space="preserve">Noteikumu projekts papildināts ar </w:t>
            </w:r>
            <w:r w:rsidR="00F1427E" w:rsidRPr="005F7C2C">
              <w:rPr>
                <w:color w:val="auto"/>
                <w:sz w:val="24"/>
                <w:szCs w:val="24"/>
                <w:lang w:val="lv-LV"/>
              </w:rPr>
              <w:t>29.</w:t>
            </w:r>
            <w:r w:rsidR="00F1427E" w:rsidRPr="005F7C2C">
              <w:rPr>
                <w:color w:val="auto"/>
                <w:sz w:val="24"/>
                <w:szCs w:val="24"/>
                <w:vertAlign w:val="superscript"/>
                <w:lang w:val="lv-LV"/>
              </w:rPr>
              <w:t>14</w:t>
            </w:r>
            <w:r w:rsidR="00F1427E" w:rsidRPr="005F7C2C">
              <w:rPr>
                <w:color w:val="auto"/>
                <w:sz w:val="24"/>
                <w:szCs w:val="24"/>
                <w:lang w:val="lv-LV"/>
              </w:rPr>
              <w:t>punkt</w:t>
            </w:r>
            <w:r w:rsidRPr="005F7C2C">
              <w:rPr>
                <w:color w:val="auto"/>
                <w:sz w:val="24"/>
                <w:szCs w:val="24"/>
                <w:lang w:val="lv-LV"/>
              </w:rPr>
              <w:t xml:space="preserve">u, kas </w:t>
            </w:r>
            <w:r w:rsidR="00F1427E" w:rsidRPr="005F7C2C">
              <w:rPr>
                <w:color w:val="auto"/>
                <w:sz w:val="24"/>
                <w:szCs w:val="24"/>
                <w:lang w:val="lv-LV"/>
              </w:rPr>
              <w:t xml:space="preserve">nosaka </w:t>
            </w:r>
            <w:r w:rsidR="00AB5239" w:rsidRPr="005F7C2C">
              <w:rPr>
                <w:color w:val="auto"/>
                <w:sz w:val="24"/>
                <w:szCs w:val="24"/>
                <w:lang w:val="lv-LV"/>
              </w:rPr>
              <w:t>sadarbības iestādes kompetenci attiecībā uz lielo projektu</w:t>
            </w:r>
            <w:r w:rsidR="00631729" w:rsidRPr="005F7C2C">
              <w:rPr>
                <w:color w:val="auto"/>
                <w:sz w:val="24"/>
                <w:szCs w:val="24"/>
                <w:lang w:val="lv-LV"/>
              </w:rPr>
              <w:t xml:space="preserve">, </w:t>
            </w:r>
            <w:r w:rsidRPr="005F7C2C">
              <w:rPr>
                <w:color w:val="auto"/>
                <w:sz w:val="24"/>
                <w:szCs w:val="24"/>
                <w:lang w:val="lv-LV"/>
              </w:rPr>
              <w:t xml:space="preserve">tai skaitā </w:t>
            </w:r>
            <w:r w:rsidR="00392742" w:rsidRPr="005F7C2C">
              <w:rPr>
                <w:color w:val="auto"/>
                <w:sz w:val="24"/>
                <w:szCs w:val="24"/>
                <w:lang w:val="lv-LV"/>
              </w:rPr>
              <w:t>veikt pārbaudi lielā projekta īstenošanas vietā projektu, kas ietilpst šo noteikumu 29.</w:t>
            </w:r>
            <w:r w:rsidR="00392742" w:rsidRPr="005F7C2C">
              <w:rPr>
                <w:color w:val="auto"/>
                <w:sz w:val="24"/>
                <w:szCs w:val="24"/>
                <w:vertAlign w:val="superscript"/>
                <w:lang w:val="lv-LV"/>
              </w:rPr>
              <w:t>11</w:t>
            </w:r>
            <w:r w:rsidR="00392742" w:rsidRPr="005F7C2C">
              <w:rPr>
                <w:color w:val="auto"/>
                <w:sz w:val="24"/>
                <w:szCs w:val="24"/>
                <w:lang w:val="lv-LV"/>
              </w:rPr>
              <w:t>punktā minētajā lielajā projektā</w:t>
            </w:r>
            <w:r w:rsidR="00392742" w:rsidRPr="005F7C2C">
              <w:rPr>
                <w:color w:val="auto"/>
                <w:sz w:val="24"/>
                <w:szCs w:val="24"/>
              </w:rPr>
              <w:t/>
            </w:r>
            <w:r w:rsidR="00392742" w:rsidRPr="005F7C2C">
              <w:rPr>
                <w:color w:val="auto"/>
                <w:sz w:val="24"/>
                <w:szCs w:val="24"/>
                <w:lang w:val="lv-LV"/>
              </w:rPr>
              <w:t>, ietvaros noslēgto iepirkuma līgumu īstenošanas laikā</w:t>
            </w:r>
            <w:r w:rsidRPr="005F7C2C">
              <w:rPr>
                <w:color w:val="auto"/>
                <w:sz w:val="24"/>
                <w:szCs w:val="24"/>
                <w:lang w:val="lv-LV"/>
              </w:rPr>
              <w:t>, uzraudzību par lielā projekta īstenošanu noteiktajā termiņā</w:t>
            </w:r>
            <w:r w:rsidR="00E97B9A" w:rsidRPr="005F7C2C">
              <w:rPr>
                <w:color w:val="auto"/>
                <w:sz w:val="24"/>
                <w:szCs w:val="24"/>
                <w:lang w:val="lv-LV"/>
              </w:rPr>
              <w:t xml:space="preserve"> un </w:t>
            </w:r>
            <w:r w:rsidRPr="005F7C2C">
              <w:rPr>
                <w:color w:val="auto"/>
                <w:sz w:val="24"/>
                <w:szCs w:val="24"/>
                <w:lang w:val="lv-LV"/>
              </w:rPr>
              <w:t>rīcību pārmērīgās kompensācijas konstatēšanas gadījumā</w:t>
            </w:r>
            <w:r w:rsidR="00E97B9A" w:rsidRPr="005F7C2C">
              <w:rPr>
                <w:color w:val="auto"/>
                <w:sz w:val="24"/>
                <w:szCs w:val="24"/>
                <w:lang w:val="lv-LV"/>
              </w:rPr>
              <w:t>.</w:t>
            </w:r>
          </w:p>
          <w:p w:rsidR="00E97B9A" w:rsidRPr="005F7C2C" w:rsidRDefault="000C6D81" w:rsidP="009D654A">
            <w:pPr>
              <w:pStyle w:val="tv2131"/>
              <w:numPr>
                <w:ilvl w:val="0"/>
                <w:numId w:val="27"/>
              </w:numPr>
              <w:spacing w:line="240" w:lineRule="auto"/>
              <w:ind w:right="142"/>
              <w:jc w:val="both"/>
              <w:rPr>
                <w:color w:val="auto"/>
                <w:sz w:val="24"/>
                <w:szCs w:val="24"/>
                <w:lang w:val="lv-LV"/>
              </w:rPr>
            </w:pPr>
            <w:r w:rsidRPr="005F7C2C">
              <w:rPr>
                <w:color w:val="auto"/>
                <w:sz w:val="24"/>
                <w:szCs w:val="24"/>
                <w:lang w:val="lv-LV"/>
              </w:rPr>
              <w:t>Noteikumu projekts papildināts ar 29.</w:t>
            </w:r>
            <w:r w:rsidRPr="005F7C2C">
              <w:rPr>
                <w:color w:val="auto"/>
                <w:sz w:val="24"/>
                <w:szCs w:val="24"/>
                <w:vertAlign w:val="superscript"/>
                <w:lang w:val="lv-LV"/>
              </w:rPr>
              <w:t xml:space="preserve">15 </w:t>
            </w:r>
            <w:r w:rsidRPr="005F7C2C">
              <w:rPr>
                <w:color w:val="auto"/>
                <w:sz w:val="24"/>
                <w:szCs w:val="24"/>
                <w:lang w:val="lv-LV"/>
              </w:rPr>
              <w:t>punktu, kas nosaka atbildīgās iestādes kompetenci attiecībā uz lielo projektu, tai skaitā attiecībā uz lielā projekta uzraudzību un ziņošanu Finanšu ministrijai par veiktajiem pasākumiem, tostarp starpposma mērķiem, lai pabeigtu lielo projektu gadījumā, ja  lielais projekts nebūs pabeigts līdz slēgšanas dokumentu iesniegšanai Eiropas Komisijā</w:t>
            </w:r>
            <w:r w:rsidR="00936138" w:rsidRPr="005F7C2C">
              <w:rPr>
                <w:color w:val="auto"/>
                <w:sz w:val="24"/>
                <w:szCs w:val="24"/>
                <w:lang w:val="lv-LV"/>
              </w:rPr>
              <w:t>.</w:t>
            </w:r>
          </w:p>
          <w:p w:rsidR="004A0538" w:rsidRPr="005F7C2C" w:rsidRDefault="005E310F" w:rsidP="009D654A">
            <w:pPr>
              <w:pStyle w:val="tv2131"/>
              <w:numPr>
                <w:ilvl w:val="0"/>
                <w:numId w:val="27"/>
              </w:numPr>
              <w:spacing w:line="240" w:lineRule="auto"/>
              <w:ind w:right="142"/>
              <w:jc w:val="both"/>
              <w:rPr>
                <w:color w:val="auto"/>
                <w:sz w:val="24"/>
                <w:szCs w:val="24"/>
                <w:lang w:val="lv-LV"/>
              </w:rPr>
            </w:pPr>
            <w:r w:rsidRPr="005F7C2C">
              <w:rPr>
                <w:color w:val="auto"/>
                <w:sz w:val="24"/>
                <w:szCs w:val="24"/>
                <w:lang w:val="lv-LV"/>
              </w:rPr>
              <w:t>Lai nodrošinātu slēgšanas pamatnostādnēs uzdotā dalībvalsts pienākuma - uzņemties pilnu atbildību pabeigt nefunkcionējošo projektu, 29.</w:t>
            </w:r>
            <w:r w:rsidR="00E97B9A" w:rsidRPr="005F7C2C">
              <w:rPr>
                <w:color w:val="auto"/>
                <w:sz w:val="24"/>
                <w:szCs w:val="24"/>
                <w:vertAlign w:val="superscript"/>
                <w:lang w:val="lv-LV"/>
              </w:rPr>
              <w:t>16</w:t>
            </w:r>
            <w:r w:rsidR="00E97B9A" w:rsidRPr="005F7C2C">
              <w:rPr>
                <w:color w:val="auto"/>
                <w:sz w:val="24"/>
                <w:szCs w:val="24"/>
                <w:lang w:val="lv-LV"/>
              </w:rPr>
              <w:t xml:space="preserve">punkts </w:t>
            </w:r>
            <w:r w:rsidRPr="005F7C2C">
              <w:rPr>
                <w:color w:val="auto"/>
                <w:sz w:val="24"/>
                <w:szCs w:val="24"/>
                <w:lang w:val="lv-LV"/>
              </w:rPr>
              <w:t xml:space="preserve">nosaka, ka lielā projekta īstenošanai jāslēdz vienošanās starp Veselības ministriju kā nozares ministriju, Veselības ministriju kā atbildīgo iestādi, Centrālo finanšu un līgumu aģentūru kā sadarbības iestādi un finansējuma saņēmēju par lielā projekta īstenošanu un uzraudzību. </w:t>
            </w:r>
            <w:r w:rsidR="00711E26" w:rsidRPr="005F7C2C">
              <w:rPr>
                <w:color w:val="auto"/>
                <w:sz w:val="24"/>
                <w:szCs w:val="24"/>
                <w:lang w:val="lv-LV"/>
              </w:rPr>
              <w:t>Ņemot vērā, ka lielais projekts tiek finansēts no vairākiem finanšu avotiem (ERAF, Val</w:t>
            </w:r>
            <w:r w:rsidR="00F937BC" w:rsidRPr="005F7C2C">
              <w:rPr>
                <w:color w:val="auto"/>
                <w:sz w:val="24"/>
                <w:szCs w:val="24"/>
                <w:lang w:val="lv-LV"/>
              </w:rPr>
              <w:t>s</w:t>
            </w:r>
            <w:r w:rsidR="00711E26" w:rsidRPr="005F7C2C">
              <w:rPr>
                <w:color w:val="auto"/>
                <w:sz w:val="24"/>
                <w:szCs w:val="24"/>
                <w:lang w:val="lv-LV"/>
              </w:rPr>
              <w:t>ts galvotais aizdevums, valsts budžeta mērķdotācija un privātais finansējums)</w:t>
            </w:r>
            <w:r w:rsidR="00854B56" w:rsidRPr="005F7C2C">
              <w:rPr>
                <w:color w:val="auto"/>
                <w:sz w:val="24"/>
                <w:szCs w:val="24"/>
                <w:lang w:val="lv-LV"/>
              </w:rPr>
              <w:t>, kas kopumā nodrošina lielā projekta mērķa sasniegšanu,</w:t>
            </w:r>
            <w:r w:rsidR="00711E26" w:rsidRPr="005F7C2C">
              <w:rPr>
                <w:color w:val="auto"/>
                <w:sz w:val="24"/>
                <w:szCs w:val="24"/>
                <w:lang w:val="lv-LV"/>
              </w:rPr>
              <w:t xml:space="preserve"> un katrs no </w:t>
            </w:r>
            <w:r w:rsidR="00854B56" w:rsidRPr="005F7C2C">
              <w:rPr>
                <w:color w:val="auto"/>
                <w:sz w:val="24"/>
                <w:szCs w:val="24"/>
                <w:lang w:val="lv-LV"/>
              </w:rPr>
              <w:t>avotiem</w:t>
            </w:r>
            <w:r w:rsidR="00711E26" w:rsidRPr="005F7C2C">
              <w:rPr>
                <w:color w:val="auto"/>
                <w:sz w:val="24"/>
                <w:szCs w:val="24"/>
                <w:lang w:val="lv-LV"/>
              </w:rPr>
              <w:t xml:space="preserve"> tiek izlietots un uzraudzīts ar atsevišķiem normatīviem regulējumiem</w:t>
            </w:r>
            <w:r w:rsidR="00711E26" w:rsidRPr="005F7C2C">
              <w:rPr>
                <w:color w:val="auto"/>
                <w:sz w:val="24"/>
                <w:szCs w:val="24"/>
                <w:vertAlign w:val="superscript"/>
                <w:lang w:val="lv-LV"/>
              </w:rPr>
              <w:footnoteReference w:id="3"/>
            </w:r>
            <w:r w:rsidR="00854B56" w:rsidRPr="005F7C2C">
              <w:rPr>
                <w:color w:val="auto"/>
                <w:sz w:val="24"/>
                <w:szCs w:val="24"/>
                <w:lang w:val="lv-LV"/>
              </w:rPr>
              <w:t xml:space="preserve">, </w:t>
            </w:r>
            <w:r w:rsidR="00711E26" w:rsidRPr="005F7C2C">
              <w:rPr>
                <w:color w:val="auto"/>
                <w:sz w:val="24"/>
                <w:szCs w:val="24"/>
                <w:lang w:val="lv-LV"/>
              </w:rPr>
              <w:t>būtiski, lai vienošanās nedublētu tiesību aktus</w:t>
            </w:r>
            <w:r w:rsidR="00854B56" w:rsidRPr="005F7C2C">
              <w:rPr>
                <w:color w:val="auto"/>
                <w:sz w:val="24"/>
                <w:szCs w:val="24"/>
                <w:lang w:val="lv-LV"/>
              </w:rPr>
              <w:t>,</w:t>
            </w:r>
            <w:r w:rsidR="00470460" w:rsidRPr="005F7C2C">
              <w:rPr>
                <w:color w:val="auto"/>
                <w:sz w:val="24"/>
                <w:szCs w:val="24"/>
                <w:lang w:val="lv-LV"/>
              </w:rPr>
              <w:t xml:space="preserve"> kas savukārt radītu  papildus administratīvo slogu finansējuma saņēmējam bet nodrošinātu lielā projekta virsuzraudzību, un noteiktu nosacījumus, kas nav iekļauti finansēšanas avotu uzraudzības mehānismos.</w:t>
            </w:r>
            <w:r w:rsidR="00DC2F5A" w:rsidRPr="005F7C2C">
              <w:rPr>
                <w:color w:val="auto"/>
                <w:sz w:val="24"/>
                <w:szCs w:val="24"/>
                <w:lang w:val="lv-LV"/>
              </w:rPr>
              <w:t xml:space="preserve"> </w:t>
            </w:r>
            <w:r w:rsidR="00E2061C" w:rsidRPr="005F7C2C">
              <w:rPr>
                <w:color w:val="auto"/>
                <w:sz w:val="24"/>
                <w:szCs w:val="24"/>
                <w:lang w:val="lv-LV"/>
              </w:rPr>
              <w:t xml:space="preserve">Paredzēts, ka katra </w:t>
            </w:r>
            <w:r w:rsidR="00E2061C" w:rsidRPr="005F7C2C">
              <w:rPr>
                <w:color w:val="auto"/>
                <w:sz w:val="24"/>
                <w:szCs w:val="24"/>
                <w:lang w:val="lv-LV"/>
              </w:rPr>
              <w:lastRenderedPageBreak/>
              <w:t>finanšu instrumenta finansējums tiks kontrolēts atbilstoši attiecīgā finanšu instrumenta nosacījumiem</w:t>
            </w:r>
            <w:r w:rsidR="004A0538" w:rsidRPr="005F7C2C">
              <w:rPr>
                <w:color w:val="auto"/>
                <w:sz w:val="24"/>
                <w:szCs w:val="24"/>
                <w:lang w:val="lv-LV"/>
              </w:rPr>
              <w:t>, proti:</w:t>
            </w:r>
          </w:p>
          <w:p w:rsidR="004A0538" w:rsidRPr="005F7C2C" w:rsidRDefault="004A0538" w:rsidP="004A0538">
            <w:pPr>
              <w:pStyle w:val="tv2131"/>
              <w:numPr>
                <w:ilvl w:val="0"/>
                <w:numId w:val="32"/>
              </w:numPr>
              <w:spacing w:line="240" w:lineRule="auto"/>
              <w:ind w:right="142"/>
              <w:jc w:val="both"/>
              <w:rPr>
                <w:color w:val="auto"/>
                <w:sz w:val="24"/>
                <w:szCs w:val="24"/>
                <w:lang w:val="lv-LV"/>
              </w:rPr>
            </w:pPr>
            <w:r w:rsidRPr="005F7C2C">
              <w:rPr>
                <w:color w:val="auto"/>
                <w:sz w:val="24"/>
                <w:szCs w:val="24"/>
                <w:lang w:val="lv-LV"/>
              </w:rPr>
              <w:t>ERAF tiek uzraudzīts no CFLA</w:t>
            </w:r>
            <w:r w:rsidR="00DA4BE4" w:rsidRPr="005F7C2C">
              <w:rPr>
                <w:color w:val="auto"/>
                <w:sz w:val="24"/>
                <w:szCs w:val="24"/>
                <w:lang w:val="lv-LV"/>
              </w:rPr>
              <w:t xml:space="preserve"> </w:t>
            </w:r>
            <w:r w:rsidR="00F937BC" w:rsidRPr="005F7C2C">
              <w:rPr>
                <w:color w:val="auto"/>
                <w:sz w:val="24"/>
                <w:szCs w:val="24"/>
                <w:lang w:val="lv-LV"/>
              </w:rPr>
              <w:t xml:space="preserve">kā sadarbības iestādes </w:t>
            </w:r>
            <w:r w:rsidR="00DA4BE4" w:rsidRPr="005F7C2C">
              <w:rPr>
                <w:color w:val="auto"/>
                <w:sz w:val="24"/>
                <w:szCs w:val="24"/>
                <w:lang w:val="lv-LV"/>
              </w:rPr>
              <w:t>un</w:t>
            </w:r>
            <w:r w:rsidRPr="005F7C2C">
              <w:rPr>
                <w:color w:val="auto"/>
                <w:sz w:val="24"/>
                <w:szCs w:val="24"/>
                <w:lang w:val="lv-LV"/>
              </w:rPr>
              <w:t xml:space="preserve"> Veselības ministrijas</w:t>
            </w:r>
            <w:r w:rsidR="00F937BC" w:rsidRPr="005F7C2C">
              <w:rPr>
                <w:color w:val="auto"/>
                <w:sz w:val="24"/>
                <w:szCs w:val="24"/>
                <w:lang w:val="lv-LV"/>
              </w:rPr>
              <w:t xml:space="preserve"> kā atbildīgās iestādes</w:t>
            </w:r>
            <w:r w:rsidRPr="005F7C2C">
              <w:rPr>
                <w:color w:val="auto"/>
                <w:sz w:val="24"/>
                <w:szCs w:val="24"/>
                <w:lang w:val="lv-LV"/>
              </w:rPr>
              <w:t xml:space="preserve"> puses;</w:t>
            </w:r>
          </w:p>
          <w:p w:rsidR="004A0538" w:rsidRPr="005F7C2C" w:rsidRDefault="004A0538" w:rsidP="004A0538">
            <w:pPr>
              <w:pStyle w:val="tv2131"/>
              <w:numPr>
                <w:ilvl w:val="0"/>
                <w:numId w:val="32"/>
              </w:numPr>
              <w:spacing w:line="240" w:lineRule="auto"/>
              <w:ind w:right="142"/>
              <w:jc w:val="both"/>
              <w:rPr>
                <w:color w:val="auto"/>
                <w:sz w:val="24"/>
                <w:szCs w:val="24"/>
                <w:lang w:val="lv-LV"/>
              </w:rPr>
            </w:pPr>
            <w:r w:rsidRPr="005F7C2C">
              <w:rPr>
                <w:color w:val="auto"/>
                <w:sz w:val="24"/>
                <w:szCs w:val="24"/>
                <w:lang w:val="lv-LV"/>
              </w:rPr>
              <w:t>Valts galvot</w:t>
            </w:r>
            <w:r w:rsidR="00733E55" w:rsidRPr="005F7C2C">
              <w:rPr>
                <w:color w:val="auto"/>
                <w:sz w:val="24"/>
                <w:szCs w:val="24"/>
                <w:lang w:val="lv-LV"/>
              </w:rPr>
              <w:t>ais kred</w:t>
            </w:r>
            <w:r w:rsidRPr="005F7C2C">
              <w:rPr>
                <w:color w:val="auto"/>
                <w:sz w:val="24"/>
                <w:szCs w:val="24"/>
                <w:lang w:val="lv-LV"/>
              </w:rPr>
              <w:t>īts tiek uzraudzīts atbilstoši normatīvajam regulējumam</w:t>
            </w:r>
            <w:r w:rsidRPr="005F7C2C">
              <w:rPr>
                <w:color w:val="auto"/>
                <w:sz w:val="24"/>
                <w:szCs w:val="24"/>
                <w:vertAlign w:val="superscript"/>
                <w:lang w:val="lv-LV"/>
              </w:rPr>
              <w:footnoteReference w:id="4"/>
            </w:r>
            <w:r w:rsidRPr="005F7C2C">
              <w:rPr>
                <w:color w:val="auto"/>
                <w:sz w:val="24"/>
                <w:szCs w:val="24"/>
                <w:lang w:val="lv-LV"/>
              </w:rPr>
              <w:t xml:space="preserve"> no Valts kases un Veselības ministrijas puses, kā arī nosl</w:t>
            </w:r>
            <w:r w:rsidR="00733E55" w:rsidRPr="005F7C2C">
              <w:rPr>
                <w:color w:val="auto"/>
                <w:sz w:val="24"/>
                <w:szCs w:val="24"/>
                <w:lang w:val="lv-LV"/>
              </w:rPr>
              <w:t>ēgto kredītlīgumu ietvaros ar konkrēto banku;</w:t>
            </w:r>
          </w:p>
          <w:p w:rsidR="004A0538" w:rsidRPr="005F7C2C" w:rsidRDefault="004A0538" w:rsidP="004A0538">
            <w:pPr>
              <w:pStyle w:val="tv2131"/>
              <w:numPr>
                <w:ilvl w:val="0"/>
                <w:numId w:val="32"/>
              </w:numPr>
              <w:spacing w:line="240" w:lineRule="auto"/>
              <w:ind w:right="142"/>
              <w:jc w:val="both"/>
              <w:rPr>
                <w:color w:val="auto"/>
                <w:sz w:val="24"/>
                <w:szCs w:val="24"/>
                <w:lang w:val="lv-LV"/>
              </w:rPr>
            </w:pPr>
            <w:r w:rsidRPr="005F7C2C">
              <w:rPr>
                <w:color w:val="auto"/>
                <w:sz w:val="24"/>
                <w:szCs w:val="24"/>
                <w:lang w:val="lv-LV"/>
              </w:rPr>
              <w:t>Ar MK prot.17 43.§ 2.punktu papildus piešķirtais valsts budžeta finansējums tiek uzraudzīts atbilstoši regulējumam</w:t>
            </w:r>
            <w:r w:rsidRPr="005F7C2C">
              <w:rPr>
                <w:color w:val="auto"/>
                <w:sz w:val="24"/>
                <w:szCs w:val="24"/>
                <w:vertAlign w:val="superscript"/>
                <w:lang w:val="lv-LV"/>
              </w:rPr>
              <w:footnoteReference w:id="5"/>
            </w:r>
            <w:r w:rsidRPr="005F7C2C">
              <w:rPr>
                <w:color w:val="auto"/>
                <w:sz w:val="24"/>
                <w:szCs w:val="24"/>
                <w:lang w:val="lv-LV"/>
              </w:rPr>
              <w:t xml:space="preserve"> no Valsts kases, Veselības ministrijas un Valsts kontroles puses.</w:t>
            </w:r>
          </w:p>
          <w:p w:rsidR="00C26816" w:rsidRPr="005F7C2C" w:rsidRDefault="00C26816" w:rsidP="0000382E">
            <w:pPr>
              <w:spacing w:before="120"/>
              <w:ind w:left="357" w:right="113"/>
              <w:jc w:val="both"/>
              <w:rPr>
                <w:rFonts w:eastAsia="Calibri"/>
              </w:rPr>
            </w:pPr>
            <w:r w:rsidRPr="005F7C2C">
              <w:t xml:space="preserve">Izvērtējot risku par piešķirtā publiskā finansējuma atgūšanu gadījumā, ja netiks nodrošināta slimnīcas jaunā A korpusa 1.kārtas būvniecības pabeigšana un telpu aprīkošana atbilstoši lielā projekta iesniegumā minētajam termiņam, kas noteikts saskaņā ar slēgšanas pamatnostādņu 3.5.apakšpunktu, finansējums tiks atgūts atbilstoši </w:t>
            </w:r>
            <w:r w:rsidRPr="005F7C2C">
              <w:rPr>
                <w:rFonts w:eastAsia="Calibri"/>
              </w:rPr>
              <w:t xml:space="preserve">Ministru kabineta </w:t>
            </w:r>
            <w:bookmarkStart w:id="8" w:name="_GoBack"/>
            <w:r w:rsidR="00A93314" w:rsidRPr="005F7C2C">
              <w:rPr>
                <w:rFonts w:eastAsia="Calibri"/>
              </w:rPr>
              <w:t xml:space="preserve">2010.gada 10.augusta </w:t>
            </w:r>
            <w:bookmarkEnd w:id="8"/>
            <w:r w:rsidRPr="005F7C2C">
              <w:rPr>
                <w:rFonts w:eastAsia="Calibri"/>
              </w:rPr>
              <w:t>noteikumos Nr.740 “</w:t>
            </w:r>
            <w:r w:rsidRPr="005F7C2C">
              <w:rPr>
                <w:rFonts w:eastAsia="Calibri"/>
                <w:bCs/>
              </w:rPr>
              <w:t>Kārtība, kādā ziņo par Eiropas Savienības struktūrfondu un Kohēzijas fonda ieviešanā konstatētajām neatbilstībām, pieņem lēmumu par piešķirtā finansējuma izlietojumu un atgūst neatbilstošos izdevumus</w:t>
            </w:r>
            <w:r w:rsidRPr="005F7C2C">
              <w:rPr>
                <w:rFonts w:eastAsia="Calibri"/>
              </w:rPr>
              <w:t>”  noteiktajai kārtībai, kas nosaka</w:t>
            </w:r>
            <w:r w:rsidR="00965DF2" w:rsidRPr="005F7C2C">
              <w:rPr>
                <w:rFonts w:eastAsia="Calibri"/>
              </w:rPr>
              <w:t>,</w:t>
            </w:r>
            <w:r w:rsidRPr="005F7C2C">
              <w:rPr>
                <w:rFonts w:eastAsia="Calibri"/>
              </w:rPr>
              <w:t xml:space="preserve"> kādā veidā finansējuma saņēmējs atlīdzina piešķirto Eiropas Savienības </w:t>
            </w:r>
            <w:r w:rsidR="00965DF2" w:rsidRPr="005F7C2C">
              <w:rPr>
                <w:rFonts w:eastAsia="Calibri"/>
              </w:rPr>
              <w:t>projektu finansējumu</w:t>
            </w:r>
            <w:r w:rsidRPr="005F7C2C">
              <w:rPr>
                <w:rFonts w:eastAsia="Calibri"/>
              </w:rPr>
              <w:t xml:space="preserve">, kas ir saistošs arī lielā projekta finansējuma saņēmējam. Tāpat līgumos par ERAF projektiem ir noteikta finansējuma saņēmēja rīcība līdzekļu atgūšanas pieprasījuma no CFLA saņemšanas gadījumā. </w:t>
            </w:r>
            <w:r w:rsidRPr="005F7C2C">
              <w:rPr>
                <w:lang w:eastAsia="lv-LV" w:bidi="lo-LA"/>
              </w:rPr>
              <w:t>Attiecībā uz valsts budžeta finansētajām neattiecināmajām izmaksām, kas p</w:t>
            </w:r>
            <w:r w:rsidR="0000382E" w:rsidRPr="005F7C2C">
              <w:rPr>
                <w:lang w:eastAsia="lv-LV" w:bidi="lo-LA"/>
              </w:rPr>
              <w:t>iešķirtas</w:t>
            </w:r>
            <w:r w:rsidRPr="005F7C2C">
              <w:rPr>
                <w:lang w:eastAsia="lv-LV" w:bidi="lo-LA"/>
              </w:rPr>
              <w:t xml:space="preserve"> ar </w:t>
            </w:r>
            <w:r w:rsidRPr="005F7C2C">
              <w:rPr>
                <w:lang w:eastAsia="lv-LV"/>
              </w:rPr>
              <w:t>MK 31.03.2015 prot.17 43.§, ka jautājums par šo līdzekļu atgūšanu tiks atrunāts dokumentā ar kuru attiecīgie līdzekļi tiks piešķirti</w:t>
            </w:r>
            <w:r w:rsidR="0000382E" w:rsidRPr="005F7C2C">
              <w:rPr>
                <w:lang w:eastAsia="lv-LV"/>
              </w:rPr>
              <w:t xml:space="preserve"> no Veselības ministrijas kā centrālās budžeta iestādes kapitālsabiedrībai. Proti</w:t>
            </w:r>
            <w:r w:rsidRPr="005F7C2C">
              <w:rPr>
                <w:lang w:eastAsia="lv-LV"/>
              </w:rPr>
              <w:t xml:space="preserve">, vai tas būs līgums starp Veselības ministriju un kapitālsabiedrību vai kapitāldaļu turētāja lēmums. Proti, atbilstoši </w:t>
            </w:r>
            <w:proofErr w:type="spellStart"/>
            <w:r w:rsidRPr="005F7C2C">
              <w:rPr>
                <w:lang w:eastAsia="lv-LV"/>
              </w:rPr>
              <w:t>protokollēmumam</w:t>
            </w:r>
            <w:proofErr w:type="spellEnd"/>
            <w:r w:rsidRPr="005F7C2C">
              <w:rPr>
                <w:lang w:eastAsia="lv-LV"/>
              </w:rPr>
              <w:t xml:space="preserve"> </w:t>
            </w:r>
            <w:proofErr w:type="spellStart"/>
            <w:r w:rsidRPr="005F7C2C">
              <w:rPr>
                <w:lang w:eastAsia="lv-LV"/>
              </w:rPr>
              <w:t>pieškirtais</w:t>
            </w:r>
            <w:proofErr w:type="spellEnd"/>
            <w:r w:rsidRPr="005F7C2C">
              <w:rPr>
                <w:lang w:eastAsia="lv-LV"/>
              </w:rPr>
              <w:t xml:space="preserve"> finansējums tiks iekļauts Veselības ministrijas pamatbudžeta bāzē 2017.gadam kā dotācija. Šo procesu regulē </w:t>
            </w:r>
            <w:r w:rsidRPr="005F7C2C">
              <w:rPr>
                <w:bCs/>
                <w:u w:val="single"/>
                <w:lang w:eastAsia="lv-LV"/>
              </w:rPr>
              <w:t>Likums par budžetu un finanšu vadību</w:t>
            </w:r>
            <w:r w:rsidRPr="005F7C2C">
              <w:rPr>
                <w:bCs/>
                <w:lang w:eastAsia="lv-LV"/>
              </w:rPr>
              <w:t xml:space="preserve">, </w:t>
            </w:r>
            <w:r w:rsidRPr="005F7C2C">
              <w:rPr>
                <w:lang w:eastAsia="lv-LV"/>
              </w:rPr>
              <w:t xml:space="preserve">kurš nosaka valsts budžeta un pašvaldību budžetu izstrādāšanas, apstiprināšanas un izpildes kārtību un atbildību budžeta procesā. Finanšu vadība šā likuma nozīmē attiecas uz valsts budžeta un pašvaldību budžetu līdzekļiem. Šā likuma noteikumi attiecas uz komersantu un organizāciju finansiālo darbību gadījumos, ja tiem piešķirti valsts budžeta vai pašvaldību budžetu līdzekļi, tajos ieguldīta valsts vai pašvaldību kapitāla daļa vai to īpaši nosaka likums vai Ministru kabineta noteikumi. Šī likuma </w:t>
            </w:r>
            <w:bookmarkStart w:id="9" w:name="n9"/>
            <w:bookmarkEnd w:id="9"/>
            <w:r w:rsidRPr="005F7C2C">
              <w:rPr>
                <w:lang w:eastAsia="lv-LV"/>
              </w:rPr>
              <w:t xml:space="preserve">sadaļas </w:t>
            </w:r>
            <w:proofErr w:type="spellStart"/>
            <w:r w:rsidRPr="005F7C2C">
              <w:rPr>
                <w:bCs/>
                <w:lang w:eastAsia="lv-LV"/>
              </w:rPr>
              <w:t>IX.Atbildība</w:t>
            </w:r>
            <w:proofErr w:type="spellEnd"/>
            <w:r w:rsidRPr="005F7C2C">
              <w:rPr>
                <w:bCs/>
                <w:lang w:eastAsia="lv-LV"/>
              </w:rPr>
              <w:t xml:space="preserve"> un sankcijas 46. panta Atbildība par budžeta izpildi </w:t>
            </w:r>
            <w:r w:rsidRPr="005F7C2C">
              <w:rPr>
                <w:lang w:eastAsia="lv-LV"/>
              </w:rPr>
              <w:t xml:space="preserve">(1) daļa nosaka, ka Budžeta finansētu institūciju, budžeta nefinansētu iestāžu un pašvaldību, kā arī kapitālsabiedrību, kurās ieguldīta valsts vai pašvaldību kapitāla daļa, vadītāji ir atbildīgi par šajā likumā noteiktās </w:t>
            </w:r>
            <w:r w:rsidRPr="005F7C2C">
              <w:rPr>
                <w:lang w:eastAsia="lv-LV"/>
              </w:rPr>
              <w:lastRenderedPageBreak/>
              <w:t>kārtības un prasību ievērošanu, izpildi un kontroli, kā arī par budžeta līdzekļu efektīvu un ekonomisku izlietošanu atbilstoši paredzētajiem mērķiem.</w:t>
            </w:r>
            <w:r w:rsidR="0000382E" w:rsidRPr="005F7C2C">
              <w:rPr>
                <w:lang w:eastAsia="lv-LV"/>
              </w:rPr>
              <w:t xml:space="preserve"> </w:t>
            </w:r>
            <w:r w:rsidRPr="005F7C2C">
              <w:rPr>
                <w:rFonts w:eastAsia="Calibri"/>
              </w:rPr>
              <w:t>Kā arī (5) daļa nosaka,</w:t>
            </w:r>
            <w:r w:rsidR="0000382E" w:rsidRPr="005F7C2C">
              <w:rPr>
                <w:rFonts w:eastAsia="Calibri"/>
              </w:rPr>
              <w:t xml:space="preserve"> </w:t>
            </w:r>
            <w:r w:rsidRPr="005F7C2C">
              <w:rPr>
                <w:rFonts w:eastAsia="Calibri"/>
              </w:rPr>
              <w:t>ka Ministrijas un citas centrālās valsts iestādes ir atbildīgas par gadskārtējā valsts budžeta likumā noteiktās apropriācijas izpildes kontroles sistēmas izveidi un par Valsts kases norēķinu kontos ieskaitīto valsts budžeta līdzekļu izlietojuma kontroli atbilstoši paredzētajiem mērķiem.</w:t>
            </w:r>
          </w:p>
          <w:p w:rsidR="00854B56" w:rsidRPr="005F7C2C" w:rsidRDefault="00E2061C" w:rsidP="0000382E">
            <w:pPr>
              <w:pStyle w:val="tv2131"/>
              <w:spacing w:before="120" w:line="240" w:lineRule="auto"/>
              <w:ind w:left="357" w:right="142" w:firstLine="0"/>
              <w:jc w:val="both"/>
              <w:rPr>
                <w:color w:val="auto"/>
                <w:sz w:val="24"/>
                <w:szCs w:val="24"/>
                <w:lang w:val="lv-LV"/>
              </w:rPr>
            </w:pPr>
            <w:r w:rsidRPr="005F7C2C">
              <w:rPr>
                <w:color w:val="auto"/>
                <w:sz w:val="24"/>
                <w:szCs w:val="24"/>
                <w:lang w:val="lv-LV"/>
              </w:rPr>
              <w:t xml:space="preserve">Veselības ministrija sadarbībā ar CFLA nodrošinās uzraudzību par lielā projekta ieviešanu MK noteikumos Nr.44 noteiktajā kārtībā, nedublējot citu finanšu instrumentu kontroles.  Vienošanās paredzēts slēgt pēc lielā projekta apstiprināšanas Eiropas Komisijā. </w:t>
            </w:r>
            <w:r w:rsidR="003702B6" w:rsidRPr="005F7C2C">
              <w:rPr>
                <w:color w:val="auto"/>
                <w:sz w:val="24"/>
                <w:szCs w:val="24"/>
                <w:lang w:val="lv-LV"/>
              </w:rPr>
              <w:t>Vienošanos izstrādās sadarbības iestāde sadarbībā ar atbildīgo iestādi,</w:t>
            </w:r>
            <w:r w:rsidRPr="005F7C2C">
              <w:rPr>
                <w:color w:val="auto"/>
                <w:sz w:val="24"/>
                <w:szCs w:val="24"/>
                <w:lang w:val="lv-LV"/>
              </w:rPr>
              <w:t xml:space="preserve"> tai skaitā vienojoties par lielā projekta atskaites formu</w:t>
            </w:r>
            <w:r w:rsidR="003702B6" w:rsidRPr="005F7C2C">
              <w:rPr>
                <w:color w:val="auto"/>
                <w:sz w:val="24"/>
                <w:szCs w:val="24"/>
                <w:lang w:val="lv-LV"/>
              </w:rPr>
              <w:t xml:space="preserve">. </w:t>
            </w:r>
            <w:r w:rsidR="005E310F" w:rsidRPr="005F7C2C">
              <w:rPr>
                <w:color w:val="auto"/>
                <w:sz w:val="24"/>
                <w:szCs w:val="24"/>
                <w:lang w:val="lv-LV"/>
              </w:rPr>
              <w:t>Tādejādi vienošanās noteiks, ka ERAF projekti</w:t>
            </w:r>
            <w:r w:rsidR="00392742" w:rsidRPr="005F7C2C">
              <w:rPr>
                <w:color w:val="auto"/>
                <w:sz w:val="24"/>
                <w:szCs w:val="24"/>
                <w:lang w:val="lv-LV"/>
              </w:rPr>
              <w:t>, kas ietilpst šo noteikumu 29.</w:t>
            </w:r>
            <w:r w:rsidR="00392742" w:rsidRPr="005F7C2C">
              <w:rPr>
                <w:color w:val="auto"/>
                <w:sz w:val="24"/>
                <w:szCs w:val="24"/>
                <w:vertAlign w:val="superscript"/>
                <w:lang w:val="lv-LV"/>
              </w:rPr>
              <w:t>11</w:t>
            </w:r>
            <w:r w:rsidR="00392742" w:rsidRPr="005F7C2C">
              <w:rPr>
                <w:color w:val="auto"/>
                <w:sz w:val="24"/>
                <w:szCs w:val="24"/>
                <w:lang w:val="lv-LV"/>
              </w:rPr>
              <w:t>punktā minētajā lielajā projektā</w:t>
            </w:r>
            <w:r w:rsidR="00392742" w:rsidRPr="005F7C2C">
              <w:rPr>
                <w:color w:val="auto"/>
                <w:sz w:val="24"/>
                <w:szCs w:val="24"/>
              </w:rPr>
              <w:t/>
            </w:r>
            <w:r w:rsidR="00392742" w:rsidRPr="005F7C2C">
              <w:rPr>
                <w:color w:val="auto"/>
                <w:sz w:val="24"/>
                <w:szCs w:val="24"/>
                <w:lang w:val="lv-LV"/>
              </w:rPr>
              <w:t>,</w:t>
            </w:r>
            <w:r w:rsidR="005E310F" w:rsidRPr="005F7C2C">
              <w:rPr>
                <w:color w:val="auto"/>
                <w:sz w:val="24"/>
                <w:szCs w:val="24"/>
                <w:lang w:val="lv-LV"/>
              </w:rPr>
              <w:t xml:space="preserve">  un valsts galvotā aizdevuma projekts “Jaunā korpusa 1.kārtas būvniecība” tiek īstenoti kā viens </w:t>
            </w:r>
            <w:r w:rsidR="00854B56" w:rsidRPr="005F7C2C">
              <w:rPr>
                <w:color w:val="auto"/>
                <w:sz w:val="24"/>
                <w:szCs w:val="24"/>
                <w:lang w:val="lv-LV"/>
              </w:rPr>
              <w:t xml:space="preserve">lielais </w:t>
            </w:r>
            <w:r w:rsidR="005E310F" w:rsidRPr="005F7C2C">
              <w:rPr>
                <w:color w:val="auto"/>
                <w:sz w:val="24"/>
                <w:szCs w:val="24"/>
                <w:lang w:val="lv-LV"/>
              </w:rPr>
              <w:t>projekts</w:t>
            </w:r>
            <w:r w:rsidR="00470460" w:rsidRPr="005F7C2C">
              <w:rPr>
                <w:color w:val="auto"/>
                <w:sz w:val="24"/>
                <w:szCs w:val="24"/>
                <w:lang w:val="lv-LV"/>
              </w:rPr>
              <w:t>, t</w:t>
            </w:r>
            <w:r w:rsidR="00854B56" w:rsidRPr="005F7C2C">
              <w:rPr>
                <w:color w:val="auto"/>
                <w:sz w:val="24"/>
                <w:szCs w:val="24"/>
                <w:lang w:val="lv-LV"/>
              </w:rPr>
              <w:t xml:space="preserve">ostarp </w:t>
            </w:r>
            <w:r w:rsidR="00470460" w:rsidRPr="005F7C2C">
              <w:rPr>
                <w:color w:val="auto"/>
                <w:sz w:val="24"/>
                <w:szCs w:val="24"/>
                <w:lang w:val="lv-LV"/>
              </w:rPr>
              <w:t>nosakot</w:t>
            </w:r>
            <w:r w:rsidR="00854B56" w:rsidRPr="005F7C2C">
              <w:rPr>
                <w:color w:val="auto"/>
                <w:sz w:val="24"/>
                <w:szCs w:val="24"/>
                <w:lang w:val="lv-LV"/>
              </w:rPr>
              <w:t>:</w:t>
            </w:r>
          </w:p>
          <w:p w:rsidR="002C6F44" w:rsidRPr="005F7C2C" w:rsidRDefault="00854B56" w:rsidP="002C6F44">
            <w:pPr>
              <w:pStyle w:val="tv2131"/>
              <w:numPr>
                <w:ilvl w:val="1"/>
                <w:numId w:val="27"/>
              </w:numPr>
              <w:spacing w:line="240" w:lineRule="auto"/>
              <w:ind w:left="925" w:right="142" w:hanging="565"/>
              <w:jc w:val="both"/>
              <w:rPr>
                <w:bCs/>
                <w:iCs/>
                <w:color w:val="auto"/>
                <w:sz w:val="24"/>
                <w:szCs w:val="24"/>
                <w:lang w:val="lv-LV"/>
              </w:rPr>
            </w:pPr>
            <w:r w:rsidRPr="005F7C2C">
              <w:rPr>
                <w:color w:val="auto"/>
                <w:sz w:val="24"/>
                <w:szCs w:val="24"/>
                <w:lang w:val="lv-LV"/>
              </w:rPr>
              <w:t xml:space="preserve"> </w:t>
            </w:r>
            <w:r w:rsidR="005E310F" w:rsidRPr="005F7C2C">
              <w:rPr>
                <w:color w:val="auto"/>
                <w:sz w:val="24"/>
                <w:szCs w:val="24"/>
                <w:lang w:val="lv-LV"/>
              </w:rPr>
              <w:t>lielā projekta definīciju</w:t>
            </w:r>
            <w:r w:rsidR="003702B6" w:rsidRPr="005F7C2C">
              <w:rPr>
                <w:color w:val="auto"/>
                <w:sz w:val="24"/>
                <w:szCs w:val="24"/>
                <w:lang w:val="lv-LV"/>
              </w:rPr>
              <w:t>;</w:t>
            </w:r>
          </w:p>
          <w:p w:rsidR="002C6F44" w:rsidRPr="005F7C2C" w:rsidRDefault="005E310F" w:rsidP="002C6F44">
            <w:pPr>
              <w:pStyle w:val="tv2131"/>
              <w:numPr>
                <w:ilvl w:val="1"/>
                <w:numId w:val="27"/>
              </w:numPr>
              <w:spacing w:line="240" w:lineRule="auto"/>
              <w:ind w:left="925" w:right="142" w:hanging="565"/>
              <w:jc w:val="both"/>
              <w:rPr>
                <w:color w:val="auto"/>
                <w:sz w:val="24"/>
                <w:szCs w:val="24"/>
                <w:lang w:val="lv-LV"/>
              </w:rPr>
            </w:pPr>
            <w:r w:rsidRPr="005F7C2C">
              <w:rPr>
                <w:color w:val="auto"/>
                <w:sz w:val="24"/>
                <w:szCs w:val="24"/>
                <w:lang w:val="lv-LV"/>
              </w:rPr>
              <w:t xml:space="preserve"> nosacījumus attiecībā uz lielā projekta ieviešanu, tai skaitā finansējuma avotu, sasniedzamos mērķus un mehānismus, kas nodrošinās noteikumu projektā paredzētās kontroles prasības</w:t>
            </w:r>
            <w:r w:rsidR="003702B6" w:rsidRPr="005F7C2C">
              <w:rPr>
                <w:color w:val="auto"/>
                <w:sz w:val="24"/>
                <w:szCs w:val="24"/>
                <w:lang w:val="lv-LV"/>
              </w:rPr>
              <w:t>;</w:t>
            </w:r>
          </w:p>
          <w:p w:rsidR="002C6F44" w:rsidRPr="005F7C2C" w:rsidRDefault="00E97B9A" w:rsidP="002C6F44">
            <w:pPr>
              <w:pStyle w:val="tv2131"/>
              <w:numPr>
                <w:ilvl w:val="1"/>
                <w:numId w:val="27"/>
              </w:numPr>
              <w:spacing w:line="240" w:lineRule="auto"/>
              <w:ind w:left="925" w:right="142" w:hanging="565"/>
              <w:jc w:val="both"/>
              <w:rPr>
                <w:color w:val="auto"/>
                <w:sz w:val="24"/>
                <w:szCs w:val="24"/>
                <w:lang w:val="lv-LV"/>
              </w:rPr>
            </w:pPr>
            <w:r w:rsidRPr="005F7C2C">
              <w:rPr>
                <w:color w:val="auto"/>
                <w:sz w:val="24"/>
                <w:szCs w:val="24"/>
                <w:lang w:val="lv-LV"/>
              </w:rPr>
              <w:t>finansējuma saņēmēja atbildīb</w:t>
            </w:r>
            <w:r w:rsidR="00C920D0" w:rsidRPr="005F7C2C">
              <w:rPr>
                <w:color w:val="auto"/>
                <w:sz w:val="24"/>
                <w:szCs w:val="24"/>
                <w:lang w:val="lv-LV"/>
              </w:rPr>
              <w:t>u</w:t>
            </w:r>
            <w:r w:rsidRPr="005F7C2C">
              <w:rPr>
                <w:color w:val="auto"/>
                <w:sz w:val="24"/>
                <w:szCs w:val="24"/>
                <w:lang w:val="lv-LV"/>
              </w:rPr>
              <w:t xml:space="preserve"> lielā projekta mērķa nesasniegšanas gadījumā, </w:t>
            </w:r>
            <w:r w:rsidR="00E2061C" w:rsidRPr="005F7C2C">
              <w:rPr>
                <w:color w:val="auto"/>
                <w:sz w:val="24"/>
                <w:szCs w:val="24"/>
                <w:lang w:val="lv-LV"/>
              </w:rPr>
              <w:t xml:space="preserve">atsaucoties uz nosacījumiem </w:t>
            </w:r>
            <w:r w:rsidRPr="005F7C2C">
              <w:rPr>
                <w:color w:val="auto"/>
                <w:sz w:val="24"/>
                <w:szCs w:val="24"/>
                <w:lang w:val="lv-LV"/>
              </w:rPr>
              <w:t>gan ERAF, gan cita publiskā finansējuma atgriešan</w:t>
            </w:r>
            <w:r w:rsidR="003702B6" w:rsidRPr="005F7C2C">
              <w:rPr>
                <w:color w:val="auto"/>
                <w:sz w:val="24"/>
                <w:szCs w:val="24"/>
                <w:lang w:val="lv-LV"/>
              </w:rPr>
              <w:t>ai</w:t>
            </w:r>
            <w:r w:rsidRPr="005F7C2C">
              <w:rPr>
                <w:color w:val="auto"/>
                <w:sz w:val="24"/>
                <w:szCs w:val="24"/>
                <w:lang w:val="lv-LV"/>
              </w:rPr>
              <w:t xml:space="preserve"> atbilstoši konkrētā finanšu instrumenta regulējumam</w:t>
            </w:r>
            <w:r w:rsidR="003702B6" w:rsidRPr="005F7C2C">
              <w:rPr>
                <w:color w:val="auto"/>
                <w:sz w:val="24"/>
                <w:szCs w:val="24"/>
                <w:lang w:val="lv-LV"/>
              </w:rPr>
              <w:t>;</w:t>
            </w:r>
          </w:p>
          <w:p w:rsidR="002C6F44" w:rsidRPr="005F7C2C" w:rsidRDefault="00E97B9A" w:rsidP="002C6F44">
            <w:pPr>
              <w:pStyle w:val="tv2131"/>
              <w:numPr>
                <w:ilvl w:val="1"/>
                <w:numId w:val="27"/>
              </w:numPr>
              <w:spacing w:line="240" w:lineRule="auto"/>
              <w:ind w:left="925" w:right="142" w:hanging="565"/>
              <w:jc w:val="both"/>
              <w:rPr>
                <w:color w:val="auto"/>
                <w:sz w:val="24"/>
                <w:szCs w:val="24"/>
                <w:lang w:val="lv-LV"/>
              </w:rPr>
            </w:pPr>
            <w:r w:rsidRPr="005F7C2C">
              <w:rPr>
                <w:color w:val="auto"/>
                <w:sz w:val="24"/>
                <w:szCs w:val="24"/>
                <w:lang w:val="lv-LV"/>
              </w:rPr>
              <w:t>finansējuma saņēmēja atskaitīšanās mehānismu atbildīgajai iestādei un ziņošanu sadarbības iestādei</w:t>
            </w:r>
            <w:r w:rsidR="00030A92" w:rsidRPr="005F7C2C">
              <w:rPr>
                <w:color w:val="auto"/>
                <w:sz w:val="24"/>
                <w:szCs w:val="24"/>
                <w:lang w:val="lv-LV"/>
              </w:rPr>
              <w:t>.</w:t>
            </w:r>
          </w:p>
          <w:p w:rsidR="00E2061C" w:rsidRPr="005F7C2C" w:rsidRDefault="0054263A">
            <w:pPr>
              <w:pStyle w:val="tv2131"/>
              <w:spacing w:line="240" w:lineRule="auto"/>
              <w:ind w:left="358" w:right="142" w:firstLine="0"/>
              <w:jc w:val="both"/>
              <w:rPr>
                <w:color w:val="auto"/>
                <w:sz w:val="24"/>
                <w:szCs w:val="24"/>
                <w:lang w:val="lv-LV"/>
              </w:rPr>
            </w:pPr>
            <w:r w:rsidRPr="005F7C2C">
              <w:rPr>
                <w:color w:val="auto"/>
                <w:sz w:val="24"/>
                <w:szCs w:val="24"/>
                <w:lang w:val="lv-LV"/>
              </w:rPr>
              <w:t>Slēdzot šādu vienošanos ir jāizvērtē iespējamo nepieciešamo grozījumu veikšana starpresoru vienošanās, kas noslēgta starp atbildīgo iestādi un sadarbības iestādi.</w:t>
            </w:r>
          </w:p>
          <w:p w:rsidR="0059037D" w:rsidRPr="005F7C2C" w:rsidRDefault="00682CDC" w:rsidP="009D654A">
            <w:pPr>
              <w:pStyle w:val="tv2131"/>
              <w:numPr>
                <w:ilvl w:val="0"/>
                <w:numId w:val="27"/>
              </w:numPr>
              <w:spacing w:line="240" w:lineRule="auto"/>
              <w:ind w:right="142"/>
              <w:jc w:val="both"/>
              <w:rPr>
                <w:color w:val="auto"/>
                <w:sz w:val="24"/>
                <w:szCs w:val="24"/>
                <w:lang w:val="lv-LV"/>
              </w:rPr>
            </w:pPr>
            <w:r w:rsidRPr="005F7C2C">
              <w:rPr>
                <w:color w:val="auto"/>
                <w:sz w:val="24"/>
                <w:szCs w:val="24"/>
                <w:u w:val="single"/>
                <w:lang w:val="lv-LV"/>
              </w:rPr>
              <w:t xml:space="preserve">Ņemot vērā, ka </w:t>
            </w:r>
            <w:r w:rsidRPr="005F7C2C">
              <w:rPr>
                <w:color w:val="auto"/>
                <w:sz w:val="24"/>
                <w:szCs w:val="24"/>
                <w:lang w:val="lv-LV"/>
              </w:rPr>
              <w:t xml:space="preserve">ar MK prot.17 43.§ 2.punktu </w:t>
            </w:r>
            <w:r w:rsidR="00D661B4" w:rsidRPr="005F7C2C">
              <w:rPr>
                <w:color w:val="auto"/>
                <w:sz w:val="24"/>
                <w:szCs w:val="24"/>
                <w:lang w:val="lv-LV"/>
              </w:rPr>
              <w:t xml:space="preserve">paredzētais </w:t>
            </w:r>
            <w:r w:rsidRPr="005F7C2C">
              <w:rPr>
                <w:color w:val="auto"/>
                <w:sz w:val="24"/>
                <w:szCs w:val="24"/>
                <w:lang w:val="lv-LV"/>
              </w:rPr>
              <w:t>papildus valsts budžeta finansējuma</w:t>
            </w:r>
            <w:r w:rsidRPr="005F7C2C">
              <w:rPr>
                <w:color w:val="auto"/>
                <w:sz w:val="24"/>
                <w:szCs w:val="24"/>
                <w:u w:val="single"/>
                <w:lang w:val="lv-LV"/>
              </w:rPr>
              <w:t xml:space="preserve"> lielajā projektā tiek atainots kā neattiecināmais  finansējums, noteikumu projekts ir papildināts ar </w:t>
            </w:r>
            <w:r w:rsidRPr="005F7C2C">
              <w:rPr>
                <w:color w:val="auto"/>
                <w:sz w:val="24"/>
                <w:szCs w:val="24"/>
                <w:lang w:val="lv-LV"/>
              </w:rPr>
              <w:t>29.</w:t>
            </w:r>
            <w:r w:rsidR="0030426B" w:rsidRPr="005F7C2C">
              <w:rPr>
                <w:color w:val="auto"/>
                <w:sz w:val="24"/>
                <w:szCs w:val="24"/>
                <w:vertAlign w:val="superscript"/>
                <w:lang w:val="lv-LV"/>
              </w:rPr>
              <w:t>17</w:t>
            </w:r>
            <w:r w:rsidR="0030426B" w:rsidRPr="005F7C2C">
              <w:rPr>
                <w:color w:val="auto"/>
                <w:sz w:val="24"/>
                <w:szCs w:val="24"/>
                <w:lang w:val="lv-LV"/>
              </w:rPr>
              <w:t>apakšpunktu</w:t>
            </w:r>
            <w:r w:rsidRPr="005F7C2C">
              <w:rPr>
                <w:color w:val="auto"/>
                <w:sz w:val="24"/>
                <w:szCs w:val="24"/>
                <w:lang w:val="lv-LV"/>
              </w:rPr>
              <w:t>, kurš nosaka, ka noteikumu 52.</w:t>
            </w:r>
            <w:r w:rsidRPr="005F7C2C">
              <w:rPr>
                <w:color w:val="auto"/>
                <w:sz w:val="24"/>
                <w:szCs w:val="24"/>
                <w:vertAlign w:val="superscript"/>
                <w:lang w:val="lv-LV"/>
              </w:rPr>
              <w:t>1</w:t>
            </w:r>
            <w:r w:rsidRPr="005F7C2C">
              <w:rPr>
                <w:color w:val="auto"/>
                <w:sz w:val="24"/>
                <w:szCs w:val="24"/>
                <w:lang w:val="lv-LV"/>
              </w:rPr>
              <w:t>punktā minētais ierobežojums, ka projekta iesniegumā var iekļaut neattiecināmās izmaksas, kas netiek finansētas no ERAF un valsts budžeta līdzekļiem, nav attiecināms uz šo noteikumu 29.</w:t>
            </w:r>
            <w:r w:rsidRPr="005F7C2C">
              <w:rPr>
                <w:color w:val="auto"/>
                <w:sz w:val="24"/>
                <w:szCs w:val="24"/>
                <w:vertAlign w:val="superscript"/>
                <w:lang w:val="lv-LV"/>
              </w:rPr>
              <w:t>11</w:t>
            </w:r>
            <w:r w:rsidRPr="005F7C2C">
              <w:rPr>
                <w:color w:val="auto"/>
                <w:sz w:val="24"/>
                <w:szCs w:val="24"/>
                <w:lang w:val="lv-LV"/>
              </w:rPr>
              <w:t xml:space="preserve">punktā </w:t>
            </w:r>
            <w:r w:rsidR="0030426B" w:rsidRPr="005F7C2C">
              <w:rPr>
                <w:color w:val="auto"/>
                <w:sz w:val="24"/>
                <w:szCs w:val="24"/>
                <w:lang w:val="lv-LV"/>
              </w:rPr>
              <w:t>minēto lielo projektu</w:t>
            </w:r>
            <w:r w:rsidRPr="005F7C2C">
              <w:rPr>
                <w:color w:val="auto"/>
                <w:sz w:val="24"/>
                <w:szCs w:val="24"/>
                <w:lang w:val="lv-LV"/>
              </w:rPr>
              <w:t>, jo lielajā projektā atainotās neattiecināmās izmaksas var tikt finansētas no valsts budžeta</w:t>
            </w:r>
            <w:r w:rsidR="009D654A" w:rsidRPr="005F7C2C">
              <w:rPr>
                <w:color w:val="auto"/>
                <w:sz w:val="24"/>
                <w:szCs w:val="24"/>
                <w:lang w:val="lv-LV"/>
              </w:rPr>
              <w:t>.</w:t>
            </w:r>
          </w:p>
          <w:p w:rsidR="00F1427E" w:rsidRPr="005F7C2C" w:rsidRDefault="005C2F78" w:rsidP="00D661B4">
            <w:pPr>
              <w:pStyle w:val="tv2131"/>
              <w:spacing w:line="240" w:lineRule="auto"/>
              <w:ind w:right="142" w:firstLine="0"/>
              <w:jc w:val="both"/>
              <w:rPr>
                <w:color w:val="auto"/>
                <w:sz w:val="24"/>
                <w:szCs w:val="24"/>
                <w:lang w:val="lv-LV"/>
              </w:rPr>
            </w:pPr>
            <w:r w:rsidRPr="005F7C2C">
              <w:rPr>
                <w:color w:val="auto"/>
                <w:sz w:val="24"/>
                <w:szCs w:val="24"/>
                <w:lang w:val="lv-LV"/>
              </w:rPr>
              <w:t xml:space="preserve">Noteikumu projekta </w:t>
            </w:r>
            <w:r w:rsidR="00F1427E" w:rsidRPr="005F7C2C">
              <w:rPr>
                <w:color w:val="auto"/>
                <w:sz w:val="24"/>
                <w:szCs w:val="24"/>
                <w:lang w:val="lv-LV"/>
              </w:rPr>
              <w:t>noteikt</w:t>
            </w:r>
            <w:r w:rsidR="007B4601" w:rsidRPr="005F7C2C">
              <w:rPr>
                <w:color w:val="auto"/>
                <w:sz w:val="24"/>
                <w:szCs w:val="24"/>
                <w:lang w:val="lv-LV"/>
              </w:rPr>
              <w:t>ās</w:t>
            </w:r>
            <w:r w:rsidR="00F1427E" w:rsidRPr="005F7C2C">
              <w:rPr>
                <w:color w:val="auto"/>
                <w:sz w:val="24"/>
                <w:szCs w:val="24"/>
                <w:lang w:val="lv-LV"/>
              </w:rPr>
              <w:t xml:space="preserve"> tiesības un pienākumi, gan finansējuma saņēmējam, gan </w:t>
            </w:r>
            <w:r w:rsidRPr="005F7C2C">
              <w:rPr>
                <w:color w:val="auto"/>
                <w:sz w:val="24"/>
                <w:szCs w:val="24"/>
                <w:lang w:val="lv-LV"/>
              </w:rPr>
              <w:t xml:space="preserve">atbildīgajai iestādei, gan </w:t>
            </w:r>
            <w:r w:rsidR="00F1427E" w:rsidRPr="005F7C2C">
              <w:rPr>
                <w:color w:val="auto"/>
                <w:sz w:val="24"/>
                <w:szCs w:val="24"/>
                <w:lang w:val="lv-LV"/>
              </w:rPr>
              <w:t>sadarbības iestādei ir vē</w:t>
            </w:r>
            <w:r w:rsidR="00DA36CD" w:rsidRPr="005F7C2C">
              <w:rPr>
                <w:color w:val="auto"/>
                <w:sz w:val="24"/>
                <w:szCs w:val="24"/>
                <w:lang w:val="lv-LV"/>
              </w:rPr>
              <w:t>rs</w:t>
            </w:r>
            <w:r w:rsidR="00F1427E" w:rsidRPr="005F7C2C">
              <w:rPr>
                <w:color w:val="auto"/>
                <w:sz w:val="24"/>
                <w:szCs w:val="24"/>
                <w:lang w:val="lv-LV"/>
              </w:rPr>
              <w:t>ti uz to, lai lielā projekta iesniegumā noteiktajā termiņā ti</w:t>
            </w:r>
            <w:r w:rsidR="00411786" w:rsidRPr="005F7C2C">
              <w:rPr>
                <w:color w:val="auto"/>
                <w:sz w:val="24"/>
                <w:szCs w:val="24"/>
                <w:lang w:val="lv-LV"/>
              </w:rPr>
              <w:t xml:space="preserve">ktu </w:t>
            </w:r>
            <w:r w:rsidR="00F1427E" w:rsidRPr="005F7C2C">
              <w:rPr>
                <w:color w:val="auto"/>
                <w:sz w:val="24"/>
                <w:szCs w:val="24"/>
                <w:lang w:val="lv-LV"/>
              </w:rPr>
              <w:t xml:space="preserve">sasniegts lielā projekta mērķis, kas nodrošina ERAF finansējuma </w:t>
            </w:r>
            <w:proofErr w:type="spellStart"/>
            <w:r w:rsidR="00F1427E" w:rsidRPr="005F7C2C">
              <w:rPr>
                <w:color w:val="auto"/>
                <w:sz w:val="24"/>
                <w:szCs w:val="24"/>
                <w:lang w:val="lv-LV"/>
              </w:rPr>
              <w:t>attiecināmību</w:t>
            </w:r>
            <w:proofErr w:type="spellEnd"/>
            <w:r w:rsidR="00F1427E" w:rsidRPr="005F7C2C">
              <w:rPr>
                <w:color w:val="auto"/>
                <w:sz w:val="24"/>
                <w:szCs w:val="24"/>
                <w:lang w:val="lv-LV"/>
              </w:rPr>
              <w:t xml:space="preserve">. </w:t>
            </w:r>
          </w:p>
        </w:tc>
      </w:tr>
      <w:tr w:rsidR="00283496" w:rsidRPr="005F7C2C" w:rsidTr="006436FB">
        <w:tc>
          <w:tcPr>
            <w:tcW w:w="477" w:type="pct"/>
            <w:tcBorders>
              <w:top w:val="outset" w:sz="6" w:space="0" w:color="000000"/>
              <w:left w:val="outset" w:sz="6" w:space="0" w:color="000000"/>
              <w:bottom w:val="outset" w:sz="6" w:space="0" w:color="000000"/>
              <w:right w:val="outset" w:sz="6" w:space="0" w:color="000000"/>
            </w:tcBorders>
          </w:tcPr>
          <w:p w:rsidR="00283496" w:rsidRPr="005F7C2C" w:rsidRDefault="00283496" w:rsidP="00283496">
            <w:r w:rsidRPr="005F7C2C">
              <w:lastRenderedPageBreak/>
              <w:t>3.</w:t>
            </w:r>
          </w:p>
        </w:tc>
        <w:tc>
          <w:tcPr>
            <w:tcW w:w="809" w:type="pct"/>
            <w:tcBorders>
              <w:top w:val="outset" w:sz="6" w:space="0" w:color="000000"/>
              <w:left w:val="outset" w:sz="6" w:space="0" w:color="000000"/>
              <w:bottom w:val="outset" w:sz="6" w:space="0" w:color="000000"/>
              <w:right w:val="outset" w:sz="6" w:space="0" w:color="000000"/>
            </w:tcBorders>
          </w:tcPr>
          <w:p w:rsidR="00283496" w:rsidRPr="005F7C2C" w:rsidRDefault="00283496" w:rsidP="00283496">
            <w:r w:rsidRPr="005F7C2C">
              <w:t>Projekta izstrādē iesaistītās institūcijas</w:t>
            </w:r>
          </w:p>
        </w:tc>
        <w:tc>
          <w:tcPr>
            <w:tcW w:w="3713" w:type="pct"/>
            <w:tcBorders>
              <w:top w:val="outset" w:sz="6" w:space="0" w:color="000000"/>
              <w:left w:val="outset" w:sz="6" w:space="0" w:color="000000"/>
              <w:bottom w:val="outset" w:sz="6" w:space="0" w:color="000000"/>
              <w:right w:val="outset" w:sz="6" w:space="0" w:color="000000"/>
            </w:tcBorders>
            <w:vAlign w:val="center"/>
          </w:tcPr>
          <w:p w:rsidR="00283496" w:rsidRPr="005F7C2C" w:rsidRDefault="00E27BA5" w:rsidP="00F937BC">
            <w:pPr>
              <w:spacing w:before="120" w:after="120"/>
              <w:ind w:right="244"/>
              <w:jc w:val="both"/>
              <w:rPr>
                <w:iCs/>
                <w:sz w:val="22"/>
                <w:szCs w:val="22"/>
              </w:rPr>
            </w:pPr>
            <w:r w:rsidRPr="005F7C2C">
              <w:t xml:space="preserve">Projekta izstrādē attiecībā par </w:t>
            </w:r>
            <w:r w:rsidR="006A1094" w:rsidRPr="005F7C2C">
              <w:t>lielā projekta ieviešanu un uzraudzību</w:t>
            </w:r>
            <w:r w:rsidRPr="005F7C2C">
              <w:t xml:space="preserve"> tika iesaistīti </w:t>
            </w:r>
            <w:r w:rsidR="006A1094" w:rsidRPr="005F7C2C">
              <w:t>vadošā iestāde – Finanšu ministrija, atbildīgā iestāde – Veselības ministrija, sadarbības iestāde – Centrālā finanšu un līgumu aģentūra un VSIA "Paula Stradiņa klīniskā universitātes slimnīca".</w:t>
            </w:r>
          </w:p>
        </w:tc>
      </w:tr>
      <w:tr w:rsidR="00283496" w:rsidRPr="005F7C2C" w:rsidTr="006436FB">
        <w:tc>
          <w:tcPr>
            <w:tcW w:w="477" w:type="pct"/>
            <w:tcBorders>
              <w:top w:val="outset" w:sz="6" w:space="0" w:color="000000"/>
              <w:left w:val="outset" w:sz="6" w:space="0" w:color="000000"/>
              <w:bottom w:val="outset" w:sz="6" w:space="0" w:color="000000"/>
              <w:right w:val="outset" w:sz="6" w:space="0" w:color="000000"/>
            </w:tcBorders>
          </w:tcPr>
          <w:p w:rsidR="00283496" w:rsidRPr="005F7C2C" w:rsidRDefault="00283496" w:rsidP="00283496">
            <w:r w:rsidRPr="005F7C2C">
              <w:t>4.</w:t>
            </w:r>
          </w:p>
        </w:tc>
        <w:tc>
          <w:tcPr>
            <w:tcW w:w="809" w:type="pct"/>
            <w:tcBorders>
              <w:top w:val="outset" w:sz="6" w:space="0" w:color="000000"/>
              <w:left w:val="outset" w:sz="6" w:space="0" w:color="000000"/>
              <w:bottom w:val="outset" w:sz="6" w:space="0" w:color="000000"/>
              <w:right w:val="outset" w:sz="6" w:space="0" w:color="000000"/>
            </w:tcBorders>
          </w:tcPr>
          <w:p w:rsidR="00283496" w:rsidRPr="005F7C2C" w:rsidRDefault="00283496" w:rsidP="00283496">
            <w:r w:rsidRPr="005F7C2C">
              <w:t>Cita informācija</w:t>
            </w:r>
          </w:p>
        </w:tc>
        <w:tc>
          <w:tcPr>
            <w:tcW w:w="3713" w:type="pct"/>
            <w:tcBorders>
              <w:top w:val="outset" w:sz="6" w:space="0" w:color="000000"/>
              <w:left w:val="outset" w:sz="6" w:space="0" w:color="000000"/>
              <w:bottom w:val="outset" w:sz="6" w:space="0" w:color="000000"/>
              <w:right w:val="outset" w:sz="6" w:space="0" w:color="000000"/>
            </w:tcBorders>
          </w:tcPr>
          <w:p w:rsidR="00283496" w:rsidRPr="005F7C2C" w:rsidRDefault="006B5903" w:rsidP="00830072">
            <w:pPr>
              <w:ind w:left="55" w:right="141"/>
              <w:jc w:val="both"/>
            </w:pPr>
            <w:r w:rsidRPr="005F7C2C">
              <w:t>Finanšu ministrija nodrošina grozījumu v</w:t>
            </w:r>
            <w:r w:rsidR="00BF5B69" w:rsidRPr="005F7C2C">
              <w:t>ei</w:t>
            </w:r>
            <w:r w:rsidRPr="005F7C2C">
              <w:t xml:space="preserve">kšanu </w:t>
            </w:r>
            <w:r w:rsidR="00BF5B69" w:rsidRPr="005F7C2C">
              <w:t>MK</w:t>
            </w:r>
            <w:r w:rsidRPr="005F7C2C">
              <w:t xml:space="preserve"> noteikumos Nr.1041</w:t>
            </w:r>
            <w:r w:rsidR="0058437C" w:rsidRPr="005F7C2C">
              <w:t xml:space="preserve">, kas paredz </w:t>
            </w:r>
            <w:r w:rsidR="00830072" w:rsidRPr="005F7C2C">
              <w:t>papildinā</w:t>
            </w:r>
            <w:r w:rsidR="0058437C" w:rsidRPr="005F7C2C">
              <w:t xml:space="preserve">t nosacījumu, ka noslēguma maksājums </w:t>
            </w:r>
            <w:r w:rsidR="0058437C" w:rsidRPr="005F7C2C">
              <w:lastRenderedPageBreak/>
              <w:t>veicams pēc projekta īstenošanas, ja vien normatīvajā aktā par aktivitātes īstenošanu nav noteikts citādi.</w:t>
            </w:r>
          </w:p>
        </w:tc>
      </w:tr>
    </w:tbl>
    <w:p w:rsidR="00283496" w:rsidRPr="005F7C2C" w:rsidRDefault="00283496" w:rsidP="00B9292C">
      <w:pPr>
        <w:autoSpaceDE w:val="0"/>
        <w:autoSpaceDN w:val="0"/>
        <w:adjustRightInd w:val="0"/>
        <w:rPr>
          <w:sz w:val="23"/>
          <w:szCs w:val="23"/>
        </w:rPr>
      </w:pPr>
    </w:p>
    <w:p w:rsidR="00E06749" w:rsidRPr="005F7C2C" w:rsidRDefault="00E06749" w:rsidP="00B9292C">
      <w:pPr>
        <w:autoSpaceDE w:val="0"/>
        <w:autoSpaceDN w:val="0"/>
        <w:adjustRightInd w:val="0"/>
        <w:rPr>
          <w:sz w:val="23"/>
          <w:szCs w:val="23"/>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2689"/>
        <w:gridCol w:w="6268"/>
      </w:tblGrid>
      <w:tr w:rsidR="00E06749" w:rsidRPr="005F7C2C" w:rsidTr="006436FB">
        <w:trPr>
          <w:trHeight w:val="503"/>
        </w:trPr>
        <w:tc>
          <w:tcPr>
            <w:tcW w:w="10065" w:type="dxa"/>
            <w:gridSpan w:val="3"/>
            <w:vAlign w:val="center"/>
          </w:tcPr>
          <w:p w:rsidR="00E06749" w:rsidRPr="005F7C2C" w:rsidRDefault="00E06749" w:rsidP="00E06749">
            <w:pPr>
              <w:autoSpaceDE w:val="0"/>
              <w:autoSpaceDN w:val="0"/>
              <w:adjustRightInd w:val="0"/>
              <w:jc w:val="center"/>
              <w:rPr>
                <w:b/>
                <w:noProof/>
              </w:rPr>
            </w:pPr>
            <w:r w:rsidRPr="005F7C2C">
              <w:rPr>
                <w:b/>
                <w:bCs/>
                <w:lang w:eastAsia="lv-LV"/>
              </w:rPr>
              <w:t>II. Tiesību akta projekta ietekme uz sabiedrību, tautsaimniecības attīstību un administratīvo slogu</w:t>
            </w:r>
          </w:p>
        </w:tc>
      </w:tr>
      <w:tr w:rsidR="00E06749" w:rsidRPr="005F7C2C" w:rsidTr="006436FB">
        <w:tc>
          <w:tcPr>
            <w:tcW w:w="1108" w:type="dxa"/>
          </w:tcPr>
          <w:p w:rsidR="00E06749" w:rsidRPr="005F7C2C" w:rsidRDefault="00E06749" w:rsidP="00E06749">
            <w:pPr>
              <w:spacing w:before="100" w:beforeAutospacing="1" w:after="100" w:afterAutospacing="1"/>
              <w:rPr>
                <w:lang w:eastAsia="lv-LV" w:bidi="lo-LA"/>
              </w:rPr>
            </w:pPr>
            <w:r w:rsidRPr="005F7C2C">
              <w:rPr>
                <w:lang w:eastAsia="lv-LV" w:bidi="lo-LA"/>
              </w:rPr>
              <w:t> 1.</w:t>
            </w:r>
          </w:p>
        </w:tc>
        <w:tc>
          <w:tcPr>
            <w:tcW w:w="2689" w:type="dxa"/>
          </w:tcPr>
          <w:p w:rsidR="00E06749" w:rsidRPr="005F7C2C" w:rsidRDefault="00E06749" w:rsidP="00E06749">
            <w:pPr>
              <w:spacing w:before="100" w:beforeAutospacing="1" w:after="100" w:afterAutospacing="1"/>
              <w:rPr>
                <w:lang w:eastAsia="lv-LV" w:bidi="lo-LA"/>
              </w:rPr>
            </w:pPr>
            <w:r w:rsidRPr="005F7C2C">
              <w:rPr>
                <w:lang w:eastAsia="lv-LV"/>
              </w:rPr>
              <w:t>Sabiedrības mērķgrupas, kuras tiesiskais regulējums ietekmē vai varētu ietekmēt</w:t>
            </w:r>
          </w:p>
        </w:tc>
        <w:tc>
          <w:tcPr>
            <w:tcW w:w="6268" w:type="dxa"/>
            <w:vAlign w:val="center"/>
          </w:tcPr>
          <w:p w:rsidR="00E06749" w:rsidRPr="005F7C2C" w:rsidRDefault="006A1094" w:rsidP="00FF19C9">
            <w:pPr>
              <w:jc w:val="both"/>
            </w:pPr>
            <w:r w:rsidRPr="005F7C2C">
              <w:t>VSIA "Paula Stradiņa klīniskā universitātes slimnīca"</w:t>
            </w:r>
          </w:p>
        </w:tc>
      </w:tr>
      <w:tr w:rsidR="00E06749" w:rsidRPr="005F7C2C" w:rsidTr="006436FB">
        <w:tc>
          <w:tcPr>
            <w:tcW w:w="1108" w:type="dxa"/>
          </w:tcPr>
          <w:p w:rsidR="00E06749" w:rsidRPr="005F7C2C" w:rsidRDefault="00E06749" w:rsidP="00E06749">
            <w:pPr>
              <w:spacing w:before="100" w:beforeAutospacing="1" w:after="100" w:afterAutospacing="1"/>
              <w:rPr>
                <w:lang w:eastAsia="lv-LV" w:bidi="lo-LA"/>
              </w:rPr>
            </w:pPr>
            <w:r w:rsidRPr="005F7C2C">
              <w:rPr>
                <w:lang w:eastAsia="lv-LV" w:bidi="lo-LA"/>
              </w:rPr>
              <w:t> 2.</w:t>
            </w:r>
          </w:p>
        </w:tc>
        <w:tc>
          <w:tcPr>
            <w:tcW w:w="2689" w:type="dxa"/>
          </w:tcPr>
          <w:p w:rsidR="00E06749" w:rsidRPr="005F7C2C" w:rsidRDefault="00E06749" w:rsidP="00E06749">
            <w:pPr>
              <w:spacing w:before="100" w:beforeAutospacing="1" w:after="100" w:afterAutospacing="1"/>
              <w:rPr>
                <w:lang w:eastAsia="lv-LV" w:bidi="lo-LA"/>
              </w:rPr>
            </w:pPr>
            <w:r w:rsidRPr="005F7C2C">
              <w:rPr>
                <w:lang w:eastAsia="lv-LV"/>
              </w:rPr>
              <w:t>Tiesiskā regulējuma ietekme uz tautsaimniecību un administratīvo slogu</w:t>
            </w:r>
          </w:p>
        </w:tc>
        <w:tc>
          <w:tcPr>
            <w:tcW w:w="6268" w:type="dxa"/>
            <w:vAlign w:val="center"/>
          </w:tcPr>
          <w:p w:rsidR="00E06749" w:rsidRPr="005F7C2C" w:rsidRDefault="007B4601" w:rsidP="00BC2B59">
            <w:pPr>
              <w:pStyle w:val="naiskr"/>
              <w:jc w:val="both"/>
            </w:pPr>
            <w:r w:rsidRPr="005F7C2C">
              <w:t>Tāpat papildus noteiktie pienākumi atbildīgajai iestādei, gan sadarbības iestādei neietekmēs administratīvo slogu un nepalielinās izmaksas, jo projektu uzraudzība tiks nodrošināta 2007.-2013.gada plānošanas perioda projektu uzraudzības ietvaros, kas tiek finansēta no tehniskās palīdzības projektiem.</w:t>
            </w:r>
          </w:p>
        </w:tc>
      </w:tr>
      <w:tr w:rsidR="00E06749" w:rsidRPr="005F7C2C" w:rsidTr="006436FB">
        <w:tc>
          <w:tcPr>
            <w:tcW w:w="1108" w:type="dxa"/>
          </w:tcPr>
          <w:p w:rsidR="00E06749" w:rsidRPr="005F7C2C" w:rsidRDefault="00E06749" w:rsidP="00E06749">
            <w:pPr>
              <w:spacing w:before="100" w:beforeAutospacing="1" w:after="100" w:afterAutospacing="1"/>
              <w:rPr>
                <w:lang w:eastAsia="lv-LV" w:bidi="lo-LA"/>
              </w:rPr>
            </w:pPr>
            <w:r w:rsidRPr="005F7C2C">
              <w:rPr>
                <w:lang w:eastAsia="lv-LV" w:bidi="lo-LA"/>
              </w:rPr>
              <w:t> 3.</w:t>
            </w:r>
          </w:p>
        </w:tc>
        <w:tc>
          <w:tcPr>
            <w:tcW w:w="2689" w:type="dxa"/>
          </w:tcPr>
          <w:p w:rsidR="00E06749" w:rsidRPr="005F7C2C" w:rsidRDefault="00BC2B59" w:rsidP="00E06749">
            <w:pPr>
              <w:spacing w:before="100" w:beforeAutospacing="1" w:after="100" w:afterAutospacing="1"/>
              <w:rPr>
                <w:lang w:eastAsia="lv-LV" w:bidi="lo-LA"/>
              </w:rPr>
            </w:pPr>
            <w:r w:rsidRPr="005F7C2C">
              <w:rPr>
                <w:lang w:eastAsia="lv-LV"/>
              </w:rPr>
              <w:t>Administratīvo izmaksu monetārs novērtējums</w:t>
            </w:r>
          </w:p>
        </w:tc>
        <w:tc>
          <w:tcPr>
            <w:tcW w:w="6268" w:type="dxa"/>
            <w:vAlign w:val="center"/>
          </w:tcPr>
          <w:p w:rsidR="009C4B63" w:rsidRPr="005F7C2C" w:rsidRDefault="00FF19C9">
            <w:pPr>
              <w:pStyle w:val="naiskr"/>
              <w:spacing w:before="0" w:beforeAutospacing="0" w:after="0" w:afterAutospacing="0"/>
              <w:jc w:val="both"/>
            </w:pPr>
            <w:r w:rsidRPr="005F7C2C">
              <w:t xml:space="preserve">Projekts šo jomu neskar </w:t>
            </w:r>
          </w:p>
        </w:tc>
      </w:tr>
      <w:tr w:rsidR="00E06749" w:rsidRPr="005F7C2C" w:rsidTr="006436FB">
        <w:trPr>
          <w:trHeight w:val="174"/>
        </w:trPr>
        <w:tc>
          <w:tcPr>
            <w:tcW w:w="1108" w:type="dxa"/>
            <w:vAlign w:val="center"/>
          </w:tcPr>
          <w:p w:rsidR="00E06749" w:rsidRPr="005F7C2C" w:rsidRDefault="00BC2B59" w:rsidP="00E06749">
            <w:pPr>
              <w:spacing w:before="100" w:beforeAutospacing="1" w:after="100" w:afterAutospacing="1"/>
              <w:rPr>
                <w:lang w:eastAsia="lv-LV" w:bidi="lo-LA"/>
              </w:rPr>
            </w:pPr>
            <w:r w:rsidRPr="005F7C2C">
              <w:rPr>
                <w:lang w:eastAsia="lv-LV" w:bidi="lo-LA"/>
              </w:rPr>
              <w:t>4</w:t>
            </w:r>
            <w:r w:rsidR="00E06749" w:rsidRPr="005F7C2C">
              <w:rPr>
                <w:lang w:eastAsia="lv-LV" w:bidi="lo-LA"/>
              </w:rPr>
              <w:t>.</w:t>
            </w:r>
          </w:p>
        </w:tc>
        <w:tc>
          <w:tcPr>
            <w:tcW w:w="2689" w:type="dxa"/>
            <w:vAlign w:val="center"/>
          </w:tcPr>
          <w:p w:rsidR="00E06749" w:rsidRPr="005F7C2C" w:rsidRDefault="00E06749" w:rsidP="00E06749">
            <w:pPr>
              <w:spacing w:before="100" w:beforeAutospacing="1" w:after="100" w:afterAutospacing="1"/>
              <w:rPr>
                <w:lang w:eastAsia="lv-LV" w:bidi="lo-LA"/>
              </w:rPr>
            </w:pPr>
            <w:r w:rsidRPr="005F7C2C">
              <w:rPr>
                <w:lang w:eastAsia="lv-LV" w:bidi="lo-LA"/>
              </w:rPr>
              <w:t>Cita informācija</w:t>
            </w:r>
          </w:p>
        </w:tc>
        <w:tc>
          <w:tcPr>
            <w:tcW w:w="6268" w:type="dxa"/>
            <w:vAlign w:val="center"/>
          </w:tcPr>
          <w:p w:rsidR="00E06749" w:rsidRPr="005F7C2C" w:rsidRDefault="00BC2B59" w:rsidP="00BC2B59">
            <w:pPr>
              <w:pStyle w:val="naiskr"/>
            </w:pPr>
            <w:r w:rsidRPr="005F7C2C">
              <w:t>Nav</w:t>
            </w:r>
          </w:p>
        </w:tc>
      </w:tr>
    </w:tbl>
    <w:p w:rsidR="00E06749" w:rsidRPr="005F7C2C" w:rsidRDefault="00E06749" w:rsidP="00B9292C">
      <w:pPr>
        <w:autoSpaceDE w:val="0"/>
        <w:autoSpaceDN w:val="0"/>
        <w:adjustRightInd w:val="0"/>
        <w:rPr>
          <w:sz w:val="23"/>
          <w:szCs w:val="23"/>
        </w:rPr>
      </w:pPr>
    </w:p>
    <w:p w:rsidR="00302E22" w:rsidRPr="005F7C2C" w:rsidRDefault="00302E22" w:rsidP="00B9292C">
      <w:pPr>
        <w:autoSpaceDE w:val="0"/>
        <w:autoSpaceDN w:val="0"/>
        <w:adjustRightInd w:val="0"/>
        <w:rPr>
          <w:sz w:val="23"/>
          <w:szCs w:val="23"/>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330"/>
        <w:gridCol w:w="1354"/>
        <w:gridCol w:w="1354"/>
        <w:gridCol w:w="1355"/>
        <w:gridCol w:w="1748"/>
      </w:tblGrid>
      <w:tr w:rsidR="00855289" w:rsidRPr="005F7C2C" w:rsidTr="009045B4">
        <w:trPr>
          <w:trHeight w:val="652"/>
          <w:jc w:val="center"/>
        </w:trPr>
        <w:tc>
          <w:tcPr>
            <w:tcW w:w="9953" w:type="dxa"/>
            <w:gridSpan w:val="6"/>
            <w:tcBorders>
              <w:top w:val="single" w:sz="4" w:space="0" w:color="auto"/>
              <w:left w:val="single" w:sz="4" w:space="0" w:color="auto"/>
              <w:bottom w:val="single" w:sz="4" w:space="0" w:color="auto"/>
              <w:right w:val="single" w:sz="4" w:space="0" w:color="auto"/>
            </w:tcBorders>
          </w:tcPr>
          <w:p w:rsidR="00855289" w:rsidRPr="005F7C2C" w:rsidRDefault="00855289" w:rsidP="006436FB">
            <w:pPr>
              <w:autoSpaceDE w:val="0"/>
              <w:autoSpaceDN w:val="0"/>
              <w:adjustRightInd w:val="0"/>
              <w:jc w:val="center"/>
              <w:rPr>
                <w:b/>
                <w:bCs/>
                <w:lang w:eastAsia="lv-LV"/>
              </w:rPr>
            </w:pPr>
            <w:r w:rsidRPr="005F7C2C">
              <w:rPr>
                <w:b/>
                <w:bCs/>
                <w:lang w:eastAsia="lv-LV"/>
              </w:rPr>
              <w:br w:type="page"/>
              <w:t>III. Tiesību akta projekta ietekme uz valsts budžetu un pašvaldību budžetiem</w:t>
            </w:r>
          </w:p>
        </w:tc>
      </w:tr>
      <w:tr w:rsidR="00855289" w:rsidRPr="005F7C2C" w:rsidTr="009045B4">
        <w:trPr>
          <w:jc w:val="center"/>
        </w:trPr>
        <w:tc>
          <w:tcPr>
            <w:tcW w:w="2812" w:type="dxa"/>
            <w:vMerge w:val="restart"/>
            <w:tcBorders>
              <w:top w:val="single" w:sz="4" w:space="0" w:color="auto"/>
              <w:left w:val="single" w:sz="4" w:space="0" w:color="auto"/>
              <w:bottom w:val="single" w:sz="4" w:space="0" w:color="auto"/>
              <w:right w:val="single" w:sz="4" w:space="0" w:color="auto"/>
            </w:tcBorders>
            <w:vAlign w:val="center"/>
          </w:tcPr>
          <w:p w:rsidR="00855289" w:rsidRPr="005F7C2C" w:rsidRDefault="00855289" w:rsidP="009045B4">
            <w:pPr>
              <w:pStyle w:val="naisf"/>
              <w:spacing w:before="0" w:after="0"/>
              <w:jc w:val="center"/>
              <w:rPr>
                <w:b/>
                <w:bCs/>
                <w:lang w:val="lv-LV"/>
              </w:rPr>
            </w:pPr>
            <w:r w:rsidRPr="005F7C2C">
              <w:rPr>
                <w:b/>
                <w:bCs/>
                <w:lang w:val="lv-LV"/>
              </w:rPr>
              <w:t>Rādītāji</w:t>
            </w:r>
          </w:p>
        </w:tc>
        <w:tc>
          <w:tcPr>
            <w:tcW w:w="2684" w:type="dxa"/>
            <w:gridSpan w:val="2"/>
            <w:vMerge w:val="restart"/>
            <w:tcBorders>
              <w:top w:val="single" w:sz="4" w:space="0" w:color="auto"/>
              <w:left w:val="single" w:sz="4" w:space="0" w:color="auto"/>
              <w:bottom w:val="single" w:sz="4" w:space="0" w:color="auto"/>
              <w:right w:val="single" w:sz="4" w:space="0" w:color="auto"/>
            </w:tcBorders>
            <w:vAlign w:val="center"/>
          </w:tcPr>
          <w:p w:rsidR="00855289" w:rsidRPr="005F7C2C" w:rsidRDefault="00855289" w:rsidP="00BC0F3D">
            <w:pPr>
              <w:pStyle w:val="naisf"/>
              <w:spacing w:before="0" w:after="0"/>
              <w:jc w:val="center"/>
              <w:rPr>
                <w:b/>
                <w:bCs/>
                <w:lang w:val="lv-LV"/>
              </w:rPr>
            </w:pPr>
            <w:r w:rsidRPr="005F7C2C">
              <w:rPr>
                <w:b/>
                <w:bCs/>
                <w:lang w:val="lv-LV"/>
              </w:rPr>
              <w:t>201</w:t>
            </w:r>
            <w:r w:rsidR="0072560D" w:rsidRPr="005F7C2C">
              <w:rPr>
                <w:b/>
                <w:bCs/>
                <w:lang w:val="lv-LV"/>
              </w:rPr>
              <w:t>5</w:t>
            </w:r>
            <w:r w:rsidRPr="005F7C2C">
              <w:rPr>
                <w:b/>
                <w:bCs/>
                <w:lang w:val="lv-LV"/>
              </w:rPr>
              <w:t>. gads</w:t>
            </w:r>
          </w:p>
        </w:tc>
        <w:tc>
          <w:tcPr>
            <w:tcW w:w="4457" w:type="dxa"/>
            <w:gridSpan w:val="3"/>
            <w:tcBorders>
              <w:top w:val="single" w:sz="4" w:space="0" w:color="auto"/>
              <w:left w:val="single" w:sz="4" w:space="0" w:color="auto"/>
              <w:bottom w:val="single" w:sz="4" w:space="0" w:color="auto"/>
              <w:right w:val="single" w:sz="4" w:space="0" w:color="auto"/>
            </w:tcBorders>
            <w:vAlign w:val="center"/>
          </w:tcPr>
          <w:p w:rsidR="00855289" w:rsidRPr="005F7C2C" w:rsidRDefault="00855289" w:rsidP="00300540">
            <w:pPr>
              <w:pStyle w:val="naisf"/>
              <w:spacing w:before="0" w:after="0"/>
              <w:jc w:val="center"/>
              <w:rPr>
                <w:b/>
                <w:bCs/>
                <w:i/>
                <w:iCs/>
                <w:lang w:val="lv-LV"/>
              </w:rPr>
            </w:pPr>
            <w:r w:rsidRPr="005F7C2C">
              <w:rPr>
                <w:lang w:val="lv-LV"/>
              </w:rPr>
              <w:t>Turpmākie trīs gadi (</w:t>
            </w:r>
            <w:proofErr w:type="spellStart"/>
            <w:r w:rsidR="00CD2DAE" w:rsidRPr="005F7C2C">
              <w:rPr>
                <w:i/>
                <w:iCs/>
                <w:lang w:val="lv-LV"/>
              </w:rPr>
              <w:t>euro</w:t>
            </w:r>
            <w:proofErr w:type="spellEnd"/>
            <w:r w:rsidRPr="005F7C2C">
              <w:rPr>
                <w:lang w:val="lv-LV"/>
              </w:rPr>
              <w:t>)</w:t>
            </w:r>
          </w:p>
        </w:tc>
      </w:tr>
      <w:tr w:rsidR="00855289" w:rsidRPr="005F7C2C" w:rsidTr="009045B4">
        <w:trPr>
          <w:jc w:val="center"/>
        </w:trPr>
        <w:tc>
          <w:tcPr>
            <w:tcW w:w="2812" w:type="dxa"/>
            <w:vMerge/>
            <w:tcBorders>
              <w:top w:val="single" w:sz="4" w:space="0" w:color="auto"/>
              <w:left w:val="single" w:sz="4" w:space="0" w:color="auto"/>
              <w:bottom w:val="single" w:sz="4" w:space="0" w:color="auto"/>
              <w:right w:val="single" w:sz="4" w:space="0" w:color="auto"/>
            </w:tcBorders>
            <w:vAlign w:val="center"/>
          </w:tcPr>
          <w:p w:rsidR="00855289" w:rsidRPr="005F7C2C" w:rsidRDefault="00855289" w:rsidP="009045B4">
            <w:pPr>
              <w:pStyle w:val="naisf"/>
              <w:spacing w:before="0" w:after="0"/>
              <w:jc w:val="center"/>
              <w:rPr>
                <w:b/>
                <w:bCs/>
                <w:i/>
                <w:iCs/>
                <w:lang w:val="lv-LV"/>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855289" w:rsidRPr="005F7C2C" w:rsidRDefault="00855289" w:rsidP="009045B4">
            <w:pPr>
              <w:pStyle w:val="naisf"/>
              <w:spacing w:before="0" w:after="0"/>
              <w:jc w:val="center"/>
              <w:rPr>
                <w:b/>
                <w:bCs/>
                <w:i/>
                <w:iCs/>
                <w:lang w:val="lv-LV"/>
              </w:rPr>
            </w:pPr>
          </w:p>
        </w:tc>
        <w:tc>
          <w:tcPr>
            <w:tcW w:w="1354" w:type="dxa"/>
            <w:tcBorders>
              <w:top w:val="single" w:sz="4" w:space="0" w:color="auto"/>
              <w:left w:val="single" w:sz="4" w:space="0" w:color="auto"/>
              <w:bottom w:val="single" w:sz="4" w:space="0" w:color="auto"/>
              <w:right w:val="single" w:sz="4" w:space="0" w:color="auto"/>
            </w:tcBorders>
            <w:vAlign w:val="center"/>
          </w:tcPr>
          <w:p w:rsidR="00855289" w:rsidRPr="005F7C2C" w:rsidRDefault="00855289" w:rsidP="00BC0F3D">
            <w:pPr>
              <w:pStyle w:val="naisf"/>
              <w:spacing w:before="0" w:after="0"/>
              <w:jc w:val="center"/>
              <w:rPr>
                <w:b/>
                <w:bCs/>
                <w:i/>
                <w:iCs/>
                <w:lang w:val="lv-LV"/>
              </w:rPr>
            </w:pPr>
            <w:r w:rsidRPr="005F7C2C">
              <w:rPr>
                <w:b/>
                <w:bCs/>
                <w:lang w:val="lv-LV"/>
              </w:rPr>
              <w:t>201</w:t>
            </w:r>
            <w:r w:rsidR="00B41DDE" w:rsidRPr="005F7C2C">
              <w:rPr>
                <w:b/>
                <w:bCs/>
                <w:lang w:val="lv-LV"/>
              </w:rPr>
              <w:t>6</w:t>
            </w:r>
            <w:r w:rsidRPr="005F7C2C">
              <w:rPr>
                <w:b/>
                <w:bCs/>
                <w:lang w:val="lv-LV"/>
              </w:rPr>
              <w:t>. gads</w:t>
            </w:r>
          </w:p>
        </w:tc>
        <w:tc>
          <w:tcPr>
            <w:tcW w:w="1355" w:type="dxa"/>
            <w:tcBorders>
              <w:top w:val="single" w:sz="4" w:space="0" w:color="auto"/>
              <w:left w:val="single" w:sz="4" w:space="0" w:color="auto"/>
              <w:bottom w:val="single" w:sz="4" w:space="0" w:color="auto"/>
              <w:right w:val="single" w:sz="4" w:space="0" w:color="auto"/>
            </w:tcBorders>
            <w:vAlign w:val="center"/>
          </w:tcPr>
          <w:p w:rsidR="00855289" w:rsidRPr="005F7C2C" w:rsidRDefault="00855289" w:rsidP="00BC0F3D">
            <w:pPr>
              <w:pStyle w:val="naisf"/>
              <w:spacing w:before="0" w:after="0"/>
              <w:jc w:val="center"/>
              <w:rPr>
                <w:b/>
                <w:bCs/>
                <w:i/>
                <w:iCs/>
                <w:lang w:val="lv-LV"/>
              </w:rPr>
            </w:pPr>
            <w:r w:rsidRPr="005F7C2C">
              <w:rPr>
                <w:b/>
                <w:bCs/>
                <w:lang w:val="lv-LV"/>
              </w:rPr>
              <w:t>201</w:t>
            </w:r>
            <w:r w:rsidR="00B41DDE" w:rsidRPr="005F7C2C">
              <w:rPr>
                <w:b/>
                <w:bCs/>
                <w:lang w:val="lv-LV"/>
              </w:rPr>
              <w:t>7</w:t>
            </w:r>
            <w:r w:rsidRPr="005F7C2C">
              <w:rPr>
                <w:b/>
                <w:bCs/>
                <w:lang w:val="lv-LV"/>
              </w:rPr>
              <w:t>. gads</w:t>
            </w:r>
          </w:p>
        </w:tc>
        <w:tc>
          <w:tcPr>
            <w:tcW w:w="1748" w:type="dxa"/>
            <w:tcBorders>
              <w:top w:val="single" w:sz="4" w:space="0" w:color="auto"/>
              <w:left w:val="single" w:sz="4" w:space="0" w:color="auto"/>
              <w:bottom w:val="single" w:sz="4" w:space="0" w:color="auto"/>
              <w:right w:val="single" w:sz="4" w:space="0" w:color="auto"/>
            </w:tcBorders>
            <w:vAlign w:val="center"/>
          </w:tcPr>
          <w:p w:rsidR="00855289" w:rsidRPr="005F7C2C" w:rsidRDefault="00855289" w:rsidP="00BC0F3D">
            <w:pPr>
              <w:pStyle w:val="naisf"/>
              <w:spacing w:before="0" w:after="0"/>
              <w:jc w:val="center"/>
              <w:rPr>
                <w:b/>
                <w:bCs/>
                <w:i/>
                <w:iCs/>
                <w:lang w:val="lv-LV"/>
              </w:rPr>
            </w:pPr>
            <w:r w:rsidRPr="005F7C2C">
              <w:rPr>
                <w:b/>
                <w:bCs/>
                <w:lang w:val="lv-LV"/>
              </w:rPr>
              <w:t>201</w:t>
            </w:r>
            <w:r w:rsidR="00B41DDE" w:rsidRPr="005F7C2C">
              <w:rPr>
                <w:b/>
                <w:bCs/>
                <w:lang w:val="lv-LV"/>
              </w:rPr>
              <w:t>8</w:t>
            </w:r>
            <w:r w:rsidRPr="005F7C2C">
              <w:rPr>
                <w:b/>
                <w:bCs/>
                <w:lang w:val="lv-LV"/>
              </w:rPr>
              <w:t>. gads</w:t>
            </w:r>
          </w:p>
        </w:tc>
      </w:tr>
      <w:tr w:rsidR="00855289" w:rsidRPr="005F7C2C" w:rsidTr="009045B4">
        <w:trPr>
          <w:jc w:val="center"/>
        </w:trPr>
        <w:tc>
          <w:tcPr>
            <w:tcW w:w="2812" w:type="dxa"/>
            <w:vMerge/>
            <w:tcBorders>
              <w:top w:val="single" w:sz="4" w:space="0" w:color="auto"/>
              <w:left w:val="single" w:sz="4" w:space="0" w:color="auto"/>
              <w:bottom w:val="single" w:sz="4" w:space="0" w:color="auto"/>
              <w:right w:val="single" w:sz="4" w:space="0" w:color="auto"/>
            </w:tcBorders>
            <w:vAlign w:val="center"/>
          </w:tcPr>
          <w:p w:rsidR="00855289" w:rsidRPr="005F7C2C" w:rsidRDefault="00855289" w:rsidP="009045B4">
            <w:pPr>
              <w:pStyle w:val="naisf"/>
              <w:spacing w:before="0" w:after="0"/>
              <w:jc w:val="center"/>
              <w:rPr>
                <w:b/>
                <w:bCs/>
                <w:i/>
                <w:iCs/>
                <w:lang w:val="lv-LV"/>
              </w:rPr>
            </w:pPr>
          </w:p>
        </w:tc>
        <w:tc>
          <w:tcPr>
            <w:tcW w:w="1330" w:type="dxa"/>
            <w:tcBorders>
              <w:top w:val="single" w:sz="4" w:space="0" w:color="auto"/>
              <w:left w:val="single" w:sz="4" w:space="0" w:color="auto"/>
              <w:bottom w:val="single" w:sz="4" w:space="0" w:color="auto"/>
              <w:right w:val="single" w:sz="4" w:space="0" w:color="auto"/>
            </w:tcBorders>
            <w:vAlign w:val="center"/>
          </w:tcPr>
          <w:p w:rsidR="00855289" w:rsidRPr="005F7C2C" w:rsidRDefault="00855289" w:rsidP="009045B4">
            <w:pPr>
              <w:pStyle w:val="naisf"/>
              <w:spacing w:before="0" w:after="0"/>
              <w:jc w:val="center"/>
              <w:rPr>
                <w:b/>
                <w:bCs/>
                <w:i/>
                <w:iCs/>
                <w:lang w:val="lv-LV"/>
              </w:rPr>
            </w:pPr>
            <w:r w:rsidRPr="005F7C2C">
              <w:rPr>
                <w:lang w:val="lv-LV"/>
              </w:rPr>
              <w:t>Saskaņā ar valsts budžetu kārtējam gadam</w:t>
            </w:r>
          </w:p>
        </w:tc>
        <w:tc>
          <w:tcPr>
            <w:tcW w:w="1354" w:type="dxa"/>
            <w:tcBorders>
              <w:top w:val="single" w:sz="4" w:space="0" w:color="auto"/>
              <w:left w:val="single" w:sz="4" w:space="0" w:color="auto"/>
              <w:bottom w:val="single" w:sz="4" w:space="0" w:color="auto"/>
              <w:right w:val="single" w:sz="4" w:space="0" w:color="auto"/>
            </w:tcBorders>
            <w:vAlign w:val="center"/>
          </w:tcPr>
          <w:p w:rsidR="00855289" w:rsidRPr="005F7C2C" w:rsidRDefault="00855289" w:rsidP="009045B4">
            <w:pPr>
              <w:pStyle w:val="naisf"/>
              <w:spacing w:before="0" w:after="0"/>
              <w:jc w:val="center"/>
              <w:rPr>
                <w:b/>
                <w:bCs/>
                <w:i/>
                <w:iCs/>
                <w:lang w:val="lv-LV"/>
              </w:rPr>
            </w:pPr>
            <w:r w:rsidRPr="005F7C2C">
              <w:rPr>
                <w:lang w:val="lv-LV"/>
              </w:rPr>
              <w:t>Izmaiņas kārtējā gadā, salīdzinot ar budžetu kārtējam gadam</w:t>
            </w:r>
          </w:p>
        </w:tc>
        <w:tc>
          <w:tcPr>
            <w:tcW w:w="1354" w:type="dxa"/>
            <w:tcBorders>
              <w:top w:val="single" w:sz="4" w:space="0" w:color="auto"/>
              <w:left w:val="single" w:sz="4" w:space="0" w:color="auto"/>
              <w:bottom w:val="single" w:sz="4" w:space="0" w:color="auto"/>
              <w:right w:val="single" w:sz="4" w:space="0" w:color="auto"/>
            </w:tcBorders>
            <w:vAlign w:val="center"/>
          </w:tcPr>
          <w:p w:rsidR="00855289" w:rsidRPr="005F7C2C" w:rsidRDefault="00855289" w:rsidP="00063FD8">
            <w:pPr>
              <w:pStyle w:val="naisf"/>
              <w:spacing w:before="0" w:after="0"/>
              <w:jc w:val="center"/>
              <w:rPr>
                <w:b/>
                <w:bCs/>
                <w:i/>
                <w:iCs/>
                <w:lang w:val="lv-LV"/>
              </w:rPr>
            </w:pPr>
            <w:r w:rsidRPr="005F7C2C">
              <w:rPr>
                <w:lang w:val="lv-LV"/>
              </w:rPr>
              <w:t>Izmaiņas, salīdzinot ar kārtējo 201</w:t>
            </w:r>
            <w:r w:rsidR="00CA204B" w:rsidRPr="005F7C2C">
              <w:rPr>
                <w:lang w:val="lv-LV"/>
              </w:rPr>
              <w:t>5</w:t>
            </w:r>
            <w:r w:rsidRPr="005F7C2C">
              <w:rPr>
                <w:lang w:val="lv-LV"/>
              </w:rPr>
              <w:t>. gadu</w:t>
            </w:r>
          </w:p>
        </w:tc>
        <w:tc>
          <w:tcPr>
            <w:tcW w:w="1355" w:type="dxa"/>
            <w:tcBorders>
              <w:top w:val="single" w:sz="4" w:space="0" w:color="auto"/>
              <w:left w:val="single" w:sz="4" w:space="0" w:color="auto"/>
              <w:bottom w:val="single" w:sz="4" w:space="0" w:color="auto"/>
              <w:right w:val="single" w:sz="4" w:space="0" w:color="auto"/>
            </w:tcBorders>
            <w:vAlign w:val="center"/>
          </w:tcPr>
          <w:p w:rsidR="00855289" w:rsidRPr="005F7C2C" w:rsidRDefault="00855289" w:rsidP="00063FD8">
            <w:pPr>
              <w:pStyle w:val="naisf"/>
              <w:spacing w:before="0" w:after="0"/>
              <w:jc w:val="center"/>
              <w:rPr>
                <w:b/>
                <w:bCs/>
                <w:i/>
                <w:iCs/>
                <w:lang w:val="lv-LV"/>
              </w:rPr>
            </w:pPr>
            <w:r w:rsidRPr="005F7C2C">
              <w:rPr>
                <w:lang w:val="lv-LV"/>
              </w:rPr>
              <w:t>Izmaiņas, salīdzinot ar kārtējo 201</w:t>
            </w:r>
            <w:r w:rsidR="00CA204B" w:rsidRPr="005F7C2C">
              <w:rPr>
                <w:lang w:val="lv-LV"/>
              </w:rPr>
              <w:t>5</w:t>
            </w:r>
            <w:r w:rsidRPr="005F7C2C">
              <w:rPr>
                <w:lang w:val="lv-LV"/>
              </w:rPr>
              <w:t>. gadu</w:t>
            </w:r>
          </w:p>
        </w:tc>
        <w:tc>
          <w:tcPr>
            <w:tcW w:w="1748" w:type="dxa"/>
            <w:tcBorders>
              <w:top w:val="single" w:sz="4" w:space="0" w:color="auto"/>
              <w:left w:val="single" w:sz="4" w:space="0" w:color="auto"/>
              <w:bottom w:val="single" w:sz="4" w:space="0" w:color="auto"/>
              <w:right w:val="single" w:sz="4" w:space="0" w:color="auto"/>
            </w:tcBorders>
            <w:vAlign w:val="center"/>
          </w:tcPr>
          <w:p w:rsidR="00855289" w:rsidRPr="005F7C2C" w:rsidRDefault="00855289" w:rsidP="00063FD8">
            <w:pPr>
              <w:pStyle w:val="naisf"/>
              <w:spacing w:before="0" w:after="0"/>
              <w:jc w:val="center"/>
              <w:rPr>
                <w:b/>
                <w:bCs/>
                <w:i/>
                <w:iCs/>
                <w:lang w:val="lv-LV"/>
              </w:rPr>
            </w:pPr>
            <w:r w:rsidRPr="005F7C2C">
              <w:rPr>
                <w:lang w:val="lv-LV"/>
              </w:rPr>
              <w:t>Izmaiņas, salīdzinot ar kārtējo 201</w:t>
            </w:r>
            <w:r w:rsidR="00CA204B" w:rsidRPr="005F7C2C">
              <w:rPr>
                <w:lang w:val="lv-LV"/>
              </w:rPr>
              <w:t>5</w:t>
            </w:r>
            <w:r w:rsidRPr="005F7C2C">
              <w:rPr>
                <w:lang w:val="lv-LV"/>
              </w:rPr>
              <w:t>. gadu</w:t>
            </w:r>
          </w:p>
        </w:tc>
      </w:tr>
      <w:tr w:rsidR="00855289" w:rsidRPr="005F7C2C" w:rsidTr="009045B4">
        <w:trPr>
          <w:jc w:val="center"/>
        </w:trPr>
        <w:tc>
          <w:tcPr>
            <w:tcW w:w="2812" w:type="dxa"/>
            <w:tcBorders>
              <w:top w:val="single" w:sz="4" w:space="0" w:color="auto"/>
              <w:left w:val="single" w:sz="4" w:space="0" w:color="auto"/>
              <w:bottom w:val="single" w:sz="4" w:space="0" w:color="auto"/>
              <w:right w:val="single" w:sz="4" w:space="0" w:color="auto"/>
            </w:tcBorders>
            <w:vAlign w:val="center"/>
          </w:tcPr>
          <w:p w:rsidR="00855289" w:rsidRPr="005F7C2C" w:rsidRDefault="00855289" w:rsidP="009045B4">
            <w:pPr>
              <w:pStyle w:val="naisf"/>
              <w:spacing w:before="0" w:after="0"/>
              <w:jc w:val="center"/>
              <w:rPr>
                <w:lang w:val="lv-LV"/>
              </w:rPr>
            </w:pPr>
            <w:r w:rsidRPr="005F7C2C">
              <w:rPr>
                <w:lang w:val="lv-LV"/>
              </w:rPr>
              <w:t>1</w:t>
            </w:r>
          </w:p>
        </w:tc>
        <w:tc>
          <w:tcPr>
            <w:tcW w:w="1330" w:type="dxa"/>
            <w:tcBorders>
              <w:top w:val="single" w:sz="4" w:space="0" w:color="auto"/>
              <w:left w:val="single" w:sz="4" w:space="0" w:color="auto"/>
              <w:bottom w:val="single" w:sz="4" w:space="0" w:color="auto"/>
              <w:right w:val="single" w:sz="4" w:space="0" w:color="auto"/>
            </w:tcBorders>
            <w:vAlign w:val="center"/>
          </w:tcPr>
          <w:p w:rsidR="00855289" w:rsidRPr="005F7C2C" w:rsidRDefault="00855289" w:rsidP="009045B4">
            <w:pPr>
              <w:pStyle w:val="naisf"/>
              <w:spacing w:before="0" w:after="0"/>
              <w:jc w:val="center"/>
              <w:rPr>
                <w:lang w:val="lv-LV"/>
              </w:rPr>
            </w:pPr>
            <w:r w:rsidRPr="005F7C2C">
              <w:rPr>
                <w:lang w:val="lv-LV"/>
              </w:rPr>
              <w:t>2</w:t>
            </w:r>
          </w:p>
        </w:tc>
        <w:tc>
          <w:tcPr>
            <w:tcW w:w="1354" w:type="dxa"/>
            <w:tcBorders>
              <w:top w:val="single" w:sz="4" w:space="0" w:color="auto"/>
              <w:left w:val="single" w:sz="4" w:space="0" w:color="auto"/>
              <w:bottom w:val="single" w:sz="4" w:space="0" w:color="auto"/>
              <w:right w:val="single" w:sz="4" w:space="0" w:color="auto"/>
            </w:tcBorders>
            <w:vAlign w:val="center"/>
          </w:tcPr>
          <w:p w:rsidR="00855289" w:rsidRPr="005F7C2C" w:rsidRDefault="00855289" w:rsidP="009045B4">
            <w:pPr>
              <w:pStyle w:val="naisf"/>
              <w:spacing w:before="0" w:after="0"/>
              <w:jc w:val="center"/>
              <w:rPr>
                <w:lang w:val="lv-LV"/>
              </w:rPr>
            </w:pPr>
            <w:r w:rsidRPr="005F7C2C">
              <w:rPr>
                <w:lang w:val="lv-LV"/>
              </w:rPr>
              <w:t>3</w:t>
            </w:r>
          </w:p>
        </w:tc>
        <w:tc>
          <w:tcPr>
            <w:tcW w:w="1354" w:type="dxa"/>
            <w:tcBorders>
              <w:top w:val="single" w:sz="4" w:space="0" w:color="auto"/>
              <w:left w:val="single" w:sz="4" w:space="0" w:color="auto"/>
              <w:bottom w:val="single" w:sz="4" w:space="0" w:color="auto"/>
              <w:right w:val="single" w:sz="4" w:space="0" w:color="auto"/>
            </w:tcBorders>
            <w:vAlign w:val="center"/>
          </w:tcPr>
          <w:p w:rsidR="00855289" w:rsidRPr="005F7C2C" w:rsidRDefault="00855289" w:rsidP="009045B4">
            <w:pPr>
              <w:pStyle w:val="naisf"/>
              <w:spacing w:before="0" w:after="0"/>
              <w:jc w:val="center"/>
              <w:rPr>
                <w:lang w:val="lv-LV"/>
              </w:rPr>
            </w:pPr>
            <w:r w:rsidRPr="005F7C2C">
              <w:rPr>
                <w:lang w:val="lv-LV"/>
              </w:rPr>
              <w:t>4</w:t>
            </w:r>
          </w:p>
        </w:tc>
        <w:tc>
          <w:tcPr>
            <w:tcW w:w="1355" w:type="dxa"/>
            <w:tcBorders>
              <w:top w:val="single" w:sz="4" w:space="0" w:color="auto"/>
              <w:left w:val="single" w:sz="4" w:space="0" w:color="auto"/>
              <w:bottom w:val="single" w:sz="4" w:space="0" w:color="auto"/>
              <w:right w:val="single" w:sz="4" w:space="0" w:color="auto"/>
            </w:tcBorders>
            <w:vAlign w:val="center"/>
          </w:tcPr>
          <w:p w:rsidR="00855289" w:rsidRPr="005F7C2C" w:rsidRDefault="00855289" w:rsidP="009045B4">
            <w:pPr>
              <w:pStyle w:val="naisf"/>
              <w:spacing w:before="0" w:after="0"/>
              <w:jc w:val="center"/>
              <w:rPr>
                <w:lang w:val="lv-LV"/>
              </w:rPr>
            </w:pPr>
            <w:r w:rsidRPr="005F7C2C">
              <w:rPr>
                <w:lang w:val="lv-LV"/>
              </w:rPr>
              <w:t>5</w:t>
            </w:r>
          </w:p>
        </w:tc>
        <w:tc>
          <w:tcPr>
            <w:tcW w:w="1748" w:type="dxa"/>
            <w:tcBorders>
              <w:top w:val="single" w:sz="4" w:space="0" w:color="auto"/>
              <w:left w:val="single" w:sz="4" w:space="0" w:color="auto"/>
              <w:bottom w:val="single" w:sz="4" w:space="0" w:color="auto"/>
              <w:right w:val="single" w:sz="4" w:space="0" w:color="auto"/>
            </w:tcBorders>
            <w:vAlign w:val="center"/>
          </w:tcPr>
          <w:p w:rsidR="00855289" w:rsidRPr="005F7C2C" w:rsidRDefault="00855289" w:rsidP="009045B4">
            <w:pPr>
              <w:pStyle w:val="naisf"/>
              <w:spacing w:before="0" w:after="0"/>
              <w:jc w:val="center"/>
              <w:rPr>
                <w:lang w:val="lv-LV"/>
              </w:rPr>
            </w:pPr>
            <w:r w:rsidRPr="005F7C2C">
              <w:rPr>
                <w:lang w:val="lv-LV"/>
              </w:rPr>
              <w:t>6</w:t>
            </w:r>
          </w:p>
        </w:tc>
      </w:tr>
      <w:tr w:rsidR="00804872" w:rsidRPr="005F7C2C" w:rsidTr="0000382E">
        <w:trPr>
          <w:jc w:val="center"/>
        </w:trPr>
        <w:tc>
          <w:tcPr>
            <w:tcW w:w="2812" w:type="dxa"/>
            <w:tcBorders>
              <w:top w:val="single" w:sz="4" w:space="0" w:color="auto"/>
              <w:left w:val="single" w:sz="4" w:space="0" w:color="auto"/>
              <w:bottom w:val="single" w:sz="4" w:space="0" w:color="auto"/>
              <w:right w:val="single" w:sz="4" w:space="0" w:color="auto"/>
            </w:tcBorders>
          </w:tcPr>
          <w:p w:rsidR="00804872" w:rsidRPr="005F7C2C" w:rsidRDefault="00804872" w:rsidP="009045B4">
            <w:pPr>
              <w:pStyle w:val="naisf"/>
              <w:spacing w:before="0" w:after="0"/>
              <w:rPr>
                <w:i/>
                <w:iCs/>
                <w:lang w:val="lv-LV"/>
              </w:rPr>
            </w:pPr>
            <w:r w:rsidRPr="005F7C2C">
              <w:rPr>
                <w:lang w:val="lv-LV"/>
              </w:rPr>
              <w:t>1. Budžeta ieņēmumi:</w:t>
            </w:r>
          </w:p>
        </w:tc>
        <w:tc>
          <w:tcPr>
            <w:tcW w:w="1330" w:type="dxa"/>
            <w:tcBorders>
              <w:top w:val="single" w:sz="4" w:space="0" w:color="auto"/>
              <w:left w:val="single" w:sz="4" w:space="0" w:color="auto"/>
              <w:bottom w:val="single" w:sz="4" w:space="0" w:color="auto"/>
              <w:right w:val="single" w:sz="4" w:space="0" w:color="auto"/>
            </w:tcBorders>
          </w:tcPr>
          <w:p w:rsidR="00804872" w:rsidRPr="005F7C2C" w:rsidRDefault="003B6F4B" w:rsidP="0000382E">
            <w:pPr>
              <w:pStyle w:val="naisf"/>
              <w:spacing w:before="0" w:after="0"/>
              <w:jc w:val="right"/>
              <w:rPr>
                <w:b/>
                <w:bCs/>
                <w:i/>
                <w:iCs/>
                <w:sz w:val="22"/>
                <w:szCs w:val="22"/>
                <w:lang w:val="lv-LV"/>
              </w:rPr>
            </w:pPr>
            <w:r w:rsidRPr="005F7C2C">
              <w:rPr>
                <w:b/>
                <w:bCs/>
                <w:i/>
                <w:iCs/>
                <w:sz w:val="22"/>
                <w:szCs w:val="22"/>
                <w:lang w:val="lv-LV"/>
              </w:rPr>
              <w:t>15 508 006</w:t>
            </w:r>
          </w:p>
        </w:tc>
        <w:tc>
          <w:tcPr>
            <w:tcW w:w="1354" w:type="dxa"/>
            <w:tcBorders>
              <w:top w:val="single" w:sz="4" w:space="0" w:color="auto"/>
              <w:left w:val="single" w:sz="4" w:space="0" w:color="auto"/>
              <w:bottom w:val="single" w:sz="4" w:space="0" w:color="auto"/>
              <w:right w:val="single" w:sz="4" w:space="0" w:color="auto"/>
            </w:tcBorders>
          </w:tcPr>
          <w:p w:rsidR="00804872" w:rsidRPr="005F7C2C" w:rsidRDefault="00804872" w:rsidP="0000382E">
            <w:pPr>
              <w:pStyle w:val="naisf"/>
              <w:spacing w:before="0" w:after="0"/>
              <w:jc w:val="right"/>
              <w:rPr>
                <w:b/>
                <w:bCs/>
                <w:i/>
                <w:iCs/>
                <w:sz w:val="22"/>
                <w:szCs w:val="22"/>
                <w:lang w:val="lv-LV"/>
              </w:rPr>
            </w:pPr>
            <w:r w:rsidRPr="005F7C2C">
              <w:rPr>
                <w:b/>
                <w:bCs/>
                <w:i/>
                <w:iCs/>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04872" w:rsidRPr="005F7C2C" w:rsidRDefault="003B6F4B" w:rsidP="0000382E">
            <w:pPr>
              <w:pStyle w:val="naisf"/>
              <w:spacing w:before="0" w:after="0"/>
              <w:jc w:val="right"/>
              <w:rPr>
                <w:b/>
                <w:bCs/>
                <w:i/>
                <w:iCs/>
                <w:sz w:val="22"/>
                <w:szCs w:val="22"/>
                <w:lang w:val="lv-LV"/>
              </w:rPr>
            </w:pPr>
            <w:r w:rsidRPr="005F7C2C">
              <w:rPr>
                <w:b/>
                <w:bCs/>
                <w:i/>
                <w:iCs/>
                <w:sz w:val="22"/>
                <w:szCs w:val="22"/>
                <w:lang w:val="lv-LV"/>
              </w:rPr>
              <w:t>-12 136 710</w:t>
            </w:r>
          </w:p>
        </w:tc>
        <w:tc>
          <w:tcPr>
            <w:tcW w:w="1355" w:type="dxa"/>
            <w:tcBorders>
              <w:top w:val="single" w:sz="4" w:space="0" w:color="auto"/>
              <w:left w:val="single" w:sz="4" w:space="0" w:color="auto"/>
              <w:bottom w:val="single" w:sz="4" w:space="0" w:color="auto"/>
              <w:right w:val="single" w:sz="4" w:space="0" w:color="auto"/>
            </w:tcBorders>
          </w:tcPr>
          <w:p w:rsidR="00804872" w:rsidRPr="005F7C2C" w:rsidRDefault="00B41DDE" w:rsidP="0000382E">
            <w:pPr>
              <w:pStyle w:val="naisf"/>
              <w:spacing w:before="0" w:after="0"/>
              <w:jc w:val="right"/>
              <w:rPr>
                <w:b/>
                <w:bCs/>
                <w:i/>
                <w:iCs/>
                <w:sz w:val="22"/>
                <w:szCs w:val="22"/>
                <w:lang w:val="lv-LV"/>
              </w:rPr>
            </w:pPr>
            <w:r w:rsidRPr="005F7C2C">
              <w:rPr>
                <w:b/>
                <w:bCs/>
                <w:i/>
                <w:iCs/>
                <w:sz w:val="22"/>
                <w:szCs w:val="22"/>
                <w:lang w:val="lv-LV"/>
              </w:rPr>
              <w:t>-</w:t>
            </w:r>
            <w:r w:rsidR="00727306" w:rsidRPr="005F7C2C">
              <w:rPr>
                <w:b/>
                <w:bCs/>
                <w:i/>
                <w:iCs/>
                <w:sz w:val="22"/>
                <w:szCs w:val="22"/>
                <w:lang w:val="lv-LV"/>
              </w:rPr>
              <w:t>15 508 006</w:t>
            </w:r>
          </w:p>
        </w:tc>
        <w:tc>
          <w:tcPr>
            <w:tcW w:w="1748" w:type="dxa"/>
            <w:tcBorders>
              <w:top w:val="single" w:sz="4" w:space="0" w:color="auto"/>
              <w:left w:val="single" w:sz="4" w:space="0" w:color="auto"/>
              <w:bottom w:val="single" w:sz="4" w:space="0" w:color="auto"/>
              <w:right w:val="single" w:sz="4" w:space="0" w:color="auto"/>
            </w:tcBorders>
          </w:tcPr>
          <w:p w:rsidR="00804872" w:rsidRPr="005F7C2C" w:rsidRDefault="00B41DDE" w:rsidP="0000382E">
            <w:pPr>
              <w:pStyle w:val="naisf"/>
              <w:spacing w:before="0" w:after="0"/>
              <w:jc w:val="right"/>
              <w:rPr>
                <w:b/>
                <w:bCs/>
                <w:i/>
                <w:iCs/>
                <w:sz w:val="22"/>
                <w:szCs w:val="22"/>
                <w:lang w:val="lv-LV"/>
              </w:rPr>
            </w:pPr>
            <w:r w:rsidRPr="005F7C2C">
              <w:rPr>
                <w:b/>
                <w:bCs/>
                <w:i/>
                <w:iCs/>
                <w:sz w:val="22"/>
                <w:szCs w:val="22"/>
                <w:lang w:val="lv-LV"/>
              </w:rPr>
              <w:t>-</w:t>
            </w:r>
            <w:r w:rsidR="00727306" w:rsidRPr="005F7C2C">
              <w:rPr>
                <w:b/>
                <w:bCs/>
                <w:i/>
                <w:iCs/>
                <w:sz w:val="22"/>
                <w:szCs w:val="22"/>
                <w:lang w:val="lv-LV"/>
              </w:rPr>
              <w:t>15 508 006</w:t>
            </w:r>
          </w:p>
        </w:tc>
      </w:tr>
      <w:tr w:rsidR="00804872" w:rsidRPr="005F7C2C" w:rsidTr="0000382E">
        <w:trPr>
          <w:jc w:val="center"/>
        </w:trPr>
        <w:tc>
          <w:tcPr>
            <w:tcW w:w="2812" w:type="dxa"/>
            <w:tcBorders>
              <w:top w:val="single" w:sz="4" w:space="0" w:color="auto"/>
              <w:left w:val="single" w:sz="4" w:space="0" w:color="auto"/>
              <w:bottom w:val="single" w:sz="4" w:space="0" w:color="auto"/>
              <w:right w:val="single" w:sz="4" w:space="0" w:color="auto"/>
            </w:tcBorders>
          </w:tcPr>
          <w:p w:rsidR="00804872" w:rsidRPr="005F7C2C" w:rsidRDefault="00804872" w:rsidP="009045B4">
            <w:pPr>
              <w:pStyle w:val="naisf"/>
              <w:spacing w:before="0" w:after="0"/>
              <w:rPr>
                <w:i/>
                <w:iCs/>
                <w:lang w:val="lv-LV"/>
              </w:rPr>
            </w:pPr>
            <w:r w:rsidRPr="005F7C2C">
              <w:rPr>
                <w:lang w:val="lv-LV"/>
              </w:rPr>
              <w:t>1.1. valsts pamatbudžets, tai skaitā ieņēmumi no maksas pakalpojumiem un citi pašu ieņēmumi</w:t>
            </w:r>
          </w:p>
        </w:tc>
        <w:tc>
          <w:tcPr>
            <w:tcW w:w="1330" w:type="dxa"/>
            <w:tcBorders>
              <w:top w:val="single" w:sz="4" w:space="0" w:color="auto"/>
              <w:left w:val="single" w:sz="4" w:space="0" w:color="auto"/>
              <w:bottom w:val="single" w:sz="4" w:space="0" w:color="auto"/>
              <w:right w:val="single" w:sz="4" w:space="0" w:color="auto"/>
            </w:tcBorders>
          </w:tcPr>
          <w:p w:rsidR="00804872" w:rsidRPr="005F7C2C" w:rsidRDefault="00727306" w:rsidP="0000382E">
            <w:pPr>
              <w:pStyle w:val="naisf"/>
              <w:spacing w:before="0" w:after="0"/>
              <w:jc w:val="right"/>
              <w:rPr>
                <w:bCs/>
                <w:i/>
                <w:iCs/>
                <w:sz w:val="22"/>
                <w:szCs w:val="22"/>
                <w:lang w:val="lv-LV"/>
              </w:rPr>
            </w:pPr>
            <w:r w:rsidRPr="005F7C2C">
              <w:rPr>
                <w:bCs/>
                <w:i/>
                <w:iCs/>
                <w:sz w:val="22"/>
                <w:szCs w:val="22"/>
                <w:lang w:val="lv-LV"/>
              </w:rPr>
              <w:t>15 508 006</w:t>
            </w:r>
          </w:p>
        </w:tc>
        <w:tc>
          <w:tcPr>
            <w:tcW w:w="1354" w:type="dxa"/>
            <w:tcBorders>
              <w:top w:val="single" w:sz="4" w:space="0" w:color="auto"/>
              <w:left w:val="single" w:sz="4" w:space="0" w:color="auto"/>
              <w:bottom w:val="single" w:sz="4" w:space="0" w:color="auto"/>
              <w:right w:val="single" w:sz="4" w:space="0" w:color="auto"/>
            </w:tcBorders>
          </w:tcPr>
          <w:p w:rsidR="00804872" w:rsidRPr="005F7C2C" w:rsidRDefault="00804872" w:rsidP="0000382E">
            <w:pPr>
              <w:pStyle w:val="naisf"/>
              <w:spacing w:before="0" w:after="0"/>
              <w:jc w:val="right"/>
              <w:rPr>
                <w:bCs/>
                <w:i/>
                <w:iCs/>
                <w:sz w:val="22"/>
                <w:szCs w:val="22"/>
                <w:lang w:val="lv-LV"/>
              </w:rPr>
            </w:pPr>
            <w:r w:rsidRPr="005F7C2C">
              <w:rPr>
                <w:bCs/>
                <w:i/>
                <w:iCs/>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04872" w:rsidRPr="005F7C2C" w:rsidRDefault="003B6F4B" w:rsidP="0000382E">
            <w:pPr>
              <w:pStyle w:val="naisf"/>
              <w:spacing w:before="0" w:after="0"/>
              <w:jc w:val="right"/>
              <w:rPr>
                <w:bCs/>
                <w:i/>
                <w:iCs/>
                <w:sz w:val="22"/>
                <w:szCs w:val="22"/>
                <w:lang w:val="lv-LV"/>
              </w:rPr>
            </w:pPr>
            <w:r w:rsidRPr="005F7C2C">
              <w:rPr>
                <w:bCs/>
                <w:i/>
                <w:iCs/>
                <w:sz w:val="22"/>
                <w:szCs w:val="22"/>
                <w:lang w:val="lv-LV"/>
              </w:rPr>
              <w:t>-12 136 710</w:t>
            </w:r>
          </w:p>
        </w:tc>
        <w:tc>
          <w:tcPr>
            <w:tcW w:w="1355" w:type="dxa"/>
            <w:tcBorders>
              <w:top w:val="single" w:sz="4" w:space="0" w:color="auto"/>
              <w:left w:val="single" w:sz="4" w:space="0" w:color="auto"/>
              <w:bottom w:val="single" w:sz="4" w:space="0" w:color="auto"/>
              <w:right w:val="single" w:sz="4" w:space="0" w:color="auto"/>
            </w:tcBorders>
          </w:tcPr>
          <w:p w:rsidR="00804872" w:rsidRPr="005F7C2C" w:rsidRDefault="00B41DDE" w:rsidP="0000382E">
            <w:pPr>
              <w:pStyle w:val="naisf"/>
              <w:spacing w:before="0" w:after="0"/>
              <w:jc w:val="right"/>
              <w:rPr>
                <w:bCs/>
                <w:i/>
                <w:iCs/>
                <w:sz w:val="22"/>
                <w:szCs w:val="22"/>
                <w:lang w:val="lv-LV"/>
              </w:rPr>
            </w:pPr>
            <w:r w:rsidRPr="005F7C2C">
              <w:rPr>
                <w:bCs/>
                <w:i/>
                <w:iCs/>
                <w:sz w:val="22"/>
                <w:szCs w:val="22"/>
                <w:lang w:val="lv-LV"/>
              </w:rPr>
              <w:t>-</w:t>
            </w:r>
            <w:r w:rsidR="003B6F4B" w:rsidRPr="005F7C2C">
              <w:rPr>
                <w:bCs/>
                <w:i/>
                <w:iCs/>
                <w:sz w:val="22"/>
                <w:szCs w:val="22"/>
                <w:lang w:val="lv-LV"/>
              </w:rPr>
              <w:t>15 508 006</w:t>
            </w:r>
          </w:p>
        </w:tc>
        <w:tc>
          <w:tcPr>
            <w:tcW w:w="1748" w:type="dxa"/>
            <w:tcBorders>
              <w:top w:val="single" w:sz="4" w:space="0" w:color="auto"/>
              <w:left w:val="single" w:sz="4" w:space="0" w:color="auto"/>
              <w:bottom w:val="single" w:sz="4" w:space="0" w:color="auto"/>
              <w:right w:val="single" w:sz="4" w:space="0" w:color="auto"/>
            </w:tcBorders>
          </w:tcPr>
          <w:p w:rsidR="00804872" w:rsidRPr="005F7C2C" w:rsidRDefault="00B41DDE" w:rsidP="0000382E">
            <w:pPr>
              <w:pStyle w:val="naisf"/>
              <w:spacing w:before="0" w:after="0"/>
              <w:jc w:val="right"/>
              <w:rPr>
                <w:bCs/>
                <w:i/>
                <w:iCs/>
                <w:sz w:val="22"/>
                <w:szCs w:val="22"/>
                <w:lang w:val="lv-LV"/>
              </w:rPr>
            </w:pPr>
            <w:r w:rsidRPr="005F7C2C">
              <w:rPr>
                <w:bCs/>
                <w:i/>
                <w:iCs/>
                <w:sz w:val="22"/>
                <w:szCs w:val="22"/>
                <w:lang w:val="lv-LV"/>
              </w:rPr>
              <w:t>-</w:t>
            </w:r>
            <w:r w:rsidR="003B6F4B" w:rsidRPr="005F7C2C">
              <w:rPr>
                <w:bCs/>
                <w:i/>
                <w:iCs/>
                <w:sz w:val="22"/>
                <w:szCs w:val="22"/>
                <w:lang w:val="lv-LV"/>
              </w:rPr>
              <w:t>15 508 006</w:t>
            </w:r>
          </w:p>
        </w:tc>
      </w:tr>
      <w:tr w:rsidR="00855289" w:rsidRPr="005F7C2C" w:rsidTr="0000382E">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5F7C2C" w:rsidRDefault="00855289" w:rsidP="009045B4">
            <w:pPr>
              <w:pStyle w:val="naisf"/>
              <w:spacing w:before="0" w:after="0"/>
              <w:rPr>
                <w:i/>
                <w:iCs/>
                <w:lang w:val="lv-LV"/>
              </w:rPr>
            </w:pPr>
            <w:r w:rsidRPr="005F7C2C">
              <w:rPr>
                <w:lang w:val="lv-LV"/>
              </w:rPr>
              <w:t>1.2. valsts speciālais budžets</w:t>
            </w:r>
          </w:p>
        </w:tc>
        <w:tc>
          <w:tcPr>
            <w:tcW w:w="1330"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r>
      <w:tr w:rsidR="00855289" w:rsidRPr="005F7C2C" w:rsidTr="0000382E">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5F7C2C" w:rsidRDefault="00855289" w:rsidP="009045B4">
            <w:pPr>
              <w:pStyle w:val="naisf"/>
              <w:spacing w:before="0" w:after="0"/>
              <w:rPr>
                <w:i/>
                <w:iCs/>
                <w:lang w:val="lv-LV"/>
              </w:rPr>
            </w:pPr>
            <w:r w:rsidRPr="005F7C2C">
              <w:rPr>
                <w:lang w:val="lv-LV"/>
              </w:rPr>
              <w:t>1.3. pašvaldību budžets</w:t>
            </w:r>
          </w:p>
        </w:tc>
        <w:tc>
          <w:tcPr>
            <w:tcW w:w="1330"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r>
      <w:tr w:rsidR="000C075A" w:rsidRPr="005F7C2C" w:rsidTr="0000382E">
        <w:trPr>
          <w:jc w:val="center"/>
        </w:trPr>
        <w:tc>
          <w:tcPr>
            <w:tcW w:w="2812" w:type="dxa"/>
            <w:tcBorders>
              <w:top w:val="single" w:sz="4" w:space="0" w:color="auto"/>
              <w:left w:val="single" w:sz="4" w:space="0" w:color="auto"/>
              <w:bottom w:val="single" w:sz="4" w:space="0" w:color="auto"/>
              <w:right w:val="single" w:sz="4" w:space="0" w:color="auto"/>
            </w:tcBorders>
          </w:tcPr>
          <w:p w:rsidR="000C075A" w:rsidRPr="005F7C2C" w:rsidRDefault="000C075A" w:rsidP="009045B4">
            <w:pPr>
              <w:jc w:val="both"/>
            </w:pPr>
            <w:r w:rsidRPr="005F7C2C">
              <w:t>2. Budžeta izdevumi:</w:t>
            </w:r>
          </w:p>
        </w:tc>
        <w:tc>
          <w:tcPr>
            <w:tcW w:w="1330" w:type="dxa"/>
            <w:tcBorders>
              <w:top w:val="single" w:sz="4" w:space="0" w:color="auto"/>
              <w:left w:val="single" w:sz="4" w:space="0" w:color="auto"/>
              <w:bottom w:val="single" w:sz="4" w:space="0" w:color="auto"/>
              <w:right w:val="single" w:sz="4" w:space="0" w:color="auto"/>
            </w:tcBorders>
          </w:tcPr>
          <w:p w:rsidR="000C075A" w:rsidRPr="005F7C2C" w:rsidRDefault="003B6F4B" w:rsidP="0000382E">
            <w:pPr>
              <w:pStyle w:val="naisf"/>
              <w:spacing w:before="0" w:after="0"/>
              <w:jc w:val="right"/>
              <w:rPr>
                <w:b/>
                <w:bCs/>
                <w:i/>
                <w:iCs/>
                <w:sz w:val="22"/>
                <w:szCs w:val="22"/>
                <w:lang w:val="lv-LV"/>
              </w:rPr>
            </w:pPr>
            <w:r w:rsidRPr="005F7C2C">
              <w:rPr>
                <w:b/>
                <w:bCs/>
                <w:i/>
                <w:iCs/>
                <w:sz w:val="22"/>
                <w:szCs w:val="22"/>
                <w:lang w:val="lv-LV"/>
              </w:rPr>
              <w:t>16 035 773</w:t>
            </w:r>
          </w:p>
        </w:tc>
        <w:tc>
          <w:tcPr>
            <w:tcW w:w="1354" w:type="dxa"/>
            <w:tcBorders>
              <w:top w:val="single" w:sz="4" w:space="0" w:color="auto"/>
              <w:left w:val="single" w:sz="4" w:space="0" w:color="auto"/>
              <w:bottom w:val="single" w:sz="4" w:space="0" w:color="auto"/>
              <w:right w:val="single" w:sz="4" w:space="0" w:color="auto"/>
            </w:tcBorders>
          </w:tcPr>
          <w:p w:rsidR="000C075A" w:rsidRPr="005F7C2C" w:rsidRDefault="000C075A" w:rsidP="0000382E">
            <w:pPr>
              <w:pStyle w:val="naisf"/>
              <w:spacing w:before="0" w:after="0"/>
              <w:jc w:val="right"/>
              <w:rPr>
                <w:b/>
                <w:bCs/>
                <w:i/>
                <w:iCs/>
                <w:sz w:val="22"/>
                <w:szCs w:val="22"/>
                <w:lang w:val="lv-LV"/>
              </w:rPr>
            </w:pPr>
            <w:r w:rsidRPr="005F7C2C">
              <w:rPr>
                <w:b/>
                <w:bCs/>
                <w:i/>
                <w:iCs/>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0C075A" w:rsidRPr="005F7C2C" w:rsidRDefault="003B6F4B" w:rsidP="0000382E">
            <w:pPr>
              <w:pStyle w:val="naisf"/>
              <w:spacing w:before="0" w:after="0"/>
              <w:jc w:val="right"/>
              <w:rPr>
                <w:b/>
                <w:bCs/>
                <w:i/>
                <w:iCs/>
                <w:sz w:val="22"/>
                <w:szCs w:val="22"/>
                <w:lang w:val="lv-LV"/>
              </w:rPr>
            </w:pPr>
            <w:r w:rsidRPr="005F7C2C">
              <w:rPr>
                <w:b/>
                <w:bCs/>
                <w:i/>
                <w:iCs/>
                <w:sz w:val="22"/>
                <w:szCs w:val="22"/>
                <w:lang w:val="lv-LV"/>
              </w:rPr>
              <w:t>-12 664 477</w:t>
            </w:r>
          </w:p>
        </w:tc>
        <w:tc>
          <w:tcPr>
            <w:tcW w:w="1355" w:type="dxa"/>
            <w:tcBorders>
              <w:top w:val="single" w:sz="4" w:space="0" w:color="auto"/>
              <w:left w:val="single" w:sz="4" w:space="0" w:color="auto"/>
              <w:bottom w:val="single" w:sz="4" w:space="0" w:color="auto"/>
              <w:right w:val="single" w:sz="4" w:space="0" w:color="auto"/>
            </w:tcBorders>
          </w:tcPr>
          <w:p w:rsidR="000C075A" w:rsidRPr="005F7C2C" w:rsidRDefault="00B41DDE" w:rsidP="0000382E">
            <w:pPr>
              <w:pStyle w:val="naisf"/>
              <w:spacing w:before="0" w:after="0"/>
              <w:jc w:val="right"/>
              <w:rPr>
                <w:b/>
                <w:bCs/>
                <w:i/>
                <w:iCs/>
                <w:sz w:val="22"/>
                <w:szCs w:val="22"/>
                <w:lang w:val="lv-LV"/>
              </w:rPr>
            </w:pPr>
            <w:r w:rsidRPr="005F7C2C">
              <w:rPr>
                <w:b/>
                <w:bCs/>
                <w:i/>
                <w:iCs/>
                <w:sz w:val="22"/>
                <w:szCs w:val="22"/>
                <w:lang w:val="lv-LV"/>
              </w:rPr>
              <w:t>-</w:t>
            </w:r>
            <w:r w:rsidR="003B6F4B" w:rsidRPr="005F7C2C">
              <w:rPr>
                <w:b/>
                <w:bCs/>
                <w:i/>
                <w:iCs/>
                <w:sz w:val="22"/>
                <w:szCs w:val="22"/>
                <w:lang w:val="lv-LV"/>
              </w:rPr>
              <w:t>16 035 773</w:t>
            </w:r>
          </w:p>
        </w:tc>
        <w:tc>
          <w:tcPr>
            <w:tcW w:w="1748" w:type="dxa"/>
            <w:tcBorders>
              <w:top w:val="single" w:sz="4" w:space="0" w:color="auto"/>
              <w:left w:val="single" w:sz="4" w:space="0" w:color="auto"/>
              <w:bottom w:val="single" w:sz="4" w:space="0" w:color="auto"/>
              <w:right w:val="single" w:sz="4" w:space="0" w:color="auto"/>
            </w:tcBorders>
          </w:tcPr>
          <w:p w:rsidR="000C075A" w:rsidRPr="005F7C2C" w:rsidRDefault="00B41DDE" w:rsidP="0000382E">
            <w:pPr>
              <w:pStyle w:val="naisf"/>
              <w:spacing w:before="0" w:after="0"/>
              <w:jc w:val="right"/>
              <w:rPr>
                <w:b/>
                <w:bCs/>
                <w:i/>
                <w:iCs/>
                <w:sz w:val="22"/>
                <w:szCs w:val="22"/>
                <w:lang w:val="lv-LV"/>
              </w:rPr>
            </w:pPr>
            <w:r w:rsidRPr="005F7C2C">
              <w:rPr>
                <w:b/>
                <w:bCs/>
                <w:i/>
                <w:iCs/>
                <w:sz w:val="22"/>
                <w:szCs w:val="22"/>
                <w:lang w:val="lv-LV"/>
              </w:rPr>
              <w:t>-</w:t>
            </w:r>
            <w:r w:rsidR="003B6F4B" w:rsidRPr="005F7C2C">
              <w:rPr>
                <w:b/>
                <w:bCs/>
                <w:i/>
                <w:iCs/>
                <w:sz w:val="22"/>
                <w:szCs w:val="22"/>
                <w:lang w:val="lv-LV"/>
              </w:rPr>
              <w:t>16 035 773</w:t>
            </w:r>
          </w:p>
        </w:tc>
      </w:tr>
      <w:tr w:rsidR="000C075A" w:rsidRPr="005F7C2C" w:rsidTr="0000382E">
        <w:trPr>
          <w:jc w:val="center"/>
        </w:trPr>
        <w:tc>
          <w:tcPr>
            <w:tcW w:w="2812" w:type="dxa"/>
            <w:tcBorders>
              <w:top w:val="single" w:sz="4" w:space="0" w:color="auto"/>
              <w:left w:val="single" w:sz="4" w:space="0" w:color="auto"/>
              <w:bottom w:val="single" w:sz="4" w:space="0" w:color="auto"/>
              <w:right w:val="single" w:sz="4" w:space="0" w:color="auto"/>
            </w:tcBorders>
          </w:tcPr>
          <w:p w:rsidR="000C075A" w:rsidRPr="005F7C2C" w:rsidRDefault="000C075A" w:rsidP="009045B4">
            <w:pPr>
              <w:jc w:val="both"/>
            </w:pPr>
            <w:r w:rsidRPr="005F7C2C">
              <w:t>2.1. valsts pamatbudžets</w:t>
            </w:r>
          </w:p>
        </w:tc>
        <w:tc>
          <w:tcPr>
            <w:tcW w:w="1330" w:type="dxa"/>
            <w:tcBorders>
              <w:top w:val="single" w:sz="4" w:space="0" w:color="auto"/>
              <w:left w:val="single" w:sz="4" w:space="0" w:color="auto"/>
              <w:bottom w:val="single" w:sz="4" w:space="0" w:color="auto"/>
              <w:right w:val="single" w:sz="4" w:space="0" w:color="auto"/>
            </w:tcBorders>
          </w:tcPr>
          <w:p w:rsidR="000C075A" w:rsidRPr="005F7C2C" w:rsidRDefault="003B6F4B" w:rsidP="0000382E">
            <w:pPr>
              <w:pStyle w:val="naisf"/>
              <w:spacing w:before="0" w:after="0"/>
              <w:jc w:val="right"/>
              <w:rPr>
                <w:i/>
                <w:sz w:val="22"/>
                <w:szCs w:val="22"/>
                <w:lang w:val="lv-LV"/>
              </w:rPr>
            </w:pPr>
            <w:r w:rsidRPr="005F7C2C">
              <w:rPr>
                <w:i/>
                <w:sz w:val="22"/>
                <w:szCs w:val="22"/>
                <w:lang w:val="lv-LV"/>
              </w:rPr>
              <w:t>16 035 773</w:t>
            </w:r>
          </w:p>
        </w:tc>
        <w:tc>
          <w:tcPr>
            <w:tcW w:w="1354" w:type="dxa"/>
            <w:tcBorders>
              <w:top w:val="single" w:sz="4" w:space="0" w:color="auto"/>
              <w:left w:val="single" w:sz="4" w:space="0" w:color="auto"/>
              <w:bottom w:val="single" w:sz="4" w:space="0" w:color="auto"/>
              <w:right w:val="single" w:sz="4" w:space="0" w:color="auto"/>
            </w:tcBorders>
          </w:tcPr>
          <w:p w:rsidR="000C075A" w:rsidRPr="005F7C2C" w:rsidRDefault="000C075A"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0C075A" w:rsidRPr="005F7C2C" w:rsidRDefault="003B6F4B" w:rsidP="0000382E">
            <w:pPr>
              <w:pStyle w:val="naisf"/>
              <w:spacing w:before="0" w:after="0"/>
              <w:jc w:val="right"/>
              <w:rPr>
                <w:i/>
                <w:sz w:val="22"/>
                <w:szCs w:val="22"/>
                <w:lang w:val="lv-LV"/>
              </w:rPr>
            </w:pPr>
            <w:r w:rsidRPr="005F7C2C">
              <w:rPr>
                <w:bCs/>
                <w:i/>
                <w:iCs/>
                <w:sz w:val="22"/>
                <w:szCs w:val="22"/>
                <w:lang w:val="lv-LV"/>
              </w:rPr>
              <w:t>-12 664 477</w:t>
            </w:r>
          </w:p>
        </w:tc>
        <w:tc>
          <w:tcPr>
            <w:tcW w:w="1355" w:type="dxa"/>
            <w:tcBorders>
              <w:top w:val="single" w:sz="4" w:space="0" w:color="auto"/>
              <w:left w:val="single" w:sz="4" w:space="0" w:color="auto"/>
              <w:bottom w:val="single" w:sz="4" w:space="0" w:color="auto"/>
              <w:right w:val="single" w:sz="4" w:space="0" w:color="auto"/>
            </w:tcBorders>
          </w:tcPr>
          <w:p w:rsidR="000C075A" w:rsidRPr="005F7C2C" w:rsidRDefault="00B41DDE" w:rsidP="0000382E">
            <w:pPr>
              <w:pStyle w:val="naisf"/>
              <w:spacing w:before="0" w:after="0"/>
              <w:jc w:val="right"/>
              <w:rPr>
                <w:i/>
                <w:sz w:val="22"/>
                <w:szCs w:val="22"/>
                <w:lang w:val="lv-LV"/>
              </w:rPr>
            </w:pPr>
            <w:r w:rsidRPr="005F7C2C">
              <w:rPr>
                <w:bCs/>
                <w:i/>
                <w:iCs/>
                <w:sz w:val="22"/>
                <w:szCs w:val="22"/>
                <w:lang w:val="lv-LV"/>
              </w:rPr>
              <w:t>-</w:t>
            </w:r>
            <w:r w:rsidR="003B6F4B" w:rsidRPr="005F7C2C">
              <w:rPr>
                <w:i/>
                <w:sz w:val="22"/>
                <w:szCs w:val="22"/>
                <w:lang w:val="lv-LV"/>
              </w:rPr>
              <w:t>16 035 773</w:t>
            </w:r>
          </w:p>
        </w:tc>
        <w:tc>
          <w:tcPr>
            <w:tcW w:w="1748" w:type="dxa"/>
            <w:tcBorders>
              <w:top w:val="single" w:sz="4" w:space="0" w:color="auto"/>
              <w:left w:val="single" w:sz="4" w:space="0" w:color="auto"/>
              <w:bottom w:val="single" w:sz="4" w:space="0" w:color="auto"/>
              <w:right w:val="single" w:sz="4" w:space="0" w:color="auto"/>
            </w:tcBorders>
          </w:tcPr>
          <w:p w:rsidR="000C075A" w:rsidRPr="005F7C2C" w:rsidRDefault="00B41DDE" w:rsidP="0000382E">
            <w:pPr>
              <w:pStyle w:val="naisf"/>
              <w:spacing w:before="0" w:after="0"/>
              <w:jc w:val="right"/>
              <w:rPr>
                <w:i/>
                <w:sz w:val="22"/>
                <w:szCs w:val="22"/>
                <w:lang w:val="lv-LV"/>
              </w:rPr>
            </w:pPr>
            <w:r w:rsidRPr="005F7C2C">
              <w:rPr>
                <w:bCs/>
                <w:i/>
                <w:iCs/>
                <w:sz w:val="22"/>
                <w:szCs w:val="22"/>
                <w:lang w:val="lv-LV"/>
              </w:rPr>
              <w:t>-</w:t>
            </w:r>
            <w:r w:rsidR="003B6F4B" w:rsidRPr="005F7C2C">
              <w:rPr>
                <w:i/>
                <w:sz w:val="22"/>
                <w:szCs w:val="22"/>
                <w:lang w:val="lv-LV"/>
              </w:rPr>
              <w:t>16 035 773</w:t>
            </w:r>
          </w:p>
        </w:tc>
      </w:tr>
      <w:tr w:rsidR="00855289" w:rsidRPr="005F7C2C" w:rsidTr="0000382E">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5F7C2C" w:rsidRDefault="00855289" w:rsidP="009045B4">
            <w:pPr>
              <w:jc w:val="both"/>
            </w:pPr>
            <w:r w:rsidRPr="005F7C2C">
              <w:t>2.2. valsts speciālais budžets</w:t>
            </w:r>
          </w:p>
        </w:tc>
        <w:tc>
          <w:tcPr>
            <w:tcW w:w="1330"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r>
      <w:tr w:rsidR="00855289" w:rsidRPr="005F7C2C" w:rsidTr="0000382E">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5F7C2C" w:rsidRDefault="00855289" w:rsidP="009045B4">
            <w:pPr>
              <w:jc w:val="both"/>
            </w:pPr>
            <w:r w:rsidRPr="005F7C2C">
              <w:t xml:space="preserve">2.3. pašvaldību budžets </w:t>
            </w:r>
          </w:p>
        </w:tc>
        <w:tc>
          <w:tcPr>
            <w:tcW w:w="1330"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r>
      <w:tr w:rsidR="00277830" w:rsidRPr="005F7C2C" w:rsidTr="0000382E">
        <w:trPr>
          <w:jc w:val="center"/>
        </w:trPr>
        <w:tc>
          <w:tcPr>
            <w:tcW w:w="2812" w:type="dxa"/>
            <w:tcBorders>
              <w:top w:val="single" w:sz="4" w:space="0" w:color="auto"/>
              <w:left w:val="single" w:sz="4" w:space="0" w:color="auto"/>
              <w:bottom w:val="single" w:sz="4" w:space="0" w:color="auto"/>
              <w:right w:val="single" w:sz="4" w:space="0" w:color="auto"/>
            </w:tcBorders>
          </w:tcPr>
          <w:p w:rsidR="00277830" w:rsidRPr="005F7C2C" w:rsidRDefault="00277830" w:rsidP="009045B4">
            <w:pPr>
              <w:jc w:val="both"/>
            </w:pPr>
            <w:r w:rsidRPr="005F7C2C">
              <w:t>3. Finansiālā ietekme:</w:t>
            </w:r>
          </w:p>
        </w:tc>
        <w:tc>
          <w:tcPr>
            <w:tcW w:w="1330" w:type="dxa"/>
            <w:tcBorders>
              <w:top w:val="single" w:sz="4" w:space="0" w:color="auto"/>
              <w:left w:val="single" w:sz="4" w:space="0" w:color="auto"/>
              <w:bottom w:val="single" w:sz="4" w:space="0" w:color="auto"/>
              <w:right w:val="single" w:sz="4" w:space="0" w:color="auto"/>
            </w:tcBorders>
          </w:tcPr>
          <w:p w:rsidR="00277830" w:rsidRPr="005F7C2C" w:rsidRDefault="00B41DDE" w:rsidP="0000382E">
            <w:pPr>
              <w:pStyle w:val="naisf"/>
              <w:spacing w:before="0" w:after="0"/>
              <w:jc w:val="right"/>
              <w:rPr>
                <w:b/>
                <w:bCs/>
                <w:i/>
                <w:iCs/>
                <w:sz w:val="22"/>
                <w:szCs w:val="22"/>
                <w:lang w:val="lv-LV"/>
              </w:rPr>
            </w:pPr>
            <w:r w:rsidRPr="005F7C2C">
              <w:rPr>
                <w:b/>
                <w:bCs/>
                <w:i/>
                <w:iCs/>
                <w:sz w:val="22"/>
                <w:szCs w:val="22"/>
                <w:lang w:val="lv-LV"/>
              </w:rPr>
              <w:t xml:space="preserve">- </w:t>
            </w:r>
            <w:r w:rsidR="00BA2504" w:rsidRPr="005F7C2C">
              <w:rPr>
                <w:b/>
                <w:bCs/>
                <w:i/>
                <w:iCs/>
                <w:sz w:val="22"/>
                <w:szCs w:val="22"/>
                <w:lang w:val="lv-LV"/>
              </w:rPr>
              <w:t>527 767</w:t>
            </w:r>
          </w:p>
        </w:tc>
        <w:tc>
          <w:tcPr>
            <w:tcW w:w="1354" w:type="dxa"/>
            <w:tcBorders>
              <w:top w:val="single" w:sz="4" w:space="0" w:color="auto"/>
              <w:left w:val="single" w:sz="4" w:space="0" w:color="auto"/>
              <w:bottom w:val="single" w:sz="4" w:space="0" w:color="auto"/>
              <w:right w:val="single" w:sz="4" w:space="0" w:color="auto"/>
            </w:tcBorders>
          </w:tcPr>
          <w:p w:rsidR="00277830" w:rsidRPr="005F7C2C" w:rsidRDefault="00277830" w:rsidP="0000382E">
            <w:pPr>
              <w:pStyle w:val="naisf"/>
              <w:spacing w:before="0" w:after="0"/>
              <w:jc w:val="right"/>
              <w:rPr>
                <w:b/>
                <w:bCs/>
                <w:i/>
                <w:iCs/>
                <w:sz w:val="22"/>
                <w:szCs w:val="22"/>
                <w:lang w:val="lv-LV"/>
              </w:rPr>
            </w:pPr>
            <w:r w:rsidRPr="005F7C2C">
              <w:rPr>
                <w:b/>
                <w:bCs/>
                <w:i/>
                <w:iCs/>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277830" w:rsidRPr="005F7C2C" w:rsidRDefault="00BA2504" w:rsidP="0000382E">
            <w:pPr>
              <w:pStyle w:val="naisf"/>
              <w:spacing w:before="0" w:after="0"/>
              <w:jc w:val="right"/>
              <w:rPr>
                <w:b/>
                <w:bCs/>
                <w:i/>
                <w:iCs/>
                <w:sz w:val="22"/>
                <w:szCs w:val="22"/>
                <w:lang w:val="lv-LV"/>
              </w:rPr>
            </w:pPr>
            <w:r w:rsidRPr="005F7C2C">
              <w:rPr>
                <w:b/>
                <w:bCs/>
                <w:i/>
                <w:iCs/>
                <w:sz w:val="22"/>
                <w:szCs w:val="22"/>
                <w:lang w:val="lv-LV"/>
              </w:rPr>
              <w:t>527 767</w:t>
            </w:r>
          </w:p>
        </w:tc>
        <w:tc>
          <w:tcPr>
            <w:tcW w:w="1355" w:type="dxa"/>
            <w:tcBorders>
              <w:top w:val="single" w:sz="4" w:space="0" w:color="auto"/>
              <w:left w:val="single" w:sz="4" w:space="0" w:color="auto"/>
              <w:bottom w:val="single" w:sz="4" w:space="0" w:color="auto"/>
              <w:right w:val="single" w:sz="4" w:space="0" w:color="auto"/>
            </w:tcBorders>
          </w:tcPr>
          <w:p w:rsidR="00277830" w:rsidRPr="005F7C2C" w:rsidRDefault="00BA2504" w:rsidP="0000382E">
            <w:pPr>
              <w:pStyle w:val="naisf"/>
              <w:spacing w:before="0" w:after="0"/>
              <w:jc w:val="right"/>
              <w:rPr>
                <w:b/>
                <w:bCs/>
                <w:i/>
                <w:iCs/>
                <w:sz w:val="22"/>
                <w:szCs w:val="22"/>
                <w:lang w:val="lv-LV"/>
              </w:rPr>
            </w:pPr>
            <w:r w:rsidRPr="005F7C2C">
              <w:rPr>
                <w:b/>
                <w:bCs/>
                <w:i/>
                <w:iCs/>
                <w:sz w:val="22"/>
                <w:szCs w:val="22"/>
                <w:lang w:val="lv-LV"/>
              </w:rPr>
              <w:t>527 767</w:t>
            </w:r>
          </w:p>
        </w:tc>
        <w:tc>
          <w:tcPr>
            <w:tcW w:w="1748" w:type="dxa"/>
            <w:tcBorders>
              <w:top w:val="single" w:sz="4" w:space="0" w:color="auto"/>
              <w:left w:val="single" w:sz="4" w:space="0" w:color="auto"/>
              <w:bottom w:val="single" w:sz="4" w:space="0" w:color="auto"/>
              <w:right w:val="single" w:sz="4" w:space="0" w:color="auto"/>
            </w:tcBorders>
          </w:tcPr>
          <w:p w:rsidR="00277830" w:rsidRPr="005F7C2C" w:rsidRDefault="00BA2504" w:rsidP="0000382E">
            <w:pPr>
              <w:pStyle w:val="naisf"/>
              <w:spacing w:before="0" w:after="0"/>
              <w:jc w:val="right"/>
              <w:rPr>
                <w:b/>
                <w:bCs/>
                <w:i/>
                <w:iCs/>
                <w:sz w:val="22"/>
                <w:szCs w:val="22"/>
                <w:lang w:val="lv-LV"/>
              </w:rPr>
            </w:pPr>
            <w:r w:rsidRPr="005F7C2C">
              <w:rPr>
                <w:b/>
                <w:bCs/>
                <w:i/>
                <w:iCs/>
                <w:sz w:val="22"/>
                <w:szCs w:val="22"/>
                <w:lang w:val="lv-LV"/>
              </w:rPr>
              <w:t>527 767</w:t>
            </w:r>
          </w:p>
        </w:tc>
      </w:tr>
      <w:tr w:rsidR="00B41DDE" w:rsidRPr="005F7C2C" w:rsidTr="0000382E">
        <w:trPr>
          <w:jc w:val="center"/>
        </w:trPr>
        <w:tc>
          <w:tcPr>
            <w:tcW w:w="2812" w:type="dxa"/>
            <w:tcBorders>
              <w:top w:val="single" w:sz="4" w:space="0" w:color="auto"/>
              <w:left w:val="single" w:sz="4" w:space="0" w:color="auto"/>
              <w:bottom w:val="single" w:sz="4" w:space="0" w:color="auto"/>
              <w:right w:val="single" w:sz="4" w:space="0" w:color="auto"/>
            </w:tcBorders>
          </w:tcPr>
          <w:p w:rsidR="00B41DDE" w:rsidRPr="005F7C2C" w:rsidRDefault="00B41DDE" w:rsidP="009045B4">
            <w:pPr>
              <w:jc w:val="both"/>
            </w:pPr>
            <w:r w:rsidRPr="005F7C2C">
              <w:t>3.1. valsts pamatbudžets</w:t>
            </w:r>
          </w:p>
        </w:tc>
        <w:tc>
          <w:tcPr>
            <w:tcW w:w="1330" w:type="dxa"/>
            <w:tcBorders>
              <w:top w:val="single" w:sz="4" w:space="0" w:color="auto"/>
              <w:left w:val="single" w:sz="4" w:space="0" w:color="auto"/>
              <w:bottom w:val="single" w:sz="4" w:space="0" w:color="auto"/>
              <w:right w:val="single" w:sz="4" w:space="0" w:color="auto"/>
            </w:tcBorders>
          </w:tcPr>
          <w:p w:rsidR="00B41DDE" w:rsidRPr="005F7C2C" w:rsidRDefault="00B41DDE" w:rsidP="0000382E">
            <w:pPr>
              <w:pStyle w:val="naisf"/>
              <w:spacing w:before="0" w:after="0"/>
              <w:jc w:val="right"/>
              <w:rPr>
                <w:i/>
                <w:sz w:val="22"/>
                <w:szCs w:val="22"/>
                <w:lang w:val="lv-LV"/>
              </w:rPr>
            </w:pPr>
            <w:r w:rsidRPr="005F7C2C">
              <w:rPr>
                <w:bCs/>
                <w:i/>
                <w:iCs/>
                <w:sz w:val="22"/>
                <w:szCs w:val="22"/>
                <w:lang w:val="lv-LV"/>
              </w:rPr>
              <w:t xml:space="preserve">- </w:t>
            </w:r>
            <w:r w:rsidR="00BA2504" w:rsidRPr="005F7C2C">
              <w:rPr>
                <w:bCs/>
                <w:i/>
                <w:iCs/>
                <w:sz w:val="22"/>
                <w:szCs w:val="22"/>
                <w:lang w:val="lv-LV"/>
              </w:rPr>
              <w:t>527 767</w:t>
            </w:r>
          </w:p>
        </w:tc>
        <w:tc>
          <w:tcPr>
            <w:tcW w:w="1354" w:type="dxa"/>
            <w:tcBorders>
              <w:top w:val="single" w:sz="4" w:space="0" w:color="auto"/>
              <w:left w:val="single" w:sz="4" w:space="0" w:color="auto"/>
              <w:bottom w:val="single" w:sz="4" w:space="0" w:color="auto"/>
              <w:right w:val="single" w:sz="4" w:space="0" w:color="auto"/>
            </w:tcBorders>
          </w:tcPr>
          <w:p w:rsidR="00B41DDE" w:rsidRPr="005F7C2C" w:rsidRDefault="00B41DDE"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B41DDE" w:rsidRPr="005F7C2C" w:rsidRDefault="00BA2504" w:rsidP="0000382E">
            <w:pPr>
              <w:pStyle w:val="naisf"/>
              <w:spacing w:before="0" w:after="0"/>
              <w:jc w:val="right"/>
              <w:rPr>
                <w:i/>
                <w:sz w:val="22"/>
                <w:szCs w:val="22"/>
                <w:lang w:val="lv-LV"/>
              </w:rPr>
            </w:pPr>
            <w:r w:rsidRPr="005F7C2C">
              <w:rPr>
                <w:bCs/>
                <w:i/>
                <w:iCs/>
                <w:sz w:val="22"/>
                <w:szCs w:val="22"/>
                <w:lang w:val="lv-LV"/>
              </w:rPr>
              <w:t>527 767</w:t>
            </w:r>
          </w:p>
        </w:tc>
        <w:tc>
          <w:tcPr>
            <w:tcW w:w="1355" w:type="dxa"/>
            <w:tcBorders>
              <w:top w:val="single" w:sz="4" w:space="0" w:color="auto"/>
              <w:left w:val="single" w:sz="4" w:space="0" w:color="auto"/>
              <w:bottom w:val="single" w:sz="4" w:space="0" w:color="auto"/>
              <w:right w:val="single" w:sz="4" w:space="0" w:color="auto"/>
            </w:tcBorders>
          </w:tcPr>
          <w:p w:rsidR="00B41DDE" w:rsidRPr="005F7C2C" w:rsidRDefault="00BA2504" w:rsidP="0000382E">
            <w:pPr>
              <w:jc w:val="right"/>
              <w:rPr>
                <w:i/>
                <w:sz w:val="22"/>
                <w:szCs w:val="22"/>
              </w:rPr>
            </w:pPr>
            <w:r w:rsidRPr="005F7C2C">
              <w:rPr>
                <w:bCs/>
                <w:i/>
                <w:iCs/>
                <w:sz w:val="22"/>
                <w:szCs w:val="22"/>
              </w:rPr>
              <w:t>527 767</w:t>
            </w:r>
          </w:p>
        </w:tc>
        <w:tc>
          <w:tcPr>
            <w:tcW w:w="1748" w:type="dxa"/>
            <w:tcBorders>
              <w:top w:val="single" w:sz="4" w:space="0" w:color="auto"/>
              <w:left w:val="single" w:sz="4" w:space="0" w:color="auto"/>
              <w:bottom w:val="single" w:sz="4" w:space="0" w:color="auto"/>
              <w:right w:val="single" w:sz="4" w:space="0" w:color="auto"/>
            </w:tcBorders>
          </w:tcPr>
          <w:p w:rsidR="00B41DDE" w:rsidRPr="005F7C2C" w:rsidRDefault="00BA2504" w:rsidP="0000382E">
            <w:pPr>
              <w:jc w:val="right"/>
              <w:rPr>
                <w:i/>
                <w:sz w:val="22"/>
                <w:szCs w:val="22"/>
              </w:rPr>
            </w:pPr>
            <w:r w:rsidRPr="005F7C2C">
              <w:rPr>
                <w:bCs/>
                <w:i/>
                <w:iCs/>
                <w:sz w:val="22"/>
                <w:szCs w:val="22"/>
              </w:rPr>
              <w:t>527 767</w:t>
            </w:r>
          </w:p>
        </w:tc>
      </w:tr>
      <w:tr w:rsidR="00855289" w:rsidRPr="005F7C2C"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5F7C2C" w:rsidRDefault="00855289" w:rsidP="009045B4">
            <w:pPr>
              <w:jc w:val="both"/>
            </w:pPr>
            <w:r w:rsidRPr="005F7C2C">
              <w:t>3.2. speciālais budžets</w:t>
            </w:r>
          </w:p>
        </w:tc>
        <w:tc>
          <w:tcPr>
            <w:tcW w:w="1330"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r>
      <w:tr w:rsidR="00855289" w:rsidRPr="005F7C2C"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5F7C2C" w:rsidRDefault="00855289" w:rsidP="009045B4">
            <w:pPr>
              <w:jc w:val="both"/>
            </w:pPr>
            <w:r w:rsidRPr="005F7C2C">
              <w:lastRenderedPageBreak/>
              <w:t xml:space="preserve">3.3. pašvaldību budžets </w:t>
            </w:r>
          </w:p>
        </w:tc>
        <w:tc>
          <w:tcPr>
            <w:tcW w:w="1330"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r>
      <w:tr w:rsidR="00855289" w:rsidRPr="005F7C2C" w:rsidTr="009045B4">
        <w:trPr>
          <w:jc w:val="center"/>
        </w:trPr>
        <w:tc>
          <w:tcPr>
            <w:tcW w:w="2812" w:type="dxa"/>
            <w:vMerge w:val="restart"/>
            <w:tcBorders>
              <w:top w:val="single" w:sz="4" w:space="0" w:color="auto"/>
              <w:left w:val="single" w:sz="4" w:space="0" w:color="auto"/>
              <w:bottom w:val="single" w:sz="4" w:space="0" w:color="auto"/>
              <w:right w:val="single" w:sz="4" w:space="0" w:color="auto"/>
            </w:tcBorders>
          </w:tcPr>
          <w:p w:rsidR="00855289" w:rsidRPr="005F7C2C" w:rsidRDefault="00855289" w:rsidP="009045B4">
            <w:pPr>
              <w:jc w:val="both"/>
            </w:pPr>
            <w:r w:rsidRPr="005F7C2C">
              <w:t>4. Finanšu līdzekļi papildu izde</w:t>
            </w:r>
            <w:r w:rsidRPr="005F7C2C">
              <w:softHyphen/>
              <w:t>vumu finansēšanai (kompensējošu izdevumu samazinājumu norāda ar "+" zīmi)</w:t>
            </w:r>
          </w:p>
        </w:tc>
        <w:tc>
          <w:tcPr>
            <w:tcW w:w="1330" w:type="dxa"/>
            <w:vMerge w:val="restart"/>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iCs/>
                <w:sz w:val="22"/>
                <w:szCs w:val="22"/>
                <w:lang w:val="lv-LV"/>
              </w:rPr>
            </w:pPr>
            <w:r w:rsidRPr="005F7C2C">
              <w:rPr>
                <w:i/>
                <w:sz w:val="22"/>
                <w:szCs w:val="22"/>
                <w:lang w:val="lv-LV"/>
              </w:rPr>
              <w:t>X</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b/>
                <w:bCs/>
                <w:i/>
                <w:iCs/>
                <w:sz w:val="22"/>
                <w:szCs w:val="22"/>
                <w:lang w:val="lv-LV"/>
              </w:rPr>
            </w:pPr>
            <w:r w:rsidRPr="005F7C2C">
              <w:rPr>
                <w:b/>
                <w:bCs/>
                <w:i/>
                <w:iCs/>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b/>
                <w:bCs/>
                <w:i/>
                <w:iCs/>
                <w:sz w:val="22"/>
                <w:szCs w:val="22"/>
                <w:lang w:val="lv-LV"/>
              </w:rPr>
            </w:pPr>
            <w:r w:rsidRPr="005F7C2C">
              <w:rPr>
                <w:b/>
                <w:bCs/>
                <w:i/>
                <w:iCs/>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b/>
                <w:bCs/>
                <w:i/>
                <w:iCs/>
                <w:sz w:val="22"/>
                <w:szCs w:val="22"/>
                <w:lang w:val="lv-LV"/>
              </w:rPr>
            </w:pPr>
            <w:r w:rsidRPr="005F7C2C">
              <w:rPr>
                <w:b/>
                <w:bCs/>
                <w:i/>
                <w:iCs/>
                <w:sz w:val="22"/>
                <w:szCs w:val="22"/>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b/>
                <w:bCs/>
                <w:i/>
                <w:iCs/>
                <w:sz w:val="22"/>
                <w:szCs w:val="22"/>
                <w:lang w:val="lv-LV"/>
              </w:rPr>
            </w:pPr>
            <w:r w:rsidRPr="005F7C2C">
              <w:rPr>
                <w:b/>
                <w:bCs/>
                <w:i/>
                <w:iCs/>
                <w:sz w:val="22"/>
                <w:szCs w:val="22"/>
                <w:lang w:val="lv-LV"/>
              </w:rPr>
              <w:t>0</w:t>
            </w:r>
          </w:p>
        </w:tc>
      </w:tr>
      <w:tr w:rsidR="00855289" w:rsidRPr="005F7C2C" w:rsidTr="009045B4">
        <w:trPr>
          <w:jc w:val="center"/>
        </w:trPr>
        <w:tc>
          <w:tcPr>
            <w:tcW w:w="2812" w:type="dxa"/>
            <w:vMerge/>
            <w:tcBorders>
              <w:top w:val="single" w:sz="4" w:space="0" w:color="auto"/>
              <w:left w:val="single" w:sz="4" w:space="0" w:color="auto"/>
              <w:bottom w:val="single" w:sz="4" w:space="0" w:color="auto"/>
              <w:right w:val="single" w:sz="4" w:space="0" w:color="auto"/>
            </w:tcBorders>
          </w:tcPr>
          <w:p w:rsidR="00855289" w:rsidRPr="005F7C2C" w:rsidRDefault="00855289" w:rsidP="009045B4">
            <w:pPr>
              <w:jc w:val="both"/>
            </w:pPr>
          </w:p>
        </w:tc>
        <w:tc>
          <w:tcPr>
            <w:tcW w:w="1330" w:type="dxa"/>
            <w:vMerge/>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iCs/>
                <w:sz w:val="22"/>
                <w:szCs w:val="22"/>
                <w:lang w:val="lv-LV"/>
              </w:rPr>
            </w:pP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r>
      <w:tr w:rsidR="00855289" w:rsidRPr="005F7C2C" w:rsidTr="009045B4">
        <w:trPr>
          <w:jc w:val="center"/>
        </w:trPr>
        <w:tc>
          <w:tcPr>
            <w:tcW w:w="2812" w:type="dxa"/>
            <w:vMerge/>
            <w:tcBorders>
              <w:top w:val="single" w:sz="4" w:space="0" w:color="auto"/>
              <w:left w:val="single" w:sz="4" w:space="0" w:color="auto"/>
              <w:bottom w:val="single" w:sz="4" w:space="0" w:color="auto"/>
              <w:right w:val="single" w:sz="4" w:space="0" w:color="auto"/>
            </w:tcBorders>
          </w:tcPr>
          <w:p w:rsidR="00855289" w:rsidRPr="005F7C2C" w:rsidRDefault="00855289" w:rsidP="009045B4">
            <w:pPr>
              <w:jc w:val="both"/>
            </w:pPr>
          </w:p>
        </w:tc>
        <w:tc>
          <w:tcPr>
            <w:tcW w:w="1330" w:type="dxa"/>
            <w:vMerge/>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iCs/>
                <w:sz w:val="22"/>
                <w:szCs w:val="22"/>
                <w:lang w:val="lv-LV"/>
              </w:rPr>
            </w:pP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r>
      <w:tr w:rsidR="00B41DDE" w:rsidRPr="005F7C2C" w:rsidTr="001228BD">
        <w:trPr>
          <w:jc w:val="center"/>
        </w:trPr>
        <w:tc>
          <w:tcPr>
            <w:tcW w:w="2812" w:type="dxa"/>
            <w:tcBorders>
              <w:top w:val="single" w:sz="4" w:space="0" w:color="auto"/>
              <w:left w:val="single" w:sz="4" w:space="0" w:color="auto"/>
              <w:bottom w:val="single" w:sz="4" w:space="0" w:color="auto"/>
              <w:right w:val="single" w:sz="4" w:space="0" w:color="auto"/>
            </w:tcBorders>
          </w:tcPr>
          <w:p w:rsidR="00B41DDE" w:rsidRPr="005F7C2C" w:rsidRDefault="00B41DDE" w:rsidP="009045B4">
            <w:pPr>
              <w:jc w:val="both"/>
            </w:pPr>
            <w:r w:rsidRPr="005F7C2C">
              <w:t>5. Precizēta finansiālā ietekme:</w:t>
            </w:r>
          </w:p>
        </w:tc>
        <w:tc>
          <w:tcPr>
            <w:tcW w:w="1330" w:type="dxa"/>
            <w:vMerge w:val="restart"/>
            <w:tcBorders>
              <w:top w:val="single" w:sz="4" w:space="0" w:color="auto"/>
              <w:left w:val="single" w:sz="4" w:space="0" w:color="auto"/>
              <w:bottom w:val="single" w:sz="4" w:space="0" w:color="auto"/>
              <w:right w:val="single" w:sz="4" w:space="0" w:color="auto"/>
            </w:tcBorders>
          </w:tcPr>
          <w:p w:rsidR="00B41DDE" w:rsidRPr="005F7C2C" w:rsidRDefault="00B41DDE" w:rsidP="0000382E">
            <w:pPr>
              <w:pStyle w:val="naisf"/>
              <w:spacing w:before="0" w:after="0"/>
              <w:jc w:val="right"/>
              <w:rPr>
                <w:i/>
                <w:iCs/>
                <w:sz w:val="22"/>
                <w:szCs w:val="22"/>
                <w:lang w:val="lv-LV"/>
              </w:rPr>
            </w:pPr>
            <w:r w:rsidRPr="005F7C2C">
              <w:rPr>
                <w:i/>
                <w:sz w:val="22"/>
                <w:szCs w:val="22"/>
                <w:lang w:val="lv-LV"/>
              </w:rPr>
              <w:t>X</w:t>
            </w:r>
          </w:p>
        </w:tc>
        <w:tc>
          <w:tcPr>
            <w:tcW w:w="1354" w:type="dxa"/>
            <w:tcBorders>
              <w:top w:val="single" w:sz="4" w:space="0" w:color="auto"/>
              <w:left w:val="single" w:sz="4" w:space="0" w:color="auto"/>
              <w:bottom w:val="single" w:sz="4" w:space="0" w:color="auto"/>
              <w:right w:val="single" w:sz="4" w:space="0" w:color="auto"/>
            </w:tcBorders>
          </w:tcPr>
          <w:p w:rsidR="00B41DDE" w:rsidRPr="005F7C2C" w:rsidRDefault="00B41DDE" w:rsidP="0000382E">
            <w:pPr>
              <w:pStyle w:val="naisf"/>
              <w:spacing w:before="0" w:after="0"/>
              <w:jc w:val="right"/>
              <w:rPr>
                <w:b/>
                <w:bCs/>
                <w:i/>
                <w:iCs/>
                <w:sz w:val="22"/>
                <w:szCs w:val="22"/>
                <w:lang w:val="lv-LV"/>
              </w:rPr>
            </w:pPr>
            <w:r w:rsidRPr="005F7C2C">
              <w:rPr>
                <w:b/>
                <w:bCs/>
                <w:i/>
                <w:iCs/>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vAlign w:val="center"/>
          </w:tcPr>
          <w:p w:rsidR="00B41DDE" w:rsidRPr="005F7C2C" w:rsidRDefault="00BA2504" w:rsidP="0000382E">
            <w:pPr>
              <w:pStyle w:val="naisf"/>
              <w:spacing w:before="0" w:after="0"/>
              <w:jc w:val="right"/>
              <w:rPr>
                <w:b/>
                <w:bCs/>
                <w:i/>
                <w:iCs/>
                <w:sz w:val="22"/>
                <w:szCs w:val="22"/>
                <w:lang w:val="lv-LV"/>
              </w:rPr>
            </w:pPr>
            <w:r w:rsidRPr="005F7C2C">
              <w:rPr>
                <w:b/>
                <w:bCs/>
                <w:i/>
                <w:iCs/>
                <w:sz w:val="22"/>
                <w:szCs w:val="22"/>
                <w:lang w:val="lv-LV"/>
              </w:rPr>
              <w:t>527 767</w:t>
            </w:r>
          </w:p>
        </w:tc>
        <w:tc>
          <w:tcPr>
            <w:tcW w:w="1355" w:type="dxa"/>
            <w:tcBorders>
              <w:top w:val="single" w:sz="4" w:space="0" w:color="auto"/>
              <w:left w:val="single" w:sz="4" w:space="0" w:color="auto"/>
              <w:bottom w:val="single" w:sz="4" w:space="0" w:color="auto"/>
              <w:right w:val="single" w:sz="4" w:space="0" w:color="auto"/>
            </w:tcBorders>
            <w:vAlign w:val="center"/>
          </w:tcPr>
          <w:p w:rsidR="00B41DDE" w:rsidRPr="005F7C2C" w:rsidRDefault="00BA2504" w:rsidP="0000382E">
            <w:pPr>
              <w:pStyle w:val="naisf"/>
              <w:spacing w:before="0" w:after="0"/>
              <w:jc w:val="right"/>
              <w:rPr>
                <w:b/>
                <w:bCs/>
                <w:i/>
                <w:iCs/>
                <w:sz w:val="22"/>
                <w:szCs w:val="22"/>
                <w:lang w:val="lv-LV"/>
              </w:rPr>
            </w:pPr>
            <w:r w:rsidRPr="005F7C2C">
              <w:rPr>
                <w:b/>
                <w:bCs/>
                <w:i/>
                <w:iCs/>
                <w:sz w:val="22"/>
                <w:szCs w:val="22"/>
                <w:lang w:val="lv-LV"/>
              </w:rPr>
              <w:t>527 767</w:t>
            </w:r>
          </w:p>
        </w:tc>
        <w:tc>
          <w:tcPr>
            <w:tcW w:w="1748" w:type="dxa"/>
            <w:tcBorders>
              <w:top w:val="single" w:sz="4" w:space="0" w:color="auto"/>
              <w:left w:val="single" w:sz="4" w:space="0" w:color="auto"/>
              <w:bottom w:val="single" w:sz="4" w:space="0" w:color="auto"/>
              <w:right w:val="single" w:sz="4" w:space="0" w:color="auto"/>
            </w:tcBorders>
            <w:vAlign w:val="center"/>
          </w:tcPr>
          <w:p w:rsidR="00B41DDE" w:rsidRPr="005F7C2C" w:rsidRDefault="00BA2504" w:rsidP="0000382E">
            <w:pPr>
              <w:pStyle w:val="naisf"/>
              <w:spacing w:before="0" w:after="0"/>
              <w:jc w:val="right"/>
              <w:rPr>
                <w:b/>
                <w:bCs/>
                <w:i/>
                <w:iCs/>
                <w:sz w:val="22"/>
                <w:szCs w:val="22"/>
                <w:lang w:val="lv-LV"/>
              </w:rPr>
            </w:pPr>
            <w:r w:rsidRPr="005F7C2C">
              <w:rPr>
                <w:b/>
                <w:bCs/>
                <w:i/>
                <w:iCs/>
                <w:sz w:val="22"/>
                <w:szCs w:val="22"/>
                <w:lang w:val="lv-LV"/>
              </w:rPr>
              <w:t>527 767</w:t>
            </w:r>
          </w:p>
        </w:tc>
      </w:tr>
      <w:tr w:rsidR="00B41DDE" w:rsidRPr="005F7C2C" w:rsidTr="00B41DDE">
        <w:trPr>
          <w:jc w:val="center"/>
        </w:trPr>
        <w:tc>
          <w:tcPr>
            <w:tcW w:w="2812" w:type="dxa"/>
            <w:tcBorders>
              <w:top w:val="single" w:sz="4" w:space="0" w:color="auto"/>
              <w:left w:val="single" w:sz="4" w:space="0" w:color="auto"/>
              <w:bottom w:val="single" w:sz="4" w:space="0" w:color="auto"/>
              <w:right w:val="single" w:sz="4" w:space="0" w:color="auto"/>
            </w:tcBorders>
          </w:tcPr>
          <w:p w:rsidR="00B41DDE" w:rsidRPr="005F7C2C" w:rsidRDefault="00B41DDE" w:rsidP="009045B4">
            <w:pPr>
              <w:jc w:val="both"/>
            </w:pPr>
            <w:r w:rsidRPr="005F7C2C">
              <w:t>5.1. valsts pamatbudžets</w:t>
            </w:r>
          </w:p>
        </w:tc>
        <w:tc>
          <w:tcPr>
            <w:tcW w:w="1330" w:type="dxa"/>
            <w:vMerge/>
            <w:tcBorders>
              <w:top w:val="single" w:sz="4" w:space="0" w:color="auto"/>
              <w:left w:val="single" w:sz="4" w:space="0" w:color="auto"/>
              <w:bottom w:val="single" w:sz="4" w:space="0" w:color="auto"/>
              <w:right w:val="single" w:sz="4" w:space="0" w:color="auto"/>
            </w:tcBorders>
            <w:vAlign w:val="center"/>
          </w:tcPr>
          <w:p w:rsidR="00B41DDE" w:rsidRPr="005F7C2C" w:rsidRDefault="00B41DDE" w:rsidP="0000382E">
            <w:pPr>
              <w:pStyle w:val="naisf"/>
              <w:spacing w:before="0" w:after="0"/>
              <w:jc w:val="right"/>
              <w:rPr>
                <w:i/>
                <w:iCs/>
                <w:sz w:val="22"/>
                <w:szCs w:val="22"/>
                <w:lang w:val="lv-LV"/>
              </w:rPr>
            </w:pPr>
          </w:p>
        </w:tc>
        <w:tc>
          <w:tcPr>
            <w:tcW w:w="1354" w:type="dxa"/>
            <w:tcBorders>
              <w:top w:val="single" w:sz="4" w:space="0" w:color="auto"/>
              <w:left w:val="single" w:sz="4" w:space="0" w:color="auto"/>
              <w:bottom w:val="single" w:sz="4" w:space="0" w:color="auto"/>
              <w:right w:val="single" w:sz="4" w:space="0" w:color="auto"/>
            </w:tcBorders>
          </w:tcPr>
          <w:p w:rsidR="00B41DDE" w:rsidRPr="005F7C2C" w:rsidRDefault="00B41DDE"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vAlign w:val="center"/>
          </w:tcPr>
          <w:p w:rsidR="00B41DDE" w:rsidRPr="005F7C2C" w:rsidRDefault="00BA2504" w:rsidP="0000382E">
            <w:pPr>
              <w:pStyle w:val="naisf"/>
              <w:spacing w:before="0" w:after="0"/>
              <w:jc w:val="right"/>
              <w:rPr>
                <w:i/>
                <w:sz w:val="22"/>
                <w:szCs w:val="22"/>
                <w:lang w:val="lv-LV"/>
              </w:rPr>
            </w:pPr>
            <w:r w:rsidRPr="005F7C2C">
              <w:rPr>
                <w:bCs/>
                <w:i/>
                <w:iCs/>
                <w:sz w:val="22"/>
                <w:szCs w:val="22"/>
                <w:lang w:val="lv-LV"/>
              </w:rPr>
              <w:t>527 767</w:t>
            </w:r>
          </w:p>
        </w:tc>
        <w:tc>
          <w:tcPr>
            <w:tcW w:w="1355" w:type="dxa"/>
            <w:tcBorders>
              <w:top w:val="single" w:sz="4" w:space="0" w:color="auto"/>
              <w:left w:val="single" w:sz="4" w:space="0" w:color="auto"/>
              <w:bottom w:val="single" w:sz="4" w:space="0" w:color="auto"/>
              <w:right w:val="single" w:sz="4" w:space="0" w:color="auto"/>
            </w:tcBorders>
          </w:tcPr>
          <w:p w:rsidR="00B41DDE" w:rsidRPr="005F7C2C" w:rsidRDefault="00BA2504" w:rsidP="0000382E">
            <w:pPr>
              <w:jc w:val="right"/>
              <w:rPr>
                <w:i/>
                <w:sz w:val="22"/>
                <w:szCs w:val="22"/>
              </w:rPr>
            </w:pPr>
            <w:r w:rsidRPr="005F7C2C">
              <w:rPr>
                <w:bCs/>
                <w:i/>
                <w:iCs/>
                <w:sz w:val="22"/>
                <w:szCs w:val="22"/>
              </w:rPr>
              <w:t>527 767</w:t>
            </w:r>
          </w:p>
        </w:tc>
        <w:tc>
          <w:tcPr>
            <w:tcW w:w="1748" w:type="dxa"/>
            <w:tcBorders>
              <w:top w:val="single" w:sz="4" w:space="0" w:color="auto"/>
              <w:left w:val="single" w:sz="4" w:space="0" w:color="auto"/>
              <w:bottom w:val="single" w:sz="4" w:space="0" w:color="auto"/>
              <w:right w:val="single" w:sz="4" w:space="0" w:color="auto"/>
            </w:tcBorders>
          </w:tcPr>
          <w:p w:rsidR="00B41DDE" w:rsidRPr="005F7C2C" w:rsidRDefault="00BA2504" w:rsidP="0000382E">
            <w:pPr>
              <w:jc w:val="right"/>
              <w:rPr>
                <w:i/>
                <w:sz w:val="22"/>
                <w:szCs w:val="22"/>
              </w:rPr>
            </w:pPr>
            <w:r w:rsidRPr="005F7C2C">
              <w:rPr>
                <w:bCs/>
                <w:i/>
                <w:iCs/>
                <w:sz w:val="22"/>
                <w:szCs w:val="22"/>
              </w:rPr>
              <w:t>527 767</w:t>
            </w:r>
          </w:p>
        </w:tc>
      </w:tr>
      <w:tr w:rsidR="00855289" w:rsidRPr="005F7C2C"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5F7C2C" w:rsidRDefault="00855289" w:rsidP="009045B4">
            <w:pPr>
              <w:jc w:val="both"/>
            </w:pPr>
            <w:r w:rsidRPr="005F7C2C">
              <w:t>5.2. speciālais budžets</w:t>
            </w:r>
          </w:p>
        </w:tc>
        <w:tc>
          <w:tcPr>
            <w:tcW w:w="1330" w:type="dxa"/>
            <w:vMerge/>
            <w:tcBorders>
              <w:top w:val="single" w:sz="4" w:space="0" w:color="auto"/>
              <w:left w:val="single" w:sz="4" w:space="0" w:color="auto"/>
              <w:bottom w:val="single" w:sz="4" w:space="0" w:color="auto"/>
              <w:right w:val="single" w:sz="4" w:space="0" w:color="auto"/>
            </w:tcBorders>
            <w:vAlign w:val="center"/>
          </w:tcPr>
          <w:p w:rsidR="00855289" w:rsidRPr="005F7C2C" w:rsidRDefault="00855289" w:rsidP="0000382E">
            <w:pPr>
              <w:pStyle w:val="naisf"/>
              <w:spacing w:before="0" w:after="0"/>
              <w:jc w:val="right"/>
              <w:rPr>
                <w:i/>
                <w:iCs/>
                <w:sz w:val="22"/>
                <w:szCs w:val="22"/>
                <w:lang w:val="lv-LV"/>
              </w:rPr>
            </w:pP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r>
      <w:tr w:rsidR="00855289" w:rsidRPr="005F7C2C"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5F7C2C" w:rsidRDefault="00855289" w:rsidP="009045B4">
            <w:pPr>
              <w:jc w:val="both"/>
            </w:pPr>
            <w:r w:rsidRPr="005F7C2C">
              <w:t xml:space="preserve">5.3. pašvaldību budžets </w:t>
            </w:r>
          </w:p>
        </w:tc>
        <w:tc>
          <w:tcPr>
            <w:tcW w:w="1330" w:type="dxa"/>
            <w:vMerge/>
            <w:tcBorders>
              <w:top w:val="single" w:sz="4" w:space="0" w:color="auto"/>
              <w:left w:val="single" w:sz="4" w:space="0" w:color="auto"/>
              <w:bottom w:val="single" w:sz="4" w:space="0" w:color="auto"/>
              <w:right w:val="single" w:sz="4" w:space="0" w:color="auto"/>
            </w:tcBorders>
            <w:vAlign w:val="center"/>
          </w:tcPr>
          <w:p w:rsidR="00855289" w:rsidRPr="005F7C2C" w:rsidRDefault="00855289" w:rsidP="0000382E">
            <w:pPr>
              <w:pStyle w:val="naisf"/>
              <w:spacing w:before="0" w:after="0"/>
              <w:jc w:val="right"/>
              <w:rPr>
                <w:i/>
                <w:iCs/>
                <w:sz w:val="22"/>
                <w:szCs w:val="22"/>
                <w:lang w:val="lv-LV"/>
              </w:rPr>
            </w:pP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5F7C2C" w:rsidRDefault="00855289" w:rsidP="0000382E">
            <w:pPr>
              <w:pStyle w:val="naisf"/>
              <w:spacing w:before="0" w:after="0"/>
              <w:jc w:val="right"/>
              <w:rPr>
                <w:i/>
                <w:sz w:val="22"/>
                <w:szCs w:val="22"/>
                <w:lang w:val="lv-LV"/>
              </w:rPr>
            </w:pPr>
            <w:r w:rsidRPr="005F7C2C">
              <w:rPr>
                <w:i/>
                <w:sz w:val="22"/>
                <w:szCs w:val="22"/>
                <w:lang w:val="lv-LV"/>
              </w:rPr>
              <w:t>0</w:t>
            </w:r>
          </w:p>
        </w:tc>
      </w:tr>
      <w:tr w:rsidR="00855289" w:rsidRPr="005F7C2C"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5F7C2C" w:rsidRDefault="00855289" w:rsidP="009045B4">
            <w:pPr>
              <w:jc w:val="both"/>
            </w:pPr>
            <w:r w:rsidRPr="005F7C2C">
              <w:t>6. Detalizēts ieņēmumu un izdevu</w:t>
            </w:r>
            <w:r w:rsidRPr="005F7C2C">
              <w:softHyphen/>
              <w:t>mu aprēķins (ja nepieciešams, detalizētu ieņēmumu un izdevumu aprēķinu var pievienot anotācijas pielikumā):</w:t>
            </w:r>
          </w:p>
        </w:tc>
        <w:tc>
          <w:tcPr>
            <w:tcW w:w="7141" w:type="dxa"/>
            <w:gridSpan w:val="5"/>
            <w:vMerge w:val="restart"/>
            <w:tcBorders>
              <w:top w:val="single" w:sz="4" w:space="0" w:color="auto"/>
              <w:left w:val="single" w:sz="4" w:space="0" w:color="auto"/>
              <w:bottom w:val="single" w:sz="4" w:space="0" w:color="auto"/>
              <w:right w:val="single" w:sz="4" w:space="0" w:color="auto"/>
            </w:tcBorders>
          </w:tcPr>
          <w:p w:rsidR="00CD5770" w:rsidRPr="005F7C2C" w:rsidRDefault="00855289" w:rsidP="007D7A53">
            <w:pPr>
              <w:jc w:val="both"/>
              <w:rPr>
                <w:i/>
                <w:iCs/>
              </w:rPr>
            </w:pPr>
            <w:r w:rsidRPr="005F7C2C">
              <w:t>Noteikumu projekts neparedz ieņēmumu vai izdevumu samazinājumu/palielinājumu. Noteikumu projekts tiks īstenots, nemainot attiecīgā budžeta programmās/apakšprogrammās finansējuma sadalījumu pa ieņēmumu, izdevumu vai finansēšanas klasifikācijas kodiem.</w:t>
            </w:r>
            <w:r w:rsidRPr="005F7C2C">
              <w:rPr>
                <w:i/>
                <w:iCs/>
              </w:rPr>
              <w:t xml:space="preserve"> </w:t>
            </w:r>
          </w:p>
          <w:p w:rsidR="00E12FB6" w:rsidRPr="005F7C2C" w:rsidRDefault="00E12FB6" w:rsidP="00411786">
            <w:pPr>
              <w:pStyle w:val="naisf"/>
              <w:spacing w:before="0" w:beforeAutospacing="0" w:after="0" w:afterAutospacing="0"/>
              <w:rPr>
                <w:i/>
                <w:iCs/>
                <w:lang w:val="lv-LV"/>
              </w:rPr>
            </w:pPr>
            <w:r w:rsidRPr="005F7C2C">
              <w:rPr>
                <w:lang w:val="lv-LV" w:eastAsia="lv-LV"/>
              </w:rPr>
              <w:t xml:space="preserve">Ņemot vērā, ka </w:t>
            </w:r>
            <w:r w:rsidRPr="005F7C2C">
              <w:rPr>
                <w:lang w:val="lv-LV"/>
              </w:rPr>
              <w:t xml:space="preserve">ES fondu Sadarbības iestādes funkcijas pilda Centrālā finanšu un līgumu aģentūra, valsts budžeta finansējumu avansiem un atmaksām ES fondu finansējuma saņēmējiem, kas īsteno </w:t>
            </w:r>
            <w:r w:rsidRPr="005F7C2C">
              <w:rPr>
                <w:bCs/>
                <w:lang w:val="lv-LV"/>
              </w:rPr>
              <w:t xml:space="preserve">3.1.5.3.1.apakšaktivitātes </w:t>
            </w:r>
            <w:r w:rsidRPr="005F7C2C">
              <w:rPr>
                <w:lang w:val="lv-LV"/>
              </w:rPr>
              <w:t xml:space="preserve">projektus, plāno Finanšu ministrijas budžeta programmas 62.00.00 „Eiropas Reģionālās attīstības fonda (ERAF) projektu un pasākumu īstenošana” apakšprogrammā 62.06.00 „Eiropas Reģionālās attīstības fonda (ERAF) avansa maksājumi un atmaksas finansējuma saņēmējiem (2007-2013)”. </w:t>
            </w:r>
          </w:p>
          <w:p w:rsidR="00E12FB6" w:rsidRPr="005F7C2C" w:rsidRDefault="00E12FB6" w:rsidP="008A6795">
            <w:pPr>
              <w:jc w:val="both"/>
              <w:rPr>
                <w:b/>
                <w:u w:val="single"/>
                <w:lang w:eastAsia="lv-LV"/>
              </w:rPr>
            </w:pPr>
            <w:r w:rsidRPr="005F7C2C">
              <w:rPr>
                <w:bCs/>
              </w:rPr>
              <w:t>Budžeta ieņēmumi ir ERAF daļa un budžeta izdevumi ir kopējie nepieciešamie ERAF un valsts budžeta līdzekļi attiecīgajā gadā.</w:t>
            </w:r>
            <w:r w:rsidR="008A6795" w:rsidRPr="005F7C2C">
              <w:rPr>
                <w:b/>
                <w:u w:val="single"/>
                <w:lang w:eastAsia="lv-LV"/>
              </w:rPr>
              <w:t xml:space="preserve"> </w:t>
            </w:r>
            <w:r w:rsidRPr="005F7C2C">
              <w:rPr>
                <w:bCs/>
              </w:rPr>
              <w:t xml:space="preserve">Atbilstoši darbības programmas papildinājumā „Infrastruktūra un pakalpojumi” ietvertajam finanšu plānam 3.1.5.3.1.apakšaktivitātei pieejamais kopējais attiecināmais finansējums ir 202 064 828 EUR, tai skaitā ERAF finansējuma apmērs ir </w:t>
            </w:r>
            <w:r w:rsidR="00BE50E6" w:rsidRPr="005F7C2C">
              <w:rPr>
                <w:bCs/>
              </w:rPr>
              <w:t xml:space="preserve">171 </w:t>
            </w:r>
            <w:r w:rsidRPr="005F7C2C">
              <w:rPr>
                <w:bCs/>
              </w:rPr>
              <w:t xml:space="preserve">114 813 EUR un valsts budžets </w:t>
            </w:r>
            <w:r w:rsidR="00BE50E6" w:rsidRPr="005F7C2C">
              <w:rPr>
                <w:bCs/>
              </w:rPr>
              <w:t>15 225 184 EUR</w:t>
            </w:r>
            <w:r w:rsidRPr="005F7C2C">
              <w:rPr>
                <w:bCs/>
              </w:rPr>
              <w:t xml:space="preserve">, pārējo </w:t>
            </w:r>
            <w:r w:rsidRPr="005F7C2C">
              <w:t xml:space="preserve">3.1.5.3.1.apakšaktivitātes </w:t>
            </w:r>
            <w:r w:rsidRPr="005F7C2C">
              <w:rPr>
                <w:bCs/>
              </w:rPr>
              <w:t xml:space="preserve">līdzfinansējumu veido privātais finansējums, ko nodrošina projekta iesniedzējs, ne mazāk kā </w:t>
            </w:r>
            <w:r w:rsidR="00BE50E6" w:rsidRPr="005F7C2C">
              <w:t>15 724 831</w:t>
            </w:r>
            <w:r w:rsidR="00BE50E6" w:rsidRPr="005F7C2C">
              <w:rPr>
                <w:bCs/>
              </w:rPr>
              <w:t xml:space="preserve"> EUR</w:t>
            </w:r>
            <w:r w:rsidRPr="005F7C2C">
              <w:rPr>
                <w:bCs/>
              </w:rPr>
              <w:t>.</w:t>
            </w:r>
          </w:p>
          <w:p w:rsidR="00E12FB6" w:rsidRPr="005F7C2C" w:rsidRDefault="00E12FB6" w:rsidP="00E12FB6">
            <w:pPr>
              <w:pStyle w:val="naisf"/>
              <w:tabs>
                <w:tab w:val="num" w:pos="1391"/>
              </w:tabs>
              <w:spacing w:before="0" w:beforeAutospacing="0" w:after="0" w:afterAutospacing="0"/>
              <w:rPr>
                <w:bCs/>
                <w:lang w:val="lv-LV"/>
              </w:rPr>
            </w:pPr>
            <w:r w:rsidRPr="005F7C2C">
              <w:rPr>
                <w:lang w:val="lv-LV"/>
              </w:rPr>
              <w:t xml:space="preserve">3.1.5.3.1.apakšaktivitātes </w:t>
            </w:r>
            <w:r w:rsidRPr="005F7C2C">
              <w:rPr>
                <w:bCs/>
                <w:lang w:val="lv-LV"/>
              </w:rPr>
              <w:t>ieviešana tika uzsākta 2009.gadā un tās projektu īstenošanai finansējuma piesaiste nodrošināta šādos apmēros:</w:t>
            </w:r>
          </w:p>
          <w:p w:rsidR="00E12FB6" w:rsidRPr="005F7C2C" w:rsidRDefault="00E12FB6" w:rsidP="00E12FB6">
            <w:pPr>
              <w:numPr>
                <w:ilvl w:val="0"/>
                <w:numId w:val="11"/>
              </w:numPr>
              <w:jc w:val="both"/>
              <w:rPr>
                <w:bCs/>
              </w:rPr>
            </w:pPr>
            <w:r w:rsidRPr="005F7C2C">
              <w:t xml:space="preserve">3.1.5.3.1.apakšaktivitātes </w:t>
            </w:r>
            <w:r w:rsidRPr="005F7C2C">
              <w:rPr>
                <w:bCs/>
              </w:rPr>
              <w:t xml:space="preserve">īstenošanai 2009.gadā tika piesaistīts finansējums </w:t>
            </w:r>
            <w:bookmarkStart w:id="10" w:name="OLE_LINK8"/>
            <w:r w:rsidR="00CD5770" w:rsidRPr="005F7C2C">
              <w:rPr>
                <w:bCs/>
              </w:rPr>
              <w:t xml:space="preserve">20 720 483 </w:t>
            </w:r>
            <w:bookmarkEnd w:id="10"/>
            <w:r w:rsidR="002B20CA" w:rsidRPr="005F7C2C">
              <w:rPr>
                <w:bCs/>
              </w:rPr>
              <w:t>EUR</w:t>
            </w:r>
            <w:r w:rsidRPr="005F7C2C">
              <w:rPr>
                <w:bCs/>
              </w:rPr>
              <w:t xml:space="preserve"> apmērā, t.sk., ERAF finansējums </w:t>
            </w:r>
            <w:r w:rsidR="006364A4" w:rsidRPr="005F7C2C">
              <w:rPr>
                <w:bCs/>
              </w:rPr>
              <w:t xml:space="preserve">17 824 086 </w:t>
            </w:r>
            <w:r w:rsidR="002B20CA" w:rsidRPr="005F7C2C">
              <w:rPr>
                <w:bCs/>
              </w:rPr>
              <w:t>EUR</w:t>
            </w:r>
            <w:r w:rsidRPr="005F7C2C">
              <w:rPr>
                <w:bCs/>
              </w:rPr>
              <w:t xml:space="preserve"> un valsts budžeta finansējums </w:t>
            </w:r>
            <w:r w:rsidR="006364A4" w:rsidRPr="005F7C2C">
              <w:rPr>
                <w:bCs/>
              </w:rPr>
              <w:t xml:space="preserve">2 896 397 </w:t>
            </w:r>
            <w:r w:rsidR="002B20CA" w:rsidRPr="005F7C2C">
              <w:rPr>
                <w:bCs/>
              </w:rPr>
              <w:t>EUR</w:t>
            </w:r>
            <w:r w:rsidRPr="005F7C2C">
              <w:rPr>
                <w:bCs/>
              </w:rPr>
              <w:t>;</w:t>
            </w:r>
          </w:p>
          <w:p w:rsidR="00E12FB6" w:rsidRPr="005F7C2C" w:rsidRDefault="00E12FB6" w:rsidP="00E12FB6">
            <w:pPr>
              <w:numPr>
                <w:ilvl w:val="0"/>
                <w:numId w:val="11"/>
              </w:numPr>
              <w:jc w:val="both"/>
              <w:rPr>
                <w:bCs/>
              </w:rPr>
            </w:pPr>
            <w:r w:rsidRPr="005F7C2C">
              <w:t xml:space="preserve">3.1.5.3.1.apakšaktivitātes </w:t>
            </w:r>
            <w:r w:rsidRPr="005F7C2C">
              <w:rPr>
                <w:bCs/>
              </w:rPr>
              <w:t xml:space="preserve">īstenošanai 2010.gadā tika piesaistīts finansējums </w:t>
            </w:r>
            <w:bookmarkStart w:id="11" w:name="OLE_LINK10"/>
            <w:r w:rsidR="006364A4" w:rsidRPr="005F7C2C">
              <w:rPr>
                <w:bCs/>
              </w:rPr>
              <w:t xml:space="preserve">27 712 763 </w:t>
            </w:r>
            <w:bookmarkEnd w:id="11"/>
            <w:r w:rsidR="002B20CA" w:rsidRPr="005F7C2C">
              <w:rPr>
                <w:bCs/>
              </w:rPr>
              <w:t>EUR</w:t>
            </w:r>
            <w:r w:rsidRPr="005F7C2C">
              <w:rPr>
                <w:bCs/>
              </w:rPr>
              <w:t xml:space="preserve"> apmērā, t.sk., ERAF finansējums </w:t>
            </w:r>
            <w:r w:rsidR="006364A4" w:rsidRPr="005F7C2C">
              <w:rPr>
                <w:bCs/>
              </w:rPr>
              <w:t>25 017 204 EUR</w:t>
            </w:r>
            <w:r w:rsidRPr="005F7C2C">
              <w:rPr>
                <w:bCs/>
              </w:rPr>
              <w:t xml:space="preserve"> un valsts budžeta finansējums </w:t>
            </w:r>
            <w:r w:rsidR="006364A4" w:rsidRPr="005F7C2C">
              <w:rPr>
                <w:bCs/>
              </w:rPr>
              <w:t xml:space="preserve">2 695 560 </w:t>
            </w:r>
            <w:r w:rsidR="002B20CA" w:rsidRPr="005F7C2C">
              <w:rPr>
                <w:bCs/>
              </w:rPr>
              <w:t>EUR</w:t>
            </w:r>
            <w:r w:rsidRPr="005F7C2C">
              <w:rPr>
                <w:bCs/>
              </w:rPr>
              <w:t>;</w:t>
            </w:r>
          </w:p>
          <w:p w:rsidR="00E12FB6" w:rsidRPr="005F7C2C" w:rsidRDefault="00E12FB6" w:rsidP="00E12FB6">
            <w:pPr>
              <w:numPr>
                <w:ilvl w:val="0"/>
                <w:numId w:val="11"/>
              </w:numPr>
              <w:jc w:val="both"/>
            </w:pPr>
            <w:r w:rsidRPr="005F7C2C">
              <w:t xml:space="preserve">3.1.5.3.1.apakšaktivitātes </w:t>
            </w:r>
            <w:r w:rsidRPr="005F7C2C">
              <w:rPr>
                <w:bCs/>
              </w:rPr>
              <w:t xml:space="preserve">īstenošanai 2011.gadā tika piesaistīts finansējums </w:t>
            </w:r>
            <w:r w:rsidR="00295AF7" w:rsidRPr="005F7C2C">
              <w:rPr>
                <w:bCs/>
              </w:rPr>
              <w:t xml:space="preserve">37 842 230 </w:t>
            </w:r>
            <w:r w:rsidR="002B20CA" w:rsidRPr="005F7C2C">
              <w:rPr>
                <w:bCs/>
              </w:rPr>
              <w:t>EUR</w:t>
            </w:r>
            <w:r w:rsidRPr="005F7C2C">
              <w:rPr>
                <w:bCs/>
              </w:rPr>
              <w:t xml:space="preserve"> apmērā, t.sk., ERAF finansējums </w:t>
            </w:r>
            <w:r w:rsidR="00295AF7" w:rsidRPr="005F7C2C">
              <w:t xml:space="preserve">33 898 641 </w:t>
            </w:r>
            <w:r w:rsidR="00295AF7" w:rsidRPr="005F7C2C">
              <w:rPr>
                <w:bCs/>
              </w:rPr>
              <w:t>EUR</w:t>
            </w:r>
            <w:r w:rsidRPr="005F7C2C">
              <w:rPr>
                <w:bCs/>
              </w:rPr>
              <w:t xml:space="preserve"> un valsts budžeta finansējums </w:t>
            </w:r>
            <w:r w:rsidR="00295AF7" w:rsidRPr="005F7C2C">
              <w:t xml:space="preserve">3 943 589 </w:t>
            </w:r>
            <w:r w:rsidR="002B20CA" w:rsidRPr="005F7C2C">
              <w:rPr>
                <w:bCs/>
              </w:rPr>
              <w:t>EUR</w:t>
            </w:r>
            <w:r w:rsidRPr="005F7C2C">
              <w:rPr>
                <w:bCs/>
              </w:rPr>
              <w:t>;</w:t>
            </w:r>
          </w:p>
          <w:p w:rsidR="00E12FB6" w:rsidRPr="005F7C2C" w:rsidRDefault="00E12FB6" w:rsidP="00E12FB6">
            <w:pPr>
              <w:numPr>
                <w:ilvl w:val="0"/>
                <w:numId w:val="11"/>
              </w:numPr>
              <w:jc w:val="both"/>
              <w:rPr>
                <w:bCs/>
              </w:rPr>
            </w:pPr>
            <w:r w:rsidRPr="005F7C2C">
              <w:t xml:space="preserve">3.1.5.3.1.apakšaktivitātes </w:t>
            </w:r>
            <w:r w:rsidRPr="005F7C2C">
              <w:rPr>
                <w:bCs/>
              </w:rPr>
              <w:t xml:space="preserve">īstenošanai 2012.gadā tika piesaistīts finansējums </w:t>
            </w:r>
            <w:r w:rsidR="0064167F" w:rsidRPr="005F7C2C">
              <w:t>26 684 </w:t>
            </w:r>
            <w:r w:rsidR="00C670BC" w:rsidRPr="005F7C2C">
              <w:t>214</w:t>
            </w:r>
            <w:r w:rsidR="0064167F" w:rsidRPr="005F7C2C">
              <w:t xml:space="preserve"> </w:t>
            </w:r>
            <w:r w:rsidR="002B20CA" w:rsidRPr="005F7C2C">
              <w:t>EUR</w:t>
            </w:r>
            <w:r w:rsidRPr="005F7C2C">
              <w:t xml:space="preserve"> apmērā,</w:t>
            </w:r>
            <w:r w:rsidRPr="005F7C2C">
              <w:rPr>
                <w:i/>
              </w:rPr>
              <w:t xml:space="preserve"> </w:t>
            </w:r>
            <w:r w:rsidRPr="005F7C2C">
              <w:rPr>
                <w:bCs/>
              </w:rPr>
              <w:t xml:space="preserve">t.sk., ERAF finansējums </w:t>
            </w:r>
            <w:r w:rsidR="00500D8F" w:rsidRPr="005F7C2C">
              <w:t>25 083</w:t>
            </w:r>
            <w:r w:rsidR="0064167F" w:rsidRPr="005F7C2C">
              <w:t> </w:t>
            </w:r>
            <w:r w:rsidR="00500D8F" w:rsidRPr="005F7C2C">
              <w:t>161</w:t>
            </w:r>
            <w:r w:rsidR="0064167F" w:rsidRPr="005F7C2C">
              <w:t xml:space="preserve"> </w:t>
            </w:r>
            <w:r w:rsidR="002B20CA" w:rsidRPr="005F7C2C">
              <w:rPr>
                <w:bCs/>
              </w:rPr>
              <w:t>EUR</w:t>
            </w:r>
            <w:r w:rsidRPr="005F7C2C">
              <w:rPr>
                <w:bCs/>
              </w:rPr>
              <w:t xml:space="preserve"> un valsts budžeta finansējums </w:t>
            </w:r>
            <w:r w:rsidR="00500D8F" w:rsidRPr="005F7C2C">
              <w:t>1 601</w:t>
            </w:r>
            <w:r w:rsidR="0064167F" w:rsidRPr="005F7C2C">
              <w:t> </w:t>
            </w:r>
            <w:r w:rsidR="00500D8F" w:rsidRPr="005F7C2C">
              <w:t>053</w:t>
            </w:r>
            <w:r w:rsidR="0064167F" w:rsidRPr="005F7C2C">
              <w:t xml:space="preserve"> </w:t>
            </w:r>
            <w:r w:rsidR="002B20CA" w:rsidRPr="005F7C2C">
              <w:rPr>
                <w:bCs/>
              </w:rPr>
              <w:t>EUR</w:t>
            </w:r>
            <w:r w:rsidRPr="005F7C2C">
              <w:rPr>
                <w:bCs/>
              </w:rPr>
              <w:t>;</w:t>
            </w:r>
          </w:p>
          <w:p w:rsidR="00E12FB6" w:rsidRPr="005F7C2C" w:rsidRDefault="00E12FB6" w:rsidP="00E12FB6">
            <w:pPr>
              <w:numPr>
                <w:ilvl w:val="0"/>
                <w:numId w:val="11"/>
              </w:numPr>
              <w:jc w:val="both"/>
              <w:rPr>
                <w:bCs/>
              </w:rPr>
            </w:pPr>
            <w:r w:rsidRPr="005F7C2C">
              <w:t xml:space="preserve">3.1.5.3.1.apakšaktivitātes </w:t>
            </w:r>
            <w:r w:rsidR="004464FA" w:rsidRPr="005F7C2C">
              <w:rPr>
                <w:bCs/>
              </w:rPr>
              <w:t xml:space="preserve">īstenošanai 2013.gadā tika piesaistīts finansējums </w:t>
            </w:r>
            <w:r w:rsidR="00761BCE" w:rsidRPr="005F7C2C">
              <w:t>26 521 360</w:t>
            </w:r>
            <w:r w:rsidR="004464FA" w:rsidRPr="005F7C2C">
              <w:t xml:space="preserve"> EUR apmērā,</w:t>
            </w:r>
            <w:r w:rsidR="004464FA" w:rsidRPr="005F7C2C">
              <w:rPr>
                <w:i/>
              </w:rPr>
              <w:t xml:space="preserve"> </w:t>
            </w:r>
            <w:r w:rsidR="004464FA" w:rsidRPr="005F7C2C">
              <w:rPr>
                <w:bCs/>
              </w:rPr>
              <w:t xml:space="preserve">t.sk., ERAF finansējums </w:t>
            </w:r>
            <w:r w:rsidR="00761BCE" w:rsidRPr="005F7C2C">
              <w:lastRenderedPageBreak/>
              <w:t xml:space="preserve">25 177 921 </w:t>
            </w:r>
            <w:r w:rsidR="004464FA" w:rsidRPr="005F7C2C">
              <w:rPr>
                <w:bCs/>
              </w:rPr>
              <w:t xml:space="preserve">EUR un valsts budžeta finansējums </w:t>
            </w:r>
            <w:r w:rsidR="00761BCE" w:rsidRPr="005F7C2C">
              <w:t>1 343 439</w:t>
            </w:r>
            <w:r w:rsidR="004464FA" w:rsidRPr="005F7C2C">
              <w:t xml:space="preserve"> </w:t>
            </w:r>
            <w:r w:rsidR="004464FA" w:rsidRPr="005F7C2C">
              <w:rPr>
                <w:bCs/>
              </w:rPr>
              <w:t>EUR</w:t>
            </w:r>
            <w:r w:rsidRPr="005F7C2C">
              <w:rPr>
                <w:bCs/>
              </w:rPr>
              <w:t>;</w:t>
            </w:r>
          </w:p>
          <w:p w:rsidR="00E12FB6" w:rsidRPr="005F7C2C" w:rsidRDefault="00E12FB6" w:rsidP="004464FA">
            <w:pPr>
              <w:numPr>
                <w:ilvl w:val="0"/>
                <w:numId w:val="11"/>
              </w:numPr>
              <w:jc w:val="both"/>
              <w:rPr>
                <w:bCs/>
              </w:rPr>
            </w:pPr>
            <w:r w:rsidRPr="005F7C2C">
              <w:t xml:space="preserve">3.1.5.3.1.apakšaktivitātes </w:t>
            </w:r>
            <w:r w:rsidRPr="005F7C2C">
              <w:rPr>
                <w:bCs/>
              </w:rPr>
              <w:t xml:space="preserve">īstenošanai 2014.gadā </w:t>
            </w:r>
            <w:r w:rsidR="004464FA" w:rsidRPr="005F7C2C">
              <w:rPr>
                <w:bCs/>
              </w:rPr>
              <w:t xml:space="preserve">tika piesaistīts finansējums </w:t>
            </w:r>
            <w:r w:rsidR="007F2020" w:rsidRPr="005F7C2C">
              <w:t>24 400 375</w:t>
            </w:r>
            <w:r w:rsidR="00BE70F1" w:rsidRPr="005F7C2C">
              <w:t xml:space="preserve"> </w:t>
            </w:r>
            <w:r w:rsidR="004464FA" w:rsidRPr="005F7C2C">
              <w:t>EUR apmērā,</w:t>
            </w:r>
            <w:r w:rsidR="004464FA" w:rsidRPr="005F7C2C">
              <w:rPr>
                <w:i/>
              </w:rPr>
              <w:t xml:space="preserve"> </w:t>
            </w:r>
            <w:r w:rsidR="004464FA" w:rsidRPr="005F7C2C">
              <w:rPr>
                <w:bCs/>
              </w:rPr>
              <w:t xml:space="preserve">t.sk., ERAF finansējums </w:t>
            </w:r>
            <w:r w:rsidR="007F2020" w:rsidRPr="005F7C2C">
              <w:t xml:space="preserve">22 452 316 </w:t>
            </w:r>
            <w:r w:rsidR="004464FA" w:rsidRPr="005F7C2C">
              <w:rPr>
                <w:bCs/>
              </w:rPr>
              <w:t xml:space="preserve">EUR un valsts budžeta finansējums </w:t>
            </w:r>
            <w:r w:rsidR="007F2020" w:rsidRPr="005F7C2C">
              <w:t>1 948 059</w:t>
            </w:r>
            <w:r w:rsidR="00BE70F1" w:rsidRPr="005F7C2C">
              <w:t xml:space="preserve"> </w:t>
            </w:r>
            <w:r w:rsidR="004464FA" w:rsidRPr="005F7C2C">
              <w:rPr>
                <w:bCs/>
              </w:rPr>
              <w:t>EUR</w:t>
            </w:r>
            <w:r w:rsidRPr="005F7C2C">
              <w:rPr>
                <w:bCs/>
              </w:rPr>
              <w:t>;</w:t>
            </w:r>
          </w:p>
          <w:p w:rsidR="00E12FB6" w:rsidRPr="005F7C2C" w:rsidRDefault="00E12FB6" w:rsidP="001647CA">
            <w:pPr>
              <w:numPr>
                <w:ilvl w:val="0"/>
                <w:numId w:val="11"/>
              </w:numPr>
              <w:jc w:val="both"/>
            </w:pPr>
            <w:r w:rsidRPr="005F7C2C">
              <w:t xml:space="preserve">3.1.5.3.1.apakšaktivitātes </w:t>
            </w:r>
            <w:r w:rsidRPr="005F7C2C">
              <w:rPr>
                <w:bCs/>
              </w:rPr>
              <w:t>īstenošanai 2015.gadā piesaistīt</w:t>
            </w:r>
            <w:r w:rsidR="00B3146A" w:rsidRPr="005F7C2C">
              <w:rPr>
                <w:bCs/>
              </w:rPr>
              <w:t>s</w:t>
            </w:r>
            <w:r w:rsidRPr="005F7C2C">
              <w:rPr>
                <w:bCs/>
              </w:rPr>
              <w:t xml:space="preserve"> finansējumu </w:t>
            </w:r>
            <w:r w:rsidR="007F2020" w:rsidRPr="005F7C2C">
              <w:rPr>
                <w:bCs/>
              </w:rPr>
              <w:t xml:space="preserve">16 035 773 </w:t>
            </w:r>
            <w:r w:rsidR="002B20CA" w:rsidRPr="005F7C2C">
              <w:rPr>
                <w:bCs/>
              </w:rPr>
              <w:t>EUR</w:t>
            </w:r>
            <w:r w:rsidRPr="005F7C2C">
              <w:rPr>
                <w:bCs/>
              </w:rPr>
              <w:t xml:space="preserve"> apmērā, t.sk., ERAF finansējums</w:t>
            </w:r>
            <w:r w:rsidR="001647CA" w:rsidRPr="005F7C2C">
              <w:rPr>
                <w:bCs/>
              </w:rPr>
              <w:t xml:space="preserve"> </w:t>
            </w:r>
            <w:r w:rsidR="007F2020" w:rsidRPr="005F7C2C">
              <w:t>15 5</w:t>
            </w:r>
            <w:r w:rsidR="00E37819" w:rsidRPr="005F7C2C">
              <w:t>08 006</w:t>
            </w:r>
            <w:r w:rsidR="007F2020" w:rsidRPr="005F7C2C">
              <w:t xml:space="preserve"> </w:t>
            </w:r>
            <w:r w:rsidR="002B20CA" w:rsidRPr="005F7C2C">
              <w:rPr>
                <w:bCs/>
              </w:rPr>
              <w:t>EUR</w:t>
            </w:r>
            <w:r w:rsidRPr="005F7C2C">
              <w:rPr>
                <w:bCs/>
              </w:rPr>
              <w:t xml:space="preserve"> un valsts budžeta finansējums </w:t>
            </w:r>
            <w:r w:rsidR="00E37819" w:rsidRPr="005F7C2C">
              <w:t>527 767</w:t>
            </w:r>
            <w:r w:rsidR="001647CA" w:rsidRPr="005F7C2C">
              <w:t xml:space="preserve"> </w:t>
            </w:r>
            <w:r w:rsidR="002B20CA" w:rsidRPr="005F7C2C">
              <w:rPr>
                <w:bCs/>
              </w:rPr>
              <w:t>EUR</w:t>
            </w:r>
            <w:r w:rsidR="00C557BA" w:rsidRPr="005F7C2C">
              <w:t>;</w:t>
            </w:r>
          </w:p>
          <w:p w:rsidR="00B3146A" w:rsidRPr="005F7C2C" w:rsidRDefault="00B3146A" w:rsidP="00B3146A">
            <w:pPr>
              <w:numPr>
                <w:ilvl w:val="0"/>
                <w:numId w:val="11"/>
              </w:numPr>
              <w:jc w:val="both"/>
            </w:pPr>
            <w:r w:rsidRPr="005F7C2C">
              <w:t xml:space="preserve">3.1.5.3.1.apakšaktivitātes </w:t>
            </w:r>
            <w:r w:rsidR="00CA204B" w:rsidRPr="005F7C2C">
              <w:rPr>
                <w:bCs/>
              </w:rPr>
              <w:t>īstenošanai 2016</w:t>
            </w:r>
            <w:r w:rsidRPr="005F7C2C">
              <w:rPr>
                <w:bCs/>
              </w:rPr>
              <w:t>.gadā plānots piesaistīt</w:t>
            </w:r>
            <w:r w:rsidR="007732B0" w:rsidRPr="005F7C2C">
              <w:rPr>
                <w:bCs/>
              </w:rPr>
              <w:t xml:space="preserve"> 3</w:t>
            </w:r>
            <w:r w:rsidR="00E37819" w:rsidRPr="005F7C2C">
              <w:rPr>
                <w:bCs/>
              </w:rPr>
              <w:t> 371 296</w:t>
            </w:r>
            <w:r w:rsidR="001E7807" w:rsidRPr="005F7C2C">
              <w:rPr>
                <w:bCs/>
              </w:rPr>
              <w:t xml:space="preserve"> EUR </w:t>
            </w:r>
            <w:r w:rsidR="00CA204B" w:rsidRPr="005F7C2C">
              <w:rPr>
                <w:bCs/>
              </w:rPr>
              <w:t xml:space="preserve">ERAF </w:t>
            </w:r>
            <w:r w:rsidRPr="005F7C2C">
              <w:rPr>
                <w:bCs/>
              </w:rPr>
              <w:t>finansējumu (finansējuma apjoms var mainīties, ņemot vērā VSIA „Paula Stradiņa klīniskā universitātes slimnīca” lielā projekta īstenošanas progresu).</w:t>
            </w:r>
          </w:p>
          <w:p w:rsidR="007D7A53" w:rsidRPr="005F7C2C" w:rsidRDefault="00153C19" w:rsidP="00C25CBF">
            <w:pPr>
              <w:numPr>
                <w:ilvl w:val="0"/>
                <w:numId w:val="11"/>
              </w:numPr>
              <w:jc w:val="both"/>
            </w:pPr>
            <w:r w:rsidRPr="005F7C2C">
              <w:rPr>
                <w:lang w:eastAsia="lv-LV"/>
              </w:rPr>
              <w:t xml:space="preserve">Ņemot vērā </w:t>
            </w:r>
            <w:r w:rsidR="00C25CBF" w:rsidRPr="005F7C2C">
              <w:rPr>
                <w:lang w:eastAsia="lv-LV"/>
              </w:rPr>
              <w:t xml:space="preserve">Ministru kabineta 2012.gada 8.maija sēdes </w:t>
            </w:r>
            <w:proofErr w:type="spellStart"/>
            <w:r w:rsidR="00C25CBF" w:rsidRPr="005F7C2C">
              <w:rPr>
                <w:lang w:eastAsia="lv-LV"/>
              </w:rPr>
              <w:t>protokollēmumā</w:t>
            </w:r>
            <w:proofErr w:type="spellEnd"/>
            <w:r w:rsidR="00C25CBF" w:rsidRPr="005F7C2C">
              <w:rPr>
                <w:lang w:eastAsia="lv-LV"/>
              </w:rPr>
              <w:t xml:space="preserve"> Nr.25 26.§ 7.punktā noteikto, ja ES fonda prioritātes ietvaros kādā no aktivitātēm ir uzņemtas </w:t>
            </w:r>
            <w:proofErr w:type="spellStart"/>
            <w:r w:rsidR="00C25CBF" w:rsidRPr="005F7C2C">
              <w:rPr>
                <w:lang w:eastAsia="lv-LV"/>
              </w:rPr>
              <w:t>virssaistības</w:t>
            </w:r>
            <w:proofErr w:type="spellEnd"/>
            <w:r w:rsidR="00C25CBF" w:rsidRPr="005F7C2C">
              <w:rPr>
                <w:lang w:eastAsia="lv-LV"/>
              </w:rPr>
              <w:t xml:space="preserve"> un kādā šīs prioritātes projektā ir konstatēta neatbilstība vai tiek lauzts līgums, atbrīvotais finansējums sākot ar 2012.gada 8.maiju neatbilstoši veikto izdevumu apmērā nevar tikt novirzīts citu ES fonda projektu īstenošanai.</w:t>
            </w:r>
            <w:r w:rsidRPr="005F7C2C">
              <w:rPr>
                <w:lang w:eastAsia="lv-LV"/>
              </w:rPr>
              <w:t xml:space="preserve"> </w:t>
            </w:r>
            <w:r w:rsidRPr="005F7C2C">
              <w:t xml:space="preserve">3.1.5.3.1.apakšaktivitātes ietvaros konstatēto neatbilstību apjoms pēc </w:t>
            </w:r>
            <w:r w:rsidR="00C557BA" w:rsidRPr="005F7C2C">
              <w:t xml:space="preserve">2012.gada 8.maija </w:t>
            </w:r>
            <w:r w:rsidR="00B3146A" w:rsidRPr="005F7C2C">
              <w:t>ir 3</w:t>
            </w:r>
            <w:r w:rsidR="00CA204B" w:rsidRPr="005F7C2C">
              <w:t> </w:t>
            </w:r>
            <w:r w:rsidR="00B3146A" w:rsidRPr="005F7C2C">
              <w:t>051</w:t>
            </w:r>
            <w:r w:rsidR="00CA204B" w:rsidRPr="005F7C2C">
              <w:t xml:space="preserve"> 502</w:t>
            </w:r>
            <w:r w:rsidRPr="005F7C2C">
              <w:t xml:space="preserve"> EUR, t.sk. ERAF finansējums </w:t>
            </w:r>
            <w:bookmarkStart w:id="12" w:name="OLE_LINK11"/>
            <w:r w:rsidRPr="005F7C2C">
              <w:t>2</w:t>
            </w:r>
            <w:r w:rsidR="00CA204B" w:rsidRPr="005F7C2C">
              <w:t> </w:t>
            </w:r>
            <w:bookmarkEnd w:id="12"/>
            <w:r w:rsidR="00CA204B" w:rsidRPr="005F7C2C">
              <w:t>782 182</w:t>
            </w:r>
            <w:r w:rsidRPr="005F7C2C">
              <w:t xml:space="preserve"> EUR u</w:t>
            </w:r>
            <w:r w:rsidR="00CA204B" w:rsidRPr="005F7C2C">
              <w:t>n valsts budžeta finansējums 269 320</w:t>
            </w:r>
            <w:r w:rsidRPr="005F7C2C">
              <w:t xml:space="preserve"> EUR.</w:t>
            </w:r>
          </w:p>
          <w:p w:rsidR="00F046AC" w:rsidRPr="005F7C2C" w:rsidRDefault="00F046AC" w:rsidP="00F046AC">
            <w:pPr>
              <w:jc w:val="both"/>
            </w:pPr>
            <w:r w:rsidRPr="005F7C2C">
              <w:t xml:space="preserve">Atbilstoši MK prot.17 43.§ 2.punktā noteiktajam jaunā A korpusa 1.kārtas būvniecības darbu veikšanai un iekārtošanai 2017.gadā ir atbalstīta finansējuma ne vairāk kā 16 062 374 EUR apmērā piesaiste no valsts budžeta, iekļaujot to </w:t>
            </w:r>
            <w:r w:rsidR="00727306" w:rsidRPr="005F7C2C">
              <w:t>Veselības ministrijas pamatbudžeta 2017.gadam bāzē.</w:t>
            </w:r>
          </w:p>
        </w:tc>
      </w:tr>
      <w:tr w:rsidR="00855289" w:rsidRPr="005F7C2C"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5F7C2C" w:rsidRDefault="00855289" w:rsidP="009045B4">
            <w:pPr>
              <w:jc w:val="both"/>
            </w:pPr>
            <w:r w:rsidRPr="005F7C2C">
              <w:t>6.1. detalizēts ieņēmumu aprēķins</w:t>
            </w:r>
          </w:p>
        </w:tc>
        <w:tc>
          <w:tcPr>
            <w:tcW w:w="7141" w:type="dxa"/>
            <w:gridSpan w:val="5"/>
            <w:vMerge/>
            <w:tcBorders>
              <w:top w:val="single" w:sz="4" w:space="0" w:color="auto"/>
              <w:left w:val="single" w:sz="4" w:space="0" w:color="auto"/>
              <w:bottom w:val="single" w:sz="4" w:space="0" w:color="auto"/>
              <w:right w:val="single" w:sz="4" w:space="0" w:color="auto"/>
            </w:tcBorders>
          </w:tcPr>
          <w:p w:rsidR="00855289" w:rsidRPr="005F7C2C" w:rsidRDefault="00855289" w:rsidP="009045B4">
            <w:pPr>
              <w:pStyle w:val="naisf"/>
              <w:spacing w:before="0" w:after="0"/>
              <w:rPr>
                <w:b/>
                <w:bCs/>
                <w:i/>
                <w:iCs/>
                <w:lang w:val="lv-LV"/>
              </w:rPr>
            </w:pPr>
          </w:p>
        </w:tc>
      </w:tr>
      <w:tr w:rsidR="00855289" w:rsidRPr="005F7C2C"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5F7C2C" w:rsidRDefault="00855289" w:rsidP="009045B4">
            <w:pPr>
              <w:jc w:val="both"/>
            </w:pPr>
            <w:r w:rsidRPr="005F7C2C">
              <w:t>6.2. detalizēts izdevumu aprēķins</w:t>
            </w:r>
          </w:p>
        </w:tc>
        <w:tc>
          <w:tcPr>
            <w:tcW w:w="7141" w:type="dxa"/>
            <w:gridSpan w:val="5"/>
            <w:vMerge/>
            <w:tcBorders>
              <w:top w:val="single" w:sz="4" w:space="0" w:color="auto"/>
              <w:left w:val="single" w:sz="4" w:space="0" w:color="auto"/>
              <w:bottom w:val="single" w:sz="4" w:space="0" w:color="auto"/>
              <w:right w:val="single" w:sz="4" w:space="0" w:color="auto"/>
            </w:tcBorders>
          </w:tcPr>
          <w:p w:rsidR="00855289" w:rsidRPr="005F7C2C" w:rsidRDefault="00855289" w:rsidP="009045B4">
            <w:pPr>
              <w:pStyle w:val="naisf"/>
              <w:spacing w:before="0" w:after="0"/>
              <w:rPr>
                <w:b/>
                <w:bCs/>
                <w:i/>
                <w:iCs/>
                <w:lang w:val="lv-LV"/>
              </w:rPr>
            </w:pPr>
          </w:p>
        </w:tc>
      </w:tr>
      <w:tr w:rsidR="00855289" w:rsidRPr="005F7C2C"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5F7C2C" w:rsidRDefault="00855289" w:rsidP="009045B4">
            <w:pPr>
              <w:jc w:val="both"/>
            </w:pPr>
            <w:r w:rsidRPr="005F7C2C">
              <w:lastRenderedPageBreak/>
              <w:t>7. Cita informācija</w:t>
            </w:r>
          </w:p>
        </w:tc>
        <w:tc>
          <w:tcPr>
            <w:tcW w:w="7141" w:type="dxa"/>
            <w:gridSpan w:val="5"/>
            <w:tcBorders>
              <w:top w:val="single" w:sz="4" w:space="0" w:color="auto"/>
              <w:left w:val="single" w:sz="4" w:space="0" w:color="auto"/>
              <w:bottom w:val="single" w:sz="4" w:space="0" w:color="auto"/>
              <w:right w:val="single" w:sz="4" w:space="0" w:color="auto"/>
            </w:tcBorders>
          </w:tcPr>
          <w:p w:rsidR="00855289" w:rsidRPr="005F7C2C" w:rsidRDefault="000C5995" w:rsidP="0026728B">
            <w:pPr>
              <w:pStyle w:val="naisf"/>
              <w:spacing w:before="0" w:after="0"/>
              <w:rPr>
                <w:lang w:val="lv-LV"/>
              </w:rPr>
            </w:pPr>
            <w:r w:rsidRPr="005F7C2C">
              <w:rPr>
                <w:lang w:val="lv-LV"/>
              </w:rPr>
              <w:t xml:space="preserve">Noteikumu projekta īstenošana </w:t>
            </w:r>
            <w:r w:rsidRPr="005F7C2C">
              <w:rPr>
                <w:lang w:val="lv-LV" w:eastAsia="lv-LV"/>
              </w:rPr>
              <w:t xml:space="preserve">tiks nodrošināta Finanšu ministrijas budžeta </w:t>
            </w:r>
            <w:r w:rsidRPr="005F7C2C">
              <w:rPr>
                <w:lang w:val="lv-LV"/>
              </w:rPr>
              <w:t xml:space="preserve">programmas 62.00.00 „Eiropas Reģionālās attīstības fonda (ERAF) projektu un pasākumu īstenošana” apakšprogrammā 62.06.00 „Eiropas Reģionālās attīstības fonda (ERAF) avansa maksājumi un atmaksas finansējuma saņēmējiem (2007-2013)” </w:t>
            </w:r>
            <w:r w:rsidRPr="005F7C2C">
              <w:rPr>
                <w:lang w:val="lv-LV" w:eastAsia="lv-LV"/>
              </w:rPr>
              <w:t>esošo finanšu līdzekļu ietvaros</w:t>
            </w:r>
            <w:r w:rsidR="0026728B" w:rsidRPr="005F7C2C">
              <w:rPr>
                <w:lang w:val="lv-LV" w:eastAsia="lv-LV"/>
              </w:rPr>
              <w:t>.</w:t>
            </w:r>
          </w:p>
        </w:tc>
      </w:tr>
    </w:tbl>
    <w:p w:rsidR="00CC7955" w:rsidRPr="005F7C2C" w:rsidRDefault="00CC7955" w:rsidP="00B9292C">
      <w:pPr>
        <w:autoSpaceDE w:val="0"/>
        <w:autoSpaceDN w:val="0"/>
        <w:adjustRightInd w:val="0"/>
        <w:rPr>
          <w:noProof/>
          <w:sz w:val="28"/>
          <w:szCs w:val="28"/>
        </w:rPr>
      </w:pPr>
    </w:p>
    <w:tbl>
      <w:tblPr>
        <w:tblW w:w="10065"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93"/>
        <w:gridCol w:w="2693"/>
        <w:gridCol w:w="6379"/>
      </w:tblGrid>
      <w:tr w:rsidR="004816E0" w:rsidRPr="005F7C2C" w:rsidTr="004816E0">
        <w:tc>
          <w:tcPr>
            <w:tcW w:w="10065" w:type="dxa"/>
            <w:gridSpan w:val="3"/>
            <w:tcBorders>
              <w:top w:val="outset" w:sz="6" w:space="0" w:color="auto"/>
              <w:left w:val="outset" w:sz="6" w:space="0" w:color="auto"/>
              <w:bottom w:val="outset" w:sz="6" w:space="0" w:color="auto"/>
              <w:right w:val="outset" w:sz="6" w:space="0" w:color="auto"/>
            </w:tcBorders>
            <w:vAlign w:val="center"/>
          </w:tcPr>
          <w:p w:rsidR="004816E0" w:rsidRPr="005F7C2C" w:rsidRDefault="004816E0" w:rsidP="004816E0">
            <w:pPr>
              <w:jc w:val="center"/>
              <w:rPr>
                <w:b/>
              </w:rPr>
            </w:pPr>
            <w:r w:rsidRPr="005F7C2C">
              <w:rPr>
                <w:b/>
              </w:rPr>
              <w:t>V. Tiesību akta projekta atbilstība Latvijas Republikas starptautiskajām saistībām</w:t>
            </w:r>
          </w:p>
        </w:tc>
      </w:tr>
      <w:tr w:rsidR="004816E0" w:rsidRPr="005F7C2C" w:rsidTr="004816E0">
        <w:tc>
          <w:tcPr>
            <w:tcW w:w="993" w:type="dxa"/>
            <w:tcBorders>
              <w:top w:val="outset" w:sz="6" w:space="0" w:color="auto"/>
              <w:left w:val="outset" w:sz="6" w:space="0" w:color="auto"/>
              <w:bottom w:val="outset" w:sz="6" w:space="0" w:color="auto"/>
              <w:right w:val="outset" w:sz="6" w:space="0" w:color="auto"/>
            </w:tcBorders>
          </w:tcPr>
          <w:p w:rsidR="004816E0" w:rsidRPr="005F7C2C" w:rsidRDefault="004816E0" w:rsidP="004816E0">
            <w:pPr>
              <w:ind w:left="57"/>
            </w:pPr>
            <w:r w:rsidRPr="005F7C2C">
              <w:t>1.</w:t>
            </w:r>
          </w:p>
        </w:tc>
        <w:tc>
          <w:tcPr>
            <w:tcW w:w="2693" w:type="dxa"/>
            <w:tcBorders>
              <w:top w:val="outset" w:sz="6" w:space="0" w:color="auto"/>
              <w:left w:val="outset" w:sz="6" w:space="0" w:color="auto"/>
              <w:bottom w:val="outset" w:sz="6" w:space="0" w:color="auto"/>
              <w:right w:val="outset" w:sz="6" w:space="0" w:color="auto"/>
            </w:tcBorders>
          </w:tcPr>
          <w:p w:rsidR="004816E0" w:rsidRPr="005F7C2C" w:rsidRDefault="004816E0" w:rsidP="004816E0">
            <w:pPr>
              <w:ind w:left="57"/>
            </w:pPr>
            <w:r w:rsidRPr="005F7C2C">
              <w:t>Saistības pret Eiropas Savienību</w:t>
            </w:r>
          </w:p>
        </w:tc>
        <w:tc>
          <w:tcPr>
            <w:tcW w:w="6379" w:type="dxa"/>
            <w:tcBorders>
              <w:top w:val="outset" w:sz="6" w:space="0" w:color="auto"/>
              <w:left w:val="outset" w:sz="6" w:space="0" w:color="auto"/>
              <w:bottom w:val="outset" w:sz="6" w:space="0" w:color="auto"/>
              <w:right w:val="outset" w:sz="6" w:space="0" w:color="auto"/>
            </w:tcBorders>
          </w:tcPr>
          <w:p w:rsidR="004816E0" w:rsidRPr="005F7C2C" w:rsidRDefault="004816E0" w:rsidP="000B5AB2">
            <w:pPr>
              <w:tabs>
                <w:tab w:val="left" w:pos="9000"/>
                <w:tab w:val="left" w:pos="9900"/>
              </w:tabs>
              <w:jc w:val="both"/>
            </w:pPr>
            <w:r w:rsidRPr="005F7C2C">
              <w:rPr>
                <w:lang w:eastAsia="lv-LV"/>
              </w:rPr>
              <w:t xml:space="preserve">Noteikumu projekts paredz </w:t>
            </w:r>
            <w:r w:rsidR="00D327ED" w:rsidRPr="005F7C2C">
              <w:t xml:space="preserve">Komisijas Regulā Nr.1083/2006 </w:t>
            </w:r>
            <w:r w:rsidRPr="005F7C2C">
              <w:rPr>
                <w:lang w:eastAsia="lv-LV"/>
              </w:rPr>
              <w:t xml:space="preserve">un </w:t>
            </w:r>
            <w:r w:rsidR="000B5AB2" w:rsidRPr="005F7C2C">
              <w:t>Slēgšanas</w:t>
            </w:r>
            <w:r w:rsidR="00D327ED" w:rsidRPr="005F7C2C">
              <w:t xml:space="preserve"> pamatnostādn</w:t>
            </w:r>
            <w:r w:rsidR="000B5AB2" w:rsidRPr="005F7C2C">
              <w:t>ēs</w:t>
            </w:r>
            <w:r w:rsidRPr="005F7C2C">
              <w:t xml:space="preserve"> </w:t>
            </w:r>
            <w:r w:rsidRPr="005F7C2C">
              <w:rPr>
                <w:lang w:eastAsia="lv-LV"/>
              </w:rPr>
              <w:t>ietverto nosacījumu ieviešanu</w:t>
            </w:r>
            <w:r w:rsidRPr="005F7C2C">
              <w:rPr>
                <w:szCs w:val="28"/>
              </w:rPr>
              <w:t>.</w:t>
            </w:r>
          </w:p>
        </w:tc>
      </w:tr>
      <w:tr w:rsidR="004816E0" w:rsidRPr="005F7C2C" w:rsidTr="004816E0">
        <w:tc>
          <w:tcPr>
            <w:tcW w:w="993" w:type="dxa"/>
            <w:tcBorders>
              <w:top w:val="outset" w:sz="6" w:space="0" w:color="auto"/>
              <w:left w:val="outset" w:sz="6" w:space="0" w:color="auto"/>
              <w:bottom w:val="outset" w:sz="6" w:space="0" w:color="auto"/>
              <w:right w:val="outset" w:sz="6" w:space="0" w:color="auto"/>
            </w:tcBorders>
          </w:tcPr>
          <w:p w:rsidR="004816E0" w:rsidRPr="005F7C2C" w:rsidRDefault="004816E0" w:rsidP="004816E0">
            <w:pPr>
              <w:ind w:left="57"/>
            </w:pPr>
            <w:r w:rsidRPr="005F7C2C">
              <w:t>2.</w:t>
            </w:r>
          </w:p>
        </w:tc>
        <w:tc>
          <w:tcPr>
            <w:tcW w:w="2693" w:type="dxa"/>
            <w:tcBorders>
              <w:top w:val="outset" w:sz="6" w:space="0" w:color="auto"/>
              <w:left w:val="outset" w:sz="6" w:space="0" w:color="auto"/>
              <w:bottom w:val="outset" w:sz="6" w:space="0" w:color="auto"/>
              <w:right w:val="outset" w:sz="6" w:space="0" w:color="auto"/>
            </w:tcBorders>
          </w:tcPr>
          <w:p w:rsidR="004816E0" w:rsidRPr="005F7C2C" w:rsidRDefault="004816E0" w:rsidP="004816E0">
            <w:pPr>
              <w:ind w:left="57"/>
            </w:pPr>
            <w:r w:rsidRPr="005F7C2C">
              <w:t>Citas starptautiskās saistības</w:t>
            </w:r>
          </w:p>
        </w:tc>
        <w:tc>
          <w:tcPr>
            <w:tcW w:w="6379" w:type="dxa"/>
            <w:tcBorders>
              <w:top w:val="outset" w:sz="6" w:space="0" w:color="auto"/>
              <w:left w:val="outset" w:sz="6" w:space="0" w:color="auto"/>
              <w:bottom w:val="outset" w:sz="6" w:space="0" w:color="auto"/>
              <w:right w:val="outset" w:sz="6" w:space="0" w:color="auto"/>
            </w:tcBorders>
          </w:tcPr>
          <w:p w:rsidR="004816E0" w:rsidRPr="005F7C2C" w:rsidRDefault="004816E0" w:rsidP="004816E0">
            <w:pPr>
              <w:ind w:left="57"/>
            </w:pPr>
            <w:r w:rsidRPr="005F7C2C">
              <w:t>Projekts šo jomu neskar.</w:t>
            </w:r>
          </w:p>
        </w:tc>
      </w:tr>
      <w:tr w:rsidR="004816E0" w:rsidRPr="005F7C2C" w:rsidTr="004816E0">
        <w:tc>
          <w:tcPr>
            <w:tcW w:w="993" w:type="dxa"/>
            <w:tcBorders>
              <w:top w:val="outset" w:sz="6" w:space="0" w:color="auto"/>
              <w:left w:val="outset" w:sz="6" w:space="0" w:color="auto"/>
              <w:bottom w:val="outset" w:sz="6" w:space="0" w:color="auto"/>
              <w:right w:val="outset" w:sz="6" w:space="0" w:color="auto"/>
            </w:tcBorders>
          </w:tcPr>
          <w:p w:rsidR="004816E0" w:rsidRPr="005F7C2C" w:rsidRDefault="004816E0" w:rsidP="004816E0">
            <w:pPr>
              <w:ind w:left="57"/>
            </w:pPr>
            <w:r w:rsidRPr="005F7C2C">
              <w:t>3.</w:t>
            </w:r>
          </w:p>
        </w:tc>
        <w:tc>
          <w:tcPr>
            <w:tcW w:w="2693" w:type="dxa"/>
            <w:tcBorders>
              <w:top w:val="outset" w:sz="6" w:space="0" w:color="auto"/>
              <w:left w:val="outset" w:sz="6" w:space="0" w:color="auto"/>
              <w:bottom w:val="outset" w:sz="6" w:space="0" w:color="auto"/>
              <w:right w:val="outset" w:sz="6" w:space="0" w:color="auto"/>
            </w:tcBorders>
          </w:tcPr>
          <w:p w:rsidR="004816E0" w:rsidRPr="005F7C2C" w:rsidRDefault="004816E0" w:rsidP="004816E0">
            <w:pPr>
              <w:ind w:left="57"/>
            </w:pPr>
            <w:r w:rsidRPr="005F7C2C">
              <w:t>Cita informācija</w:t>
            </w:r>
          </w:p>
        </w:tc>
        <w:tc>
          <w:tcPr>
            <w:tcW w:w="6379" w:type="dxa"/>
            <w:tcBorders>
              <w:top w:val="outset" w:sz="6" w:space="0" w:color="auto"/>
              <w:left w:val="outset" w:sz="6" w:space="0" w:color="auto"/>
              <w:bottom w:val="outset" w:sz="6" w:space="0" w:color="auto"/>
              <w:right w:val="outset" w:sz="6" w:space="0" w:color="auto"/>
            </w:tcBorders>
          </w:tcPr>
          <w:p w:rsidR="004816E0" w:rsidRPr="005F7C2C" w:rsidRDefault="004816E0" w:rsidP="004816E0">
            <w:pPr>
              <w:ind w:left="57"/>
            </w:pPr>
            <w:r w:rsidRPr="005F7C2C">
              <w:t>Nav attiecināms</w:t>
            </w:r>
          </w:p>
        </w:tc>
      </w:tr>
    </w:tbl>
    <w:p w:rsidR="00855289" w:rsidRPr="005F7C2C" w:rsidRDefault="00855289" w:rsidP="002106BC">
      <w:pPr>
        <w:autoSpaceDE w:val="0"/>
        <w:autoSpaceDN w:val="0"/>
        <w:adjustRightInd w:val="0"/>
        <w:jc w:val="both"/>
        <w:rPr>
          <w:bCs/>
          <w:i/>
          <w:lang w:eastAsia="lv-LV" w:bidi="lo-LA"/>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984"/>
        <w:gridCol w:w="1985"/>
        <w:gridCol w:w="2835"/>
      </w:tblGrid>
      <w:tr w:rsidR="004816E0" w:rsidRPr="005F7C2C" w:rsidTr="004816E0">
        <w:tc>
          <w:tcPr>
            <w:tcW w:w="10065" w:type="dxa"/>
            <w:gridSpan w:val="4"/>
            <w:vAlign w:val="center"/>
          </w:tcPr>
          <w:p w:rsidR="004816E0" w:rsidRPr="005F7C2C" w:rsidRDefault="004816E0" w:rsidP="004816E0">
            <w:pPr>
              <w:pStyle w:val="naisnod"/>
              <w:spacing w:before="0" w:beforeAutospacing="0" w:after="0" w:afterAutospacing="0"/>
              <w:jc w:val="center"/>
              <w:rPr>
                <w:b/>
              </w:rPr>
            </w:pPr>
            <w:r w:rsidRPr="005F7C2C">
              <w:rPr>
                <w:b/>
              </w:rPr>
              <w:t>1.tabula</w:t>
            </w:r>
          </w:p>
          <w:p w:rsidR="004816E0" w:rsidRPr="005F7C2C" w:rsidRDefault="004816E0" w:rsidP="004816E0">
            <w:pPr>
              <w:autoSpaceDE w:val="0"/>
              <w:autoSpaceDN w:val="0"/>
              <w:adjustRightInd w:val="0"/>
              <w:jc w:val="center"/>
              <w:rPr>
                <w:b/>
                <w:i/>
              </w:rPr>
            </w:pPr>
            <w:r w:rsidRPr="005F7C2C">
              <w:rPr>
                <w:b/>
              </w:rPr>
              <w:t>Tiesību akta projekta atbilstība ES tiesību aktiem</w:t>
            </w:r>
          </w:p>
        </w:tc>
      </w:tr>
      <w:tr w:rsidR="004816E0" w:rsidRPr="005F7C2C" w:rsidTr="004816E0">
        <w:trPr>
          <w:trHeight w:val="1801"/>
        </w:trPr>
        <w:tc>
          <w:tcPr>
            <w:tcW w:w="3261" w:type="dxa"/>
            <w:vAlign w:val="center"/>
          </w:tcPr>
          <w:p w:rsidR="004816E0" w:rsidRPr="005F7C2C" w:rsidRDefault="004816E0" w:rsidP="004816E0">
            <w:pPr>
              <w:pStyle w:val="naiskr"/>
              <w:spacing w:before="0" w:beforeAutospacing="0" w:after="0" w:afterAutospacing="0"/>
            </w:pPr>
            <w:r w:rsidRPr="005F7C2C">
              <w:t>Attiecīgā ES tiesību akta datums, numurs un nosaukums</w:t>
            </w:r>
          </w:p>
        </w:tc>
        <w:tc>
          <w:tcPr>
            <w:tcW w:w="6804" w:type="dxa"/>
            <w:gridSpan w:val="3"/>
          </w:tcPr>
          <w:p w:rsidR="004816E0" w:rsidRPr="005F7C2C" w:rsidRDefault="004816E0" w:rsidP="00D327ED">
            <w:pPr>
              <w:pStyle w:val="ListParagraph"/>
              <w:numPr>
                <w:ilvl w:val="0"/>
                <w:numId w:val="28"/>
              </w:numPr>
              <w:jc w:val="both"/>
            </w:pPr>
            <w:r w:rsidRPr="005F7C2C">
              <w:t>Komisijas Regula Nr.1083/2006.</w:t>
            </w:r>
          </w:p>
          <w:p w:rsidR="00D327ED" w:rsidRPr="005F7C2C" w:rsidRDefault="00B22F6A" w:rsidP="00D327ED">
            <w:pPr>
              <w:pStyle w:val="ListParagraph"/>
              <w:numPr>
                <w:ilvl w:val="0"/>
                <w:numId w:val="28"/>
              </w:numPr>
              <w:jc w:val="both"/>
            </w:pPr>
            <w:r w:rsidRPr="005F7C2C">
              <w:t xml:space="preserve">Slēgšanas </w:t>
            </w:r>
            <w:r w:rsidR="00D327ED" w:rsidRPr="005F7C2C">
              <w:t>pamatnostādnes</w:t>
            </w:r>
          </w:p>
        </w:tc>
      </w:tr>
      <w:tr w:rsidR="004816E0" w:rsidRPr="005F7C2C" w:rsidTr="004816E0">
        <w:tc>
          <w:tcPr>
            <w:tcW w:w="3261" w:type="dxa"/>
            <w:vAlign w:val="center"/>
          </w:tcPr>
          <w:p w:rsidR="004816E0" w:rsidRPr="005F7C2C" w:rsidRDefault="004816E0" w:rsidP="004816E0">
            <w:pPr>
              <w:pStyle w:val="naiskr"/>
              <w:spacing w:before="0" w:beforeAutospacing="0" w:after="0" w:afterAutospacing="0"/>
              <w:jc w:val="center"/>
            </w:pPr>
            <w:r w:rsidRPr="005F7C2C">
              <w:lastRenderedPageBreak/>
              <w:t>A</w:t>
            </w:r>
          </w:p>
        </w:tc>
        <w:tc>
          <w:tcPr>
            <w:tcW w:w="1984" w:type="dxa"/>
            <w:vAlign w:val="center"/>
          </w:tcPr>
          <w:p w:rsidR="004816E0" w:rsidRPr="005F7C2C" w:rsidRDefault="004816E0" w:rsidP="004816E0">
            <w:pPr>
              <w:pStyle w:val="naiskr"/>
              <w:spacing w:before="0" w:beforeAutospacing="0" w:after="0" w:afterAutospacing="0"/>
              <w:jc w:val="center"/>
            </w:pPr>
            <w:r w:rsidRPr="005F7C2C">
              <w:t>B</w:t>
            </w:r>
          </w:p>
        </w:tc>
        <w:tc>
          <w:tcPr>
            <w:tcW w:w="1985" w:type="dxa"/>
            <w:vAlign w:val="center"/>
          </w:tcPr>
          <w:p w:rsidR="004816E0" w:rsidRPr="005F7C2C" w:rsidRDefault="004816E0" w:rsidP="004816E0">
            <w:pPr>
              <w:pStyle w:val="naiskr"/>
              <w:spacing w:before="0" w:beforeAutospacing="0" w:after="0" w:afterAutospacing="0"/>
              <w:jc w:val="center"/>
            </w:pPr>
            <w:r w:rsidRPr="005F7C2C">
              <w:t>C</w:t>
            </w:r>
          </w:p>
        </w:tc>
        <w:tc>
          <w:tcPr>
            <w:tcW w:w="2835" w:type="dxa"/>
            <w:vAlign w:val="center"/>
          </w:tcPr>
          <w:p w:rsidR="004816E0" w:rsidRPr="005F7C2C" w:rsidRDefault="004816E0" w:rsidP="004816E0">
            <w:pPr>
              <w:pStyle w:val="naiskr"/>
              <w:spacing w:before="0" w:beforeAutospacing="0" w:after="0" w:afterAutospacing="0"/>
              <w:jc w:val="center"/>
            </w:pPr>
            <w:r w:rsidRPr="005F7C2C">
              <w:t>D</w:t>
            </w:r>
          </w:p>
        </w:tc>
      </w:tr>
      <w:tr w:rsidR="004816E0" w:rsidRPr="005F7C2C" w:rsidTr="004816E0">
        <w:tc>
          <w:tcPr>
            <w:tcW w:w="3261" w:type="dxa"/>
          </w:tcPr>
          <w:p w:rsidR="004816E0" w:rsidRPr="005F7C2C" w:rsidRDefault="004816E0" w:rsidP="004816E0">
            <w:pPr>
              <w:pStyle w:val="naiskr"/>
              <w:spacing w:before="0" w:beforeAutospacing="0" w:after="0" w:afterAutospacing="0"/>
            </w:pPr>
            <w:r w:rsidRPr="005F7C2C">
              <w:t xml:space="preserve">Attiecīgā ES tiesību akta panta numurs (uzskaitot katru tiesību akta </w:t>
            </w:r>
            <w:r w:rsidRPr="005F7C2C">
              <w:br/>
              <w:t>vienību – pantu, daļu, punktu, apakšpunktu)</w:t>
            </w:r>
          </w:p>
        </w:tc>
        <w:tc>
          <w:tcPr>
            <w:tcW w:w="1984" w:type="dxa"/>
          </w:tcPr>
          <w:p w:rsidR="004816E0" w:rsidRPr="005F7C2C" w:rsidRDefault="004816E0" w:rsidP="004816E0">
            <w:pPr>
              <w:pStyle w:val="naiskr"/>
              <w:spacing w:before="0" w:beforeAutospacing="0" w:after="0" w:afterAutospacing="0"/>
            </w:pPr>
            <w:r w:rsidRPr="005F7C2C">
              <w:t>Projekta vienība, kas pārņem vai ievieš katru šīs tabulas A ailē minēto ES tiesību akta vienību</w:t>
            </w:r>
          </w:p>
        </w:tc>
        <w:tc>
          <w:tcPr>
            <w:tcW w:w="1985" w:type="dxa"/>
          </w:tcPr>
          <w:p w:rsidR="004816E0" w:rsidRPr="005F7C2C" w:rsidRDefault="004816E0" w:rsidP="004816E0">
            <w:pPr>
              <w:pStyle w:val="naiskr"/>
              <w:spacing w:before="0" w:beforeAutospacing="0" w:after="0" w:afterAutospacing="0"/>
            </w:pPr>
            <w:r w:rsidRPr="005F7C2C">
              <w:t>Informācija par to, vai šīs tabulas A ailē minētās ES tiesību akta vienības tiek pārņemtas vai ieviestas pilnībā vai daļēji.</w:t>
            </w:r>
          </w:p>
        </w:tc>
        <w:tc>
          <w:tcPr>
            <w:tcW w:w="2835" w:type="dxa"/>
          </w:tcPr>
          <w:p w:rsidR="004816E0" w:rsidRPr="005F7C2C" w:rsidRDefault="004816E0" w:rsidP="004816E0">
            <w:pPr>
              <w:pStyle w:val="naiskr"/>
              <w:spacing w:before="0" w:beforeAutospacing="0" w:after="0" w:afterAutospacing="0"/>
            </w:pPr>
            <w:r w:rsidRPr="005F7C2C">
              <w:t>Informācija par to, vai šīs tabulas B ailē minētās projekta vienības paredz stingrākas prasības nekā šīs tabulas A ailē minētās ES tiesību akta vienības.</w:t>
            </w:r>
          </w:p>
        </w:tc>
      </w:tr>
      <w:tr w:rsidR="00D327ED" w:rsidRPr="005F7C2C" w:rsidTr="004816E0">
        <w:tc>
          <w:tcPr>
            <w:tcW w:w="3261" w:type="dxa"/>
          </w:tcPr>
          <w:p w:rsidR="00D327ED" w:rsidRPr="005F7C2C" w:rsidRDefault="00D327ED" w:rsidP="00D327ED">
            <w:pPr>
              <w:tabs>
                <w:tab w:val="left" w:pos="9000"/>
                <w:tab w:val="left" w:pos="9900"/>
              </w:tabs>
            </w:pPr>
            <w:r w:rsidRPr="005F7C2C">
              <w:t>Komisijas Regula Nr.1083/2006 39.pants</w:t>
            </w:r>
          </w:p>
        </w:tc>
        <w:tc>
          <w:tcPr>
            <w:tcW w:w="1984" w:type="dxa"/>
          </w:tcPr>
          <w:p w:rsidR="00D327ED" w:rsidRPr="005F7C2C" w:rsidRDefault="00D327ED" w:rsidP="005E3AA4">
            <w:pPr>
              <w:rPr>
                <w:lang w:eastAsia="en-GB"/>
              </w:rPr>
            </w:pPr>
            <w:r w:rsidRPr="005F7C2C">
              <w:rPr>
                <w:lang w:eastAsia="en-GB"/>
              </w:rPr>
              <w:t xml:space="preserve">MK noteikumu grozījumu projekta </w:t>
            </w:r>
            <w:r w:rsidR="005E3AA4" w:rsidRPr="005F7C2C">
              <w:t>4</w:t>
            </w:r>
            <w:r w:rsidRPr="005F7C2C">
              <w:t>.punkts</w:t>
            </w:r>
            <w:r w:rsidRPr="005F7C2C">
              <w:rPr>
                <w:lang w:eastAsia="en-GB"/>
              </w:rPr>
              <w:t>.</w:t>
            </w:r>
          </w:p>
        </w:tc>
        <w:tc>
          <w:tcPr>
            <w:tcW w:w="1985" w:type="dxa"/>
          </w:tcPr>
          <w:p w:rsidR="00D327ED" w:rsidRPr="005F7C2C" w:rsidRDefault="00D327ED" w:rsidP="004816E0">
            <w:r w:rsidRPr="005F7C2C">
              <w:t>Tiek ieviests</w:t>
            </w:r>
          </w:p>
          <w:p w:rsidR="00D327ED" w:rsidRPr="005F7C2C" w:rsidRDefault="00D327ED" w:rsidP="004816E0"/>
          <w:p w:rsidR="00D327ED" w:rsidRPr="005F7C2C" w:rsidRDefault="00D327ED" w:rsidP="004816E0">
            <w:pPr>
              <w:pStyle w:val="naiskr"/>
              <w:spacing w:before="0" w:beforeAutospacing="0" w:after="0" w:afterAutospacing="0"/>
            </w:pPr>
          </w:p>
        </w:tc>
        <w:tc>
          <w:tcPr>
            <w:tcW w:w="2835" w:type="dxa"/>
          </w:tcPr>
          <w:p w:rsidR="00D327ED" w:rsidRPr="005F7C2C" w:rsidRDefault="00D327ED" w:rsidP="004816E0">
            <w:r w:rsidRPr="005F7C2C">
              <w:t>Stingrākas prasības neparedz</w:t>
            </w:r>
          </w:p>
          <w:p w:rsidR="00D327ED" w:rsidRPr="005F7C2C" w:rsidRDefault="00D327ED" w:rsidP="004816E0"/>
          <w:p w:rsidR="00D327ED" w:rsidRPr="005F7C2C" w:rsidRDefault="00D327ED" w:rsidP="004816E0">
            <w:pPr>
              <w:pStyle w:val="naiskr"/>
              <w:spacing w:before="0" w:beforeAutospacing="0" w:after="0" w:afterAutospacing="0"/>
              <w:jc w:val="both"/>
            </w:pPr>
          </w:p>
        </w:tc>
      </w:tr>
      <w:tr w:rsidR="004816E0" w:rsidRPr="005F7C2C" w:rsidTr="004816E0">
        <w:tc>
          <w:tcPr>
            <w:tcW w:w="3261" w:type="dxa"/>
            <w:vAlign w:val="center"/>
          </w:tcPr>
          <w:p w:rsidR="004816E0" w:rsidRPr="005F7C2C" w:rsidRDefault="004816E0" w:rsidP="004816E0">
            <w:pPr>
              <w:rPr>
                <w:i/>
              </w:rPr>
            </w:pPr>
            <w:r w:rsidRPr="005F7C2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04" w:type="dxa"/>
            <w:gridSpan w:val="3"/>
          </w:tcPr>
          <w:p w:rsidR="004816E0" w:rsidRPr="005F7C2C" w:rsidRDefault="004816E0" w:rsidP="004816E0">
            <w:pPr>
              <w:autoSpaceDE w:val="0"/>
              <w:autoSpaceDN w:val="0"/>
              <w:adjustRightInd w:val="0"/>
              <w:rPr>
                <w:i/>
              </w:rPr>
            </w:pPr>
            <w:r w:rsidRPr="005F7C2C">
              <w:t>Projekts šo jomu neskar.</w:t>
            </w:r>
            <w:r w:rsidRPr="005F7C2C">
              <w:rPr>
                <w:i/>
              </w:rPr>
              <w:t xml:space="preserve"> </w:t>
            </w:r>
          </w:p>
        </w:tc>
      </w:tr>
      <w:tr w:rsidR="004816E0" w:rsidRPr="005F7C2C" w:rsidTr="004816E0">
        <w:tc>
          <w:tcPr>
            <w:tcW w:w="3261" w:type="dxa"/>
          </w:tcPr>
          <w:p w:rsidR="004816E0" w:rsidRPr="005F7C2C" w:rsidRDefault="004816E0" w:rsidP="004816E0">
            <w:pPr>
              <w:pStyle w:val="naiskr"/>
              <w:spacing w:before="0" w:beforeAutospacing="0" w:after="0" w:afterAutospacing="0"/>
              <w:rPr>
                <w:i/>
              </w:rPr>
            </w:pPr>
            <w:r w:rsidRPr="005F7C2C">
              <w:t>Cita informācija</w:t>
            </w:r>
          </w:p>
        </w:tc>
        <w:tc>
          <w:tcPr>
            <w:tcW w:w="6804" w:type="dxa"/>
            <w:gridSpan w:val="3"/>
          </w:tcPr>
          <w:p w:rsidR="005E3AA4" w:rsidRPr="005F7C2C" w:rsidRDefault="005E3AA4" w:rsidP="00D163A1">
            <w:pPr>
              <w:tabs>
                <w:tab w:val="left" w:pos="9000"/>
                <w:tab w:val="left" w:pos="9900"/>
              </w:tabs>
              <w:jc w:val="both"/>
            </w:pPr>
            <w:r w:rsidRPr="005F7C2C">
              <w:t xml:space="preserve">Slēgšanas pamatnostādņu 3.5.apakšpunkts tiek pārņemts </w:t>
            </w:r>
            <w:r w:rsidRPr="005F7C2C">
              <w:rPr>
                <w:lang w:eastAsia="en-GB"/>
              </w:rPr>
              <w:t>MK noteikumu grozījumu projekta 4</w:t>
            </w:r>
            <w:r w:rsidRPr="005F7C2C">
              <w:t>.punktā un neparedz stingrākas prasības.</w:t>
            </w:r>
          </w:p>
          <w:p w:rsidR="004816E0" w:rsidRPr="005F7C2C" w:rsidRDefault="004816E0" w:rsidP="004816E0">
            <w:pPr>
              <w:autoSpaceDE w:val="0"/>
              <w:autoSpaceDN w:val="0"/>
              <w:adjustRightInd w:val="0"/>
              <w:rPr>
                <w:i/>
              </w:rPr>
            </w:pPr>
          </w:p>
        </w:tc>
      </w:tr>
    </w:tbl>
    <w:p w:rsidR="004816E0" w:rsidRPr="005F7C2C" w:rsidRDefault="004816E0" w:rsidP="002106BC">
      <w:pPr>
        <w:autoSpaceDE w:val="0"/>
        <w:autoSpaceDN w:val="0"/>
        <w:adjustRightInd w:val="0"/>
        <w:jc w:val="both"/>
        <w:rPr>
          <w:bCs/>
          <w:i/>
          <w:lang w:eastAsia="lv-LV" w:bidi="lo-LA"/>
        </w:rPr>
      </w:pPr>
    </w:p>
    <w:p w:rsidR="004816E0" w:rsidRPr="005F7C2C" w:rsidRDefault="004816E0" w:rsidP="002106BC">
      <w:pPr>
        <w:autoSpaceDE w:val="0"/>
        <w:autoSpaceDN w:val="0"/>
        <w:adjustRightInd w:val="0"/>
        <w:jc w:val="both"/>
        <w:rPr>
          <w:bCs/>
          <w:i/>
          <w:lang w:eastAsia="lv-LV" w:bidi="lo-LA"/>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2689"/>
        <w:gridCol w:w="6268"/>
      </w:tblGrid>
      <w:tr w:rsidR="00BC0F3D" w:rsidRPr="005F7C2C" w:rsidTr="006436FB">
        <w:trPr>
          <w:trHeight w:val="503"/>
        </w:trPr>
        <w:tc>
          <w:tcPr>
            <w:tcW w:w="10065" w:type="dxa"/>
            <w:gridSpan w:val="3"/>
            <w:vAlign w:val="center"/>
          </w:tcPr>
          <w:p w:rsidR="00BC0F3D" w:rsidRPr="005F7C2C" w:rsidRDefault="00BC0F3D" w:rsidP="00B340B6">
            <w:pPr>
              <w:autoSpaceDE w:val="0"/>
              <w:autoSpaceDN w:val="0"/>
              <w:adjustRightInd w:val="0"/>
              <w:jc w:val="center"/>
              <w:rPr>
                <w:b/>
                <w:noProof/>
              </w:rPr>
            </w:pPr>
            <w:r w:rsidRPr="005F7C2C">
              <w:rPr>
                <w:b/>
                <w:bCs/>
                <w:lang w:eastAsia="lv-LV"/>
              </w:rPr>
              <w:t>VI. Sabiedrības līdzdalība un komunikācijas aktivitātes</w:t>
            </w:r>
          </w:p>
        </w:tc>
      </w:tr>
      <w:tr w:rsidR="00BC0F3D" w:rsidRPr="005F7C2C" w:rsidTr="006436FB">
        <w:tc>
          <w:tcPr>
            <w:tcW w:w="1108" w:type="dxa"/>
          </w:tcPr>
          <w:p w:rsidR="00BC0F3D" w:rsidRPr="005F7C2C" w:rsidRDefault="00BC0F3D" w:rsidP="00B340B6">
            <w:pPr>
              <w:spacing w:before="100" w:beforeAutospacing="1" w:after="100" w:afterAutospacing="1"/>
              <w:rPr>
                <w:lang w:eastAsia="lv-LV" w:bidi="lo-LA"/>
              </w:rPr>
            </w:pPr>
            <w:r w:rsidRPr="005F7C2C">
              <w:rPr>
                <w:lang w:eastAsia="lv-LV" w:bidi="lo-LA"/>
              </w:rPr>
              <w:t> 1.</w:t>
            </w:r>
          </w:p>
        </w:tc>
        <w:tc>
          <w:tcPr>
            <w:tcW w:w="2689" w:type="dxa"/>
          </w:tcPr>
          <w:p w:rsidR="00BC0F3D" w:rsidRPr="005F7C2C" w:rsidRDefault="00BC0F3D" w:rsidP="00B340B6">
            <w:pPr>
              <w:rPr>
                <w:lang w:eastAsia="lv-LV"/>
              </w:rPr>
            </w:pPr>
            <w:r w:rsidRPr="005F7C2C">
              <w:rPr>
                <w:lang w:eastAsia="lv-LV"/>
              </w:rPr>
              <w:t>Plānotās sabiedrības līdzdalības un komunikācijas aktivitātes saistībā ar projektu</w:t>
            </w:r>
          </w:p>
        </w:tc>
        <w:tc>
          <w:tcPr>
            <w:tcW w:w="6268" w:type="dxa"/>
          </w:tcPr>
          <w:p w:rsidR="00BC0F3D" w:rsidRPr="005F7C2C" w:rsidRDefault="006A03FC" w:rsidP="000C2203">
            <w:pPr>
              <w:jc w:val="both"/>
            </w:pPr>
            <w:r w:rsidRPr="005F7C2C">
              <w:t>MK noteikumu Nr.</w:t>
            </w:r>
            <w:r w:rsidR="000C2203" w:rsidRPr="005F7C2C">
              <w:t>44</w:t>
            </w:r>
            <w:r w:rsidRPr="005F7C2C">
              <w:t xml:space="preserve"> grozījumi tiks nodoti sabiedriskajai apspriešanai, izvietojot noteikumu projektu Veselības ministrijas mājas lapā.</w:t>
            </w:r>
          </w:p>
        </w:tc>
      </w:tr>
      <w:tr w:rsidR="00BC0F3D" w:rsidRPr="005F7C2C" w:rsidTr="006436FB">
        <w:tc>
          <w:tcPr>
            <w:tcW w:w="1108" w:type="dxa"/>
          </w:tcPr>
          <w:p w:rsidR="00BC0F3D" w:rsidRPr="005F7C2C" w:rsidRDefault="00BC0F3D" w:rsidP="00B340B6">
            <w:pPr>
              <w:spacing w:before="100" w:beforeAutospacing="1" w:after="100" w:afterAutospacing="1"/>
              <w:rPr>
                <w:lang w:eastAsia="lv-LV" w:bidi="lo-LA"/>
              </w:rPr>
            </w:pPr>
            <w:r w:rsidRPr="005F7C2C">
              <w:rPr>
                <w:lang w:eastAsia="lv-LV" w:bidi="lo-LA"/>
              </w:rPr>
              <w:t> 2.</w:t>
            </w:r>
          </w:p>
        </w:tc>
        <w:tc>
          <w:tcPr>
            <w:tcW w:w="2689" w:type="dxa"/>
          </w:tcPr>
          <w:p w:rsidR="00BC0F3D" w:rsidRPr="005F7C2C" w:rsidRDefault="00BC0F3D" w:rsidP="00B340B6">
            <w:pPr>
              <w:rPr>
                <w:lang w:eastAsia="lv-LV"/>
              </w:rPr>
            </w:pPr>
            <w:r w:rsidRPr="005F7C2C">
              <w:rPr>
                <w:lang w:eastAsia="lv-LV"/>
              </w:rPr>
              <w:t>Sabiedrības līdzdalība projekta izstrādē</w:t>
            </w:r>
          </w:p>
        </w:tc>
        <w:tc>
          <w:tcPr>
            <w:tcW w:w="6268" w:type="dxa"/>
          </w:tcPr>
          <w:p w:rsidR="00BC0F3D" w:rsidRPr="005F7C2C" w:rsidRDefault="00BC0F3D" w:rsidP="00BC0F3D">
            <w:pPr>
              <w:rPr>
                <w:lang w:eastAsia="lv-LV"/>
              </w:rPr>
            </w:pPr>
            <w:r w:rsidRPr="005F7C2C">
              <w:rPr>
                <w:lang w:eastAsia="lv-LV"/>
              </w:rPr>
              <w:t>Nav</w:t>
            </w:r>
          </w:p>
        </w:tc>
      </w:tr>
      <w:tr w:rsidR="00BC0F3D" w:rsidRPr="005F7C2C" w:rsidTr="006436FB">
        <w:tc>
          <w:tcPr>
            <w:tcW w:w="1108" w:type="dxa"/>
          </w:tcPr>
          <w:p w:rsidR="00BC0F3D" w:rsidRPr="005F7C2C" w:rsidRDefault="00BC0F3D" w:rsidP="00B340B6">
            <w:pPr>
              <w:spacing w:before="100" w:beforeAutospacing="1" w:after="100" w:afterAutospacing="1"/>
              <w:rPr>
                <w:lang w:eastAsia="lv-LV" w:bidi="lo-LA"/>
              </w:rPr>
            </w:pPr>
            <w:r w:rsidRPr="005F7C2C">
              <w:rPr>
                <w:lang w:eastAsia="lv-LV" w:bidi="lo-LA"/>
              </w:rPr>
              <w:t> 3.</w:t>
            </w:r>
          </w:p>
        </w:tc>
        <w:tc>
          <w:tcPr>
            <w:tcW w:w="2689" w:type="dxa"/>
          </w:tcPr>
          <w:p w:rsidR="00BC0F3D" w:rsidRPr="005F7C2C" w:rsidRDefault="00BC0F3D" w:rsidP="00B340B6">
            <w:pPr>
              <w:rPr>
                <w:lang w:eastAsia="lv-LV"/>
              </w:rPr>
            </w:pPr>
            <w:r w:rsidRPr="005F7C2C">
              <w:rPr>
                <w:lang w:eastAsia="lv-LV"/>
              </w:rPr>
              <w:t>Sabiedrības līdzdalības rezultāti</w:t>
            </w:r>
          </w:p>
        </w:tc>
        <w:tc>
          <w:tcPr>
            <w:tcW w:w="6268" w:type="dxa"/>
          </w:tcPr>
          <w:p w:rsidR="00BC0F3D" w:rsidRPr="005F7C2C" w:rsidRDefault="00BC0F3D" w:rsidP="00B340B6">
            <w:pPr>
              <w:rPr>
                <w:lang w:eastAsia="lv-LV"/>
              </w:rPr>
            </w:pPr>
            <w:r w:rsidRPr="005F7C2C">
              <w:rPr>
                <w:lang w:eastAsia="lv-LV"/>
              </w:rPr>
              <w:t>Nav</w:t>
            </w:r>
          </w:p>
        </w:tc>
      </w:tr>
      <w:tr w:rsidR="00BC0F3D" w:rsidRPr="005F7C2C" w:rsidTr="006436FB">
        <w:tc>
          <w:tcPr>
            <w:tcW w:w="1108" w:type="dxa"/>
          </w:tcPr>
          <w:p w:rsidR="00BC0F3D" w:rsidRPr="005F7C2C" w:rsidRDefault="00BC0F3D" w:rsidP="00B340B6">
            <w:pPr>
              <w:spacing w:before="100" w:beforeAutospacing="1" w:after="100" w:afterAutospacing="1"/>
              <w:rPr>
                <w:lang w:eastAsia="lv-LV" w:bidi="lo-LA"/>
              </w:rPr>
            </w:pPr>
            <w:r w:rsidRPr="005F7C2C">
              <w:rPr>
                <w:lang w:eastAsia="lv-LV" w:bidi="lo-LA"/>
              </w:rPr>
              <w:t>4.</w:t>
            </w:r>
          </w:p>
        </w:tc>
        <w:tc>
          <w:tcPr>
            <w:tcW w:w="2689" w:type="dxa"/>
          </w:tcPr>
          <w:p w:rsidR="00BC0F3D" w:rsidRPr="005F7C2C" w:rsidRDefault="00BC0F3D" w:rsidP="00BC0F3D">
            <w:pPr>
              <w:spacing w:before="100" w:beforeAutospacing="1" w:after="100" w:afterAutospacing="1"/>
              <w:rPr>
                <w:lang w:eastAsia="lv-LV" w:bidi="lo-LA"/>
              </w:rPr>
            </w:pPr>
            <w:r w:rsidRPr="005F7C2C">
              <w:rPr>
                <w:lang w:eastAsia="lv-LV" w:bidi="lo-LA"/>
              </w:rPr>
              <w:t>Cita informācija</w:t>
            </w:r>
          </w:p>
        </w:tc>
        <w:tc>
          <w:tcPr>
            <w:tcW w:w="6268" w:type="dxa"/>
          </w:tcPr>
          <w:p w:rsidR="00BC0F3D" w:rsidRPr="005F7C2C" w:rsidRDefault="00BC0F3D" w:rsidP="00BC0F3D">
            <w:pPr>
              <w:spacing w:before="100" w:beforeAutospacing="1" w:after="100" w:afterAutospacing="1"/>
              <w:rPr>
                <w:lang w:eastAsia="lv-LV" w:bidi="lo-LA"/>
              </w:rPr>
            </w:pPr>
            <w:r w:rsidRPr="005F7C2C">
              <w:rPr>
                <w:lang w:eastAsia="lv-LV" w:bidi="lo-LA"/>
              </w:rPr>
              <w:t>Nav</w:t>
            </w:r>
          </w:p>
        </w:tc>
      </w:tr>
    </w:tbl>
    <w:p w:rsidR="00BC0F3D" w:rsidRPr="005F7C2C" w:rsidRDefault="00BC0F3D" w:rsidP="002106BC">
      <w:pPr>
        <w:autoSpaceDE w:val="0"/>
        <w:autoSpaceDN w:val="0"/>
        <w:adjustRightInd w:val="0"/>
        <w:jc w:val="both"/>
        <w:rPr>
          <w:bCs/>
          <w:i/>
          <w:lang w:eastAsia="lv-LV" w:bidi="lo-LA"/>
        </w:rPr>
      </w:pPr>
    </w:p>
    <w:p w:rsidR="00BC0F3D" w:rsidRPr="005F7C2C" w:rsidRDefault="00BC0F3D" w:rsidP="002106BC">
      <w:pPr>
        <w:autoSpaceDE w:val="0"/>
        <w:autoSpaceDN w:val="0"/>
        <w:adjustRightInd w:val="0"/>
        <w:jc w:val="both"/>
        <w:rPr>
          <w:bCs/>
          <w:i/>
          <w:lang w:eastAsia="lv-LV" w:bidi="lo-LA"/>
        </w:rPr>
      </w:pPr>
    </w:p>
    <w:tbl>
      <w:tblPr>
        <w:tblW w:w="5598" w:type="pct"/>
        <w:tblInd w:w="-53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05"/>
        <w:gridCol w:w="3441"/>
        <w:gridCol w:w="5820"/>
      </w:tblGrid>
      <w:tr w:rsidR="00BD37A4" w:rsidRPr="005F7C2C" w:rsidTr="006436FB">
        <w:tc>
          <w:tcPr>
            <w:tcW w:w="5000" w:type="pct"/>
            <w:gridSpan w:val="3"/>
            <w:tcBorders>
              <w:top w:val="outset" w:sz="6" w:space="0" w:color="000000"/>
              <w:left w:val="outset" w:sz="6" w:space="0" w:color="000000"/>
              <w:bottom w:val="outset" w:sz="6" w:space="0" w:color="000000"/>
              <w:right w:val="outset" w:sz="6" w:space="0" w:color="000000"/>
            </w:tcBorders>
          </w:tcPr>
          <w:p w:rsidR="00BD37A4" w:rsidRPr="005F7C2C" w:rsidRDefault="00BD37A4" w:rsidP="00D97E59">
            <w:pPr>
              <w:jc w:val="center"/>
              <w:rPr>
                <w:b/>
                <w:bCs/>
              </w:rPr>
            </w:pPr>
            <w:r w:rsidRPr="005F7C2C">
              <w:rPr>
                <w:b/>
                <w:bCs/>
              </w:rPr>
              <w:t>VII. Tiesību akta projekta izpildes nodrošināšana un tās ietekme uz institūcijām</w:t>
            </w:r>
          </w:p>
        </w:tc>
      </w:tr>
      <w:tr w:rsidR="00BD37A4" w:rsidRPr="005F7C2C" w:rsidTr="006436FB">
        <w:tc>
          <w:tcPr>
            <w:tcW w:w="400" w:type="pct"/>
            <w:tcBorders>
              <w:top w:val="outset" w:sz="6" w:space="0" w:color="000000"/>
              <w:left w:val="outset" w:sz="6" w:space="0" w:color="000000"/>
              <w:bottom w:val="outset" w:sz="6" w:space="0" w:color="000000"/>
              <w:right w:val="outset" w:sz="6" w:space="0" w:color="000000"/>
            </w:tcBorders>
          </w:tcPr>
          <w:p w:rsidR="00BD37A4" w:rsidRPr="005F7C2C" w:rsidRDefault="00BD37A4" w:rsidP="00D97E59">
            <w:r w:rsidRPr="005F7C2C">
              <w:t>1.</w:t>
            </w:r>
          </w:p>
        </w:tc>
        <w:tc>
          <w:tcPr>
            <w:tcW w:w="1709" w:type="pct"/>
            <w:tcBorders>
              <w:top w:val="outset" w:sz="6" w:space="0" w:color="000000"/>
              <w:left w:val="outset" w:sz="6" w:space="0" w:color="000000"/>
              <w:bottom w:val="outset" w:sz="6" w:space="0" w:color="000000"/>
              <w:right w:val="outset" w:sz="6" w:space="0" w:color="000000"/>
            </w:tcBorders>
          </w:tcPr>
          <w:p w:rsidR="00BD37A4" w:rsidRPr="005F7C2C" w:rsidRDefault="00BD37A4" w:rsidP="00D97E59">
            <w:r w:rsidRPr="005F7C2C">
              <w:t>Projekta izpildē iesaistītās institūcijas</w:t>
            </w:r>
          </w:p>
        </w:tc>
        <w:tc>
          <w:tcPr>
            <w:tcW w:w="2891" w:type="pct"/>
            <w:tcBorders>
              <w:top w:val="outset" w:sz="6" w:space="0" w:color="000000"/>
              <w:left w:val="outset" w:sz="6" w:space="0" w:color="000000"/>
              <w:bottom w:val="outset" w:sz="6" w:space="0" w:color="000000"/>
              <w:right w:val="outset" w:sz="6" w:space="0" w:color="000000"/>
            </w:tcBorders>
          </w:tcPr>
          <w:p w:rsidR="00BD37A4" w:rsidRPr="005F7C2C" w:rsidRDefault="00BD37A4" w:rsidP="00BD37A4">
            <w:pPr>
              <w:rPr>
                <w:lang w:eastAsia="lv-LV" w:bidi="lo-LA"/>
              </w:rPr>
            </w:pPr>
            <w:r w:rsidRPr="005F7C2C">
              <w:rPr>
                <w:lang w:eastAsia="lv-LV" w:bidi="lo-LA"/>
              </w:rPr>
              <w:t>Veselības ministrija.</w:t>
            </w:r>
          </w:p>
          <w:p w:rsidR="00BD37A4" w:rsidRPr="005F7C2C" w:rsidRDefault="00BD37A4" w:rsidP="00556FA6">
            <w:pPr>
              <w:ind w:right="112"/>
            </w:pPr>
            <w:r w:rsidRPr="005F7C2C">
              <w:rPr>
                <w:lang w:eastAsia="lv-LV" w:bidi="lo-LA"/>
              </w:rPr>
              <w:t>Cent</w:t>
            </w:r>
            <w:r w:rsidR="00411786" w:rsidRPr="005F7C2C">
              <w:rPr>
                <w:lang w:eastAsia="lv-LV" w:bidi="lo-LA"/>
              </w:rPr>
              <w:t>rālā finanšu un līgumu aģentūra</w:t>
            </w:r>
            <w:r w:rsidRPr="005F7C2C">
              <w:rPr>
                <w:lang w:eastAsia="lv-LV" w:bidi="lo-LA"/>
              </w:rPr>
              <w:t>.</w:t>
            </w:r>
          </w:p>
        </w:tc>
      </w:tr>
      <w:tr w:rsidR="00BD37A4" w:rsidRPr="005F7C2C" w:rsidTr="006436FB">
        <w:tc>
          <w:tcPr>
            <w:tcW w:w="400" w:type="pct"/>
            <w:tcBorders>
              <w:top w:val="outset" w:sz="6" w:space="0" w:color="000000"/>
              <w:left w:val="outset" w:sz="6" w:space="0" w:color="000000"/>
              <w:bottom w:val="outset" w:sz="6" w:space="0" w:color="000000"/>
              <w:right w:val="outset" w:sz="6" w:space="0" w:color="000000"/>
            </w:tcBorders>
          </w:tcPr>
          <w:p w:rsidR="00BD37A4" w:rsidRPr="005F7C2C" w:rsidRDefault="00BD37A4" w:rsidP="00D97E59">
            <w:r w:rsidRPr="005F7C2C">
              <w:t>2.</w:t>
            </w:r>
          </w:p>
        </w:tc>
        <w:tc>
          <w:tcPr>
            <w:tcW w:w="1709" w:type="pct"/>
            <w:tcBorders>
              <w:top w:val="outset" w:sz="6" w:space="0" w:color="000000"/>
              <w:left w:val="outset" w:sz="6" w:space="0" w:color="000000"/>
              <w:bottom w:val="outset" w:sz="6" w:space="0" w:color="000000"/>
              <w:right w:val="outset" w:sz="6" w:space="0" w:color="000000"/>
            </w:tcBorders>
          </w:tcPr>
          <w:p w:rsidR="00BD37A4" w:rsidRPr="005F7C2C" w:rsidRDefault="00BD37A4" w:rsidP="00D97E59">
            <w:r w:rsidRPr="005F7C2C">
              <w:t>Projekta izpildes ietekme uz pārvaldes funkcijām</w:t>
            </w:r>
          </w:p>
        </w:tc>
        <w:tc>
          <w:tcPr>
            <w:tcW w:w="2891" w:type="pct"/>
            <w:tcBorders>
              <w:top w:val="outset" w:sz="6" w:space="0" w:color="000000"/>
              <w:left w:val="outset" w:sz="6" w:space="0" w:color="000000"/>
              <w:bottom w:val="outset" w:sz="6" w:space="0" w:color="000000"/>
              <w:right w:val="outset" w:sz="6" w:space="0" w:color="000000"/>
            </w:tcBorders>
          </w:tcPr>
          <w:p w:rsidR="00BD37A4" w:rsidRPr="005F7C2C" w:rsidRDefault="00BD37A4" w:rsidP="00D97E59">
            <w:pPr>
              <w:ind w:left="105"/>
            </w:pPr>
            <w:r w:rsidRPr="005F7C2C">
              <w:t xml:space="preserve">Projekts šo jomu neskar.  </w:t>
            </w:r>
          </w:p>
        </w:tc>
      </w:tr>
      <w:tr w:rsidR="00BD37A4" w:rsidRPr="005F7C2C" w:rsidTr="006436FB">
        <w:tc>
          <w:tcPr>
            <w:tcW w:w="400" w:type="pct"/>
            <w:tcBorders>
              <w:top w:val="outset" w:sz="6" w:space="0" w:color="000000"/>
              <w:left w:val="outset" w:sz="6" w:space="0" w:color="000000"/>
              <w:bottom w:val="outset" w:sz="6" w:space="0" w:color="000000"/>
              <w:right w:val="outset" w:sz="6" w:space="0" w:color="000000"/>
            </w:tcBorders>
          </w:tcPr>
          <w:p w:rsidR="00BD37A4" w:rsidRPr="005F7C2C" w:rsidRDefault="00BD37A4" w:rsidP="00D97E59">
            <w:r w:rsidRPr="005F7C2C">
              <w:t>3.</w:t>
            </w:r>
          </w:p>
        </w:tc>
        <w:tc>
          <w:tcPr>
            <w:tcW w:w="1709" w:type="pct"/>
            <w:tcBorders>
              <w:top w:val="outset" w:sz="6" w:space="0" w:color="000000"/>
              <w:left w:val="outset" w:sz="6" w:space="0" w:color="000000"/>
              <w:bottom w:val="outset" w:sz="6" w:space="0" w:color="000000"/>
              <w:right w:val="outset" w:sz="6" w:space="0" w:color="000000"/>
            </w:tcBorders>
          </w:tcPr>
          <w:p w:rsidR="00BD37A4" w:rsidRPr="005F7C2C" w:rsidRDefault="00BD37A4" w:rsidP="00D97E59">
            <w:r w:rsidRPr="005F7C2C">
              <w:t>Projekta izpildes ietekme uz pārvaldes institucionālo struktūru.</w:t>
            </w:r>
          </w:p>
          <w:p w:rsidR="00BD37A4" w:rsidRPr="005F7C2C" w:rsidRDefault="00BD37A4" w:rsidP="00D97E59"/>
          <w:p w:rsidR="00BD37A4" w:rsidRPr="005F7C2C" w:rsidRDefault="00BD37A4" w:rsidP="00D97E59">
            <w:r w:rsidRPr="005F7C2C">
              <w:t>Jaunu institūciju izveide, esošo institūciju likvidācija vai reorganizācija, to ietekme uz institūcijas cilvēkresursiem</w:t>
            </w:r>
          </w:p>
        </w:tc>
        <w:tc>
          <w:tcPr>
            <w:tcW w:w="2891" w:type="pct"/>
            <w:tcBorders>
              <w:top w:val="outset" w:sz="6" w:space="0" w:color="000000"/>
              <w:left w:val="outset" w:sz="6" w:space="0" w:color="000000"/>
              <w:bottom w:val="outset" w:sz="6" w:space="0" w:color="000000"/>
              <w:right w:val="outset" w:sz="6" w:space="0" w:color="000000"/>
            </w:tcBorders>
          </w:tcPr>
          <w:p w:rsidR="00BD37A4" w:rsidRPr="005F7C2C" w:rsidRDefault="00BD37A4" w:rsidP="00D97E59">
            <w:pPr>
              <w:ind w:left="105"/>
            </w:pPr>
            <w:r w:rsidRPr="005F7C2C">
              <w:lastRenderedPageBreak/>
              <w:t>Projekts šo jomu neskar.</w:t>
            </w:r>
          </w:p>
        </w:tc>
      </w:tr>
      <w:tr w:rsidR="00BD37A4" w:rsidRPr="005F7C2C" w:rsidTr="006436FB">
        <w:tc>
          <w:tcPr>
            <w:tcW w:w="400" w:type="pct"/>
            <w:tcBorders>
              <w:top w:val="outset" w:sz="6" w:space="0" w:color="000000"/>
              <w:left w:val="outset" w:sz="6" w:space="0" w:color="000000"/>
              <w:bottom w:val="outset" w:sz="6" w:space="0" w:color="000000"/>
              <w:right w:val="outset" w:sz="6" w:space="0" w:color="000000"/>
            </w:tcBorders>
          </w:tcPr>
          <w:p w:rsidR="00BD37A4" w:rsidRPr="005F7C2C" w:rsidRDefault="00BD37A4" w:rsidP="00D97E59">
            <w:r w:rsidRPr="005F7C2C">
              <w:lastRenderedPageBreak/>
              <w:t>4.</w:t>
            </w:r>
          </w:p>
        </w:tc>
        <w:tc>
          <w:tcPr>
            <w:tcW w:w="1709" w:type="pct"/>
            <w:tcBorders>
              <w:top w:val="outset" w:sz="6" w:space="0" w:color="000000"/>
              <w:left w:val="outset" w:sz="6" w:space="0" w:color="000000"/>
              <w:bottom w:val="outset" w:sz="6" w:space="0" w:color="000000"/>
              <w:right w:val="outset" w:sz="6" w:space="0" w:color="000000"/>
            </w:tcBorders>
          </w:tcPr>
          <w:p w:rsidR="00BD37A4" w:rsidRPr="005F7C2C" w:rsidRDefault="00BD37A4" w:rsidP="00D97E59">
            <w:r w:rsidRPr="005F7C2C">
              <w:t>Cita informācija</w:t>
            </w:r>
          </w:p>
        </w:tc>
        <w:tc>
          <w:tcPr>
            <w:tcW w:w="2891" w:type="pct"/>
            <w:tcBorders>
              <w:top w:val="outset" w:sz="6" w:space="0" w:color="000000"/>
              <w:left w:val="outset" w:sz="6" w:space="0" w:color="000000"/>
              <w:bottom w:val="outset" w:sz="6" w:space="0" w:color="000000"/>
              <w:right w:val="outset" w:sz="6" w:space="0" w:color="000000"/>
            </w:tcBorders>
          </w:tcPr>
          <w:p w:rsidR="00BD37A4" w:rsidRPr="005F7C2C" w:rsidRDefault="00BD37A4" w:rsidP="00D97E59">
            <w:pPr>
              <w:ind w:left="105"/>
            </w:pPr>
            <w:r w:rsidRPr="005F7C2C">
              <w:t>Nav</w:t>
            </w:r>
          </w:p>
        </w:tc>
      </w:tr>
    </w:tbl>
    <w:p w:rsidR="008B477D" w:rsidRPr="005F7C2C" w:rsidRDefault="008B477D" w:rsidP="008B477D">
      <w:pPr>
        <w:autoSpaceDE w:val="0"/>
        <w:autoSpaceDN w:val="0"/>
        <w:adjustRightInd w:val="0"/>
        <w:jc w:val="both"/>
        <w:rPr>
          <w:i/>
          <w:lang w:eastAsia="lv-LV" w:bidi="lo-LA"/>
        </w:rPr>
      </w:pPr>
    </w:p>
    <w:p w:rsidR="00FF19C9" w:rsidRPr="005F7C2C" w:rsidRDefault="00FF19C9" w:rsidP="00006A21">
      <w:pPr>
        <w:autoSpaceDE w:val="0"/>
        <w:autoSpaceDN w:val="0"/>
        <w:adjustRightInd w:val="0"/>
        <w:jc w:val="both"/>
        <w:outlineLvl w:val="0"/>
        <w:rPr>
          <w:sz w:val="23"/>
          <w:szCs w:val="23"/>
        </w:rPr>
      </w:pPr>
      <w:r w:rsidRPr="005F7C2C">
        <w:rPr>
          <w:sz w:val="23"/>
          <w:szCs w:val="23"/>
        </w:rPr>
        <w:t>Anotācijas IV un  V sadaļa – projekts šīs jomas neskar.</w:t>
      </w:r>
    </w:p>
    <w:p w:rsidR="00BD37A4" w:rsidRPr="005F7C2C" w:rsidRDefault="00BD37A4" w:rsidP="008B477D">
      <w:pPr>
        <w:autoSpaceDE w:val="0"/>
        <w:autoSpaceDN w:val="0"/>
        <w:adjustRightInd w:val="0"/>
        <w:jc w:val="both"/>
        <w:rPr>
          <w:i/>
          <w:lang w:eastAsia="lv-LV" w:bidi="lo-LA"/>
        </w:rPr>
      </w:pPr>
    </w:p>
    <w:p w:rsidR="006436FB" w:rsidRPr="005F7C2C" w:rsidRDefault="006436FB" w:rsidP="002106BC">
      <w:pPr>
        <w:tabs>
          <w:tab w:val="left" w:pos="7655"/>
        </w:tabs>
        <w:rPr>
          <w:sz w:val="28"/>
          <w:szCs w:val="28"/>
        </w:rPr>
      </w:pPr>
    </w:p>
    <w:p w:rsidR="006436FB" w:rsidRPr="005F7C2C" w:rsidRDefault="006436FB" w:rsidP="002106BC">
      <w:pPr>
        <w:tabs>
          <w:tab w:val="left" w:pos="7655"/>
        </w:tabs>
        <w:rPr>
          <w:sz w:val="28"/>
          <w:szCs w:val="28"/>
        </w:rPr>
      </w:pPr>
    </w:p>
    <w:p w:rsidR="007B2C3C" w:rsidRPr="005F7C2C" w:rsidRDefault="00743D5B" w:rsidP="002106BC">
      <w:pPr>
        <w:tabs>
          <w:tab w:val="left" w:pos="7655"/>
        </w:tabs>
        <w:rPr>
          <w:sz w:val="28"/>
          <w:szCs w:val="28"/>
        </w:rPr>
      </w:pPr>
      <w:r w:rsidRPr="005F7C2C">
        <w:rPr>
          <w:sz w:val="28"/>
          <w:szCs w:val="28"/>
        </w:rPr>
        <w:t>Veselības ministr</w:t>
      </w:r>
      <w:r w:rsidR="00F75087" w:rsidRPr="005F7C2C">
        <w:rPr>
          <w:sz w:val="28"/>
          <w:szCs w:val="28"/>
        </w:rPr>
        <w:t>s</w:t>
      </w:r>
      <w:r w:rsidR="007B2C3C" w:rsidRPr="005F7C2C">
        <w:rPr>
          <w:sz w:val="28"/>
          <w:szCs w:val="28"/>
        </w:rPr>
        <w:tab/>
      </w:r>
      <w:proofErr w:type="spellStart"/>
      <w:r w:rsidR="00F75087" w:rsidRPr="005F7C2C">
        <w:rPr>
          <w:sz w:val="28"/>
          <w:szCs w:val="28"/>
        </w:rPr>
        <w:t>G.Belēvičs</w:t>
      </w:r>
      <w:proofErr w:type="spellEnd"/>
    </w:p>
    <w:p w:rsidR="00302E22" w:rsidRPr="005F7C2C" w:rsidRDefault="00302E22" w:rsidP="00F0258D">
      <w:pPr>
        <w:ind w:right="4818"/>
        <w:rPr>
          <w:sz w:val="20"/>
          <w:szCs w:val="20"/>
        </w:rPr>
      </w:pPr>
    </w:p>
    <w:p w:rsidR="006436FB" w:rsidRPr="005F7C2C" w:rsidRDefault="006436FB" w:rsidP="00F0258D">
      <w:pPr>
        <w:ind w:right="4818"/>
        <w:rPr>
          <w:sz w:val="20"/>
          <w:szCs w:val="20"/>
        </w:rPr>
      </w:pPr>
    </w:p>
    <w:p w:rsidR="006436FB" w:rsidRPr="005F7C2C" w:rsidRDefault="006436FB" w:rsidP="00F0258D">
      <w:pPr>
        <w:ind w:right="4818"/>
        <w:rPr>
          <w:sz w:val="20"/>
          <w:szCs w:val="20"/>
        </w:rPr>
      </w:pPr>
    </w:p>
    <w:p w:rsidR="00F0258D" w:rsidRPr="005F7C2C" w:rsidRDefault="006A61D7" w:rsidP="00F0258D">
      <w:pPr>
        <w:ind w:right="4818"/>
        <w:rPr>
          <w:sz w:val="20"/>
          <w:szCs w:val="20"/>
        </w:rPr>
      </w:pPr>
      <w:r>
        <w:rPr>
          <w:sz w:val="20"/>
          <w:szCs w:val="20"/>
        </w:rPr>
        <w:t>07.08</w:t>
      </w:r>
      <w:r w:rsidR="00403D3D" w:rsidRPr="005F7C2C">
        <w:rPr>
          <w:sz w:val="20"/>
          <w:szCs w:val="20"/>
        </w:rPr>
        <w:t>.</w:t>
      </w:r>
      <w:r w:rsidR="00F75087" w:rsidRPr="005F7C2C">
        <w:rPr>
          <w:sz w:val="20"/>
          <w:szCs w:val="20"/>
        </w:rPr>
        <w:t>2015</w:t>
      </w:r>
      <w:r w:rsidR="00F0258D" w:rsidRPr="005F7C2C">
        <w:rPr>
          <w:sz w:val="20"/>
          <w:szCs w:val="20"/>
        </w:rPr>
        <w:t xml:space="preserve"> </w:t>
      </w:r>
      <w:r>
        <w:rPr>
          <w:sz w:val="20"/>
          <w:szCs w:val="20"/>
        </w:rPr>
        <w:t>14:</w:t>
      </w:r>
      <w:r w:rsidR="00B9761D">
        <w:rPr>
          <w:sz w:val="20"/>
          <w:szCs w:val="20"/>
        </w:rPr>
        <w:t>27</w:t>
      </w:r>
    </w:p>
    <w:p w:rsidR="00F0258D" w:rsidRPr="005F7C2C" w:rsidRDefault="00D163A1" w:rsidP="00F0258D">
      <w:pPr>
        <w:ind w:right="4818"/>
        <w:rPr>
          <w:sz w:val="20"/>
          <w:szCs w:val="20"/>
        </w:rPr>
      </w:pPr>
      <w:r w:rsidRPr="005F7C2C">
        <w:rPr>
          <w:sz w:val="20"/>
          <w:szCs w:val="20"/>
        </w:rPr>
        <w:t>3 3</w:t>
      </w:r>
      <w:r w:rsidR="005F7C2C">
        <w:rPr>
          <w:sz w:val="20"/>
          <w:szCs w:val="20"/>
        </w:rPr>
        <w:t>74</w:t>
      </w:r>
    </w:p>
    <w:p w:rsidR="00F75087" w:rsidRPr="005F7C2C" w:rsidRDefault="006A61D7" w:rsidP="00F75087">
      <w:pPr>
        <w:ind w:right="4818"/>
        <w:rPr>
          <w:sz w:val="20"/>
          <w:szCs w:val="20"/>
        </w:rPr>
      </w:pPr>
      <w:bookmarkStart w:id="13" w:name="OLE_LINK12"/>
      <w:bookmarkStart w:id="14" w:name="OLE_LINK13"/>
      <w:proofErr w:type="spellStart"/>
      <w:r>
        <w:rPr>
          <w:sz w:val="20"/>
          <w:szCs w:val="20"/>
        </w:rPr>
        <w:t>J.Zalcmanis</w:t>
      </w:r>
      <w:proofErr w:type="spellEnd"/>
      <w:r>
        <w:rPr>
          <w:sz w:val="20"/>
          <w:szCs w:val="20"/>
        </w:rPr>
        <w:t>, 67 876 013</w:t>
      </w:r>
    </w:p>
    <w:p w:rsidR="00F75087" w:rsidRPr="005F7C2C" w:rsidRDefault="006A61D7" w:rsidP="00F75087">
      <w:pPr>
        <w:ind w:right="4818"/>
        <w:rPr>
          <w:rStyle w:val="Strong"/>
          <w:b w:val="0"/>
          <w:bCs w:val="0"/>
        </w:rPr>
      </w:pPr>
      <w:r>
        <w:rPr>
          <w:sz w:val="20"/>
          <w:szCs w:val="20"/>
        </w:rPr>
        <w:t>Janis.Zalcmanis</w:t>
      </w:r>
      <w:r w:rsidR="00F75087" w:rsidRPr="005F7C2C">
        <w:rPr>
          <w:sz w:val="20"/>
          <w:szCs w:val="20"/>
        </w:rPr>
        <w:t>@vm.gov.lv</w:t>
      </w:r>
      <w:bookmarkEnd w:id="13"/>
      <w:bookmarkEnd w:id="14"/>
    </w:p>
    <w:sectPr w:rsidR="00F75087" w:rsidRPr="005F7C2C" w:rsidSect="00231010">
      <w:headerReference w:type="even" r:id="rId10"/>
      <w:headerReference w:type="default" r:id="rId11"/>
      <w:footerReference w:type="default" r:id="rId12"/>
      <w:footerReference w:type="first" r:id="rId13"/>
      <w:pgSz w:w="11906" w:h="16838" w:code="9"/>
      <w:pgMar w:top="1276" w:right="1274" w:bottom="1701" w:left="1701" w:header="720" w:footer="408"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7CCCB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742" w:rsidRDefault="00392742">
      <w:r>
        <w:separator/>
      </w:r>
    </w:p>
  </w:endnote>
  <w:endnote w:type="continuationSeparator" w:id="1">
    <w:p w:rsidR="00392742" w:rsidRDefault="003927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42" w:rsidRPr="00B63149" w:rsidRDefault="006A61D7" w:rsidP="00B63149">
    <w:pPr>
      <w:jc w:val="both"/>
      <w:rPr>
        <w:noProof/>
        <w:sz w:val="20"/>
        <w:szCs w:val="20"/>
      </w:rPr>
    </w:pPr>
    <w:r>
      <w:rPr>
        <w:noProof/>
        <w:sz w:val="20"/>
        <w:szCs w:val="20"/>
      </w:rPr>
      <w:t>VManot_0708</w:t>
    </w:r>
    <w:r w:rsidR="00392742">
      <w:rPr>
        <w:noProof/>
        <w:sz w:val="20"/>
        <w:szCs w:val="20"/>
      </w:rPr>
      <w:t>15_not44</w:t>
    </w:r>
    <w:r w:rsidR="00392742" w:rsidRPr="00571DBF">
      <w:rPr>
        <w:sz w:val="20"/>
        <w:szCs w:val="20"/>
      </w:rPr>
      <w:t>;</w:t>
    </w:r>
    <w:r w:rsidR="00392742">
      <w:rPr>
        <w:sz w:val="20"/>
        <w:szCs w:val="20"/>
      </w:rPr>
      <w:t xml:space="preserve"> </w:t>
    </w:r>
    <w:r w:rsidR="00392742" w:rsidRPr="00B63149">
      <w:rPr>
        <w:noProof/>
        <w:sz w:val="20"/>
        <w:szCs w:val="20"/>
      </w:rPr>
      <w:t>Ministru kabineta noteikumu projekta „Grozījumi Ministru kabineta 2009.gada 13.janvāra noteikumos Nr.44 „Noteikumi par darbības programmas „Infrastruktūra un pakalpojumi” papildinājuma 3.1.5.3.1.apakšaktivitāti „Stacionārās veselības aprūpes attīstība”””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42" w:rsidRPr="00B63149" w:rsidRDefault="006A61D7" w:rsidP="00B63149">
    <w:pPr>
      <w:jc w:val="both"/>
      <w:rPr>
        <w:noProof/>
        <w:sz w:val="20"/>
        <w:szCs w:val="20"/>
      </w:rPr>
    </w:pPr>
    <w:bookmarkStart w:id="15" w:name="OLE_LINK5"/>
    <w:bookmarkStart w:id="16" w:name="OLE_LINK6"/>
    <w:bookmarkStart w:id="17" w:name="_Hlk288744963"/>
    <w:r>
      <w:rPr>
        <w:noProof/>
        <w:sz w:val="20"/>
        <w:szCs w:val="20"/>
      </w:rPr>
      <w:t>VManot_0708</w:t>
    </w:r>
    <w:r w:rsidR="00392742">
      <w:rPr>
        <w:noProof/>
        <w:sz w:val="20"/>
        <w:szCs w:val="20"/>
      </w:rPr>
      <w:t>15_not44</w:t>
    </w:r>
    <w:r w:rsidR="00392742" w:rsidRPr="00571DBF">
      <w:rPr>
        <w:sz w:val="20"/>
        <w:szCs w:val="20"/>
      </w:rPr>
      <w:t>;</w:t>
    </w:r>
    <w:r w:rsidR="00392742">
      <w:rPr>
        <w:sz w:val="20"/>
        <w:szCs w:val="20"/>
      </w:rPr>
      <w:t xml:space="preserve"> </w:t>
    </w:r>
    <w:bookmarkEnd w:id="15"/>
    <w:bookmarkEnd w:id="16"/>
    <w:bookmarkEnd w:id="17"/>
    <w:r w:rsidR="00392742" w:rsidRPr="00B63149">
      <w:rPr>
        <w:noProof/>
        <w:sz w:val="20"/>
        <w:szCs w:val="20"/>
      </w:rPr>
      <w:t>Ministru kabineta noteikumu projekta „Grozījumi Ministru kabineta 2009.gada 13.janvāra noteikumos Nr.44 „Noteikumi par darbības programmas „Infrastruktūra un pakalpojumi” papildinājuma 3.1.5.3.1.apakšaktivitāti „Stacionārās veselības aprūpes attīstība””” sākotnējās ietekmes novērtējuma ziņojums (anotācija)</w:t>
    </w:r>
  </w:p>
  <w:p w:rsidR="00392742" w:rsidRPr="00B937BE" w:rsidRDefault="00392742" w:rsidP="004F6013">
    <w:pPr>
      <w:jc w:val="both"/>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742" w:rsidRDefault="00392742">
      <w:r>
        <w:separator/>
      </w:r>
    </w:p>
  </w:footnote>
  <w:footnote w:type="continuationSeparator" w:id="1">
    <w:p w:rsidR="00392742" w:rsidRDefault="00392742">
      <w:r>
        <w:continuationSeparator/>
      </w:r>
    </w:p>
  </w:footnote>
  <w:footnote w:id="2">
    <w:p w:rsidR="00392742" w:rsidRPr="004E2C41" w:rsidRDefault="00392742" w:rsidP="00080126">
      <w:pPr>
        <w:pStyle w:val="FootnoteText"/>
        <w:jc w:val="both"/>
        <w:rPr>
          <w:i/>
        </w:rPr>
      </w:pPr>
      <w:r w:rsidRPr="0039792A">
        <w:rPr>
          <w:rStyle w:val="FootnoteReference"/>
        </w:rPr>
        <w:footnoteRef/>
      </w:r>
      <w:r w:rsidRPr="0039792A">
        <w:t xml:space="preserve"> </w:t>
      </w:r>
      <w:r>
        <w:t xml:space="preserve">Nefunkcionējošie projekti </w:t>
      </w:r>
      <w:r w:rsidRPr="0039792A">
        <w:t>Eiropas Komisijas Pamatnostād</w:t>
      </w:r>
      <w:r>
        <w:t>ņu</w:t>
      </w:r>
      <w:r w:rsidRPr="0039792A">
        <w:t xml:space="preserve"> par to darbības programmu slēgšanu, kuras pieņemtas atbalsta saņemšanai no Eiropas Reģionālās attīstības fonda, Eiropas Sociālā fonda un Kohēzijas fonda (2007.–2013. gada periodam) 3.5.apakšp</w:t>
      </w:r>
      <w:r>
        <w:t>unkta izpratnē.</w:t>
      </w:r>
    </w:p>
  </w:footnote>
  <w:footnote w:id="3">
    <w:p w:rsidR="00392742" w:rsidRDefault="00392742" w:rsidP="00711E26">
      <w:pPr>
        <w:pStyle w:val="FootnoteText"/>
        <w:jc w:val="both"/>
      </w:pPr>
      <w:r w:rsidRPr="0039792A">
        <w:rPr>
          <w:rStyle w:val="FootnoteReference"/>
        </w:rPr>
        <w:footnoteRef/>
      </w:r>
      <w:r w:rsidRPr="0039792A">
        <w:t xml:space="preserve"> </w:t>
      </w:r>
      <w:r>
        <w:t>Finansēšanas avotu regulējums:</w:t>
      </w:r>
    </w:p>
    <w:p w:rsidR="00392742" w:rsidRDefault="00392742" w:rsidP="00711E26">
      <w:pPr>
        <w:pStyle w:val="FootnoteText"/>
        <w:jc w:val="both"/>
      </w:pPr>
      <w:r>
        <w:t>1.ERAF finansējuma piešķiršana, izlietojums un uzraudzība tiek regulēta atbilstoši ES fondu 2007.-2013.gada plānošanas perioda normatīvo aktu bāzei (regulas, likums, MK noteikumi);</w:t>
      </w:r>
    </w:p>
    <w:p w:rsidR="00392742" w:rsidRDefault="00392742" w:rsidP="00711E26">
      <w:pPr>
        <w:pStyle w:val="FootnoteText"/>
        <w:jc w:val="both"/>
      </w:pPr>
      <w:r>
        <w:t>2.Valsts galvotā aizdevuma finansējums tiek regulēts atbilstoši 2014.gada 8.jūlija Ministru kabineta noteikumiem Nr.391 „</w:t>
      </w:r>
      <w:r w:rsidRPr="00EC0A35">
        <w:t>Kārtība, kādā gadskārtējā valsts budžeta likumprojektā iekļauj pieprasījumus valsts vārdā sniedzamajiem galvojumiem, un galvojumu sniegšanas un uzraudzības kārtība</w:t>
      </w:r>
      <w:r>
        <w:t xml:space="preserve">”. Tāpat Veselības ministrijā attiecībā uz tās kompetenci ir izstrādāta un ar </w:t>
      </w:r>
      <w:r w:rsidRPr="00553296">
        <w:t xml:space="preserve">25.11.2013 </w:t>
      </w:r>
      <w:r>
        <w:t xml:space="preserve">rīkojumu Nr.220 ir apstiprināta iekšējā </w:t>
      </w:r>
      <w:r w:rsidRPr="00553296">
        <w:t>procedūra P.40.3 "Valsts sniegtā galvojuma saņemšana un apstiprināto projektu realizācijas uzraudzība"</w:t>
      </w:r>
      <w:r>
        <w:t>.</w:t>
      </w:r>
    </w:p>
    <w:p w:rsidR="00392742" w:rsidRPr="009853E9" w:rsidRDefault="00392742" w:rsidP="00711E26">
      <w:pPr>
        <w:pStyle w:val="FootnoteText"/>
        <w:jc w:val="both"/>
      </w:pPr>
      <w:r>
        <w:t xml:space="preserve">3. </w:t>
      </w:r>
      <w:r w:rsidRPr="00553296">
        <w:t>Ar MK prot.17 43.§ 2.punktu papildus valsts budžeta finansējums tiks iekļauts Veselības ministrijas pamatbudžeta bāzē 2017.gadam</w:t>
      </w:r>
      <w:r w:rsidRPr="009853E9">
        <w:t xml:space="preserve"> </w:t>
      </w:r>
      <w:r>
        <w:t>jaunā slimnīcas A korpusa attīstībai</w:t>
      </w:r>
      <w:r w:rsidRPr="00553296">
        <w:t>, tādejādi finansējums</w:t>
      </w:r>
      <w:r>
        <w:t xml:space="preserve"> </w:t>
      </w:r>
      <w:r w:rsidRPr="00553296">
        <w:t>uzskatāms par</w:t>
      </w:r>
      <w:r>
        <w:t xml:space="preserve"> valsts budžeta mērķdotāciju un tā piešķiršana, izmantošana un uzraudzība tiek regulēta </w:t>
      </w:r>
      <w:r w:rsidRPr="00553296">
        <w:t xml:space="preserve">Likuma par budžetu un finanšu vadību noteiktajā kārtībā. Atbilstoši Veselība ministrija kā centrālā valsts budžeta iestāde </w:t>
      </w:r>
      <w:r w:rsidRPr="009853E9">
        <w:t xml:space="preserve">atbilstoši normatīvajam regulējumam piešķirs finansējumu kapitālsabiedrībai, kā arī atbilstoši kontrolēs tās izlietojumu.  </w:t>
      </w:r>
    </w:p>
  </w:footnote>
  <w:footnote w:id="4">
    <w:p w:rsidR="00392742" w:rsidRPr="009853E9" w:rsidRDefault="00392742" w:rsidP="004A0538">
      <w:pPr>
        <w:pStyle w:val="FootnoteText"/>
        <w:jc w:val="both"/>
      </w:pPr>
      <w:r w:rsidRPr="0039792A">
        <w:rPr>
          <w:rStyle w:val="FootnoteReference"/>
        </w:rPr>
        <w:footnoteRef/>
      </w:r>
      <w:r w:rsidRPr="0039792A">
        <w:t xml:space="preserve"> </w:t>
      </w:r>
      <w:r>
        <w:t>2014.gada 8.jūlija Ministru kabineta noteikumiem Nr.391 „</w:t>
      </w:r>
      <w:r w:rsidRPr="00EC0A35">
        <w:t>Kārtība, kādā gadskārtējā valsts budžeta likumprojektā iekļauj pieprasījumus valsts vārdā sniedzamajiem galvojumiem, un galvojumu sniegšanas un uzraudzības kārtība</w:t>
      </w:r>
      <w:r>
        <w:t xml:space="preserve">”. </w:t>
      </w:r>
    </w:p>
  </w:footnote>
  <w:footnote w:id="5">
    <w:p w:rsidR="00392742" w:rsidRPr="009853E9" w:rsidRDefault="00392742" w:rsidP="004A0538">
      <w:pPr>
        <w:pStyle w:val="FootnoteText"/>
        <w:jc w:val="both"/>
      </w:pPr>
      <w:r w:rsidRPr="0039792A">
        <w:rPr>
          <w:rStyle w:val="FootnoteReference"/>
        </w:rPr>
        <w:footnoteRef/>
      </w:r>
      <w:r w:rsidRPr="0039792A">
        <w:t xml:space="preserve"> </w:t>
      </w:r>
      <w:r>
        <w:t xml:space="preserve">Likums </w:t>
      </w:r>
      <w:r w:rsidRPr="00553296">
        <w:t>par budžetu un finanšu vadību</w:t>
      </w:r>
      <w:r>
        <w:t xml:space="preserve"> un tam pakārtotie Ministru kabineta noteikumi.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42" w:rsidRDefault="005C5E6F">
    <w:pPr>
      <w:pStyle w:val="Header"/>
      <w:framePr w:wrap="around" w:vAnchor="text" w:hAnchor="margin" w:xAlign="center" w:y="1"/>
      <w:rPr>
        <w:rStyle w:val="PageNumber"/>
      </w:rPr>
    </w:pPr>
    <w:r>
      <w:rPr>
        <w:rStyle w:val="PageNumber"/>
      </w:rPr>
      <w:fldChar w:fldCharType="begin"/>
    </w:r>
    <w:r w:rsidR="00392742">
      <w:rPr>
        <w:rStyle w:val="PageNumber"/>
      </w:rPr>
      <w:instrText xml:space="preserve">PAGE  </w:instrText>
    </w:r>
    <w:r>
      <w:rPr>
        <w:rStyle w:val="PageNumber"/>
      </w:rPr>
      <w:fldChar w:fldCharType="end"/>
    </w:r>
  </w:p>
  <w:p w:rsidR="00392742" w:rsidRDefault="003927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42" w:rsidRDefault="005C5E6F">
    <w:pPr>
      <w:pStyle w:val="Header"/>
      <w:framePr w:wrap="around" w:vAnchor="text" w:hAnchor="margin" w:xAlign="center" w:y="1"/>
      <w:rPr>
        <w:rStyle w:val="PageNumber"/>
      </w:rPr>
    </w:pPr>
    <w:r>
      <w:rPr>
        <w:rStyle w:val="PageNumber"/>
      </w:rPr>
      <w:fldChar w:fldCharType="begin"/>
    </w:r>
    <w:r w:rsidR="00392742">
      <w:rPr>
        <w:rStyle w:val="PageNumber"/>
      </w:rPr>
      <w:instrText xml:space="preserve">PAGE  </w:instrText>
    </w:r>
    <w:r>
      <w:rPr>
        <w:rStyle w:val="PageNumber"/>
      </w:rPr>
      <w:fldChar w:fldCharType="separate"/>
    </w:r>
    <w:r w:rsidR="00B9761D">
      <w:rPr>
        <w:rStyle w:val="PageNumber"/>
        <w:noProof/>
      </w:rPr>
      <w:t>2</w:t>
    </w:r>
    <w:r>
      <w:rPr>
        <w:rStyle w:val="PageNumber"/>
      </w:rPr>
      <w:fldChar w:fldCharType="end"/>
    </w:r>
  </w:p>
  <w:p w:rsidR="00392742" w:rsidRDefault="003927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60E6DAD"/>
    <w:multiLevelType w:val="hybridMultilevel"/>
    <w:tmpl w:val="B97C38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B46273"/>
    <w:multiLevelType w:val="hybridMultilevel"/>
    <w:tmpl w:val="44CA8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2F25C6E"/>
    <w:multiLevelType w:val="hybridMultilevel"/>
    <w:tmpl w:val="502C2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41605E1"/>
    <w:multiLevelType w:val="hybridMultilevel"/>
    <w:tmpl w:val="5336B33E"/>
    <w:lvl w:ilvl="0" w:tplc="09FC71A6">
      <w:start w:val="1"/>
      <w:numFmt w:val="bullet"/>
      <w:lvlText w:val="•"/>
      <w:lvlJc w:val="left"/>
      <w:pPr>
        <w:tabs>
          <w:tab w:val="num" w:pos="720"/>
        </w:tabs>
        <w:ind w:left="720" w:hanging="360"/>
      </w:pPr>
      <w:rPr>
        <w:rFonts w:ascii="Times New Roman" w:hAnsi="Times New Roman" w:hint="default"/>
      </w:rPr>
    </w:lvl>
    <w:lvl w:ilvl="1" w:tplc="5D88A43C" w:tentative="1">
      <w:start w:val="1"/>
      <w:numFmt w:val="bullet"/>
      <w:lvlText w:val="•"/>
      <w:lvlJc w:val="left"/>
      <w:pPr>
        <w:tabs>
          <w:tab w:val="num" w:pos="1440"/>
        </w:tabs>
        <w:ind w:left="1440" w:hanging="360"/>
      </w:pPr>
      <w:rPr>
        <w:rFonts w:ascii="Times New Roman" w:hAnsi="Times New Roman" w:hint="default"/>
      </w:rPr>
    </w:lvl>
    <w:lvl w:ilvl="2" w:tplc="FC6090AC">
      <w:start w:val="1"/>
      <w:numFmt w:val="bullet"/>
      <w:lvlText w:val="•"/>
      <w:lvlJc w:val="left"/>
      <w:pPr>
        <w:tabs>
          <w:tab w:val="num" w:pos="2160"/>
        </w:tabs>
        <w:ind w:left="2160" w:hanging="360"/>
      </w:pPr>
      <w:rPr>
        <w:rFonts w:ascii="Times New Roman" w:hAnsi="Times New Roman" w:hint="default"/>
      </w:rPr>
    </w:lvl>
    <w:lvl w:ilvl="3" w:tplc="BA40DFE0">
      <w:start w:val="773"/>
      <w:numFmt w:val="bullet"/>
      <w:lvlText w:val="–"/>
      <w:lvlJc w:val="left"/>
      <w:pPr>
        <w:tabs>
          <w:tab w:val="num" w:pos="2880"/>
        </w:tabs>
        <w:ind w:left="2880" w:hanging="360"/>
      </w:pPr>
      <w:rPr>
        <w:rFonts w:ascii="Times New Roman" w:hAnsi="Times New Roman" w:hint="default"/>
      </w:rPr>
    </w:lvl>
    <w:lvl w:ilvl="4" w:tplc="37D2F0AA" w:tentative="1">
      <w:start w:val="1"/>
      <w:numFmt w:val="bullet"/>
      <w:lvlText w:val="•"/>
      <w:lvlJc w:val="left"/>
      <w:pPr>
        <w:tabs>
          <w:tab w:val="num" w:pos="3600"/>
        </w:tabs>
        <w:ind w:left="3600" w:hanging="360"/>
      </w:pPr>
      <w:rPr>
        <w:rFonts w:ascii="Times New Roman" w:hAnsi="Times New Roman" w:hint="default"/>
      </w:rPr>
    </w:lvl>
    <w:lvl w:ilvl="5" w:tplc="3E2A5302" w:tentative="1">
      <w:start w:val="1"/>
      <w:numFmt w:val="bullet"/>
      <w:lvlText w:val="•"/>
      <w:lvlJc w:val="left"/>
      <w:pPr>
        <w:tabs>
          <w:tab w:val="num" w:pos="4320"/>
        </w:tabs>
        <w:ind w:left="4320" w:hanging="360"/>
      </w:pPr>
      <w:rPr>
        <w:rFonts w:ascii="Times New Roman" w:hAnsi="Times New Roman" w:hint="default"/>
      </w:rPr>
    </w:lvl>
    <w:lvl w:ilvl="6" w:tplc="E6F0024A" w:tentative="1">
      <w:start w:val="1"/>
      <w:numFmt w:val="bullet"/>
      <w:lvlText w:val="•"/>
      <w:lvlJc w:val="left"/>
      <w:pPr>
        <w:tabs>
          <w:tab w:val="num" w:pos="5040"/>
        </w:tabs>
        <w:ind w:left="5040" w:hanging="360"/>
      </w:pPr>
      <w:rPr>
        <w:rFonts w:ascii="Times New Roman" w:hAnsi="Times New Roman" w:hint="default"/>
      </w:rPr>
    </w:lvl>
    <w:lvl w:ilvl="7" w:tplc="26141BC8" w:tentative="1">
      <w:start w:val="1"/>
      <w:numFmt w:val="bullet"/>
      <w:lvlText w:val="•"/>
      <w:lvlJc w:val="left"/>
      <w:pPr>
        <w:tabs>
          <w:tab w:val="num" w:pos="5760"/>
        </w:tabs>
        <w:ind w:left="5760" w:hanging="360"/>
      </w:pPr>
      <w:rPr>
        <w:rFonts w:ascii="Times New Roman" w:hAnsi="Times New Roman" w:hint="default"/>
      </w:rPr>
    </w:lvl>
    <w:lvl w:ilvl="8" w:tplc="18C81B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858CE"/>
    <w:multiLevelType w:val="hybridMultilevel"/>
    <w:tmpl w:val="67DCF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1">
    <w:nsid w:val="382C3CB4"/>
    <w:multiLevelType w:val="hybridMultilevel"/>
    <w:tmpl w:val="3C2A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B821FB2"/>
    <w:multiLevelType w:val="hybridMultilevel"/>
    <w:tmpl w:val="624208B6"/>
    <w:lvl w:ilvl="0" w:tplc="0A442D8A">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D2342"/>
    <w:multiLevelType w:val="hybridMultilevel"/>
    <w:tmpl w:val="8B70C104"/>
    <w:lvl w:ilvl="0" w:tplc="04260001">
      <w:start w:val="1"/>
      <w:numFmt w:val="bullet"/>
      <w:lvlText w:val=""/>
      <w:lvlJc w:val="left"/>
      <w:pPr>
        <w:ind w:left="895" w:hanging="360"/>
      </w:pPr>
      <w:rPr>
        <w:rFonts w:ascii="Symbol" w:hAnsi="Symbol"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6">
    <w:nsid w:val="511E3892"/>
    <w:multiLevelType w:val="hybridMultilevel"/>
    <w:tmpl w:val="0C5EC820"/>
    <w:lvl w:ilvl="0" w:tplc="083AF972">
      <w:start w:val="1"/>
      <w:numFmt w:val="bullet"/>
      <w:lvlText w:val="•"/>
      <w:lvlJc w:val="left"/>
      <w:pPr>
        <w:tabs>
          <w:tab w:val="num" w:pos="720"/>
        </w:tabs>
        <w:ind w:left="720" w:hanging="360"/>
      </w:pPr>
      <w:rPr>
        <w:rFonts w:ascii="Times New Roman" w:hAnsi="Times New Roman" w:hint="default"/>
      </w:rPr>
    </w:lvl>
    <w:lvl w:ilvl="1" w:tplc="2222EFE2" w:tentative="1">
      <w:start w:val="1"/>
      <w:numFmt w:val="bullet"/>
      <w:lvlText w:val="•"/>
      <w:lvlJc w:val="left"/>
      <w:pPr>
        <w:tabs>
          <w:tab w:val="num" w:pos="1440"/>
        </w:tabs>
        <w:ind w:left="1440" w:hanging="360"/>
      </w:pPr>
      <w:rPr>
        <w:rFonts w:ascii="Times New Roman" w:hAnsi="Times New Roman" w:hint="default"/>
      </w:rPr>
    </w:lvl>
    <w:lvl w:ilvl="2" w:tplc="6938DF1E" w:tentative="1">
      <w:start w:val="1"/>
      <w:numFmt w:val="bullet"/>
      <w:lvlText w:val="•"/>
      <w:lvlJc w:val="left"/>
      <w:pPr>
        <w:tabs>
          <w:tab w:val="num" w:pos="2160"/>
        </w:tabs>
        <w:ind w:left="2160" w:hanging="360"/>
      </w:pPr>
      <w:rPr>
        <w:rFonts w:ascii="Times New Roman" w:hAnsi="Times New Roman" w:hint="default"/>
      </w:rPr>
    </w:lvl>
    <w:lvl w:ilvl="3" w:tplc="05A03584" w:tentative="1">
      <w:start w:val="1"/>
      <w:numFmt w:val="bullet"/>
      <w:lvlText w:val="•"/>
      <w:lvlJc w:val="left"/>
      <w:pPr>
        <w:tabs>
          <w:tab w:val="num" w:pos="2880"/>
        </w:tabs>
        <w:ind w:left="2880" w:hanging="360"/>
      </w:pPr>
      <w:rPr>
        <w:rFonts w:ascii="Times New Roman" w:hAnsi="Times New Roman" w:hint="default"/>
      </w:rPr>
    </w:lvl>
    <w:lvl w:ilvl="4" w:tplc="6AFCCB44" w:tentative="1">
      <w:start w:val="1"/>
      <w:numFmt w:val="bullet"/>
      <w:lvlText w:val="•"/>
      <w:lvlJc w:val="left"/>
      <w:pPr>
        <w:tabs>
          <w:tab w:val="num" w:pos="3600"/>
        </w:tabs>
        <w:ind w:left="3600" w:hanging="360"/>
      </w:pPr>
      <w:rPr>
        <w:rFonts w:ascii="Times New Roman" w:hAnsi="Times New Roman" w:hint="default"/>
      </w:rPr>
    </w:lvl>
    <w:lvl w:ilvl="5" w:tplc="AD34192E" w:tentative="1">
      <w:start w:val="1"/>
      <w:numFmt w:val="bullet"/>
      <w:lvlText w:val="•"/>
      <w:lvlJc w:val="left"/>
      <w:pPr>
        <w:tabs>
          <w:tab w:val="num" w:pos="4320"/>
        </w:tabs>
        <w:ind w:left="4320" w:hanging="360"/>
      </w:pPr>
      <w:rPr>
        <w:rFonts w:ascii="Times New Roman" w:hAnsi="Times New Roman" w:hint="default"/>
      </w:rPr>
    </w:lvl>
    <w:lvl w:ilvl="6" w:tplc="79F63FAE" w:tentative="1">
      <w:start w:val="1"/>
      <w:numFmt w:val="bullet"/>
      <w:lvlText w:val="•"/>
      <w:lvlJc w:val="left"/>
      <w:pPr>
        <w:tabs>
          <w:tab w:val="num" w:pos="5040"/>
        </w:tabs>
        <w:ind w:left="5040" w:hanging="360"/>
      </w:pPr>
      <w:rPr>
        <w:rFonts w:ascii="Times New Roman" w:hAnsi="Times New Roman" w:hint="default"/>
      </w:rPr>
    </w:lvl>
    <w:lvl w:ilvl="7" w:tplc="61F45DAC" w:tentative="1">
      <w:start w:val="1"/>
      <w:numFmt w:val="bullet"/>
      <w:lvlText w:val="•"/>
      <w:lvlJc w:val="left"/>
      <w:pPr>
        <w:tabs>
          <w:tab w:val="num" w:pos="5760"/>
        </w:tabs>
        <w:ind w:left="5760" w:hanging="360"/>
      </w:pPr>
      <w:rPr>
        <w:rFonts w:ascii="Times New Roman" w:hAnsi="Times New Roman" w:hint="default"/>
      </w:rPr>
    </w:lvl>
    <w:lvl w:ilvl="8" w:tplc="E4BA3E7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3D85977"/>
    <w:multiLevelType w:val="hybridMultilevel"/>
    <w:tmpl w:val="0B145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4AF7EA0"/>
    <w:multiLevelType w:val="hybridMultilevel"/>
    <w:tmpl w:val="7F2E9F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nsid w:val="57BB5A52"/>
    <w:multiLevelType w:val="hybridMultilevel"/>
    <w:tmpl w:val="A9046E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D490508"/>
    <w:multiLevelType w:val="hybridMultilevel"/>
    <w:tmpl w:val="34867860"/>
    <w:lvl w:ilvl="0" w:tplc="99782DD2">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nsid w:val="5E912294"/>
    <w:multiLevelType w:val="hybridMultilevel"/>
    <w:tmpl w:val="22CC3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0C93904"/>
    <w:multiLevelType w:val="hybridMultilevel"/>
    <w:tmpl w:val="3104BC70"/>
    <w:lvl w:ilvl="0" w:tplc="DDF8F6D6">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23">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63E5239C"/>
    <w:multiLevelType w:val="hybridMultilevel"/>
    <w:tmpl w:val="58A89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6">
    <w:nsid w:val="678C252D"/>
    <w:multiLevelType w:val="hybridMultilevel"/>
    <w:tmpl w:val="0B145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A76E8A"/>
    <w:multiLevelType w:val="hybridMultilevel"/>
    <w:tmpl w:val="E0FCA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E80619B"/>
    <w:multiLevelType w:val="hybridMultilevel"/>
    <w:tmpl w:val="4D644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18F5D55"/>
    <w:multiLevelType w:val="hybridMultilevel"/>
    <w:tmpl w:val="4168C0B0"/>
    <w:lvl w:ilvl="0" w:tplc="CBE6CBA4">
      <w:start w:val="1"/>
      <w:numFmt w:val="bullet"/>
      <w:lvlText w:val="•"/>
      <w:lvlJc w:val="left"/>
      <w:pPr>
        <w:tabs>
          <w:tab w:val="num" w:pos="720"/>
        </w:tabs>
        <w:ind w:left="720" w:hanging="360"/>
      </w:pPr>
      <w:rPr>
        <w:rFonts w:ascii="Times New Roman" w:hAnsi="Times New Roman" w:hint="default"/>
      </w:rPr>
    </w:lvl>
    <w:lvl w:ilvl="1" w:tplc="D5E4297C">
      <w:start w:val="1"/>
      <w:numFmt w:val="bullet"/>
      <w:lvlText w:val="•"/>
      <w:lvlJc w:val="left"/>
      <w:pPr>
        <w:tabs>
          <w:tab w:val="num" w:pos="1440"/>
        </w:tabs>
        <w:ind w:left="1440" w:hanging="360"/>
      </w:pPr>
      <w:rPr>
        <w:rFonts w:ascii="Times New Roman" w:hAnsi="Times New Roman" w:hint="default"/>
      </w:rPr>
    </w:lvl>
    <w:lvl w:ilvl="2" w:tplc="D828213C">
      <w:start w:val="1"/>
      <w:numFmt w:val="bullet"/>
      <w:lvlText w:val="•"/>
      <w:lvlJc w:val="left"/>
      <w:pPr>
        <w:tabs>
          <w:tab w:val="num" w:pos="2160"/>
        </w:tabs>
        <w:ind w:left="2160" w:hanging="360"/>
      </w:pPr>
      <w:rPr>
        <w:rFonts w:ascii="Times New Roman" w:hAnsi="Times New Roman" w:hint="default"/>
      </w:rPr>
    </w:lvl>
    <w:lvl w:ilvl="3" w:tplc="3DC62EFC">
      <w:start w:val="779"/>
      <w:numFmt w:val="bullet"/>
      <w:lvlText w:val="–"/>
      <w:lvlJc w:val="left"/>
      <w:pPr>
        <w:tabs>
          <w:tab w:val="num" w:pos="2880"/>
        </w:tabs>
        <w:ind w:left="2880" w:hanging="360"/>
      </w:pPr>
      <w:rPr>
        <w:rFonts w:ascii="Times New Roman" w:hAnsi="Times New Roman" w:hint="default"/>
      </w:rPr>
    </w:lvl>
    <w:lvl w:ilvl="4" w:tplc="F1E8E4BA">
      <w:start w:val="779"/>
      <w:numFmt w:val="bullet"/>
      <w:lvlText w:val="»"/>
      <w:lvlJc w:val="left"/>
      <w:pPr>
        <w:tabs>
          <w:tab w:val="num" w:pos="3600"/>
        </w:tabs>
        <w:ind w:left="3600" w:hanging="360"/>
      </w:pPr>
      <w:rPr>
        <w:rFonts w:ascii="Times New Roman" w:hAnsi="Times New Roman" w:hint="default"/>
      </w:rPr>
    </w:lvl>
    <w:lvl w:ilvl="5" w:tplc="642AFECC" w:tentative="1">
      <w:start w:val="1"/>
      <w:numFmt w:val="bullet"/>
      <w:lvlText w:val="•"/>
      <w:lvlJc w:val="left"/>
      <w:pPr>
        <w:tabs>
          <w:tab w:val="num" w:pos="4320"/>
        </w:tabs>
        <w:ind w:left="4320" w:hanging="360"/>
      </w:pPr>
      <w:rPr>
        <w:rFonts w:ascii="Times New Roman" w:hAnsi="Times New Roman" w:hint="default"/>
      </w:rPr>
    </w:lvl>
    <w:lvl w:ilvl="6" w:tplc="98521DAE" w:tentative="1">
      <w:start w:val="1"/>
      <w:numFmt w:val="bullet"/>
      <w:lvlText w:val="•"/>
      <w:lvlJc w:val="left"/>
      <w:pPr>
        <w:tabs>
          <w:tab w:val="num" w:pos="5040"/>
        </w:tabs>
        <w:ind w:left="5040" w:hanging="360"/>
      </w:pPr>
      <w:rPr>
        <w:rFonts w:ascii="Times New Roman" w:hAnsi="Times New Roman" w:hint="default"/>
      </w:rPr>
    </w:lvl>
    <w:lvl w:ilvl="7" w:tplc="E996A9B0" w:tentative="1">
      <w:start w:val="1"/>
      <w:numFmt w:val="bullet"/>
      <w:lvlText w:val="•"/>
      <w:lvlJc w:val="left"/>
      <w:pPr>
        <w:tabs>
          <w:tab w:val="num" w:pos="5760"/>
        </w:tabs>
        <w:ind w:left="5760" w:hanging="360"/>
      </w:pPr>
      <w:rPr>
        <w:rFonts w:ascii="Times New Roman" w:hAnsi="Times New Roman" w:hint="default"/>
      </w:rPr>
    </w:lvl>
    <w:lvl w:ilvl="8" w:tplc="763EA9A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A36379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3"/>
  </w:num>
  <w:num w:numId="3">
    <w:abstractNumId w:val="14"/>
  </w:num>
  <w:num w:numId="4">
    <w:abstractNumId w:val="1"/>
  </w:num>
  <w:num w:numId="5">
    <w:abstractNumId w:val="0"/>
  </w:num>
  <w:num w:numId="6">
    <w:abstractNumId w:val="4"/>
  </w:num>
  <w:num w:numId="7">
    <w:abstractNumId w:val="25"/>
  </w:num>
  <w:num w:numId="8">
    <w:abstractNumId w:val="13"/>
  </w:num>
  <w:num w:numId="9">
    <w:abstractNumId w:val="8"/>
  </w:num>
  <w:num w:numId="10">
    <w:abstractNumId w:val="10"/>
  </w:num>
  <w:num w:numId="11">
    <w:abstractNumId w:val="27"/>
  </w:num>
  <w:num w:numId="12">
    <w:abstractNumId w:val="5"/>
  </w:num>
  <w:num w:numId="13">
    <w:abstractNumId w:val="6"/>
  </w:num>
  <w:num w:numId="14">
    <w:abstractNumId w:val="22"/>
  </w:num>
  <w:num w:numId="15">
    <w:abstractNumId w:val="20"/>
  </w:num>
  <w:num w:numId="16">
    <w:abstractNumId w:val="29"/>
  </w:num>
  <w:num w:numId="17">
    <w:abstractNumId w:val="9"/>
  </w:num>
  <w:num w:numId="18">
    <w:abstractNumId w:val="26"/>
  </w:num>
  <w:num w:numId="19">
    <w:abstractNumId w:val="17"/>
  </w:num>
  <w:num w:numId="20">
    <w:abstractNumId w:val="3"/>
  </w:num>
  <w:num w:numId="21">
    <w:abstractNumId w:val="24"/>
  </w:num>
  <w:num w:numId="22">
    <w:abstractNumId w:val="19"/>
  </w:num>
  <w:num w:numId="23">
    <w:abstractNumId w:val="21"/>
  </w:num>
  <w:num w:numId="24">
    <w:abstractNumId w:val="12"/>
  </w:num>
  <w:num w:numId="25">
    <w:abstractNumId w:val="18"/>
  </w:num>
  <w:num w:numId="26">
    <w:abstractNumId w:val="15"/>
  </w:num>
  <w:num w:numId="27">
    <w:abstractNumId w:val="31"/>
  </w:num>
  <w:num w:numId="28">
    <w:abstractNumId w:val="11"/>
  </w:num>
  <w:num w:numId="29">
    <w:abstractNumId w:val="16"/>
  </w:num>
  <w:num w:numId="30">
    <w:abstractNumId w:val="7"/>
  </w:num>
  <w:num w:numId="31">
    <w:abstractNumId w:val="30"/>
  </w:num>
  <w:num w:numId="3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Pucena">
    <w15:presenceInfo w15:providerId="AD" w15:userId="S-1-5-21-507921405-1284227242-1801674531-3843"/>
  </w15:person>
  <w15:person w15:author="Karīna Virse">
    <w15:presenceInfo w15:providerId="None" w15:userId="Karīna Virs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12289"/>
  </w:hdrShapeDefaults>
  <w:footnotePr>
    <w:footnote w:id="0"/>
    <w:footnote w:id="1"/>
  </w:footnotePr>
  <w:endnotePr>
    <w:endnote w:id="0"/>
    <w:endnote w:id="1"/>
  </w:endnotePr>
  <w:compat/>
  <w:rsids>
    <w:rsidRoot w:val="00051A1C"/>
    <w:rsid w:val="000006CF"/>
    <w:rsid w:val="00002913"/>
    <w:rsid w:val="0000382E"/>
    <w:rsid w:val="00006A21"/>
    <w:rsid w:val="00010573"/>
    <w:rsid w:val="00011564"/>
    <w:rsid w:val="00013B7C"/>
    <w:rsid w:val="0001496E"/>
    <w:rsid w:val="00016BD9"/>
    <w:rsid w:val="00017DF7"/>
    <w:rsid w:val="00022523"/>
    <w:rsid w:val="000229B1"/>
    <w:rsid w:val="00023A89"/>
    <w:rsid w:val="00023BA6"/>
    <w:rsid w:val="00023EAD"/>
    <w:rsid w:val="0002480A"/>
    <w:rsid w:val="00027C89"/>
    <w:rsid w:val="00030A92"/>
    <w:rsid w:val="00030AEE"/>
    <w:rsid w:val="000311C0"/>
    <w:rsid w:val="00031B47"/>
    <w:rsid w:val="00032A9F"/>
    <w:rsid w:val="000331F5"/>
    <w:rsid w:val="000349F4"/>
    <w:rsid w:val="000350F7"/>
    <w:rsid w:val="000379CD"/>
    <w:rsid w:val="000401EE"/>
    <w:rsid w:val="00040261"/>
    <w:rsid w:val="00040280"/>
    <w:rsid w:val="0004188B"/>
    <w:rsid w:val="000419AE"/>
    <w:rsid w:val="0004341C"/>
    <w:rsid w:val="00043510"/>
    <w:rsid w:val="00044751"/>
    <w:rsid w:val="00044811"/>
    <w:rsid w:val="000461A6"/>
    <w:rsid w:val="00046C46"/>
    <w:rsid w:val="00047FB2"/>
    <w:rsid w:val="00051089"/>
    <w:rsid w:val="00051273"/>
    <w:rsid w:val="000512DA"/>
    <w:rsid w:val="000518C5"/>
    <w:rsid w:val="00051A1C"/>
    <w:rsid w:val="0005514A"/>
    <w:rsid w:val="0005631C"/>
    <w:rsid w:val="0005680A"/>
    <w:rsid w:val="0005745A"/>
    <w:rsid w:val="00060FDE"/>
    <w:rsid w:val="00062879"/>
    <w:rsid w:val="00062E81"/>
    <w:rsid w:val="00063FD8"/>
    <w:rsid w:val="000648AB"/>
    <w:rsid w:val="00065B3B"/>
    <w:rsid w:val="00066554"/>
    <w:rsid w:val="000700EC"/>
    <w:rsid w:val="000703FA"/>
    <w:rsid w:val="00072FD1"/>
    <w:rsid w:val="0007350E"/>
    <w:rsid w:val="000746DD"/>
    <w:rsid w:val="00074C50"/>
    <w:rsid w:val="00075C90"/>
    <w:rsid w:val="00075FE6"/>
    <w:rsid w:val="0007617E"/>
    <w:rsid w:val="00077350"/>
    <w:rsid w:val="00080126"/>
    <w:rsid w:val="0008105E"/>
    <w:rsid w:val="0008118C"/>
    <w:rsid w:val="00081E56"/>
    <w:rsid w:val="00082220"/>
    <w:rsid w:val="00083386"/>
    <w:rsid w:val="0008397F"/>
    <w:rsid w:val="000848D2"/>
    <w:rsid w:val="00086A85"/>
    <w:rsid w:val="00086AFA"/>
    <w:rsid w:val="000876AA"/>
    <w:rsid w:val="00087787"/>
    <w:rsid w:val="00087912"/>
    <w:rsid w:val="000879A1"/>
    <w:rsid w:val="0009177F"/>
    <w:rsid w:val="00092C08"/>
    <w:rsid w:val="00092C69"/>
    <w:rsid w:val="00093955"/>
    <w:rsid w:val="00093E32"/>
    <w:rsid w:val="00094A86"/>
    <w:rsid w:val="00094D29"/>
    <w:rsid w:val="00094F8F"/>
    <w:rsid w:val="0009711C"/>
    <w:rsid w:val="0009765C"/>
    <w:rsid w:val="00097667"/>
    <w:rsid w:val="000A0B0B"/>
    <w:rsid w:val="000A0B51"/>
    <w:rsid w:val="000A1230"/>
    <w:rsid w:val="000A2285"/>
    <w:rsid w:val="000A249F"/>
    <w:rsid w:val="000A26AA"/>
    <w:rsid w:val="000A3D7C"/>
    <w:rsid w:val="000A632A"/>
    <w:rsid w:val="000A6455"/>
    <w:rsid w:val="000A6B35"/>
    <w:rsid w:val="000A7B2A"/>
    <w:rsid w:val="000B0A3D"/>
    <w:rsid w:val="000B1581"/>
    <w:rsid w:val="000B23AA"/>
    <w:rsid w:val="000B2ED3"/>
    <w:rsid w:val="000B5AB2"/>
    <w:rsid w:val="000B6F32"/>
    <w:rsid w:val="000C0654"/>
    <w:rsid w:val="000C075A"/>
    <w:rsid w:val="000C0894"/>
    <w:rsid w:val="000C0BFF"/>
    <w:rsid w:val="000C11F7"/>
    <w:rsid w:val="000C1806"/>
    <w:rsid w:val="000C2203"/>
    <w:rsid w:val="000C228E"/>
    <w:rsid w:val="000C326C"/>
    <w:rsid w:val="000C328B"/>
    <w:rsid w:val="000C3992"/>
    <w:rsid w:val="000C5995"/>
    <w:rsid w:val="000C62B6"/>
    <w:rsid w:val="000C69A8"/>
    <w:rsid w:val="000C6D81"/>
    <w:rsid w:val="000C7F03"/>
    <w:rsid w:val="000C7F3E"/>
    <w:rsid w:val="000D10A0"/>
    <w:rsid w:val="000D3507"/>
    <w:rsid w:val="000D40AC"/>
    <w:rsid w:val="000D5A1E"/>
    <w:rsid w:val="000D6CB5"/>
    <w:rsid w:val="000D7EB0"/>
    <w:rsid w:val="000E1501"/>
    <w:rsid w:val="000E2002"/>
    <w:rsid w:val="000E24E4"/>
    <w:rsid w:val="000E5D63"/>
    <w:rsid w:val="000E5F1E"/>
    <w:rsid w:val="000E6D22"/>
    <w:rsid w:val="000E7F58"/>
    <w:rsid w:val="000F079B"/>
    <w:rsid w:val="000F099A"/>
    <w:rsid w:val="000F0B0D"/>
    <w:rsid w:val="000F2F05"/>
    <w:rsid w:val="000F42B4"/>
    <w:rsid w:val="000F6CA0"/>
    <w:rsid w:val="001022F4"/>
    <w:rsid w:val="00102B64"/>
    <w:rsid w:val="001039EE"/>
    <w:rsid w:val="00104459"/>
    <w:rsid w:val="00104722"/>
    <w:rsid w:val="00106FF3"/>
    <w:rsid w:val="001108E9"/>
    <w:rsid w:val="001109DA"/>
    <w:rsid w:val="00111190"/>
    <w:rsid w:val="0011122E"/>
    <w:rsid w:val="0011132A"/>
    <w:rsid w:val="00111D17"/>
    <w:rsid w:val="0011391E"/>
    <w:rsid w:val="00113E50"/>
    <w:rsid w:val="001157B2"/>
    <w:rsid w:val="00115996"/>
    <w:rsid w:val="00115C48"/>
    <w:rsid w:val="00117BB9"/>
    <w:rsid w:val="0012089E"/>
    <w:rsid w:val="00121708"/>
    <w:rsid w:val="001228BD"/>
    <w:rsid w:val="00124003"/>
    <w:rsid w:val="00125CC0"/>
    <w:rsid w:val="001268E7"/>
    <w:rsid w:val="00130286"/>
    <w:rsid w:val="0013083A"/>
    <w:rsid w:val="00130B15"/>
    <w:rsid w:val="00132010"/>
    <w:rsid w:val="00132477"/>
    <w:rsid w:val="00132673"/>
    <w:rsid w:val="00132D78"/>
    <w:rsid w:val="001342F6"/>
    <w:rsid w:val="001343E2"/>
    <w:rsid w:val="0013473F"/>
    <w:rsid w:val="00135104"/>
    <w:rsid w:val="001364D4"/>
    <w:rsid w:val="001366D7"/>
    <w:rsid w:val="001370FF"/>
    <w:rsid w:val="001420EE"/>
    <w:rsid w:val="0014373C"/>
    <w:rsid w:val="001437C1"/>
    <w:rsid w:val="001445AA"/>
    <w:rsid w:val="00144F86"/>
    <w:rsid w:val="001461E0"/>
    <w:rsid w:val="0014705F"/>
    <w:rsid w:val="00147A35"/>
    <w:rsid w:val="00150DA5"/>
    <w:rsid w:val="0015195C"/>
    <w:rsid w:val="00151E3F"/>
    <w:rsid w:val="001526CD"/>
    <w:rsid w:val="00152866"/>
    <w:rsid w:val="00153C19"/>
    <w:rsid w:val="00160F63"/>
    <w:rsid w:val="0016187F"/>
    <w:rsid w:val="0016188D"/>
    <w:rsid w:val="00162A40"/>
    <w:rsid w:val="00164651"/>
    <w:rsid w:val="001647CA"/>
    <w:rsid w:val="00164C8C"/>
    <w:rsid w:val="00164EDE"/>
    <w:rsid w:val="001654DC"/>
    <w:rsid w:val="0016725E"/>
    <w:rsid w:val="00172C6E"/>
    <w:rsid w:val="00172E1B"/>
    <w:rsid w:val="00173657"/>
    <w:rsid w:val="00173DB7"/>
    <w:rsid w:val="00174BEF"/>
    <w:rsid w:val="00174F93"/>
    <w:rsid w:val="00175FE2"/>
    <w:rsid w:val="00176498"/>
    <w:rsid w:val="0017663B"/>
    <w:rsid w:val="00176B86"/>
    <w:rsid w:val="001777FC"/>
    <w:rsid w:val="0018006E"/>
    <w:rsid w:val="00180ACF"/>
    <w:rsid w:val="00180D14"/>
    <w:rsid w:val="00182AA3"/>
    <w:rsid w:val="00183B82"/>
    <w:rsid w:val="00184C32"/>
    <w:rsid w:val="00185B8D"/>
    <w:rsid w:val="001860B1"/>
    <w:rsid w:val="001866A5"/>
    <w:rsid w:val="00187801"/>
    <w:rsid w:val="00187BCA"/>
    <w:rsid w:val="00190113"/>
    <w:rsid w:val="001908EB"/>
    <w:rsid w:val="001909F3"/>
    <w:rsid w:val="00190E51"/>
    <w:rsid w:val="00191D21"/>
    <w:rsid w:val="00193692"/>
    <w:rsid w:val="001942EB"/>
    <w:rsid w:val="001950BA"/>
    <w:rsid w:val="00195AE2"/>
    <w:rsid w:val="00195FE5"/>
    <w:rsid w:val="00197678"/>
    <w:rsid w:val="001A033A"/>
    <w:rsid w:val="001A22CB"/>
    <w:rsid w:val="001A28C3"/>
    <w:rsid w:val="001A297F"/>
    <w:rsid w:val="001A3B62"/>
    <w:rsid w:val="001A4EE7"/>
    <w:rsid w:val="001A52A1"/>
    <w:rsid w:val="001A5B17"/>
    <w:rsid w:val="001A5F95"/>
    <w:rsid w:val="001A614E"/>
    <w:rsid w:val="001A6AEA"/>
    <w:rsid w:val="001A788A"/>
    <w:rsid w:val="001B02E4"/>
    <w:rsid w:val="001B0C3C"/>
    <w:rsid w:val="001B0FB3"/>
    <w:rsid w:val="001B1DEC"/>
    <w:rsid w:val="001B268D"/>
    <w:rsid w:val="001B2753"/>
    <w:rsid w:val="001B5116"/>
    <w:rsid w:val="001B7153"/>
    <w:rsid w:val="001B7BBF"/>
    <w:rsid w:val="001C02F2"/>
    <w:rsid w:val="001C07E0"/>
    <w:rsid w:val="001C11EA"/>
    <w:rsid w:val="001C457A"/>
    <w:rsid w:val="001C493F"/>
    <w:rsid w:val="001C5F71"/>
    <w:rsid w:val="001C673C"/>
    <w:rsid w:val="001C68E9"/>
    <w:rsid w:val="001D0025"/>
    <w:rsid w:val="001D0679"/>
    <w:rsid w:val="001D2D91"/>
    <w:rsid w:val="001D2F3C"/>
    <w:rsid w:val="001D3051"/>
    <w:rsid w:val="001D3987"/>
    <w:rsid w:val="001D4857"/>
    <w:rsid w:val="001D49E8"/>
    <w:rsid w:val="001D55DA"/>
    <w:rsid w:val="001D6102"/>
    <w:rsid w:val="001D6DB1"/>
    <w:rsid w:val="001E155F"/>
    <w:rsid w:val="001E20B3"/>
    <w:rsid w:val="001E3003"/>
    <w:rsid w:val="001E32B2"/>
    <w:rsid w:val="001E4130"/>
    <w:rsid w:val="001E4513"/>
    <w:rsid w:val="001E6859"/>
    <w:rsid w:val="001E6CEC"/>
    <w:rsid w:val="001E7771"/>
    <w:rsid w:val="001E7807"/>
    <w:rsid w:val="001F1DDC"/>
    <w:rsid w:val="001F1DDE"/>
    <w:rsid w:val="001F2F1B"/>
    <w:rsid w:val="001F31EB"/>
    <w:rsid w:val="001F39B6"/>
    <w:rsid w:val="001F6BC5"/>
    <w:rsid w:val="001F76D3"/>
    <w:rsid w:val="00201F35"/>
    <w:rsid w:val="0020206A"/>
    <w:rsid w:val="00202099"/>
    <w:rsid w:val="0020355C"/>
    <w:rsid w:val="0020428A"/>
    <w:rsid w:val="00204298"/>
    <w:rsid w:val="00205006"/>
    <w:rsid w:val="002070E9"/>
    <w:rsid w:val="00207ED4"/>
    <w:rsid w:val="002105B1"/>
    <w:rsid w:val="002106BC"/>
    <w:rsid w:val="00210B37"/>
    <w:rsid w:val="00210D36"/>
    <w:rsid w:val="0021148A"/>
    <w:rsid w:val="00212558"/>
    <w:rsid w:val="002131A0"/>
    <w:rsid w:val="00216724"/>
    <w:rsid w:val="00217053"/>
    <w:rsid w:val="00217705"/>
    <w:rsid w:val="00217BB5"/>
    <w:rsid w:val="002209CB"/>
    <w:rsid w:val="002211D7"/>
    <w:rsid w:val="00221434"/>
    <w:rsid w:val="00221576"/>
    <w:rsid w:val="0022195A"/>
    <w:rsid w:val="00221ABB"/>
    <w:rsid w:val="002247EF"/>
    <w:rsid w:val="0022598E"/>
    <w:rsid w:val="00226A38"/>
    <w:rsid w:val="00226A91"/>
    <w:rsid w:val="00226F77"/>
    <w:rsid w:val="00227E32"/>
    <w:rsid w:val="00231010"/>
    <w:rsid w:val="00231B6A"/>
    <w:rsid w:val="00231F4B"/>
    <w:rsid w:val="00232CEC"/>
    <w:rsid w:val="00233132"/>
    <w:rsid w:val="00233516"/>
    <w:rsid w:val="00233D20"/>
    <w:rsid w:val="00234B35"/>
    <w:rsid w:val="002352C7"/>
    <w:rsid w:val="00235360"/>
    <w:rsid w:val="0023643A"/>
    <w:rsid w:val="00236630"/>
    <w:rsid w:val="00236F7C"/>
    <w:rsid w:val="00240BB9"/>
    <w:rsid w:val="00241E1A"/>
    <w:rsid w:val="00241EAF"/>
    <w:rsid w:val="00243493"/>
    <w:rsid w:val="0024551A"/>
    <w:rsid w:val="00245E4D"/>
    <w:rsid w:val="00246491"/>
    <w:rsid w:val="0024688C"/>
    <w:rsid w:val="002501CD"/>
    <w:rsid w:val="00250392"/>
    <w:rsid w:val="00250C15"/>
    <w:rsid w:val="00250E14"/>
    <w:rsid w:val="00251191"/>
    <w:rsid w:val="00252F83"/>
    <w:rsid w:val="002536B9"/>
    <w:rsid w:val="00253E28"/>
    <w:rsid w:val="002546E8"/>
    <w:rsid w:val="002547A7"/>
    <w:rsid w:val="002601B9"/>
    <w:rsid w:val="00260BFA"/>
    <w:rsid w:val="00260F8B"/>
    <w:rsid w:val="00261ABA"/>
    <w:rsid w:val="002629D3"/>
    <w:rsid w:val="00262B6A"/>
    <w:rsid w:val="0026440F"/>
    <w:rsid w:val="00264559"/>
    <w:rsid w:val="002668EC"/>
    <w:rsid w:val="00266AD1"/>
    <w:rsid w:val="0026728B"/>
    <w:rsid w:val="00270B5B"/>
    <w:rsid w:val="00272DE6"/>
    <w:rsid w:val="00273157"/>
    <w:rsid w:val="002742A1"/>
    <w:rsid w:val="002745DA"/>
    <w:rsid w:val="00275599"/>
    <w:rsid w:val="00276190"/>
    <w:rsid w:val="002775DA"/>
    <w:rsid w:val="00277830"/>
    <w:rsid w:val="002779D8"/>
    <w:rsid w:val="002821D4"/>
    <w:rsid w:val="00282642"/>
    <w:rsid w:val="0028281D"/>
    <w:rsid w:val="00283496"/>
    <w:rsid w:val="002845C6"/>
    <w:rsid w:val="0028551C"/>
    <w:rsid w:val="0028615F"/>
    <w:rsid w:val="00290C29"/>
    <w:rsid w:val="00291330"/>
    <w:rsid w:val="0029194F"/>
    <w:rsid w:val="00291DAD"/>
    <w:rsid w:val="00291E72"/>
    <w:rsid w:val="0029403B"/>
    <w:rsid w:val="0029406B"/>
    <w:rsid w:val="00295AF7"/>
    <w:rsid w:val="00297DDD"/>
    <w:rsid w:val="002A0184"/>
    <w:rsid w:val="002A1432"/>
    <w:rsid w:val="002A150E"/>
    <w:rsid w:val="002A403D"/>
    <w:rsid w:val="002A46CA"/>
    <w:rsid w:val="002A4811"/>
    <w:rsid w:val="002A49D0"/>
    <w:rsid w:val="002A725C"/>
    <w:rsid w:val="002A7525"/>
    <w:rsid w:val="002B0032"/>
    <w:rsid w:val="002B05FC"/>
    <w:rsid w:val="002B0785"/>
    <w:rsid w:val="002B20CA"/>
    <w:rsid w:val="002B2135"/>
    <w:rsid w:val="002B2650"/>
    <w:rsid w:val="002B29C1"/>
    <w:rsid w:val="002B3DFA"/>
    <w:rsid w:val="002B40D0"/>
    <w:rsid w:val="002B5A80"/>
    <w:rsid w:val="002B5D9A"/>
    <w:rsid w:val="002B6C72"/>
    <w:rsid w:val="002C13CF"/>
    <w:rsid w:val="002C1C61"/>
    <w:rsid w:val="002C3857"/>
    <w:rsid w:val="002C3F14"/>
    <w:rsid w:val="002C58CF"/>
    <w:rsid w:val="002C5D12"/>
    <w:rsid w:val="002C605B"/>
    <w:rsid w:val="002C6AD5"/>
    <w:rsid w:val="002C6CFF"/>
    <w:rsid w:val="002C6F44"/>
    <w:rsid w:val="002D0DEF"/>
    <w:rsid w:val="002D0EC7"/>
    <w:rsid w:val="002D2859"/>
    <w:rsid w:val="002D33E0"/>
    <w:rsid w:val="002D3C85"/>
    <w:rsid w:val="002D3F36"/>
    <w:rsid w:val="002D48B0"/>
    <w:rsid w:val="002D5934"/>
    <w:rsid w:val="002D599A"/>
    <w:rsid w:val="002D5F26"/>
    <w:rsid w:val="002E1C0E"/>
    <w:rsid w:val="002E29E7"/>
    <w:rsid w:val="002E4977"/>
    <w:rsid w:val="002E64EC"/>
    <w:rsid w:val="002E6680"/>
    <w:rsid w:val="002E70B4"/>
    <w:rsid w:val="002F0AE9"/>
    <w:rsid w:val="002F1089"/>
    <w:rsid w:val="002F1C53"/>
    <w:rsid w:val="002F25D5"/>
    <w:rsid w:val="002F2C30"/>
    <w:rsid w:val="002F35E2"/>
    <w:rsid w:val="002F3C9C"/>
    <w:rsid w:val="002F3DAD"/>
    <w:rsid w:val="002F4AA1"/>
    <w:rsid w:val="002F55B9"/>
    <w:rsid w:val="002F5C8A"/>
    <w:rsid w:val="002F6C5D"/>
    <w:rsid w:val="002F6DDC"/>
    <w:rsid w:val="00300540"/>
    <w:rsid w:val="00301BEE"/>
    <w:rsid w:val="00302E22"/>
    <w:rsid w:val="00303ECC"/>
    <w:rsid w:val="0030406D"/>
    <w:rsid w:val="003040AC"/>
    <w:rsid w:val="0030426B"/>
    <w:rsid w:val="00304986"/>
    <w:rsid w:val="00304CAD"/>
    <w:rsid w:val="00304FB3"/>
    <w:rsid w:val="003053E2"/>
    <w:rsid w:val="00305C7A"/>
    <w:rsid w:val="00312F4F"/>
    <w:rsid w:val="0031467A"/>
    <w:rsid w:val="003155DF"/>
    <w:rsid w:val="00315984"/>
    <w:rsid w:val="003171D8"/>
    <w:rsid w:val="0032178A"/>
    <w:rsid w:val="003225AA"/>
    <w:rsid w:val="003233AF"/>
    <w:rsid w:val="00323DD9"/>
    <w:rsid w:val="00323E40"/>
    <w:rsid w:val="00323F11"/>
    <w:rsid w:val="00325C93"/>
    <w:rsid w:val="00326D94"/>
    <w:rsid w:val="00327F2F"/>
    <w:rsid w:val="003312B4"/>
    <w:rsid w:val="00332010"/>
    <w:rsid w:val="00332500"/>
    <w:rsid w:val="003345AC"/>
    <w:rsid w:val="0033566F"/>
    <w:rsid w:val="00335E2F"/>
    <w:rsid w:val="00340B9C"/>
    <w:rsid w:val="00341808"/>
    <w:rsid w:val="0034346D"/>
    <w:rsid w:val="0034510E"/>
    <w:rsid w:val="0034660F"/>
    <w:rsid w:val="00346B0B"/>
    <w:rsid w:val="003472C1"/>
    <w:rsid w:val="00350BD6"/>
    <w:rsid w:val="00351794"/>
    <w:rsid w:val="003519D9"/>
    <w:rsid w:val="0035355E"/>
    <w:rsid w:val="003536A6"/>
    <w:rsid w:val="003536D5"/>
    <w:rsid w:val="003541D1"/>
    <w:rsid w:val="003542B0"/>
    <w:rsid w:val="0035501A"/>
    <w:rsid w:val="00356F91"/>
    <w:rsid w:val="00357968"/>
    <w:rsid w:val="003579AB"/>
    <w:rsid w:val="0036029D"/>
    <w:rsid w:val="00360890"/>
    <w:rsid w:val="003615C2"/>
    <w:rsid w:val="0036166B"/>
    <w:rsid w:val="0036313C"/>
    <w:rsid w:val="00363DC2"/>
    <w:rsid w:val="00365A5C"/>
    <w:rsid w:val="003669C2"/>
    <w:rsid w:val="00367A86"/>
    <w:rsid w:val="003702B6"/>
    <w:rsid w:val="00370604"/>
    <w:rsid w:val="00371CAB"/>
    <w:rsid w:val="003720ED"/>
    <w:rsid w:val="00372200"/>
    <w:rsid w:val="00374E68"/>
    <w:rsid w:val="00375726"/>
    <w:rsid w:val="00376CD4"/>
    <w:rsid w:val="00377438"/>
    <w:rsid w:val="00380ABA"/>
    <w:rsid w:val="0038256D"/>
    <w:rsid w:val="00384797"/>
    <w:rsid w:val="00384D18"/>
    <w:rsid w:val="00386E5C"/>
    <w:rsid w:val="00387602"/>
    <w:rsid w:val="00391A0D"/>
    <w:rsid w:val="00392742"/>
    <w:rsid w:val="00392AD8"/>
    <w:rsid w:val="00394632"/>
    <w:rsid w:val="00394AC9"/>
    <w:rsid w:val="00395167"/>
    <w:rsid w:val="00396C3C"/>
    <w:rsid w:val="00397A86"/>
    <w:rsid w:val="00397E92"/>
    <w:rsid w:val="003A097D"/>
    <w:rsid w:val="003A0D9D"/>
    <w:rsid w:val="003A33E3"/>
    <w:rsid w:val="003A4FD6"/>
    <w:rsid w:val="003A5810"/>
    <w:rsid w:val="003A58AA"/>
    <w:rsid w:val="003A71D9"/>
    <w:rsid w:val="003A743D"/>
    <w:rsid w:val="003B2028"/>
    <w:rsid w:val="003B21AF"/>
    <w:rsid w:val="003B27A7"/>
    <w:rsid w:val="003B35F5"/>
    <w:rsid w:val="003B440E"/>
    <w:rsid w:val="003B5988"/>
    <w:rsid w:val="003B5B47"/>
    <w:rsid w:val="003B6F4B"/>
    <w:rsid w:val="003B7F45"/>
    <w:rsid w:val="003C0045"/>
    <w:rsid w:val="003C0241"/>
    <w:rsid w:val="003C1A61"/>
    <w:rsid w:val="003C1A7F"/>
    <w:rsid w:val="003C3911"/>
    <w:rsid w:val="003C4448"/>
    <w:rsid w:val="003C4D44"/>
    <w:rsid w:val="003C71C8"/>
    <w:rsid w:val="003D0782"/>
    <w:rsid w:val="003D19D5"/>
    <w:rsid w:val="003D2D26"/>
    <w:rsid w:val="003D55EC"/>
    <w:rsid w:val="003D6FF6"/>
    <w:rsid w:val="003D7101"/>
    <w:rsid w:val="003D7367"/>
    <w:rsid w:val="003D7B7E"/>
    <w:rsid w:val="003D7E84"/>
    <w:rsid w:val="003E093F"/>
    <w:rsid w:val="003E1C44"/>
    <w:rsid w:val="003E552E"/>
    <w:rsid w:val="003E5FE9"/>
    <w:rsid w:val="003E65C9"/>
    <w:rsid w:val="003E66E2"/>
    <w:rsid w:val="003E6BA0"/>
    <w:rsid w:val="003E7513"/>
    <w:rsid w:val="003E7680"/>
    <w:rsid w:val="003F02B2"/>
    <w:rsid w:val="003F1D51"/>
    <w:rsid w:val="003F2C9C"/>
    <w:rsid w:val="003F45C7"/>
    <w:rsid w:val="003F4890"/>
    <w:rsid w:val="003F5584"/>
    <w:rsid w:val="003F64ED"/>
    <w:rsid w:val="003F6E3D"/>
    <w:rsid w:val="003F7881"/>
    <w:rsid w:val="003F7B8E"/>
    <w:rsid w:val="0040092E"/>
    <w:rsid w:val="0040195D"/>
    <w:rsid w:val="00401EDF"/>
    <w:rsid w:val="00402AEB"/>
    <w:rsid w:val="00403525"/>
    <w:rsid w:val="004039F0"/>
    <w:rsid w:val="00403D3D"/>
    <w:rsid w:val="0040415B"/>
    <w:rsid w:val="00404336"/>
    <w:rsid w:val="00404EB6"/>
    <w:rsid w:val="00405FFA"/>
    <w:rsid w:val="00406460"/>
    <w:rsid w:val="00406A38"/>
    <w:rsid w:val="00407067"/>
    <w:rsid w:val="00407AD9"/>
    <w:rsid w:val="004106D1"/>
    <w:rsid w:val="00411786"/>
    <w:rsid w:val="00411F3B"/>
    <w:rsid w:val="00412639"/>
    <w:rsid w:val="004127CC"/>
    <w:rsid w:val="00413FE9"/>
    <w:rsid w:val="00415285"/>
    <w:rsid w:val="0041689C"/>
    <w:rsid w:val="00422021"/>
    <w:rsid w:val="0042211C"/>
    <w:rsid w:val="0042435E"/>
    <w:rsid w:val="00424362"/>
    <w:rsid w:val="00424AD4"/>
    <w:rsid w:val="004251A9"/>
    <w:rsid w:val="00425F1A"/>
    <w:rsid w:val="00425FA9"/>
    <w:rsid w:val="00427E7B"/>
    <w:rsid w:val="00431AB7"/>
    <w:rsid w:val="0043203F"/>
    <w:rsid w:val="00435509"/>
    <w:rsid w:val="00436025"/>
    <w:rsid w:val="00437493"/>
    <w:rsid w:val="00437540"/>
    <w:rsid w:val="0043756A"/>
    <w:rsid w:val="00437975"/>
    <w:rsid w:val="0044099E"/>
    <w:rsid w:val="0044246E"/>
    <w:rsid w:val="004432C6"/>
    <w:rsid w:val="00443810"/>
    <w:rsid w:val="00443CA4"/>
    <w:rsid w:val="00444DC2"/>
    <w:rsid w:val="00445515"/>
    <w:rsid w:val="00445817"/>
    <w:rsid w:val="00445E18"/>
    <w:rsid w:val="004464FA"/>
    <w:rsid w:val="00447358"/>
    <w:rsid w:val="00451DF3"/>
    <w:rsid w:val="00452170"/>
    <w:rsid w:val="00452DC4"/>
    <w:rsid w:val="0045306C"/>
    <w:rsid w:val="0045425B"/>
    <w:rsid w:val="004543CC"/>
    <w:rsid w:val="0045495E"/>
    <w:rsid w:val="004556DF"/>
    <w:rsid w:val="0045670D"/>
    <w:rsid w:val="004612BD"/>
    <w:rsid w:val="004614BE"/>
    <w:rsid w:val="00461752"/>
    <w:rsid w:val="0046222A"/>
    <w:rsid w:val="004632E6"/>
    <w:rsid w:val="00463530"/>
    <w:rsid w:val="00463E49"/>
    <w:rsid w:val="00463F25"/>
    <w:rsid w:val="00465A6A"/>
    <w:rsid w:val="0047035C"/>
    <w:rsid w:val="00470460"/>
    <w:rsid w:val="0047129B"/>
    <w:rsid w:val="0047285A"/>
    <w:rsid w:val="00472AC0"/>
    <w:rsid w:val="004733BB"/>
    <w:rsid w:val="0047643F"/>
    <w:rsid w:val="00476A6E"/>
    <w:rsid w:val="004777AE"/>
    <w:rsid w:val="004779B5"/>
    <w:rsid w:val="00480AFD"/>
    <w:rsid w:val="004816E0"/>
    <w:rsid w:val="004825C6"/>
    <w:rsid w:val="0048261D"/>
    <w:rsid w:val="004832CE"/>
    <w:rsid w:val="004837AB"/>
    <w:rsid w:val="0048532F"/>
    <w:rsid w:val="004855AC"/>
    <w:rsid w:val="00487725"/>
    <w:rsid w:val="00487AEB"/>
    <w:rsid w:val="00487DBC"/>
    <w:rsid w:val="004922B6"/>
    <w:rsid w:val="00495DED"/>
    <w:rsid w:val="00497CBE"/>
    <w:rsid w:val="004A0538"/>
    <w:rsid w:val="004A085E"/>
    <w:rsid w:val="004A2333"/>
    <w:rsid w:val="004A25A6"/>
    <w:rsid w:val="004A289F"/>
    <w:rsid w:val="004A303C"/>
    <w:rsid w:val="004A3942"/>
    <w:rsid w:val="004A41D5"/>
    <w:rsid w:val="004A455D"/>
    <w:rsid w:val="004A4E6C"/>
    <w:rsid w:val="004A60A4"/>
    <w:rsid w:val="004A60DF"/>
    <w:rsid w:val="004A68D0"/>
    <w:rsid w:val="004B0DBD"/>
    <w:rsid w:val="004B232E"/>
    <w:rsid w:val="004B2405"/>
    <w:rsid w:val="004B3557"/>
    <w:rsid w:val="004B4C51"/>
    <w:rsid w:val="004B5F4E"/>
    <w:rsid w:val="004B5FCF"/>
    <w:rsid w:val="004B6222"/>
    <w:rsid w:val="004B6226"/>
    <w:rsid w:val="004C0B9C"/>
    <w:rsid w:val="004C242C"/>
    <w:rsid w:val="004C2881"/>
    <w:rsid w:val="004C3833"/>
    <w:rsid w:val="004C3F69"/>
    <w:rsid w:val="004C4A5A"/>
    <w:rsid w:val="004C5595"/>
    <w:rsid w:val="004C6D39"/>
    <w:rsid w:val="004D014F"/>
    <w:rsid w:val="004D07DB"/>
    <w:rsid w:val="004D5B1B"/>
    <w:rsid w:val="004D6813"/>
    <w:rsid w:val="004D7897"/>
    <w:rsid w:val="004E1B75"/>
    <w:rsid w:val="004E3019"/>
    <w:rsid w:val="004E37E9"/>
    <w:rsid w:val="004F3397"/>
    <w:rsid w:val="004F3D53"/>
    <w:rsid w:val="004F3F9F"/>
    <w:rsid w:val="004F5C29"/>
    <w:rsid w:val="004F6013"/>
    <w:rsid w:val="004F68A9"/>
    <w:rsid w:val="00500D8F"/>
    <w:rsid w:val="00502C2B"/>
    <w:rsid w:val="00503B34"/>
    <w:rsid w:val="00504667"/>
    <w:rsid w:val="00505E68"/>
    <w:rsid w:val="00506220"/>
    <w:rsid w:val="00507B6B"/>
    <w:rsid w:val="00511C3F"/>
    <w:rsid w:val="00511CEB"/>
    <w:rsid w:val="0051270C"/>
    <w:rsid w:val="00515706"/>
    <w:rsid w:val="00517513"/>
    <w:rsid w:val="00517FBB"/>
    <w:rsid w:val="0052055D"/>
    <w:rsid w:val="005212B1"/>
    <w:rsid w:val="00521331"/>
    <w:rsid w:val="005234E4"/>
    <w:rsid w:val="00523695"/>
    <w:rsid w:val="00524751"/>
    <w:rsid w:val="00525855"/>
    <w:rsid w:val="00527A13"/>
    <w:rsid w:val="00530D0A"/>
    <w:rsid w:val="00531C98"/>
    <w:rsid w:val="00533845"/>
    <w:rsid w:val="00533D58"/>
    <w:rsid w:val="00534EF5"/>
    <w:rsid w:val="00536F46"/>
    <w:rsid w:val="0054229B"/>
    <w:rsid w:val="0054254F"/>
    <w:rsid w:val="0054263A"/>
    <w:rsid w:val="00543098"/>
    <w:rsid w:val="0054383D"/>
    <w:rsid w:val="00543F3A"/>
    <w:rsid w:val="005456A4"/>
    <w:rsid w:val="00545862"/>
    <w:rsid w:val="005473E7"/>
    <w:rsid w:val="00550437"/>
    <w:rsid w:val="0055107F"/>
    <w:rsid w:val="00553296"/>
    <w:rsid w:val="00553314"/>
    <w:rsid w:val="005540B9"/>
    <w:rsid w:val="005548BD"/>
    <w:rsid w:val="00554E84"/>
    <w:rsid w:val="005557A1"/>
    <w:rsid w:val="00556A19"/>
    <w:rsid w:val="00556FA6"/>
    <w:rsid w:val="00557784"/>
    <w:rsid w:val="00560744"/>
    <w:rsid w:val="00560C9E"/>
    <w:rsid w:val="0056168A"/>
    <w:rsid w:val="00562116"/>
    <w:rsid w:val="0056303D"/>
    <w:rsid w:val="00564B00"/>
    <w:rsid w:val="00565F33"/>
    <w:rsid w:val="0056678A"/>
    <w:rsid w:val="00567885"/>
    <w:rsid w:val="00570845"/>
    <w:rsid w:val="00570F82"/>
    <w:rsid w:val="005715E6"/>
    <w:rsid w:val="00572022"/>
    <w:rsid w:val="0057205D"/>
    <w:rsid w:val="005727D4"/>
    <w:rsid w:val="00572AEC"/>
    <w:rsid w:val="00572B38"/>
    <w:rsid w:val="00574506"/>
    <w:rsid w:val="005746A0"/>
    <w:rsid w:val="005749A7"/>
    <w:rsid w:val="00574C62"/>
    <w:rsid w:val="00574FA8"/>
    <w:rsid w:val="0057502B"/>
    <w:rsid w:val="005759D8"/>
    <w:rsid w:val="00580558"/>
    <w:rsid w:val="00581162"/>
    <w:rsid w:val="00581270"/>
    <w:rsid w:val="00582808"/>
    <w:rsid w:val="0058437C"/>
    <w:rsid w:val="00584D91"/>
    <w:rsid w:val="00585F96"/>
    <w:rsid w:val="00586219"/>
    <w:rsid w:val="00586566"/>
    <w:rsid w:val="0059037D"/>
    <w:rsid w:val="00592472"/>
    <w:rsid w:val="00594D74"/>
    <w:rsid w:val="0059541B"/>
    <w:rsid w:val="00595890"/>
    <w:rsid w:val="00595DFB"/>
    <w:rsid w:val="005968B7"/>
    <w:rsid w:val="005A0203"/>
    <w:rsid w:val="005A0358"/>
    <w:rsid w:val="005A5899"/>
    <w:rsid w:val="005A5968"/>
    <w:rsid w:val="005A63D3"/>
    <w:rsid w:val="005A64CD"/>
    <w:rsid w:val="005A6E26"/>
    <w:rsid w:val="005A7100"/>
    <w:rsid w:val="005B073D"/>
    <w:rsid w:val="005B143B"/>
    <w:rsid w:val="005B207A"/>
    <w:rsid w:val="005B2CE0"/>
    <w:rsid w:val="005B4AA4"/>
    <w:rsid w:val="005B6ADF"/>
    <w:rsid w:val="005C0F88"/>
    <w:rsid w:val="005C2F78"/>
    <w:rsid w:val="005C4E2D"/>
    <w:rsid w:val="005C5317"/>
    <w:rsid w:val="005C5E6F"/>
    <w:rsid w:val="005C68D5"/>
    <w:rsid w:val="005D106F"/>
    <w:rsid w:val="005D1C88"/>
    <w:rsid w:val="005D2CAC"/>
    <w:rsid w:val="005D3DEE"/>
    <w:rsid w:val="005D4D8A"/>
    <w:rsid w:val="005D7578"/>
    <w:rsid w:val="005E0FE9"/>
    <w:rsid w:val="005E1132"/>
    <w:rsid w:val="005E173B"/>
    <w:rsid w:val="005E2FA8"/>
    <w:rsid w:val="005E310F"/>
    <w:rsid w:val="005E3AA4"/>
    <w:rsid w:val="005E627E"/>
    <w:rsid w:val="005E6A79"/>
    <w:rsid w:val="005F5711"/>
    <w:rsid w:val="005F6410"/>
    <w:rsid w:val="005F75DB"/>
    <w:rsid w:val="005F7C2C"/>
    <w:rsid w:val="006007D6"/>
    <w:rsid w:val="006017BB"/>
    <w:rsid w:val="00603A61"/>
    <w:rsid w:val="00603B17"/>
    <w:rsid w:val="00605C51"/>
    <w:rsid w:val="00611B0E"/>
    <w:rsid w:val="00612FE3"/>
    <w:rsid w:val="00613EF1"/>
    <w:rsid w:val="00614DEA"/>
    <w:rsid w:val="00617EAE"/>
    <w:rsid w:val="006200EC"/>
    <w:rsid w:val="00621CE5"/>
    <w:rsid w:val="00622F63"/>
    <w:rsid w:val="00623154"/>
    <w:rsid w:val="00623AE2"/>
    <w:rsid w:val="00624CE3"/>
    <w:rsid w:val="00626EFE"/>
    <w:rsid w:val="006303F8"/>
    <w:rsid w:val="00630A55"/>
    <w:rsid w:val="00631007"/>
    <w:rsid w:val="0063122B"/>
    <w:rsid w:val="00631712"/>
    <w:rsid w:val="00631729"/>
    <w:rsid w:val="00633A90"/>
    <w:rsid w:val="0063422A"/>
    <w:rsid w:val="00634A76"/>
    <w:rsid w:val="00635F13"/>
    <w:rsid w:val="006364A4"/>
    <w:rsid w:val="00636F5B"/>
    <w:rsid w:val="0063757E"/>
    <w:rsid w:val="00640263"/>
    <w:rsid w:val="00641585"/>
    <w:rsid w:val="0064167F"/>
    <w:rsid w:val="006419FF"/>
    <w:rsid w:val="0064310B"/>
    <w:rsid w:val="006436FB"/>
    <w:rsid w:val="00643D50"/>
    <w:rsid w:val="00643EA4"/>
    <w:rsid w:val="006446A6"/>
    <w:rsid w:val="006450C2"/>
    <w:rsid w:val="00645213"/>
    <w:rsid w:val="00645C03"/>
    <w:rsid w:val="00646424"/>
    <w:rsid w:val="00650C8D"/>
    <w:rsid w:val="006518B7"/>
    <w:rsid w:val="00652215"/>
    <w:rsid w:val="006526A1"/>
    <w:rsid w:val="00653354"/>
    <w:rsid w:val="00653419"/>
    <w:rsid w:val="00653845"/>
    <w:rsid w:val="00653E91"/>
    <w:rsid w:val="006559AC"/>
    <w:rsid w:val="00656B85"/>
    <w:rsid w:val="00656CBC"/>
    <w:rsid w:val="00656EA7"/>
    <w:rsid w:val="0065733C"/>
    <w:rsid w:val="00657610"/>
    <w:rsid w:val="006605C7"/>
    <w:rsid w:val="0066117F"/>
    <w:rsid w:val="00662DF2"/>
    <w:rsid w:val="00664844"/>
    <w:rsid w:val="00664DF2"/>
    <w:rsid w:val="00665CEB"/>
    <w:rsid w:val="0066670C"/>
    <w:rsid w:val="00666E06"/>
    <w:rsid w:val="00670776"/>
    <w:rsid w:val="00670D7F"/>
    <w:rsid w:val="00672058"/>
    <w:rsid w:val="006721D7"/>
    <w:rsid w:val="006726FB"/>
    <w:rsid w:val="00673220"/>
    <w:rsid w:val="00673F52"/>
    <w:rsid w:val="00674E83"/>
    <w:rsid w:val="00675F2D"/>
    <w:rsid w:val="006763C5"/>
    <w:rsid w:val="0067660E"/>
    <w:rsid w:val="006771FC"/>
    <w:rsid w:val="0067773F"/>
    <w:rsid w:val="00677D9A"/>
    <w:rsid w:val="00681332"/>
    <w:rsid w:val="00682CDC"/>
    <w:rsid w:val="00683AEF"/>
    <w:rsid w:val="00686007"/>
    <w:rsid w:val="0068626A"/>
    <w:rsid w:val="00686D7C"/>
    <w:rsid w:val="0068746E"/>
    <w:rsid w:val="00687949"/>
    <w:rsid w:val="00687FC1"/>
    <w:rsid w:val="00692632"/>
    <w:rsid w:val="00693223"/>
    <w:rsid w:val="00694C8F"/>
    <w:rsid w:val="00695DB2"/>
    <w:rsid w:val="0069680F"/>
    <w:rsid w:val="00696EFF"/>
    <w:rsid w:val="006A03FC"/>
    <w:rsid w:val="006A1094"/>
    <w:rsid w:val="006A35B8"/>
    <w:rsid w:val="006A5026"/>
    <w:rsid w:val="006A5088"/>
    <w:rsid w:val="006A53EF"/>
    <w:rsid w:val="006A5E10"/>
    <w:rsid w:val="006A60F3"/>
    <w:rsid w:val="006A61D7"/>
    <w:rsid w:val="006A64E5"/>
    <w:rsid w:val="006A7E75"/>
    <w:rsid w:val="006B1174"/>
    <w:rsid w:val="006B1587"/>
    <w:rsid w:val="006B1E1F"/>
    <w:rsid w:val="006B2120"/>
    <w:rsid w:val="006B2CDB"/>
    <w:rsid w:val="006B2FB5"/>
    <w:rsid w:val="006B3FEE"/>
    <w:rsid w:val="006B5903"/>
    <w:rsid w:val="006B5C4F"/>
    <w:rsid w:val="006B669A"/>
    <w:rsid w:val="006B7013"/>
    <w:rsid w:val="006C0069"/>
    <w:rsid w:val="006C19B4"/>
    <w:rsid w:val="006C21D2"/>
    <w:rsid w:val="006C2585"/>
    <w:rsid w:val="006C3DDA"/>
    <w:rsid w:val="006C45DA"/>
    <w:rsid w:val="006C7BBD"/>
    <w:rsid w:val="006C7DDE"/>
    <w:rsid w:val="006D0547"/>
    <w:rsid w:val="006D1A86"/>
    <w:rsid w:val="006D29DE"/>
    <w:rsid w:val="006D2BF3"/>
    <w:rsid w:val="006D3A6C"/>
    <w:rsid w:val="006D3EC5"/>
    <w:rsid w:val="006D45E1"/>
    <w:rsid w:val="006D4755"/>
    <w:rsid w:val="006D7A15"/>
    <w:rsid w:val="006E0234"/>
    <w:rsid w:val="006E0628"/>
    <w:rsid w:val="006E1B24"/>
    <w:rsid w:val="006E20EE"/>
    <w:rsid w:val="006E6892"/>
    <w:rsid w:val="006E6F24"/>
    <w:rsid w:val="006E719B"/>
    <w:rsid w:val="006E7387"/>
    <w:rsid w:val="006F13BE"/>
    <w:rsid w:val="006F291D"/>
    <w:rsid w:val="006F45D6"/>
    <w:rsid w:val="006F507E"/>
    <w:rsid w:val="006F535A"/>
    <w:rsid w:val="006F55BB"/>
    <w:rsid w:val="00700CA2"/>
    <w:rsid w:val="0070230F"/>
    <w:rsid w:val="007044DA"/>
    <w:rsid w:val="00704D5E"/>
    <w:rsid w:val="00705713"/>
    <w:rsid w:val="00707BDE"/>
    <w:rsid w:val="00707DCB"/>
    <w:rsid w:val="00710358"/>
    <w:rsid w:val="00710816"/>
    <w:rsid w:val="00711521"/>
    <w:rsid w:val="00711E26"/>
    <w:rsid w:val="00712DA1"/>
    <w:rsid w:val="007137F3"/>
    <w:rsid w:val="00713DE8"/>
    <w:rsid w:val="00713FE4"/>
    <w:rsid w:val="00715B84"/>
    <w:rsid w:val="00715FAC"/>
    <w:rsid w:val="00717D11"/>
    <w:rsid w:val="00722800"/>
    <w:rsid w:val="00723AD0"/>
    <w:rsid w:val="0072560D"/>
    <w:rsid w:val="00727306"/>
    <w:rsid w:val="00727B39"/>
    <w:rsid w:val="00730693"/>
    <w:rsid w:val="007319AA"/>
    <w:rsid w:val="00733524"/>
    <w:rsid w:val="00733E55"/>
    <w:rsid w:val="00734F11"/>
    <w:rsid w:val="00735911"/>
    <w:rsid w:val="00735F67"/>
    <w:rsid w:val="007364C7"/>
    <w:rsid w:val="00740454"/>
    <w:rsid w:val="00740F76"/>
    <w:rsid w:val="00743D5B"/>
    <w:rsid w:val="00744650"/>
    <w:rsid w:val="0075020C"/>
    <w:rsid w:val="00752565"/>
    <w:rsid w:val="00752662"/>
    <w:rsid w:val="0075389C"/>
    <w:rsid w:val="007545DD"/>
    <w:rsid w:val="007548A8"/>
    <w:rsid w:val="007560F0"/>
    <w:rsid w:val="0075610E"/>
    <w:rsid w:val="007565E0"/>
    <w:rsid w:val="00756B2D"/>
    <w:rsid w:val="00756F4D"/>
    <w:rsid w:val="00757C4D"/>
    <w:rsid w:val="00760F9F"/>
    <w:rsid w:val="00761BCE"/>
    <w:rsid w:val="00763141"/>
    <w:rsid w:val="007652CA"/>
    <w:rsid w:val="007656DE"/>
    <w:rsid w:val="007667EC"/>
    <w:rsid w:val="00770756"/>
    <w:rsid w:val="00771460"/>
    <w:rsid w:val="00771DF1"/>
    <w:rsid w:val="007732B0"/>
    <w:rsid w:val="00775DA1"/>
    <w:rsid w:val="00776EED"/>
    <w:rsid w:val="007808DA"/>
    <w:rsid w:val="007812D1"/>
    <w:rsid w:val="007812E1"/>
    <w:rsid w:val="00781671"/>
    <w:rsid w:val="00782B61"/>
    <w:rsid w:val="0078572B"/>
    <w:rsid w:val="00785DCD"/>
    <w:rsid w:val="007875BB"/>
    <w:rsid w:val="00787D01"/>
    <w:rsid w:val="0079058D"/>
    <w:rsid w:val="00790A31"/>
    <w:rsid w:val="0079215A"/>
    <w:rsid w:val="00792C43"/>
    <w:rsid w:val="007952DD"/>
    <w:rsid w:val="00796B68"/>
    <w:rsid w:val="00797404"/>
    <w:rsid w:val="00797791"/>
    <w:rsid w:val="007A0784"/>
    <w:rsid w:val="007A122F"/>
    <w:rsid w:val="007A1919"/>
    <w:rsid w:val="007A441C"/>
    <w:rsid w:val="007A5FB2"/>
    <w:rsid w:val="007A6598"/>
    <w:rsid w:val="007A7C8B"/>
    <w:rsid w:val="007B2107"/>
    <w:rsid w:val="007B2A5C"/>
    <w:rsid w:val="007B2C3C"/>
    <w:rsid w:val="007B4601"/>
    <w:rsid w:val="007B5209"/>
    <w:rsid w:val="007B5C03"/>
    <w:rsid w:val="007B5F28"/>
    <w:rsid w:val="007C0858"/>
    <w:rsid w:val="007C0F62"/>
    <w:rsid w:val="007C2CCB"/>
    <w:rsid w:val="007C4095"/>
    <w:rsid w:val="007C4099"/>
    <w:rsid w:val="007C4A52"/>
    <w:rsid w:val="007C57CD"/>
    <w:rsid w:val="007C782F"/>
    <w:rsid w:val="007D021B"/>
    <w:rsid w:val="007D132E"/>
    <w:rsid w:val="007D1DEB"/>
    <w:rsid w:val="007D28CF"/>
    <w:rsid w:val="007D3BCC"/>
    <w:rsid w:val="007D4B95"/>
    <w:rsid w:val="007D4C79"/>
    <w:rsid w:val="007D5722"/>
    <w:rsid w:val="007D703B"/>
    <w:rsid w:val="007D7A53"/>
    <w:rsid w:val="007D7B79"/>
    <w:rsid w:val="007E0B71"/>
    <w:rsid w:val="007E21EC"/>
    <w:rsid w:val="007E263B"/>
    <w:rsid w:val="007E2AE3"/>
    <w:rsid w:val="007E2BDE"/>
    <w:rsid w:val="007E2E29"/>
    <w:rsid w:val="007E5047"/>
    <w:rsid w:val="007E63FA"/>
    <w:rsid w:val="007F020A"/>
    <w:rsid w:val="007F1156"/>
    <w:rsid w:val="007F2020"/>
    <w:rsid w:val="007F2A84"/>
    <w:rsid w:val="007F2B5D"/>
    <w:rsid w:val="007F3581"/>
    <w:rsid w:val="007F6644"/>
    <w:rsid w:val="007F72A8"/>
    <w:rsid w:val="007F7C4B"/>
    <w:rsid w:val="0080048D"/>
    <w:rsid w:val="0080180A"/>
    <w:rsid w:val="00801DF0"/>
    <w:rsid w:val="00804872"/>
    <w:rsid w:val="00804E4E"/>
    <w:rsid w:val="00805AF2"/>
    <w:rsid w:val="008061A5"/>
    <w:rsid w:val="0081042F"/>
    <w:rsid w:val="0081067C"/>
    <w:rsid w:val="00810E47"/>
    <w:rsid w:val="008134E4"/>
    <w:rsid w:val="0081374A"/>
    <w:rsid w:val="00813D91"/>
    <w:rsid w:val="008164E0"/>
    <w:rsid w:val="00817F1B"/>
    <w:rsid w:val="00820CDF"/>
    <w:rsid w:val="0082170C"/>
    <w:rsid w:val="00821791"/>
    <w:rsid w:val="00822D82"/>
    <w:rsid w:val="0082323A"/>
    <w:rsid w:val="00823656"/>
    <w:rsid w:val="00823BFB"/>
    <w:rsid w:val="00825B27"/>
    <w:rsid w:val="00825EF0"/>
    <w:rsid w:val="00826192"/>
    <w:rsid w:val="00826CA8"/>
    <w:rsid w:val="00830072"/>
    <w:rsid w:val="00831928"/>
    <w:rsid w:val="00832F8E"/>
    <w:rsid w:val="00833D31"/>
    <w:rsid w:val="00834C16"/>
    <w:rsid w:val="008361C3"/>
    <w:rsid w:val="00837E60"/>
    <w:rsid w:val="00841D0C"/>
    <w:rsid w:val="00841E0F"/>
    <w:rsid w:val="00842411"/>
    <w:rsid w:val="00842F1F"/>
    <w:rsid w:val="00843CC2"/>
    <w:rsid w:val="00844751"/>
    <w:rsid w:val="008447F2"/>
    <w:rsid w:val="0084592A"/>
    <w:rsid w:val="00847124"/>
    <w:rsid w:val="00850D9A"/>
    <w:rsid w:val="00851089"/>
    <w:rsid w:val="008530B9"/>
    <w:rsid w:val="00854B56"/>
    <w:rsid w:val="00854D50"/>
    <w:rsid w:val="00855289"/>
    <w:rsid w:val="00856FDB"/>
    <w:rsid w:val="00860888"/>
    <w:rsid w:val="0086170A"/>
    <w:rsid w:val="00861B14"/>
    <w:rsid w:val="00862C86"/>
    <w:rsid w:val="00864C89"/>
    <w:rsid w:val="008651D5"/>
    <w:rsid w:val="00867330"/>
    <w:rsid w:val="008677C0"/>
    <w:rsid w:val="0087292C"/>
    <w:rsid w:val="0087453A"/>
    <w:rsid w:val="00874B9F"/>
    <w:rsid w:val="00874EED"/>
    <w:rsid w:val="0087514B"/>
    <w:rsid w:val="008751D7"/>
    <w:rsid w:val="00875A1F"/>
    <w:rsid w:val="00875DE7"/>
    <w:rsid w:val="00877171"/>
    <w:rsid w:val="0088309F"/>
    <w:rsid w:val="008832C4"/>
    <w:rsid w:val="00883458"/>
    <w:rsid w:val="00883CA7"/>
    <w:rsid w:val="00884187"/>
    <w:rsid w:val="00885691"/>
    <w:rsid w:val="0088649A"/>
    <w:rsid w:val="00890451"/>
    <w:rsid w:val="00890A41"/>
    <w:rsid w:val="00895AAA"/>
    <w:rsid w:val="00896E66"/>
    <w:rsid w:val="008974D5"/>
    <w:rsid w:val="00897FD3"/>
    <w:rsid w:val="008A0D95"/>
    <w:rsid w:val="008A1044"/>
    <w:rsid w:val="008A2394"/>
    <w:rsid w:val="008A3670"/>
    <w:rsid w:val="008A3D92"/>
    <w:rsid w:val="008A4E49"/>
    <w:rsid w:val="008A4E9F"/>
    <w:rsid w:val="008A525C"/>
    <w:rsid w:val="008A5924"/>
    <w:rsid w:val="008A652A"/>
    <w:rsid w:val="008A6795"/>
    <w:rsid w:val="008A6BF2"/>
    <w:rsid w:val="008A7545"/>
    <w:rsid w:val="008B1DA8"/>
    <w:rsid w:val="008B1DDD"/>
    <w:rsid w:val="008B2B87"/>
    <w:rsid w:val="008B2F47"/>
    <w:rsid w:val="008B3998"/>
    <w:rsid w:val="008B44C5"/>
    <w:rsid w:val="008B477D"/>
    <w:rsid w:val="008B5597"/>
    <w:rsid w:val="008B7445"/>
    <w:rsid w:val="008B75DB"/>
    <w:rsid w:val="008C0C96"/>
    <w:rsid w:val="008C10FA"/>
    <w:rsid w:val="008C1926"/>
    <w:rsid w:val="008C2C5E"/>
    <w:rsid w:val="008C3050"/>
    <w:rsid w:val="008C432F"/>
    <w:rsid w:val="008C4AF9"/>
    <w:rsid w:val="008C5493"/>
    <w:rsid w:val="008C5A12"/>
    <w:rsid w:val="008C5DA9"/>
    <w:rsid w:val="008C79D1"/>
    <w:rsid w:val="008D228A"/>
    <w:rsid w:val="008D35AB"/>
    <w:rsid w:val="008D5674"/>
    <w:rsid w:val="008D69E8"/>
    <w:rsid w:val="008E007A"/>
    <w:rsid w:val="008E2128"/>
    <w:rsid w:val="008E2D79"/>
    <w:rsid w:val="008E3361"/>
    <w:rsid w:val="008E4E6D"/>
    <w:rsid w:val="008E4ED4"/>
    <w:rsid w:val="008E593B"/>
    <w:rsid w:val="008E5A3F"/>
    <w:rsid w:val="008E60A1"/>
    <w:rsid w:val="008E6C07"/>
    <w:rsid w:val="008F1146"/>
    <w:rsid w:val="008F2B3E"/>
    <w:rsid w:val="008F32EF"/>
    <w:rsid w:val="008F3F39"/>
    <w:rsid w:val="008F4E95"/>
    <w:rsid w:val="008F738A"/>
    <w:rsid w:val="008F7EE4"/>
    <w:rsid w:val="009006B1"/>
    <w:rsid w:val="00903AE2"/>
    <w:rsid w:val="00903AF4"/>
    <w:rsid w:val="009045B4"/>
    <w:rsid w:val="009048CA"/>
    <w:rsid w:val="0090571A"/>
    <w:rsid w:val="00906472"/>
    <w:rsid w:val="009072E8"/>
    <w:rsid w:val="00907682"/>
    <w:rsid w:val="00907FDA"/>
    <w:rsid w:val="00910E01"/>
    <w:rsid w:val="00911F86"/>
    <w:rsid w:val="0091213A"/>
    <w:rsid w:val="009123EF"/>
    <w:rsid w:val="009125C8"/>
    <w:rsid w:val="00912883"/>
    <w:rsid w:val="00912CDC"/>
    <w:rsid w:val="00914901"/>
    <w:rsid w:val="00914B80"/>
    <w:rsid w:val="00915966"/>
    <w:rsid w:val="00916CCF"/>
    <w:rsid w:val="00916CEF"/>
    <w:rsid w:val="00921A8D"/>
    <w:rsid w:val="009239C5"/>
    <w:rsid w:val="009257DB"/>
    <w:rsid w:val="0092787E"/>
    <w:rsid w:val="00927B54"/>
    <w:rsid w:val="00934179"/>
    <w:rsid w:val="00934387"/>
    <w:rsid w:val="00934CE1"/>
    <w:rsid w:val="00936138"/>
    <w:rsid w:val="00937B91"/>
    <w:rsid w:val="009402B1"/>
    <w:rsid w:val="00942202"/>
    <w:rsid w:val="0094229E"/>
    <w:rsid w:val="009422B9"/>
    <w:rsid w:val="0094336C"/>
    <w:rsid w:val="00947C31"/>
    <w:rsid w:val="0095015C"/>
    <w:rsid w:val="00951E0D"/>
    <w:rsid w:val="00951F80"/>
    <w:rsid w:val="00952C19"/>
    <w:rsid w:val="00952ECC"/>
    <w:rsid w:val="00952F6D"/>
    <w:rsid w:val="0095449B"/>
    <w:rsid w:val="00954E9D"/>
    <w:rsid w:val="00955292"/>
    <w:rsid w:val="009561E1"/>
    <w:rsid w:val="00956648"/>
    <w:rsid w:val="009566DF"/>
    <w:rsid w:val="00956BE0"/>
    <w:rsid w:val="00963C1F"/>
    <w:rsid w:val="00965DF2"/>
    <w:rsid w:val="009669AC"/>
    <w:rsid w:val="0096765E"/>
    <w:rsid w:val="00971B33"/>
    <w:rsid w:val="00971BEF"/>
    <w:rsid w:val="00971CF8"/>
    <w:rsid w:val="00974F47"/>
    <w:rsid w:val="0097520E"/>
    <w:rsid w:val="0097712B"/>
    <w:rsid w:val="00977BED"/>
    <w:rsid w:val="00977C9D"/>
    <w:rsid w:val="00982293"/>
    <w:rsid w:val="009848F8"/>
    <w:rsid w:val="009853E9"/>
    <w:rsid w:val="0098570E"/>
    <w:rsid w:val="00987B37"/>
    <w:rsid w:val="00991D8E"/>
    <w:rsid w:val="00992136"/>
    <w:rsid w:val="009953E1"/>
    <w:rsid w:val="009A04A8"/>
    <w:rsid w:val="009A1AD8"/>
    <w:rsid w:val="009A1E74"/>
    <w:rsid w:val="009A3B53"/>
    <w:rsid w:val="009A4137"/>
    <w:rsid w:val="009A527D"/>
    <w:rsid w:val="009A5B6B"/>
    <w:rsid w:val="009A690C"/>
    <w:rsid w:val="009A7369"/>
    <w:rsid w:val="009B0A7B"/>
    <w:rsid w:val="009B2734"/>
    <w:rsid w:val="009B2DEA"/>
    <w:rsid w:val="009B3E22"/>
    <w:rsid w:val="009B3EF7"/>
    <w:rsid w:val="009B42AA"/>
    <w:rsid w:val="009B4456"/>
    <w:rsid w:val="009B4D86"/>
    <w:rsid w:val="009B5142"/>
    <w:rsid w:val="009B5305"/>
    <w:rsid w:val="009B5795"/>
    <w:rsid w:val="009B7177"/>
    <w:rsid w:val="009B7188"/>
    <w:rsid w:val="009B78CA"/>
    <w:rsid w:val="009C3139"/>
    <w:rsid w:val="009C449D"/>
    <w:rsid w:val="009C4B63"/>
    <w:rsid w:val="009C4F84"/>
    <w:rsid w:val="009C70D7"/>
    <w:rsid w:val="009C7705"/>
    <w:rsid w:val="009C7DED"/>
    <w:rsid w:val="009C7F06"/>
    <w:rsid w:val="009D02B6"/>
    <w:rsid w:val="009D0F62"/>
    <w:rsid w:val="009D4640"/>
    <w:rsid w:val="009D654A"/>
    <w:rsid w:val="009D6D8F"/>
    <w:rsid w:val="009E025B"/>
    <w:rsid w:val="009E0463"/>
    <w:rsid w:val="009E053A"/>
    <w:rsid w:val="009E1B9F"/>
    <w:rsid w:val="009E21A8"/>
    <w:rsid w:val="009E2F70"/>
    <w:rsid w:val="009E3028"/>
    <w:rsid w:val="009E3A47"/>
    <w:rsid w:val="009E4020"/>
    <w:rsid w:val="009E46FC"/>
    <w:rsid w:val="009E506D"/>
    <w:rsid w:val="009E58C7"/>
    <w:rsid w:val="009E5F11"/>
    <w:rsid w:val="009E7D7D"/>
    <w:rsid w:val="009F1B0A"/>
    <w:rsid w:val="009F1D45"/>
    <w:rsid w:val="009F2063"/>
    <w:rsid w:val="009F20EB"/>
    <w:rsid w:val="009F2230"/>
    <w:rsid w:val="009F297E"/>
    <w:rsid w:val="009F2D95"/>
    <w:rsid w:val="009F3DDB"/>
    <w:rsid w:val="009F411E"/>
    <w:rsid w:val="009F52EB"/>
    <w:rsid w:val="009F5349"/>
    <w:rsid w:val="009F681B"/>
    <w:rsid w:val="009F68D4"/>
    <w:rsid w:val="009F6950"/>
    <w:rsid w:val="009F697B"/>
    <w:rsid w:val="009F6FFC"/>
    <w:rsid w:val="009F7073"/>
    <w:rsid w:val="009F7206"/>
    <w:rsid w:val="00A00C4F"/>
    <w:rsid w:val="00A0103E"/>
    <w:rsid w:val="00A01D86"/>
    <w:rsid w:val="00A03770"/>
    <w:rsid w:val="00A05C48"/>
    <w:rsid w:val="00A05CFE"/>
    <w:rsid w:val="00A06121"/>
    <w:rsid w:val="00A0723C"/>
    <w:rsid w:val="00A0772D"/>
    <w:rsid w:val="00A07B3B"/>
    <w:rsid w:val="00A07D32"/>
    <w:rsid w:val="00A107FA"/>
    <w:rsid w:val="00A11B1F"/>
    <w:rsid w:val="00A11C7F"/>
    <w:rsid w:val="00A11DF0"/>
    <w:rsid w:val="00A12CFF"/>
    <w:rsid w:val="00A1405D"/>
    <w:rsid w:val="00A14F28"/>
    <w:rsid w:val="00A15840"/>
    <w:rsid w:val="00A2076A"/>
    <w:rsid w:val="00A20B68"/>
    <w:rsid w:val="00A237C6"/>
    <w:rsid w:val="00A24190"/>
    <w:rsid w:val="00A25691"/>
    <w:rsid w:val="00A259C5"/>
    <w:rsid w:val="00A31701"/>
    <w:rsid w:val="00A31E05"/>
    <w:rsid w:val="00A3480D"/>
    <w:rsid w:val="00A35A5F"/>
    <w:rsid w:val="00A35D22"/>
    <w:rsid w:val="00A36037"/>
    <w:rsid w:val="00A374FB"/>
    <w:rsid w:val="00A4000E"/>
    <w:rsid w:val="00A40C22"/>
    <w:rsid w:val="00A41BF1"/>
    <w:rsid w:val="00A43F13"/>
    <w:rsid w:val="00A45172"/>
    <w:rsid w:val="00A456AA"/>
    <w:rsid w:val="00A461F4"/>
    <w:rsid w:val="00A463C0"/>
    <w:rsid w:val="00A467DF"/>
    <w:rsid w:val="00A478CF"/>
    <w:rsid w:val="00A47ABD"/>
    <w:rsid w:val="00A47FC5"/>
    <w:rsid w:val="00A52B18"/>
    <w:rsid w:val="00A52F6A"/>
    <w:rsid w:val="00A53705"/>
    <w:rsid w:val="00A53E1A"/>
    <w:rsid w:val="00A56076"/>
    <w:rsid w:val="00A56161"/>
    <w:rsid w:val="00A573C2"/>
    <w:rsid w:val="00A5789D"/>
    <w:rsid w:val="00A61668"/>
    <w:rsid w:val="00A64480"/>
    <w:rsid w:val="00A666EA"/>
    <w:rsid w:val="00A677FC"/>
    <w:rsid w:val="00A678BC"/>
    <w:rsid w:val="00A67BC9"/>
    <w:rsid w:val="00A703EA"/>
    <w:rsid w:val="00A713B2"/>
    <w:rsid w:val="00A723F7"/>
    <w:rsid w:val="00A745BF"/>
    <w:rsid w:val="00A7474F"/>
    <w:rsid w:val="00A74F92"/>
    <w:rsid w:val="00A7585E"/>
    <w:rsid w:val="00A75BFC"/>
    <w:rsid w:val="00A75DBC"/>
    <w:rsid w:val="00A75FE0"/>
    <w:rsid w:val="00A76668"/>
    <w:rsid w:val="00A80DE7"/>
    <w:rsid w:val="00A81CC2"/>
    <w:rsid w:val="00A82B3C"/>
    <w:rsid w:val="00A848F6"/>
    <w:rsid w:val="00A86DA7"/>
    <w:rsid w:val="00A86F66"/>
    <w:rsid w:val="00A90124"/>
    <w:rsid w:val="00A90BCD"/>
    <w:rsid w:val="00A93314"/>
    <w:rsid w:val="00A95059"/>
    <w:rsid w:val="00A95CF7"/>
    <w:rsid w:val="00A9791B"/>
    <w:rsid w:val="00AA07E2"/>
    <w:rsid w:val="00AA135F"/>
    <w:rsid w:val="00AA328F"/>
    <w:rsid w:val="00AA35B4"/>
    <w:rsid w:val="00AA3995"/>
    <w:rsid w:val="00AA7901"/>
    <w:rsid w:val="00AA7A23"/>
    <w:rsid w:val="00AB0C3D"/>
    <w:rsid w:val="00AB2A1F"/>
    <w:rsid w:val="00AB2FEB"/>
    <w:rsid w:val="00AB380B"/>
    <w:rsid w:val="00AB433B"/>
    <w:rsid w:val="00AB4BCB"/>
    <w:rsid w:val="00AB5239"/>
    <w:rsid w:val="00AB551F"/>
    <w:rsid w:val="00AB7CE1"/>
    <w:rsid w:val="00AC0B8D"/>
    <w:rsid w:val="00AC0C69"/>
    <w:rsid w:val="00AC3BF5"/>
    <w:rsid w:val="00AC51C4"/>
    <w:rsid w:val="00AC5356"/>
    <w:rsid w:val="00AD07E9"/>
    <w:rsid w:val="00AD4A55"/>
    <w:rsid w:val="00AD4AEA"/>
    <w:rsid w:val="00AD528C"/>
    <w:rsid w:val="00AD63DB"/>
    <w:rsid w:val="00AE0DCA"/>
    <w:rsid w:val="00AE2E33"/>
    <w:rsid w:val="00AE415C"/>
    <w:rsid w:val="00AE6F3D"/>
    <w:rsid w:val="00AE7341"/>
    <w:rsid w:val="00AE7C17"/>
    <w:rsid w:val="00AF194D"/>
    <w:rsid w:val="00AF1DE6"/>
    <w:rsid w:val="00AF3EC1"/>
    <w:rsid w:val="00AF44AF"/>
    <w:rsid w:val="00AF46C2"/>
    <w:rsid w:val="00AF53F0"/>
    <w:rsid w:val="00AF5621"/>
    <w:rsid w:val="00B00820"/>
    <w:rsid w:val="00B021EF"/>
    <w:rsid w:val="00B04B2A"/>
    <w:rsid w:val="00B06149"/>
    <w:rsid w:val="00B0671E"/>
    <w:rsid w:val="00B115B5"/>
    <w:rsid w:val="00B115D0"/>
    <w:rsid w:val="00B11B5C"/>
    <w:rsid w:val="00B13048"/>
    <w:rsid w:val="00B13C3A"/>
    <w:rsid w:val="00B13F29"/>
    <w:rsid w:val="00B15208"/>
    <w:rsid w:val="00B15B83"/>
    <w:rsid w:val="00B16A64"/>
    <w:rsid w:val="00B223EB"/>
    <w:rsid w:val="00B22EBD"/>
    <w:rsid w:val="00B22F6A"/>
    <w:rsid w:val="00B23B86"/>
    <w:rsid w:val="00B23F8F"/>
    <w:rsid w:val="00B2599B"/>
    <w:rsid w:val="00B25A49"/>
    <w:rsid w:val="00B269BB"/>
    <w:rsid w:val="00B27BFD"/>
    <w:rsid w:val="00B31260"/>
    <w:rsid w:val="00B3146A"/>
    <w:rsid w:val="00B3195A"/>
    <w:rsid w:val="00B31994"/>
    <w:rsid w:val="00B319F8"/>
    <w:rsid w:val="00B336CA"/>
    <w:rsid w:val="00B33C07"/>
    <w:rsid w:val="00B340B6"/>
    <w:rsid w:val="00B3546D"/>
    <w:rsid w:val="00B3574E"/>
    <w:rsid w:val="00B3622E"/>
    <w:rsid w:val="00B36429"/>
    <w:rsid w:val="00B404FB"/>
    <w:rsid w:val="00B40722"/>
    <w:rsid w:val="00B40890"/>
    <w:rsid w:val="00B41CC9"/>
    <w:rsid w:val="00B41DDE"/>
    <w:rsid w:val="00B4261B"/>
    <w:rsid w:val="00B43465"/>
    <w:rsid w:val="00B43976"/>
    <w:rsid w:val="00B43D3B"/>
    <w:rsid w:val="00B440B2"/>
    <w:rsid w:val="00B44327"/>
    <w:rsid w:val="00B46AD1"/>
    <w:rsid w:val="00B46B4C"/>
    <w:rsid w:val="00B509FB"/>
    <w:rsid w:val="00B50FF5"/>
    <w:rsid w:val="00B516DB"/>
    <w:rsid w:val="00B52A17"/>
    <w:rsid w:val="00B52F1B"/>
    <w:rsid w:val="00B53B64"/>
    <w:rsid w:val="00B54023"/>
    <w:rsid w:val="00B5458B"/>
    <w:rsid w:val="00B5520A"/>
    <w:rsid w:val="00B55987"/>
    <w:rsid w:val="00B56B24"/>
    <w:rsid w:val="00B56FBC"/>
    <w:rsid w:val="00B57EE4"/>
    <w:rsid w:val="00B60E3F"/>
    <w:rsid w:val="00B62302"/>
    <w:rsid w:val="00B63149"/>
    <w:rsid w:val="00B632A3"/>
    <w:rsid w:val="00B64CA7"/>
    <w:rsid w:val="00B6722B"/>
    <w:rsid w:val="00B70FC8"/>
    <w:rsid w:val="00B712D0"/>
    <w:rsid w:val="00B71713"/>
    <w:rsid w:val="00B717AB"/>
    <w:rsid w:val="00B722C7"/>
    <w:rsid w:val="00B756A9"/>
    <w:rsid w:val="00B75FAB"/>
    <w:rsid w:val="00B76575"/>
    <w:rsid w:val="00B766E0"/>
    <w:rsid w:val="00B76CF4"/>
    <w:rsid w:val="00B76F4B"/>
    <w:rsid w:val="00B80CB6"/>
    <w:rsid w:val="00B81520"/>
    <w:rsid w:val="00B8184B"/>
    <w:rsid w:val="00B818EB"/>
    <w:rsid w:val="00B829A0"/>
    <w:rsid w:val="00B84473"/>
    <w:rsid w:val="00B8465B"/>
    <w:rsid w:val="00B84FF5"/>
    <w:rsid w:val="00B8503D"/>
    <w:rsid w:val="00B86E1C"/>
    <w:rsid w:val="00B87D57"/>
    <w:rsid w:val="00B923BE"/>
    <w:rsid w:val="00B9292C"/>
    <w:rsid w:val="00B937BE"/>
    <w:rsid w:val="00B93D57"/>
    <w:rsid w:val="00B9584E"/>
    <w:rsid w:val="00B95B41"/>
    <w:rsid w:val="00B96CE1"/>
    <w:rsid w:val="00B9761D"/>
    <w:rsid w:val="00BA0CE5"/>
    <w:rsid w:val="00BA17AB"/>
    <w:rsid w:val="00BA1E77"/>
    <w:rsid w:val="00BA1E7C"/>
    <w:rsid w:val="00BA2504"/>
    <w:rsid w:val="00BA2CD0"/>
    <w:rsid w:val="00BA3412"/>
    <w:rsid w:val="00BA525D"/>
    <w:rsid w:val="00BA657E"/>
    <w:rsid w:val="00BA6835"/>
    <w:rsid w:val="00BB0B79"/>
    <w:rsid w:val="00BB3A3A"/>
    <w:rsid w:val="00BB4913"/>
    <w:rsid w:val="00BB5AD0"/>
    <w:rsid w:val="00BB61CF"/>
    <w:rsid w:val="00BB68CD"/>
    <w:rsid w:val="00BB7397"/>
    <w:rsid w:val="00BB788F"/>
    <w:rsid w:val="00BC0222"/>
    <w:rsid w:val="00BC0F3D"/>
    <w:rsid w:val="00BC2B59"/>
    <w:rsid w:val="00BC3F5B"/>
    <w:rsid w:val="00BC4231"/>
    <w:rsid w:val="00BC458E"/>
    <w:rsid w:val="00BC528F"/>
    <w:rsid w:val="00BC55EF"/>
    <w:rsid w:val="00BC5649"/>
    <w:rsid w:val="00BC7204"/>
    <w:rsid w:val="00BC7B08"/>
    <w:rsid w:val="00BD1A70"/>
    <w:rsid w:val="00BD3728"/>
    <w:rsid w:val="00BD37A4"/>
    <w:rsid w:val="00BD3F80"/>
    <w:rsid w:val="00BD6EEE"/>
    <w:rsid w:val="00BE05D8"/>
    <w:rsid w:val="00BE09F3"/>
    <w:rsid w:val="00BE0C68"/>
    <w:rsid w:val="00BE320E"/>
    <w:rsid w:val="00BE3636"/>
    <w:rsid w:val="00BE4343"/>
    <w:rsid w:val="00BE44FA"/>
    <w:rsid w:val="00BE4BE4"/>
    <w:rsid w:val="00BE50E6"/>
    <w:rsid w:val="00BE517A"/>
    <w:rsid w:val="00BE70F1"/>
    <w:rsid w:val="00BF1C44"/>
    <w:rsid w:val="00BF2977"/>
    <w:rsid w:val="00BF309E"/>
    <w:rsid w:val="00BF3978"/>
    <w:rsid w:val="00BF3BC6"/>
    <w:rsid w:val="00BF41FA"/>
    <w:rsid w:val="00BF5B22"/>
    <w:rsid w:val="00BF5B69"/>
    <w:rsid w:val="00BF5CC3"/>
    <w:rsid w:val="00BF6E9C"/>
    <w:rsid w:val="00BF74B8"/>
    <w:rsid w:val="00C00BB6"/>
    <w:rsid w:val="00C01058"/>
    <w:rsid w:val="00C0149B"/>
    <w:rsid w:val="00C01D30"/>
    <w:rsid w:val="00C02558"/>
    <w:rsid w:val="00C026BF"/>
    <w:rsid w:val="00C04C2C"/>
    <w:rsid w:val="00C05976"/>
    <w:rsid w:val="00C06827"/>
    <w:rsid w:val="00C0771C"/>
    <w:rsid w:val="00C11782"/>
    <w:rsid w:val="00C14961"/>
    <w:rsid w:val="00C1604E"/>
    <w:rsid w:val="00C17B13"/>
    <w:rsid w:val="00C20ACF"/>
    <w:rsid w:val="00C21D87"/>
    <w:rsid w:val="00C21DBA"/>
    <w:rsid w:val="00C23677"/>
    <w:rsid w:val="00C24972"/>
    <w:rsid w:val="00C24B96"/>
    <w:rsid w:val="00C24ECD"/>
    <w:rsid w:val="00C25CBF"/>
    <w:rsid w:val="00C26649"/>
    <w:rsid w:val="00C267DD"/>
    <w:rsid w:val="00C26816"/>
    <w:rsid w:val="00C30337"/>
    <w:rsid w:val="00C304A8"/>
    <w:rsid w:val="00C3055C"/>
    <w:rsid w:val="00C3125C"/>
    <w:rsid w:val="00C31A86"/>
    <w:rsid w:val="00C3226E"/>
    <w:rsid w:val="00C33018"/>
    <w:rsid w:val="00C3434D"/>
    <w:rsid w:val="00C36450"/>
    <w:rsid w:val="00C36727"/>
    <w:rsid w:val="00C371C7"/>
    <w:rsid w:val="00C37452"/>
    <w:rsid w:val="00C37760"/>
    <w:rsid w:val="00C40835"/>
    <w:rsid w:val="00C40D44"/>
    <w:rsid w:val="00C41B42"/>
    <w:rsid w:val="00C439BF"/>
    <w:rsid w:val="00C43A19"/>
    <w:rsid w:val="00C4486F"/>
    <w:rsid w:val="00C45455"/>
    <w:rsid w:val="00C45516"/>
    <w:rsid w:val="00C45CF2"/>
    <w:rsid w:val="00C461E6"/>
    <w:rsid w:val="00C5021D"/>
    <w:rsid w:val="00C52487"/>
    <w:rsid w:val="00C53E8C"/>
    <w:rsid w:val="00C541AC"/>
    <w:rsid w:val="00C54B68"/>
    <w:rsid w:val="00C553BE"/>
    <w:rsid w:val="00C557BA"/>
    <w:rsid w:val="00C57472"/>
    <w:rsid w:val="00C5750D"/>
    <w:rsid w:val="00C5785D"/>
    <w:rsid w:val="00C60410"/>
    <w:rsid w:val="00C61317"/>
    <w:rsid w:val="00C62EE0"/>
    <w:rsid w:val="00C63A40"/>
    <w:rsid w:val="00C65542"/>
    <w:rsid w:val="00C6663F"/>
    <w:rsid w:val="00C66996"/>
    <w:rsid w:val="00C670BC"/>
    <w:rsid w:val="00C67598"/>
    <w:rsid w:val="00C71E4B"/>
    <w:rsid w:val="00C722E4"/>
    <w:rsid w:val="00C74370"/>
    <w:rsid w:val="00C75D52"/>
    <w:rsid w:val="00C772C8"/>
    <w:rsid w:val="00C77E43"/>
    <w:rsid w:val="00C80C08"/>
    <w:rsid w:val="00C826AF"/>
    <w:rsid w:val="00C826C9"/>
    <w:rsid w:val="00C82D8E"/>
    <w:rsid w:val="00C83002"/>
    <w:rsid w:val="00C838F9"/>
    <w:rsid w:val="00C83D4C"/>
    <w:rsid w:val="00C83E55"/>
    <w:rsid w:val="00C85131"/>
    <w:rsid w:val="00C861C1"/>
    <w:rsid w:val="00C91DF4"/>
    <w:rsid w:val="00C920D0"/>
    <w:rsid w:val="00C922F6"/>
    <w:rsid w:val="00C9396D"/>
    <w:rsid w:val="00C93D0F"/>
    <w:rsid w:val="00C949E1"/>
    <w:rsid w:val="00C94C21"/>
    <w:rsid w:val="00C95269"/>
    <w:rsid w:val="00C967E5"/>
    <w:rsid w:val="00C97483"/>
    <w:rsid w:val="00C97E05"/>
    <w:rsid w:val="00CA0795"/>
    <w:rsid w:val="00CA13C3"/>
    <w:rsid w:val="00CA19D7"/>
    <w:rsid w:val="00CA1A66"/>
    <w:rsid w:val="00CA204B"/>
    <w:rsid w:val="00CA207A"/>
    <w:rsid w:val="00CA2C99"/>
    <w:rsid w:val="00CA2CE9"/>
    <w:rsid w:val="00CA302A"/>
    <w:rsid w:val="00CA3654"/>
    <w:rsid w:val="00CA3B03"/>
    <w:rsid w:val="00CA44AB"/>
    <w:rsid w:val="00CA6069"/>
    <w:rsid w:val="00CB0270"/>
    <w:rsid w:val="00CB2573"/>
    <w:rsid w:val="00CB4A5A"/>
    <w:rsid w:val="00CB6196"/>
    <w:rsid w:val="00CB6BCB"/>
    <w:rsid w:val="00CB7251"/>
    <w:rsid w:val="00CC14E4"/>
    <w:rsid w:val="00CC16AA"/>
    <w:rsid w:val="00CC1C82"/>
    <w:rsid w:val="00CC2883"/>
    <w:rsid w:val="00CC353E"/>
    <w:rsid w:val="00CC3C46"/>
    <w:rsid w:val="00CC4507"/>
    <w:rsid w:val="00CC6303"/>
    <w:rsid w:val="00CC74E5"/>
    <w:rsid w:val="00CC7955"/>
    <w:rsid w:val="00CD1B39"/>
    <w:rsid w:val="00CD1E1F"/>
    <w:rsid w:val="00CD2DAE"/>
    <w:rsid w:val="00CD31C3"/>
    <w:rsid w:val="00CD424F"/>
    <w:rsid w:val="00CD48F4"/>
    <w:rsid w:val="00CD5770"/>
    <w:rsid w:val="00CD6D5A"/>
    <w:rsid w:val="00CD7164"/>
    <w:rsid w:val="00CD740C"/>
    <w:rsid w:val="00CE00A3"/>
    <w:rsid w:val="00CE0325"/>
    <w:rsid w:val="00CE0D9D"/>
    <w:rsid w:val="00CE14D4"/>
    <w:rsid w:val="00CE196E"/>
    <w:rsid w:val="00CE2B42"/>
    <w:rsid w:val="00CE3CF6"/>
    <w:rsid w:val="00CE4034"/>
    <w:rsid w:val="00CE5640"/>
    <w:rsid w:val="00CE7987"/>
    <w:rsid w:val="00CF2E90"/>
    <w:rsid w:val="00CF3A7A"/>
    <w:rsid w:val="00CF40A7"/>
    <w:rsid w:val="00CF47F3"/>
    <w:rsid w:val="00CF506B"/>
    <w:rsid w:val="00CF5EE5"/>
    <w:rsid w:val="00CF7299"/>
    <w:rsid w:val="00CF7434"/>
    <w:rsid w:val="00D000F0"/>
    <w:rsid w:val="00D01272"/>
    <w:rsid w:val="00D0263B"/>
    <w:rsid w:val="00D02B75"/>
    <w:rsid w:val="00D0309B"/>
    <w:rsid w:val="00D0369B"/>
    <w:rsid w:val="00D03D10"/>
    <w:rsid w:val="00D041AD"/>
    <w:rsid w:val="00D04247"/>
    <w:rsid w:val="00D042B6"/>
    <w:rsid w:val="00D050DD"/>
    <w:rsid w:val="00D05230"/>
    <w:rsid w:val="00D057C9"/>
    <w:rsid w:val="00D05E51"/>
    <w:rsid w:val="00D0659C"/>
    <w:rsid w:val="00D078A1"/>
    <w:rsid w:val="00D07BFD"/>
    <w:rsid w:val="00D11033"/>
    <w:rsid w:val="00D11DB5"/>
    <w:rsid w:val="00D121E5"/>
    <w:rsid w:val="00D1273D"/>
    <w:rsid w:val="00D1442D"/>
    <w:rsid w:val="00D14666"/>
    <w:rsid w:val="00D147EB"/>
    <w:rsid w:val="00D156E5"/>
    <w:rsid w:val="00D15DDC"/>
    <w:rsid w:val="00D163A1"/>
    <w:rsid w:val="00D16D57"/>
    <w:rsid w:val="00D177BC"/>
    <w:rsid w:val="00D17B99"/>
    <w:rsid w:val="00D2060A"/>
    <w:rsid w:val="00D20CD7"/>
    <w:rsid w:val="00D23A77"/>
    <w:rsid w:val="00D24255"/>
    <w:rsid w:val="00D2440C"/>
    <w:rsid w:val="00D2651F"/>
    <w:rsid w:val="00D27A64"/>
    <w:rsid w:val="00D30468"/>
    <w:rsid w:val="00D306F3"/>
    <w:rsid w:val="00D327ED"/>
    <w:rsid w:val="00D32B01"/>
    <w:rsid w:val="00D33BEB"/>
    <w:rsid w:val="00D35632"/>
    <w:rsid w:val="00D359FC"/>
    <w:rsid w:val="00D35C3D"/>
    <w:rsid w:val="00D367B3"/>
    <w:rsid w:val="00D41AA3"/>
    <w:rsid w:val="00D4246D"/>
    <w:rsid w:val="00D4298D"/>
    <w:rsid w:val="00D4399A"/>
    <w:rsid w:val="00D43EFB"/>
    <w:rsid w:val="00D45193"/>
    <w:rsid w:val="00D45E3F"/>
    <w:rsid w:val="00D46BBB"/>
    <w:rsid w:val="00D473C0"/>
    <w:rsid w:val="00D477B5"/>
    <w:rsid w:val="00D50E4C"/>
    <w:rsid w:val="00D50E74"/>
    <w:rsid w:val="00D51B1F"/>
    <w:rsid w:val="00D5371C"/>
    <w:rsid w:val="00D55B8D"/>
    <w:rsid w:val="00D55BA3"/>
    <w:rsid w:val="00D56101"/>
    <w:rsid w:val="00D606F0"/>
    <w:rsid w:val="00D60B19"/>
    <w:rsid w:val="00D61040"/>
    <w:rsid w:val="00D62C18"/>
    <w:rsid w:val="00D632B5"/>
    <w:rsid w:val="00D65492"/>
    <w:rsid w:val="00D661B4"/>
    <w:rsid w:val="00D664F3"/>
    <w:rsid w:val="00D66F97"/>
    <w:rsid w:val="00D704F7"/>
    <w:rsid w:val="00D70E1B"/>
    <w:rsid w:val="00D72EC8"/>
    <w:rsid w:val="00D75260"/>
    <w:rsid w:val="00D75358"/>
    <w:rsid w:val="00D7651B"/>
    <w:rsid w:val="00D80C2E"/>
    <w:rsid w:val="00D8102D"/>
    <w:rsid w:val="00D81390"/>
    <w:rsid w:val="00D82E71"/>
    <w:rsid w:val="00D83E2F"/>
    <w:rsid w:val="00D84449"/>
    <w:rsid w:val="00D848CA"/>
    <w:rsid w:val="00D85DCE"/>
    <w:rsid w:val="00D86C78"/>
    <w:rsid w:val="00D8764F"/>
    <w:rsid w:val="00D87BBB"/>
    <w:rsid w:val="00D912B1"/>
    <w:rsid w:val="00D941B4"/>
    <w:rsid w:val="00D944A4"/>
    <w:rsid w:val="00D97E59"/>
    <w:rsid w:val="00DA02F4"/>
    <w:rsid w:val="00DA0DEA"/>
    <w:rsid w:val="00DA2F3A"/>
    <w:rsid w:val="00DA36CD"/>
    <w:rsid w:val="00DA4BE4"/>
    <w:rsid w:val="00DA4DD0"/>
    <w:rsid w:val="00DA5DF8"/>
    <w:rsid w:val="00DA62C6"/>
    <w:rsid w:val="00DA6F59"/>
    <w:rsid w:val="00DB01CE"/>
    <w:rsid w:val="00DB1AAD"/>
    <w:rsid w:val="00DB2340"/>
    <w:rsid w:val="00DB2ABA"/>
    <w:rsid w:val="00DB44B0"/>
    <w:rsid w:val="00DB4848"/>
    <w:rsid w:val="00DB4E32"/>
    <w:rsid w:val="00DB574B"/>
    <w:rsid w:val="00DB63B9"/>
    <w:rsid w:val="00DB7BC2"/>
    <w:rsid w:val="00DB7E55"/>
    <w:rsid w:val="00DC0011"/>
    <w:rsid w:val="00DC14D7"/>
    <w:rsid w:val="00DC2F5A"/>
    <w:rsid w:val="00DD02AB"/>
    <w:rsid w:val="00DD2256"/>
    <w:rsid w:val="00DD2393"/>
    <w:rsid w:val="00DD4980"/>
    <w:rsid w:val="00DD4A81"/>
    <w:rsid w:val="00DD4DE6"/>
    <w:rsid w:val="00DD60E5"/>
    <w:rsid w:val="00DD7CDF"/>
    <w:rsid w:val="00DE0E77"/>
    <w:rsid w:val="00DE27B2"/>
    <w:rsid w:val="00DE3623"/>
    <w:rsid w:val="00DE42A2"/>
    <w:rsid w:val="00DE4791"/>
    <w:rsid w:val="00DE587C"/>
    <w:rsid w:val="00DE6093"/>
    <w:rsid w:val="00DE695E"/>
    <w:rsid w:val="00DE74CA"/>
    <w:rsid w:val="00DF0395"/>
    <w:rsid w:val="00DF2479"/>
    <w:rsid w:val="00DF254F"/>
    <w:rsid w:val="00DF4002"/>
    <w:rsid w:val="00DF5418"/>
    <w:rsid w:val="00DF5588"/>
    <w:rsid w:val="00DF5B54"/>
    <w:rsid w:val="00DF5BFF"/>
    <w:rsid w:val="00DF6A86"/>
    <w:rsid w:val="00DF6C15"/>
    <w:rsid w:val="00DF6F8F"/>
    <w:rsid w:val="00E00A8F"/>
    <w:rsid w:val="00E00B41"/>
    <w:rsid w:val="00E034A7"/>
    <w:rsid w:val="00E03820"/>
    <w:rsid w:val="00E04AF5"/>
    <w:rsid w:val="00E05863"/>
    <w:rsid w:val="00E0672A"/>
    <w:rsid w:val="00E06749"/>
    <w:rsid w:val="00E068C3"/>
    <w:rsid w:val="00E102C2"/>
    <w:rsid w:val="00E1053D"/>
    <w:rsid w:val="00E10794"/>
    <w:rsid w:val="00E12271"/>
    <w:rsid w:val="00E129A6"/>
    <w:rsid w:val="00E12FB6"/>
    <w:rsid w:val="00E12FC6"/>
    <w:rsid w:val="00E13AE0"/>
    <w:rsid w:val="00E13BBE"/>
    <w:rsid w:val="00E15B9B"/>
    <w:rsid w:val="00E16425"/>
    <w:rsid w:val="00E165C9"/>
    <w:rsid w:val="00E177DE"/>
    <w:rsid w:val="00E2061C"/>
    <w:rsid w:val="00E207AF"/>
    <w:rsid w:val="00E21BF8"/>
    <w:rsid w:val="00E2337A"/>
    <w:rsid w:val="00E2422B"/>
    <w:rsid w:val="00E244F6"/>
    <w:rsid w:val="00E24823"/>
    <w:rsid w:val="00E24C80"/>
    <w:rsid w:val="00E27A85"/>
    <w:rsid w:val="00E27BA5"/>
    <w:rsid w:val="00E30910"/>
    <w:rsid w:val="00E32A46"/>
    <w:rsid w:val="00E32DB2"/>
    <w:rsid w:val="00E3320C"/>
    <w:rsid w:val="00E3474A"/>
    <w:rsid w:val="00E37819"/>
    <w:rsid w:val="00E45E2A"/>
    <w:rsid w:val="00E461F1"/>
    <w:rsid w:val="00E46C46"/>
    <w:rsid w:val="00E472C5"/>
    <w:rsid w:val="00E5049F"/>
    <w:rsid w:val="00E532A2"/>
    <w:rsid w:val="00E535EE"/>
    <w:rsid w:val="00E553AD"/>
    <w:rsid w:val="00E564A1"/>
    <w:rsid w:val="00E57F0C"/>
    <w:rsid w:val="00E60C9D"/>
    <w:rsid w:val="00E60DB9"/>
    <w:rsid w:val="00E63CC0"/>
    <w:rsid w:val="00E66A0C"/>
    <w:rsid w:val="00E675BE"/>
    <w:rsid w:val="00E7042B"/>
    <w:rsid w:val="00E71719"/>
    <w:rsid w:val="00E72F02"/>
    <w:rsid w:val="00E738C0"/>
    <w:rsid w:val="00E73B29"/>
    <w:rsid w:val="00E76692"/>
    <w:rsid w:val="00E77306"/>
    <w:rsid w:val="00E804F9"/>
    <w:rsid w:val="00E80B62"/>
    <w:rsid w:val="00E80E9B"/>
    <w:rsid w:val="00E81442"/>
    <w:rsid w:val="00E827D9"/>
    <w:rsid w:val="00E829A3"/>
    <w:rsid w:val="00E84264"/>
    <w:rsid w:val="00E84508"/>
    <w:rsid w:val="00E857FC"/>
    <w:rsid w:val="00E86CDC"/>
    <w:rsid w:val="00E87D80"/>
    <w:rsid w:val="00E931DC"/>
    <w:rsid w:val="00E9593F"/>
    <w:rsid w:val="00E97B9A"/>
    <w:rsid w:val="00E97C3D"/>
    <w:rsid w:val="00EA0248"/>
    <w:rsid w:val="00EA12B1"/>
    <w:rsid w:val="00EA2165"/>
    <w:rsid w:val="00EA2DA0"/>
    <w:rsid w:val="00EA34CE"/>
    <w:rsid w:val="00EA4808"/>
    <w:rsid w:val="00EA5416"/>
    <w:rsid w:val="00EB1AC1"/>
    <w:rsid w:val="00EB4803"/>
    <w:rsid w:val="00EB564F"/>
    <w:rsid w:val="00EB5D54"/>
    <w:rsid w:val="00EB6BB2"/>
    <w:rsid w:val="00EC01F6"/>
    <w:rsid w:val="00EC0A35"/>
    <w:rsid w:val="00EC19AA"/>
    <w:rsid w:val="00EC21C0"/>
    <w:rsid w:val="00EC25F3"/>
    <w:rsid w:val="00EC2AEC"/>
    <w:rsid w:val="00EC3C23"/>
    <w:rsid w:val="00EC3D25"/>
    <w:rsid w:val="00EC3F34"/>
    <w:rsid w:val="00EC466F"/>
    <w:rsid w:val="00EC5193"/>
    <w:rsid w:val="00EC6394"/>
    <w:rsid w:val="00EC6644"/>
    <w:rsid w:val="00EC6D23"/>
    <w:rsid w:val="00EC7219"/>
    <w:rsid w:val="00ED00BD"/>
    <w:rsid w:val="00ED1F3B"/>
    <w:rsid w:val="00ED2CD1"/>
    <w:rsid w:val="00ED3F50"/>
    <w:rsid w:val="00ED42E2"/>
    <w:rsid w:val="00ED5237"/>
    <w:rsid w:val="00ED6914"/>
    <w:rsid w:val="00ED7219"/>
    <w:rsid w:val="00EE1BA5"/>
    <w:rsid w:val="00EE1BE7"/>
    <w:rsid w:val="00EE4281"/>
    <w:rsid w:val="00EE43E2"/>
    <w:rsid w:val="00EE4480"/>
    <w:rsid w:val="00EE4DD8"/>
    <w:rsid w:val="00EE4E95"/>
    <w:rsid w:val="00EE530B"/>
    <w:rsid w:val="00EE5E9C"/>
    <w:rsid w:val="00EE662E"/>
    <w:rsid w:val="00EE6D83"/>
    <w:rsid w:val="00EF0F8D"/>
    <w:rsid w:val="00EF12DF"/>
    <w:rsid w:val="00EF1D5A"/>
    <w:rsid w:val="00EF2BB1"/>
    <w:rsid w:val="00EF3E07"/>
    <w:rsid w:val="00EF66BB"/>
    <w:rsid w:val="00F000FB"/>
    <w:rsid w:val="00F0258D"/>
    <w:rsid w:val="00F046AC"/>
    <w:rsid w:val="00F05A22"/>
    <w:rsid w:val="00F05C68"/>
    <w:rsid w:val="00F0696F"/>
    <w:rsid w:val="00F105B7"/>
    <w:rsid w:val="00F10AA8"/>
    <w:rsid w:val="00F11797"/>
    <w:rsid w:val="00F117EA"/>
    <w:rsid w:val="00F120F0"/>
    <w:rsid w:val="00F12899"/>
    <w:rsid w:val="00F13E3B"/>
    <w:rsid w:val="00F1427E"/>
    <w:rsid w:val="00F16864"/>
    <w:rsid w:val="00F17C34"/>
    <w:rsid w:val="00F21799"/>
    <w:rsid w:val="00F21EB4"/>
    <w:rsid w:val="00F22C61"/>
    <w:rsid w:val="00F24DDE"/>
    <w:rsid w:val="00F25F18"/>
    <w:rsid w:val="00F26FA6"/>
    <w:rsid w:val="00F27F12"/>
    <w:rsid w:val="00F3068A"/>
    <w:rsid w:val="00F30BA4"/>
    <w:rsid w:val="00F31326"/>
    <w:rsid w:val="00F31B76"/>
    <w:rsid w:val="00F33964"/>
    <w:rsid w:val="00F33D25"/>
    <w:rsid w:val="00F362C5"/>
    <w:rsid w:val="00F36C7D"/>
    <w:rsid w:val="00F40558"/>
    <w:rsid w:val="00F446AC"/>
    <w:rsid w:val="00F459FA"/>
    <w:rsid w:val="00F45C55"/>
    <w:rsid w:val="00F46706"/>
    <w:rsid w:val="00F46CD8"/>
    <w:rsid w:val="00F4712B"/>
    <w:rsid w:val="00F50B42"/>
    <w:rsid w:val="00F519C0"/>
    <w:rsid w:val="00F53704"/>
    <w:rsid w:val="00F563E0"/>
    <w:rsid w:val="00F57002"/>
    <w:rsid w:val="00F62B10"/>
    <w:rsid w:val="00F62D9F"/>
    <w:rsid w:val="00F6306B"/>
    <w:rsid w:val="00F639C8"/>
    <w:rsid w:val="00F65AD8"/>
    <w:rsid w:val="00F66A05"/>
    <w:rsid w:val="00F67057"/>
    <w:rsid w:val="00F70B7F"/>
    <w:rsid w:val="00F720AE"/>
    <w:rsid w:val="00F72C4D"/>
    <w:rsid w:val="00F738E9"/>
    <w:rsid w:val="00F73E6B"/>
    <w:rsid w:val="00F7428B"/>
    <w:rsid w:val="00F74E49"/>
    <w:rsid w:val="00F75087"/>
    <w:rsid w:val="00F75164"/>
    <w:rsid w:val="00F758FB"/>
    <w:rsid w:val="00F76564"/>
    <w:rsid w:val="00F766CD"/>
    <w:rsid w:val="00F76BB3"/>
    <w:rsid w:val="00F77604"/>
    <w:rsid w:val="00F810C5"/>
    <w:rsid w:val="00F821A9"/>
    <w:rsid w:val="00F82EF7"/>
    <w:rsid w:val="00F83C8A"/>
    <w:rsid w:val="00F84DDB"/>
    <w:rsid w:val="00F8579C"/>
    <w:rsid w:val="00F85C3A"/>
    <w:rsid w:val="00F85EFE"/>
    <w:rsid w:val="00F86433"/>
    <w:rsid w:val="00F87A21"/>
    <w:rsid w:val="00F87BFB"/>
    <w:rsid w:val="00F9044E"/>
    <w:rsid w:val="00F90A99"/>
    <w:rsid w:val="00F924F5"/>
    <w:rsid w:val="00F92599"/>
    <w:rsid w:val="00F92D1C"/>
    <w:rsid w:val="00F937BC"/>
    <w:rsid w:val="00F93ADD"/>
    <w:rsid w:val="00F94666"/>
    <w:rsid w:val="00F96301"/>
    <w:rsid w:val="00F966B9"/>
    <w:rsid w:val="00F96818"/>
    <w:rsid w:val="00F96978"/>
    <w:rsid w:val="00F9787F"/>
    <w:rsid w:val="00FA07D5"/>
    <w:rsid w:val="00FA153E"/>
    <w:rsid w:val="00FA15E0"/>
    <w:rsid w:val="00FA23E0"/>
    <w:rsid w:val="00FA3EB8"/>
    <w:rsid w:val="00FA52EA"/>
    <w:rsid w:val="00FA6A73"/>
    <w:rsid w:val="00FA6EF1"/>
    <w:rsid w:val="00FA7414"/>
    <w:rsid w:val="00FB0C41"/>
    <w:rsid w:val="00FB14D0"/>
    <w:rsid w:val="00FB2263"/>
    <w:rsid w:val="00FB5271"/>
    <w:rsid w:val="00FB61D2"/>
    <w:rsid w:val="00FB6BE5"/>
    <w:rsid w:val="00FB6D84"/>
    <w:rsid w:val="00FC23EB"/>
    <w:rsid w:val="00FC27B3"/>
    <w:rsid w:val="00FC430C"/>
    <w:rsid w:val="00FC5807"/>
    <w:rsid w:val="00FC62CC"/>
    <w:rsid w:val="00FC79E3"/>
    <w:rsid w:val="00FD036F"/>
    <w:rsid w:val="00FD056E"/>
    <w:rsid w:val="00FD080B"/>
    <w:rsid w:val="00FD208F"/>
    <w:rsid w:val="00FD243E"/>
    <w:rsid w:val="00FD40D7"/>
    <w:rsid w:val="00FD495A"/>
    <w:rsid w:val="00FD5493"/>
    <w:rsid w:val="00FD5F2B"/>
    <w:rsid w:val="00FE0FCD"/>
    <w:rsid w:val="00FE2643"/>
    <w:rsid w:val="00FE27B3"/>
    <w:rsid w:val="00FE3954"/>
    <w:rsid w:val="00FE52ED"/>
    <w:rsid w:val="00FF19C9"/>
    <w:rsid w:val="00FF29AD"/>
    <w:rsid w:val="00FF3B3C"/>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semiHidden/>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Footnote symbol"/>
    <w:uiPriority w:val="99"/>
    <w:rsid w:val="0059541B"/>
    <w:rPr>
      <w:rFonts w:cs="Times New Roman"/>
      <w:vertAlign w:val="superscript"/>
    </w:rPr>
  </w:style>
  <w:style w:type="character" w:styleId="CommentReference">
    <w:name w:val="annotation reference"/>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basedOn w:val="Normal"/>
    <w:uiPriority w:val="34"/>
    <w:qFormat/>
    <w:rsid w:val="00CB2573"/>
    <w:pPr>
      <w:ind w:left="720"/>
      <w:contextualSpacing/>
    </w:pPr>
  </w:style>
  <w:style w:type="paragraph" w:styleId="NoSpacing">
    <w:name w:val="No Spacing"/>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character" w:styleId="Emphasis">
    <w:name w:val="Emphasis"/>
    <w:uiPriority w:val="20"/>
    <w:qFormat/>
    <w:rsid w:val="008B44C5"/>
    <w:rPr>
      <w:i/>
      <w:iCs/>
    </w:r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21518682">
      <w:bodyDiv w:val="1"/>
      <w:marLeft w:val="0"/>
      <w:marRight w:val="0"/>
      <w:marTop w:val="0"/>
      <w:marBottom w:val="0"/>
      <w:divBdr>
        <w:top w:val="none" w:sz="0" w:space="0" w:color="auto"/>
        <w:left w:val="none" w:sz="0" w:space="0" w:color="auto"/>
        <w:bottom w:val="none" w:sz="0" w:space="0" w:color="auto"/>
        <w:right w:val="none" w:sz="0" w:space="0" w:color="auto"/>
      </w:divBdr>
    </w:div>
    <w:div w:id="1038747420">
      <w:bodyDiv w:val="1"/>
      <w:marLeft w:val="0"/>
      <w:marRight w:val="0"/>
      <w:marTop w:val="0"/>
      <w:marBottom w:val="0"/>
      <w:divBdr>
        <w:top w:val="none" w:sz="0" w:space="0" w:color="auto"/>
        <w:left w:val="none" w:sz="0" w:space="0" w:color="auto"/>
        <w:bottom w:val="none" w:sz="0" w:space="0" w:color="auto"/>
        <w:right w:val="none" w:sz="0" w:space="0" w:color="auto"/>
      </w:divBdr>
      <w:divsChild>
        <w:div w:id="1826049494">
          <w:marLeft w:val="1800"/>
          <w:marRight w:val="0"/>
          <w:marTop w:val="86"/>
          <w:marBottom w:val="0"/>
          <w:divBdr>
            <w:top w:val="none" w:sz="0" w:space="0" w:color="auto"/>
            <w:left w:val="none" w:sz="0" w:space="0" w:color="auto"/>
            <w:bottom w:val="none" w:sz="0" w:space="0" w:color="auto"/>
            <w:right w:val="none" w:sz="0" w:space="0" w:color="auto"/>
          </w:divBdr>
        </w:div>
        <w:div w:id="767502569">
          <w:marLeft w:val="1800"/>
          <w:marRight w:val="0"/>
          <w:marTop w:val="86"/>
          <w:marBottom w:val="0"/>
          <w:divBdr>
            <w:top w:val="none" w:sz="0" w:space="0" w:color="auto"/>
            <w:left w:val="none" w:sz="0" w:space="0" w:color="auto"/>
            <w:bottom w:val="none" w:sz="0" w:space="0" w:color="auto"/>
            <w:right w:val="none" w:sz="0" w:space="0" w:color="auto"/>
          </w:divBdr>
        </w:div>
        <w:div w:id="242841032">
          <w:marLeft w:val="2520"/>
          <w:marRight w:val="0"/>
          <w:marTop w:val="77"/>
          <w:marBottom w:val="0"/>
          <w:divBdr>
            <w:top w:val="none" w:sz="0" w:space="0" w:color="auto"/>
            <w:left w:val="none" w:sz="0" w:space="0" w:color="auto"/>
            <w:bottom w:val="none" w:sz="0" w:space="0" w:color="auto"/>
            <w:right w:val="none" w:sz="0" w:space="0" w:color="auto"/>
          </w:divBdr>
        </w:div>
        <w:div w:id="878475405">
          <w:marLeft w:val="2520"/>
          <w:marRight w:val="0"/>
          <w:marTop w:val="77"/>
          <w:marBottom w:val="0"/>
          <w:divBdr>
            <w:top w:val="none" w:sz="0" w:space="0" w:color="auto"/>
            <w:left w:val="none" w:sz="0" w:space="0" w:color="auto"/>
            <w:bottom w:val="none" w:sz="0" w:space="0" w:color="auto"/>
            <w:right w:val="none" w:sz="0" w:space="0" w:color="auto"/>
          </w:divBdr>
        </w:div>
        <w:div w:id="1870755382">
          <w:marLeft w:val="3240"/>
          <w:marRight w:val="0"/>
          <w:marTop w:val="72"/>
          <w:marBottom w:val="0"/>
          <w:divBdr>
            <w:top w:val="none" w:sz="0" w:space="0" w:color="auto"/>
            <w:left w:val="none" w:sz="0" w:space="0" w:color="auto"/>
            <w:bottom w:val="none" w:sz="0" w:space="0" w:color="auto"/>
            <w:right w:val="none" w:sz="0" w:space="0" w:color="auto"/>
          </w:divBdr>
        </w:div>
        <w:div w:id="612444253">
          <w:marLeft w:val="3240"/>
          <w:marRight w:val="0"/>
          <w:marTop w:val="72"/>
          <w:marBottom w:val="0"/>
          <w:divBdr>
            <w:top w:val="none" w:sz="0" w:space="0" w:color="auto"/>
            <w:left w:val="none" w:sz="0" w:space="0" w:color="auto"/>
            <w:bottom w:val="none" w:sz="0" w:space="0" w:color="auto"/>
            <w:right w:val="none" w:sz="0" w:space="0" w:color="auto"/>
          </w:divBdr>
        </w:div>
        <w:div w:id="231740859">
          <w:marLeft w:val="3240"/>
          <w:marRight w:val="0"/>
          <w:marTop w:val="72"/>
          <w:marBottom w:val="0"/>
          <w:divBdr>
            <w:top w:val="none" w:sz="0" w:space="0" w:color="auto"/>
            <w:left w:val="none" w:sz="0" w:space="0" w:color="auto"/>
            <w:bottom w:val="none" w:sz="0" w:space="0" w:color="auto"/>
            <w:right w:val="none" w:sz="0" w:space="0" w:color="auto"/>
          </w:divBdr>
        </w:div>
        <w:div w:id="1025134526">
          <w:marLeft w:val="1800"/>
          <w:marRight w:val="0"/>
          <w:marTop w:val="86"/>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4784600">
      <w:bodyDiv w:val="1"/>
      <w:marLeft w:val="0"/>
      <w:marRight w:val="0"/>
      <w:marTop w:val="0"/>
      <w:marBottom w:val="0"/>
      <w:divBdr>
        <w:top w:val="none" w:sz="0" w:space="0" w:color="auto"/>
        <w:left w:val="none" w:sz="0" w:space="0" w:color="auto"/>
        <w:bottom w:val="none" w:sz="0" w:space="0" w:color="auto"/>
        <w:right w:val="none" w:sz="0" w:space="0" w:color="auto"/>
      </w:divBdr>
      <w:divsChild>
        <w:div w:id="986205420">
          <w:marLeft w:val="547"/>
          <w:marRight w:val="0"/>
          <w:marTop w:val="101"/>
          <w:marBottom w:val="0"/>
          <w:divBdr>
            <w:top w:val="none" w:sz="0" w:space="0" w:color="auto"/>
            <w:left w:val="none" w:sz="0" w:space="0" w:color="auto"/>
            <w:bottom w:val="none" w:sz="0" w:space="0" w:color="auto"/>
            <w:right w:val="none" w:sz="0" w:space="0" w:color="auto"/>
          </w:divBdr>
        </w:div>
        <w:div w:id="431827766">
          <w:marLeft w:val="1800"/>
          <w:marRight w:val="0"/>
          <w:marTop w:val="91"/>
          <w:marBottom w:val="0"/>
          <w:divBdr>
            <w:top w:val="none" w:sz="0" w:space="0" w:color="auto"/>
            <w:left w:val="none" w:sz="0" w:space="0" w:color="auto"/>
            <w:bottom w:val="none" w:sz="0" w:space="0" w:color="auto"/>
            <w:right w:val="none" w:sz="0" w:space="0" w:color="auto"/>
          </w:divBdr>
        </w:div>
        <w:div w:id="1358579398">
          <w:marLeft w:val="1800"/>
          <w:marRight w:val="0"/>
          <w:marTop w:val="91"/>
          <w:marBottom w:val="0"/>
          <w:divBdr>
            <w:top w:val="none" w:sz="0" w:space="0" w:color="auto"/>
            <w:left w:val="none" w:sz="0" w:space="0" w:color="auto"/>
            <w:bottom w:val="none" w:sz="0" w:space="0" w:color="auto"/>
            <w:right w:val="none" w:sz="0" w:space="0" w:color="auto"/>
          </w:divBdr>
        </w:div>
        <w:div w:id="738408747">
          <w:marLeft w:val="2520"/>
          <w:marRight w:val="0"/>
          <w:marTop w:val="77"/>
          <w:marBottom w:val="0"/>
          <w:divBdr>
            <w:top w:val="none" w:sz="0" w:space="0" w:color="auto"/>
            <w:left w:val="none" w:sz="0" w:space="0" w:color="auto"/>
            <w:bottom w:val="none" w:sz="0" w:space="0" w:color="auto"/>
            <w:right w:val="none" w:sz="0" w:space="0" w:color="auto"/>
          </w:divBdr>
        </w:div>
        <w:div w:id="784731764">
          <w:marLeft w:val="1800"/>
          <w:marRight w:val="0"/>
          <w:marTop w:val="91"/>
          <w:marBottom w:val="0"/>
          <w:divBdr>
            <w:top w:val="none" w:sz="0" w:space="0" w:color="auto"/>
            <w:left w:val="none" w:sz="0" w:space="0" w:color="auto"/>
            <w:bottom w:val="none" w:sz="0" w:space="0" w:color="auto"/>
            <w:right w:val="none" w:sz="0" w:space="0" w:color="auto"/>
          </w:divBdr>
        </w:div>
        <w:div w:id="365109212">
          <w:marLeft w:val="1800"/>
          <w:marRight w:val="0"/>
          <w:marTop w:val="91"/>
          <w:marBottom w:val="0"/>
          <w:divBdr>
            <w:top w:val="none" w:sz="0" w:space="0" w:color="auto"/>
            <w:left w:val="none" w:sz="0" w:space="0" w:color="auto"/>
            <w:bottom w:val="none" w:sz="0" w:space="0" w:color="auto"/>
            <w:right w:val="none" w:sz="0" w:space="0" w:color="auto"/>
          </w:divBdr>
        </w:div>
      </w:divsChild>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1083?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1999/1260?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9E72-C0CA-48B0-A6E8-4BB415F6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3374</Words>
  <Characters>23388</Characters>
  <Application>Microsoft Office Word</Application>
  <DocSecurity>0</DocSecurity>
  <Lines>935</Lines>
  <Paragraphs>446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2009.gada 13.janvāra noteikumos Nr.44 „Noteikumi par darbības programmas „Infrastruktūra un pakalpojumi” papildinājuma 3.1.5.3.1.apakšaktivitāti „Stacionārās veselības aprūpes attīstība””” </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26316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13.janvāra noteikumos Nr.44 „Noteikumi par darbības programmas „Infrastruktūra un pakalpojumi” papildinājuma 3.1.5.3.1.apakšaktivitāti „Stacionārās veselības aprūpes attīstība””” sākotnējās ietekmes novērtējuma ziņojums (anotācija)</dc:title>
  <dc:subject>Anotācija</dc:subject>
  <dc:creator>Jānis Zalcmanis</dc:creator>
  <dc:description>J.Zalcmanis, 67 876 013
Janis.Zalcmanis@vm.gov.lv</dc:description>
  <cp:lastModifiedBy>jzalcmanis</cp:lastModifiedBy>
  <cp:revision>6</cp:revision>
  <cp:lastPrinted>2014-04-08T09:36:00Z</cp:lastPrinted>
  <dcterms:created xsi:type="dcterms:W3CDTF">2015-07-31T06:04:00Z</dcterms:created>
  <dcterms:modified xsi:type="dcterms:W3CDTF">2015-08-07T11:27:00Z</dcterms:modified>
</cp:coreProperties>
</file>