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2371" w:rsidRPr="00D601DC" w:rsidRDefault="00D12371" w:rsidP="005D73DE">
      <w:pPr>
        <w:pStyle w:val="naislab"/>
        <w:spacing w:before="0" w:beforeAutospacing="0" w:after="0" w:afterAutospacing="0"/>
        <w:jc w:val="center"/>
        <w:rPr>
          <w:b/>
          <w:lang w:val="lv-LV"/>
        </w:rPr>
      </w:pPr>
      <w:r w:rsidRPr="00D601DC">
        <w:rPr>
          <w:b/>
          <w:lang w:val="lv-LV"/>
        </w:rPr>
        <w:t>Ministru kabineta noteikumu projekta</w:t>
      </w:r>
    </w:p>
    <w:p w:rsidR="00D12371" w:rsidRPr="00D601DC" w:rsidRDefault="002669C3" w:rsidP="005D73DE">
      <w:pPr>
        <w:jc w:val="center"/>
        <w:rPr>
          <w:lang w:val="lv-LV"/>
        </w:rPr>
      </w:pPr>
      <w:r w:rsidRPr="00D601DC">
        <w:rPr>
          <w:b/>
          <w:bCs/>
          <w:lang w:val="lv-LV"/>
        </w:rPr>
        <w:t>„</w:t>
      </w:r>
      <w:bookmarkStart w:id="0" w:name="OLE_LINK7"/>
      <w:bookmarkStart w:id="1" w:name="OLE_LINK8"/>
      <w:r w:rsidR="00411A5B" w:rsidRPr="00D601DC">
        <w:rPr>
          <w:b/>
          <w:bCs/>
          <w:lang w:val="lv-LV"/>
        </w:rPr>
        <w:t>Grozījum</w:t>
      </w:r>
      <w:r w:rsidR="00E95CED" w:rsidRPr="00D601DC">
        <w:rPr>
          <w:b/>
          <w:bCs/>
          <w:lang w:val="lv-LV"/>
        </w:rPr>
        <w:t>i</w:t>
      </w:r>
      <w:r w:rsidR="00411A5B" w:rsidRPr="00D601DC">
        <w:rPr>
          <w:b/>
          <w:bCs/>
          <w:lang w:val="lv-LV"/>
        </w:rPr>
        <w:t xml:space="preserve"> Ministru kabineta 2013.gada </w:t>
      </w:r>
      <w:r w:rsidR="00411A5B" w:rsidRPr="00D601DC">
        <w:rPr>
          <w:b/>
          <w:lang w:val="lv-LV"/>
        </w:rPr>
        <w:t>8.oktobra noteikumos Nr.1083</w:t>
      </w:r>
      <w:r w:rsidR="00411A5B" w:rsidRPr="00D601DC">
        <w:rPr>
          <w:b/>
          <w:bCs/>
          <w:lang w:val="lv-LV"/>
        </w:rPr>
        <w:t xml:space="preserve"> „Kārtība, kādā veicama samaksa par Pārtikas un veterinārā dienesta valsts uzraudzības un kontroles darbībām un maksas pakalpojumiem””</w:t>
      </w:r>
    </w:p>
    <w:p w:rsidR="00757B05" w:rsidRPr="00D601DC" w:rsidRDefault="00E61AD5" w:rsidP="005D73DE">
      <w:pPr>
        <w:pStyle w:val="naisf"/>
        <w:spacing w:before="0" w:beforeAutospacing="0" w:after="0" w:afterAutospacing="0"/>
        <w:jc w:val="center"/>
        <w:rPr>
          <w:b/>
          <w:lang w:val="lv-LV"/>
        </w:rPr>
      </w:pPr>
      <w:r w:rsidRPr="00D601DC">
        <w:rPr>
          <w:b/>
          <w:lang w:val="lv-LV"/>
        </w:rPr>
        <w:t xml:space="preserve">sākotnējās </w:t>
      </w:r>
      <w:r w:rsidR="00757B05" w:rsidRPr="00D601DC">
        <w:rPr>
          <w:b/>
          <w:lang w:val="lv-LV"/>
        </w:rPr>
        <w:t>ietekmes novērtējuma ziņojums</w:t>
      </w:r>
      <w:r w:rsidR="00757B05" w:rsidRPr="00D601DC">
        <w:rPr>
          <w:b/>
          <w:bCs/>
          <w:lang w:val="lv-LV"/>
        </w:rPr>
        <w:t xml:space="preserve"> (anotācija)</w:t>
      </w:r>
    </w:p>
    <w:p w:rsidR="00757B05" w:rsidRPr="00536C83" w:rsidRDefault="00757B05" w:rsidP="005D73DE">
      <w:pPr>
        <w:pStyle w:val="naisf"/>
        <w:spacing w:before="0" w:beforeAutospacing="0" w:after="0" w:afterAutospacing="0"/>
        <w:rPr>
          <w:lang w:val="lv-LV"/>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456"/>
        <w:gridCol w:w="2552"/>
        <w:gridCol w:w="6125"/>
      </w:tblGrid>
      <w:tr w:rsidR="005D73DE" w:rsidRPr="005358F3" w:rsidTr="00CA1F22">
        <w:tc>
          <w:tcPr>
            <w:tcW w:w="0" w:type="auto"/>
            <w:gridSpan w:val="3"/>
            <w:vAlign w:val="center"/>
          </w:tcPr>
          <w:bookmarkEnd w:id="0"/>
          <w:bookmarkEnd w:id="1"/>
          <w:p w:rsidR="00A162FE" w:rsidRPr="00536C83" w:rsidRDefault="00A162FE" w:rsidP="005D73DE">
            <w:pPr>
              <w:jc w:val="center"/>
              <w:rPr>
                <w:b/>
                <w:bCs/>
                <w:lang w:val="lv-LV" w:eastAsia="lv-LV"/>
              </w:rPr>
            </w:pPr>
            <w:r w:rsidRPr="00D601DC">
              <w:rPr>
                <w:b/>
                <w:bCs/>
                <w:lang w:val="lv-LV" w:eastAsia="lv-LV"/>
              </w:rPr>
              <w:t>I. Tiesību akta projekta izstrādes nepieciešamība</w:t>
            </w:r>
          </w:p>
        </w:tc>
      </w:tr>
      <w:tr w:rsidR="005D73DE" w:rsidRPr="005B26B8" w:rsidTr="00C21DCA">
        <w:tc>
          <w:tcPr>
            <w:tcW w:w="250" w:type="pct"/>
          </w:tcPr>
          <w:p w:rsidR="00A162FE" w:rsidRPr="00692F5C" w:rsidRDefault="00A162FE" w:rsidP="00C21DCA">
            <w:pPr>
              <w:jc w:val="center"/>
              <w:rPr>
                <w:lang w:val="lv-LV" w:eastAsia="lv-LV"/>
              </w:rPr>
            </w:pPr>
            <w:r w:rsidRPr="00692F5C">
              <w:rPr>
                <w:lang w:val="lv-LV" w:eastAsia="lv-LV"/>
              </w:rPr>
              <w:t>1.</w:t>
            </w:r>
          </w:p>
        </w:tc>
        <w:tc>
          <w:tcPr>
            <w:tcW w:w="1397" w:type="pct"/>
          </w:tcPr>
          <w:p w:rsidR="00A162FE" w:rsidRPr="00692F5C" w:rsidRDefault="00A162FE" w:rsidP="005D73DE">
            <w:pPr>
              <w:jc w:val="both"/>
              <w:rPr>
                <w:lang w:val="lv-LV" w:eastAsia="lv-LV"/>
              </w:rPr>
            </w:pPr>
            <w:r w:rsidRPr="00692F5C">
              <w:rPr>
                <w:lang w:val="lv-LV" w:eastAsia="lv-LV"/>
              </w:rPr>
              <w:t>Pamatojums</w:t>
            </w:r>
          </w:p>
        </w:tc>
        <w:tc>
          <w:tcPr>
            <w:tcW w:w="3353" w:type="pct"/>
          </w:tcPr>
          <w:p w:rsidR="00A162FE" w:rsidRPr="00692F5C" w:rsidRDefault="001A4443" w:rsidP="005D73DE">
            <w:pPr>
              <w:jc w:val="both"/>
              <w:rPr>
                <w:lang w:val="lv-LV"/>
              </w:rPr>
            </w:pPr>
            <w:r w:rsidRPr="00692F5C">
              <w:rPr>
                <w:lang w:val="lv-LV"/>
              </w:rPr>
              <w:t>Pārtikas aprites uzraudzības likuma 21.</w:t>
            </w:r>
            <w:r w:rsidRPr="00692F5C">
              <w:rPr>
                <w:vertAlign w:val="superscript"/>
                <w:lang w:val="lv-LV"/>
              </w:rPr>
              <w:t xml:space="preserve">1 </w:t>
            </w:r>
            <w:r w:rsidRPr="00692F5C">
              <w:rPr>
                <w:lang w:val="lv-LV"/>
              </w:rPr>
              <w:t xml:space="preserve">panta devītā daļa, Veterinārmedicīnas likuma 12.pants un </w:t>
            </w:r>
            <w:r w:rsidRPr="00692F5C">
              <w:rPr>
                <w:iCs/>
                <w:lang w:val="lv-LV"/>
              </w:rPr>
              <w:t xml:space="preserve">53.panta pirmās daļas 5.punkts, </w:t>
            </w:r>
            <w:r w:rsidRPr="00692F5C">
              <w:rPr>
                <w:lang w:val="lv-LV"/>
              </w:rPr>
              <w:t>Dzīvnieku barības aprites likuma 3.panta ceturtā daļa, Likuma par budžetu un finanšu vadību 5.panta devītā daļa un Farmācijas likuma 12.panta otrā daļa.</w:t>
            </w:r>
          </w:p>
        </w:tc>
      </w:tr>
      <w:tr w:rsidR="005D73DE" w:rsidRPr="005B26B8" w:rsidTr="00C21DCA">
        <w:tc>
          <w:tcPr>
            <w:tcW w:w="250" w:type="pct"/>
          </w:tcPr>
          <w:p w:rsidR="00A162FE" w:rsidRPr="00692F5C" w:rsidRDefault="00A162FE" w:rsidP="00C21DCA">
            <w:pPr>
              <w:jc w:val="center"/>
              <w:rPr>
                <w:lang w:val="lv-LV" w:eastAsia="lv-LV"/>
              </w:rPr>
            </w:pPr>
            <w:r w:rsidRPr="00692F5C">
              <w:rPr>
                <w:lang w:val="lv-LV" w:eastAsia="lv-LV"/>
              </w:rPr>
              <w:t>2.</w:t>
            </w:r>
          </w:p>
        </w:tc>
        <w:tc>
          <w:tcPr>
            <w:tcW w:w="1397" w:type="pct"/>
          </w:tcPr>
          <w:p w:rsidR="00A162FE" w:rsidRPr="00692F5C" w:rsidRDefault="00A162FE" w:rsidP="005D73DE">
            <w:pPr>
              <w:jc w:val="both"/>
              <w:rPr>
                <w:lang w:val="lv-LV" w:eastAsia="lv-LV"/>
              </w:rPr>
            </w:pPr>
            <w:r w:rsidRPr="00692F5C">
              <w:rPr>
                <w:lang w:val="lv-LV" w:eastAsia="lv-LV"/>
              </w:rPr>
              <w:t xml:space="preserve">Pašreizējā situācija </w:t>
            </w:r>
            <w:r w:rsidR="006A073E" w:rsidRPr="00692F5C">
              <w:rPr>
                <w:lang w:val="lv-LV"/>
              </w:rPr>
              <w:t>un problēmas, kuru risināšanai tiesību akta projekts izstrādāts, tiesiskā regulējuma mērķis un būtība</w:t>
            </w:r>
          </w:p>
        </w:tc>
        <w:tc>
          <w:tcPr>
            <w:tcW w:w="3353" w:type="pct"/>
          </w:tcPr>
          <w:p w:rsidR="00585BD7" w:rsidRPr="00692F5C" w:rsidRDefault="008C16A5" w:rsidP="005D73DE">
            <w:pPr>
              <w:jc w:val="both"/>
              <w:rPr>
                <w:lang w:val="lv-LV"/>
              </w:rPr>
            </w:pPr>
            <w:r w:rsidRPr="00692F5C">
              <w:rPr>
                <w:lang w:val="lv-LV"/>
              </w:rPr>
              <w:t xml:space="preserve">Patlaban ir spēkā </w:t>
            </w:r>
            <w:r w:rsidRPr="00692F5C">
              <w:rPr>
                <w:bCs/>
                <w:lang w:val="lv-LV"/>
              </w:rPr>
              <w:t xml:space="preserve">Ministru kabineta 2013.gada </w:t>
            </w:r>
            <w:r w:rsidRPr="00692F5C">
              <w:rPr>
                <w:lang w:val="lv-LV"/>
              </w:rPr>
              <w:t>8.oktobra noteikumi Nr.1083</w:t>
            </w:r>
            <w:r w:rsidRPr="00692F5C">
              <w:rPr>
                <w:bCs/>
                <w:lang w:val="lv-LV"/>
              </w:rPr>
              <w:t xml:space="preserve"> „Kārtība, kādā veicama samaksa par Pārtikas un veterinārā dienesta valsts uzraudzības un kontroles darbībām un maksas pakalpojumiem” (turpmāk – noteikumi Nr.1083), kuros nepieciešams </w:t>
            </w:r>
            <w:r w:rsidR="00C82307">
              <w:rPr>
                <w:bCs/>
                <w:lang w:val="lv-LV"/>
              </w:rPr>
              <w:t>izdarīt</w:t>
            </w:r>
            <w:r w:rsidRPr="00692F5C">
              <w:rPr>
                <w:bCs/>
                <w:lang w:val="lv-LV"/>
              </w:rPr>
              <w:t xml:space="preserve"> grozījumus.</w:t>
            </w:r>
          </w:p>
          <w:p w:rsidR="00A20B75" w:rsidRPr="004D0365" w:rsidRDefault="008C16A5" w:rsidP="004F6188">
            <w:pPr>
              <w:jc w:val="both"/>
              <w:rPr>
                <w:lang w:val="lv-LV"/>
              </w:rPr>
            </w:pPr>
            <w:r w:rsidRPr="00692F5C">
              <w:rPr>
                <w:lang w:val="lv-LV"/>
              </w:rPr>
              <w:t xml:space="preserve">1. Par Pārtikas un veterinārā dienesta (turpmāk – PVD) veiktajām </w:t>
            </w:r>
            <w:r w:rsidRPr="00692F5C">
              <w:rPr>
                <w:bCs/>
                <w:szCs w:val="28"/>
                <w:lang w:val="lv-LV"/>
              </w:rPr>
              <w:t>uzraudzības un kontroles darbībām un maksas pakalpojumiem</w:t>
            </w:r>
            <w:r w:rsidRPr="00692F5C">
              <w:rPr>
                <w:lang w:val="lv-LV"/>
              </w:rPr>
              <w:t xml:space="preserve"> tiek sagatavoti rēķini. Daļa pakalpojuma ņēmēju rēķinu par sniegtajiem pakalpojumiem </w:t>
            </w:r>
            <w:r w:rsidR="00C82307" w:rsidRPr="00692F5C">
              <w:rPr>
                <w:lang w:val="lv-LV"/>
              </w:rPr>
              <w:t xml:space="preserve">izvēlas saņemt </w:t>
            </w:r>
            <w:r w:rsidRPr="00692F5C">
              <w:rPr>
                <w:lang w:val="lv-LV"/>
              </w:rPr>
              <w:t xml:space="preserve">pa pastu. Tāpat </w:t>
            </w:r>
            <w:r w:rsidRPr="004D0365">
              <w:rPr>
                <w:lang w:val="lv-LV"/>
              </w:rPr>
              <w:t>arī uzņēmumu reģistrācijas apliecības tiek pieprasīts nosūtīt pa pastu. N</w:t>
            </w:r>
            <w:r w:rsidRPr="004D0365">
              <w:rPr>
                <w:bCs/>
                <w:lang w:val="lv-LV"/>
              </w:rPr>
              <w:t>oteikum</w:t>
            </w:r>
            <w:r w:rsidR="00C82307" w:rsidRPr="004D0365">
              <w:rPr>
                <w:bCs/>
                <w:lang w:val="lv-LV"/>
              </w:rPr>
              <w:t>os</w:t>
            </w:r>
            <w:r w:rsidRPr="004D0365">
              <w:rPr>
                <w:bCs/>
                <w:lang w:val="lv-LV"/>
              </w:rPr>
              <w:t xml:space="preserve"> Nr.1083 </w:t>
            </w:r>
            <w:r w:rsidR="00C82307" w:rsidRPr="004D0365">
              <w:rPr>
                <w:bCs/>
                <w:lang w:val="lv-LV"/>
              </w:rPr>
              <w:t>jā</w:t>
            </w:r>
            <w:r w:rsidR="00C82307" w:rsidRPr="004D0365">
              <w:rPr>
                <w:lang w:val="lv-LV"/>
              </w:rPr>
              <w:t>paredz</w:t>
            </w:r>
            <w:r w:rsidRPr="004D0365">
              <w:rPr>
                <w:lang w:val="lv-LV"/>
              </w:rPr>
              <w:t xml:space="preserve">, ka minētajos gadījumos PVD </w:t>
            </w:r>
            <w:r w:rsidR="0096052A" w:rsidRPr="004D0365">
              <w:rPr>
                <w:lang w:val="lv-LV"/>
              </w:rPr>
              <w:t>iekasē</w:t>
            </w:r>
            <w:r w:rsidRPr="004D0365">
              <w:rPr>
                <w:lang w:val="lv-LV"/>
              </w:rPr>
              <w:t xml:space="preserve"> maksu par pasta pakalpojumiem saskaņā ar </w:t>
            </w:r>
            <w:r w:rsidR="006F049B" w:rsidRPr="004D0365">
              <w:rPr>
                <w:lang w:val="lv-LV"/>
              </w:rPr>
              <w:t xml:space="preserve">attiecīgā pasta </w:t>
            </w:r>
            <w:r w:rsidR="00B50FB0" w:rsidRPr="004D0365">
              <w:rPr>
                <w:lang w:val="lv-LV"/>
              </w:rPr>
              <w:t>komersanta</w:t>
            </w:r>
            <w:r w:rsidR="006F049B" w:rsidRPr="004D0365">
              <w:rPr>
                <w:lang w:val="lv-LV"/>
              </w:rPr>
              <w:t xml:space="preserve"> tarifiem</w:t>
            </w:r>
            <w:r w:rsidRPr="004D0365">
              <w:rPr>
                <w:lang w:val="lv-LV"/>
              </w:rPr>
              <w:t>.</w:t>
            </w:r>
          </w:p>
          <w:p w:rsidR="00B56D80" w:rsidRPr="00B9264A" w:rsidRDefault="00B935D8" w:rsidP="00B9264A">
            <w:pPr>
              <w:jc w:val="both"/>
              <w:rPr>
                <w:lang w:val="lv-LV"/>
              </w:rPr>
            </w:pPr>
            <w:r w:rsidRPr="00692F5C">
              <w:rPr>
                <w:lang w:val="lv-LV"/>
              </w:rPr>
              <w:t>2</w:t>
            </w:r>
            <w:r w:rsidR="007F63F5" w:rsidRPr="00B9264A">
              <w:rPr>
                <w:lang w:val="lv-LV"/>
              </w:rPr>
              <w:t xml:space="preserve">. </w:t>
            </w:r>
            <w:r w:rsidR="00C82307">
              <w:rPr>
                <w:lang w:val="lv-LV"/>
              </w:rPr>
              <w:t>Patlaban</w:t>
            </w:r>
            <w:r w:rsidR="006A592A" w:rsidRPr="00B9264A">
              <w:rPr>
                <w:lang w:val="lv-LV"/>
              </w:rPr>
              <w:t xml:space="preserve"> noteiktā maksa par </w:t>
            </w:r>
            <w:r w:rsidR="00B9264A" w:rsidRPr="00B9264A">
              <w:rPr>
                <w:lang w:val="lv-LV"/>
              </w:rPr>
              <w:t xml:space="preserve">vienu </w:t>
            </w:r>
            <w:r w:rsidR="00545BDE">
              <w:rPr>
                <w:lang w:val="lv-LV"/>
              </w:rPr>
              <w:t>PVD</w:t>
            </w:r>
            <w:r w:rsidR="00B9264A" w:rsidRPr="00B9264A">
              <w:rPr>
                <w:lang w:val="lv-LV"/>
              </w:rPr>
              <w:t xml:space="preserve"> inspektora darba s</w:t>
            </w:r>
            <w:r w:rsidR="00C77515" w:rsidRPr="00B9264A">
              <w:rPr>
                <w:lang w:val="lv-LV"/>
              </w:rPr>
              <w:t>tund</w:t>
            </w:r>
            <w:r w:rsidR="00B9264A" w:rsidRPr="00B9264A">
              <w:rPr>
                <w:lang w:val="lv-LV"/>
              </w:rPr>
              <w:t xml:space="preserve">u </w:t>
            </w:r>
            <w:r w:rsidR="00B56D80" w:rsidRPr="00B9264A">
              <w:rPr>
                <w:lang w:val="lv-LV"/>
              </w:rPr>
              <w:t>ne</w:t>
            </w:r>
            <w:r w:rsidR="00B9264A" w:rsidRPr="00B9264A">
              <w:rPr>
                <w:lang w:val="lv-LV"/>
              </w:rPr>
              <w:t>sedz faktiskās stundas izmaksas, tāpēc šo maksu nepieciešams pa</w:t>
            </w:r>
            <w:r w:rsidR="005358F3">
              <w:rPr>
                <w:lang w:val="lv-LV"/>
              </w:rPr>
              <w:t>liel</w:t>
            </w:r>
            <w:r w:rsidR="00B9264A" w:rsidRPr="00B9264A">
              <w:rPr>
                <w:lang w:val="lv-LV"/>
              </w:rPr>
              <w:t>ināt.</w:t>
            </w:r>
          </w:p>
          <w:p w:rsidR="00B56D80" w:rsidRPr="00B9264A" w:rsidRDefault="00B9264A" w:rsidP="005D73DE">
            <w:pPr>
              <w:jc w:val="both"/>
              <w:rPr>
                <w:lang w:val="lv-LV"/>
              </w:rPr>
            </w:pPr>
            <w:r w:rsidRPr="00B9264A">
              <w:rPr>
                <w:bCs/>
                <w:lang w:val="lv-LV"/>
              </w:rPr>
              <w:t>Laikā no 2008.gada 1.janvāra līdz 2010.gada 24.martam</w:t>
            </w:r>
            <w:r w:rsidRPr="00B9264A">
              <w:rPr>
                <w:lang w:val="lv-LV"/>
              </w:rPr>
              <w:t xml:space="preserve"> </w:t>
            </w:r>
            <w:r w:rsidRPr="00B9264A">
              <w:rPr>
                <w:bCs/>
                <w:lang w:val="lv-LV"/>
              </w:rPr>
              <w:t>maksa par vienu inspektora darba stundu bija noteikta Ls 9,50 (EUR 13,52) apmērā. No 2010.gada 25.marta maksa noteikta Ls 7,50 (EUR 10,67) apmērā.</w:t>
            </w:r>
          </w:p>
          <w:p w:rsidR="00FE2D06" w:rsidRPr="000A1D16" w:rsidRDefault="00272625" w:rsidP="00272625">
            <w:pPr>
              <w:jc w:val="both"/>
              <w:rPr>
                <w:lang w:val="lv-LV"/>
              </w:rPr>
            </w:pPr>
            <w:r w:rsidRPr="00B9264A">
              <w:rPr>
                <w:lang w:val="lv-LV"/>
              </w:rPr>
              <w:t>Maks</w:t>
            </w:r>
            <w:r w:rsidR="004E7E2B" w:rsidRPr="00B9264A">
              <w:rPr>
                <w:lang w:val="lv-LV"/>
              </w:rPr>
              <w:t>u</w:t>
            </w:r>
            <w:r w:rsidRPr="00B9264A">
              <w:rPr>
                <w:lang w:val="lv-LV"/>
              </w:rPr>
              <w:t xml:space="preserve"> par vienu inspektora</w:t>
            </w:r>
            <w:r w:rsidRPr="00B9264A">
              <w:rPr>
                <w:szCs w:val="22"/>
                <w:lang w:val="lv-LV"/>
              </w:rPr>
              <w:t xml:space="preserve"> </w:t>
            </w:r>
            <w:r w:rsidRPr="00E423CE">
              <w:rPr>
                <w:szCs w:val="22"/>
                <w:lang w:val="lv-LV"/>
              </w:rPr>
              <w:t xml:space="preserve">darba stundu </w:t>
            </w:r>
            <w:r w:rsidR="004E7E2B" w:rsidRPr="00E423CE">
              <w:rPr>
                <w:szCs w:val="22"/>
                <w:lang w:val="lv-LV"/>
              </w:rPr>
              <w:t xml:space="preserve">plānots </w:t>
            </w:r>
            <w:r w:rsidRPr="00E423CE">
              <w:rPr>
                <w:szCs w:val="22"/>
                <w:lang w:val="lv-LV"/>
              </w:rPr>
              <w:t>pa</w:t>
            </w:r>
            <w:r w:rsidR="005358F3">
              <w:rPr>
                <w:szCs w:val="22"/>
                <w:lang w:val="lv-LV"/>
              </w:rPr>
              <w:t>liel</w:t>
            </w:r>
            <w:r w:rsidRPr="00E423CE">
              <w:rPr>
                <w:szCs w:val="22"/>
                <w:lang w:val="lv-LV"/>
              </w:rPr>
              <w:t xml:space="preserve">ināt par 0,98 </w:t>
            </w:r>
            <w:r w:rsidR="004E7E2B" w:rsidRPr="00E423CE">
              <w:rPr>
                <w:i/>
                <w:szCs w:val="22"/>
                <w:lang w:val="lv-LV"/>
              </w:rPr>
              <w:t>euro</w:t>
            </w:r>
            <w:r w:rsidRPr="00E423CE">
              <w:rPr>
                <w:szCs w:val="22"/>
                <w:lang w:val="lv-LV"/>
              </w:rPr>
              <w:t xml:space="preserve">. </w:t>
            </w:r>
            <w:r w:rsidR="004E7E2B" w:rsidRPr="00E423CE">
              <w:rPr>
                <w:szCs w:val="22"/>
                <w:lang w:val="lv-LV"/>
              </w:rPr>
              <w:t>Tas a</w:t>
            </w:r>
            <w:r w:rsidRPr="00E423CE">
              <w:rPr>
                <w:szCs w:val="22"/>
                <w:lang w:val="lv-LV"/>
              </w:rPr>
              <w:t>ttiecas uz veterināro sertifikātu sagatavošanu, jaunu uzņēmumu atzīšanu, reģistrāciju, atkārtotām pārbaudēm neatbilstību gadījumos</w:t>
            </w:r>
            <w:r w:rsidR="00C82307">
              <w:rPr>
                <w:szCs w:val="22"/>
                <w:lang w:val="lv-LV"/>
              </w:rPr>
              <w:t xml:space="preserve"> un</w:t>
            </w:r>
            <w:r w:rsidR="00B23671">
              <w:rPr>
                <w:szCs w:val="22"/>
                <w:lang w:val="lv-LV"/>
              </w:rPr>
              <w:t xml:space="preserve"> oficiālo papildu kontroli</w:t>
            </w:r>
            <w:r w:rsidRPr="00E423CE">
              <w:rPr>
                <w:szCs w:val="22"/>
                <w:lang w:val="lv-LV"/>
              </w:rPr>
              <w:t xml:space="preserve">. </w:t>
            </w:r>
            <w:r w:rsidR="00731A44" w:rsidRPr="00731A44">
              <w:rPr>
                <w:lang w:val="lv-LV"/>
              </w:rPr>
              <w:t xml:space="preserve">Par plānveida pārbaudēm </w:t>
            </w:r>
            <w:r w:rsidR="00731A44">
              <w:rPr>
                <w:lang w:val="lv-LV"/>
              </w:rPr>
              <w:t xml:space="preserve">maksa netiek </w:t>
            </w:r>
            <w:r w:rsidR="00731A44" w:rsidRPr="00731A44">
              <w:rPr>
                <w:lang w:val="lv-LV"/>
              </w:rPr>
              <w:t>iekasēta</w:t>
            </w:r>
            <w:r w:rsidR="00731A44">
              <w:rPr>
                <w:lang w:val="lv-LV"/>
              </w:rPr>
              <w:t xml:space="preserve"> </w:t>
            </w:r>
            <w:r w:rsidR="00C82307">
              <w:rPr>
                <w:lang w:val="lv-LV"/>
              </w:rPr>
              <w:t xml:space="preserve">un </w:t>
            </w:r>
            <w:r w:rsidR="00731A44">
              <w:rPr>
                <w:lang w:val="lv-LV"/>
              </w:rPr>
              <w:t>izmaksas tiek segtas no valsts budžeta.</w:t>
            </w:r>
            <w:r w:rsidR="00731A44" w:rsidRPr="00731A44">
              <w:rPr>
                <w:lang w:val="lv-LV"/>
              </w:rPr>
              <w:t xml:space="preserve"> </w:t>
            </w:r>
            <w:r w:rsidR="00FE2D06" w:rsidRPr="00FE2D06">
              <w:rPr>
                <w:lang w:val="lv-LV"/>
              </w:rPr>
              <w:t xml:space="preserve">Inspektora vienas darba stundas izmaksas ietver inspektora darba samaksu, darba devēja valsts sociālās apdrošināšanas obligātās iemaksas, vienreizlietojamos apģērbus, autotransporta nomu un netiešās izmaksas (saziņas līdzekļu izmantošana, kancelejas preces, mērinstrumentu kalibrēšana, transportlīdzekļu uzturēšana, telpu uzturēšanas izdevumi u.tml.). Tā kā inspektoru darbs sastāv gan no plānveida pārbaudēm, gan arī no tāda veida pārbaudēm, par kurām ir iekasējama samaksa, inspektoram izmaksājamā alga arī tiek segta no diviem avotiem – no </w:t>
            </w:r>
            <w:r w:rsidR="00FE2D06">
              <w:rPr>
                <w:lang w:val="lv-LV"/>
              </w:rPr>
              <w:t xml:space="preserve">valsts budžeta </w:t>
            </w:r>
            <w:r w:rsidR="00FE2D06" w:rsidRPr="00FE2D06">
              <w:rPr>
                <w:lang w:val="lv-LV"/>
              </w:rPr>
              <w:t>dotācijas un no maks</w:t>
            </w:r>
            <w:r w:rsidR="00C82307">
              <w:rPr>
                <w:lang w:val="lv-LV"/>
              </w:rPr>
              <w:t>as</w:t>
            </w:r>
            <w:r w:rsidR="00FE2D06" w:rsidRPr="00FE2D06">
              <w:rPr>
                <w:lang w:val="lv-LV"/>
              </w:rPr>
              <w:t xml:space="preserve"> par sniegtajiem pakalpojumiem. </w:t>
            </w:r>
          </w:p>
          <w:p w:rsidR="00272625" w:rsidRPr="004D0365" w:rsidRDefault="00272625" w:rsidP="00272625">
            <w:pPr>
              <w:jc w:val="both"/>
              <w:rPr>
                <w:szCs w:val="22"/>
                <w:lang w:val="lv-LV"/>
              </w:rPr>
            </w:pPr>
            <w:r w:rsidRPr="00E423CE">
              <w:rPr>
                <w:szCs w:val="22"/>
                <w:lang w:val="lv-LV"/>
              </w:rPr>
              <w:t>Attiecīgi jāpalielina arī maksa par inspektoru darbu brīvdienās,</w:t>
            </w:r>
            <w:r w:rsidR="00247C5B">
              <w:rPr>
                <w:szCs w:val="22"/>
                <w:lang w:val="lv-LV"/>
              </w:rPr>
              <w:t xml:space="preserve"> </w:t>
            </w:r>
            <w:r w:rsidR="00247C5B">
              <w:rPr>
                <w:szCs w:val="22"/>
                <w:lang w:val="lv-LV"/>
              </w:rPr>
              <w:lastRenderedPageBreak/>
              <w:t xml:space="preserve">svētku </w:t>
            </w:r>
            <w:r w:rsidR="00247C5B" w:rsidRPr="004D0365">
              <w:rPr>
                <w:szCs w:val="22"/>
                <w:lang w:val="lv-LV"/>
              </w:rPr>
              <w:t>dienās un nakts stundās, lai varētu nodrošināt darba samaks</w:t>
            </w:r>
            <w:r w:rsidR="007652EA" w:rsidRPr="004D0365">
              <w:rPr>
                <w:szCs w:val="22"/>
                <w:lang w:val="lv-LV"/>
              </w:rPr>
              <w:t>u</w:t>
            </w:r>
            <w:r w:rsidR="00247C5B" w:rsidRPr="004D0365">
              <w:rPr>
                <w:szCs w:val="22"/>
                <w:lang w:val="lv-LV"/>
              </w:rPr>
              <w:t xml:space="preserve"> atbilstoši </w:t>
            </w:r>
            <w:r w:rsidR="007652EA" w:rsidRPr="004D0365">
              <w:rPr>
                <w:szCs w:val="22"/>
                <w:lang w:val="lv-LV"/>
              </w:rPr>
              <w:t>normatīvajos aktos noteiktajam.</w:t>
            </w:r>
            <w:r w:rsidR="00247C5B" w:rsidRPr="004D0365">
              <w:rPr>
                <w:szCs w:val="22"/>
                <w:lang w:val="lv-LV"/>
              </w:rPr>
              <w:t xml:space="preserve"> </w:t>
            </w:r>
          </w:p>
          <w:p w:rsidR="00272625" w:rsidRPr="00FB7A12" w:rsidRDefault="00272625" w:rsidP="00FB7A12">
            <w:pPr>
              <w:jc w:val="both"/>
              <w:rPr>
                <w:lang w:val="lv-LV"/>
              </w:rPr>
            </w:pPr>
            <w:r w:rsidRPr="004D0365">
              <w:rPr>
                <w:lang w:val="lv-LV"/>
              </w:rPr>
              <w:t>Tāpat sai</w:t>
            </w:r>
            <w:r w:rsidR="00692F5C" w:rsidRPr="004D0365">
              <w:rPr>
                <w:lang w:val="lv-LV"/>
              </w:rPr>
              <w:t>s</w:t>
            </w:r>
            <w:r w:rsidRPr="004D0365">
              <w:rPr>
                <w:lang w:val="lv-LV"/>
              </w:rPr>
              <w:t>tībā ar inspektora darba stundas</w:t>
            </w:r>
            <w:r w:rsidRPr="00692F5C">
              <w:rPr>
                <w:lang w:val="lv-LV"/>
              </w:rPr>
              <w:t xml:space="preserve"> maksas pa</w:t>
            </w:r>
            <w:r w:rsidR="00C82307">
              <w:rPr>
                <w:lang w:val="lv-LV"/>
              </w:rPr>
              <w:t>liel</w:t>
            </w:r>
            <w:r w:rsidRPr="00692F5C">
              <w:rPr>
                <w:lang w:val="lv-LV"/>
              </w:rPr>
              <w:t>ināšanu jāgroza maksa par tām dienesta veiktajām darbībām, kur</w:t>
            </w:r>
            <w:r w:rsidR="00692F5C">
              <w:rPr>
                <w:lang w:val="lv-LV"/>
              </w:rPr>
              <w:t xml:space="preserve">ām maksa aprēķināta </w:t>
            </w:r>
            <w:r w:rsidR="00C82307">
              <w:rPr>
                <w:lang w:val="lv-LV"/>
              </w:rPr>
              <w:t xml:space="preserve">atbilstoši </w:t>
            </w:r>
            <w:r w:rsidR="00692F5C">
              <w:rPr>
                <w:lang w:val="lv-LV"/>
              </w:rPr>
              <w:t>darbība</w:t>
            </w:r>
            <w:r w:rsidR="00C82307">
              <w:rPr>
                <w:lang w:val="lv-LV"/>
              </w:rPr>
              <w:t>i</w:t>
            </w:r>
            <w:r w:rsidR="00692F5C">
              <w:rPr>
                <w:lang w:val="lv-LV"/>
              </w:rPr>
              <w:t xml:space="preserve"> nepieciešam</w:t>
            </w:r>
            <w:r w:rsidR="00C82307">
              <w:rPr>
                <w:lang w:val="lv-LV"/>
              </w:rPr>
              <w:t>ajam</w:t>
            </w:r>
            <w:r w:rsidR="00692F5C">
              <w:rPr>
                <w:lang w:val="lv-LV"/>
              </w:rPr>
              <w:t xml:space="preserve"> laik</w:t>
            </w:r>
            <w:r w:rsidR="00C82307">
              <w:rPr>
                <w:lang w:val="lv-LV"/>
              </w:rPr>
              <w:t>am, t.i., par</w:t>
            </w:r>
            <w:r w:rsidR="00692F5C">
              <w:rPr>
                <w:lang w:val="lv-LV"/>
              </w:rPr>
              <w:t xml:space="preserve"> </w:t>
            </w:r>
            <w:r w:rsidR="000B33A4">
              <w:rPr>
                <w:lang w:val="lv-LV"/>
              </w:rPr>
              <w:t>s</w:t>
            </w:r>
            <w:r w:rsidR="00C62561" w:rsidRPr="00C62561">
              <w:rPr>
                <w:lang w:val="lv-LV"/>
              </w:rPr>
              <w:t>ēņu un meža ogu sertifikāta sagatavošan</w:t>
            </w:r>
            <w:r w:rsidR="00C82307">
              <w:rPr>
                <w:lang w:val="lv-LV"/>
              </w:rPr>
              <w:t>u</w:t>
            </w:r>
            <w:r w:rsidR="00C62561" w:rsidRPr="00C62561">
              <w:rPr>
                <w:lang w:val="lv-LV"/>
              </w:rPr>
              <w:t xml:space="preserve"> un izsniegšan</w:t>
            </w:r>
            <w:r w:rsidR="00C82307">
              <w:rPr>
                <w:lang w:val="lv-LV"/>
              </w:rPr>
              <w:t>u</w:t>
            </w:r>
            <w:r w:rsidR="00C62561" w:rsidRPr="00C62561">
              <w:rPr>
                <w:lang w:val="lv-LV"/>
              </w:rPr>
              <w:t xml:space="preserve"> (par kravu) (1.pielikuma 9.punkts)</w:t>
            </w:r>
            <w:r w:rsidR="000B2C7C">
              <w:rPr>
                <w:lang w:val="lv-LV"/>
              </w:rPr>
              <w:t>, a</w:t>
            </w:r>
            <w:r w:rsidR="000B2C7C" w:rsidRPr="000B2C7C">
              <w:rPr>
                <w:lang w:val="lv-LV"/>
              </w:rPr>
              <w:t>tbilstības sertifikāta vai kontroles apliecības sagatavošan</w:t>
            </w:r>
            <w:r w:rsidR="00C82307">
              <w:rPr>
                <w:lang w:val="lv-LV"/>
              </w:rPr>
              <w:t>u</w:t>
            </w:r>
            <w:r w:rsidR="000B2C7C" w:rsidRPr="000B2C7C">
              <w:rPr>
                <w:lang w:val="lv-LV"/>
              </w:rPr>
              <w:t xml:space="preserve"> par importēto vai eksportējamo svaigo augļu un dārzeņu atbilstību tirdzniecības standartiem un tā izsn</w:t>
            </w:r>
            <w:r w:rsidR="00456600">
              <w:rPr>
                <w:lang w:val="lv-LV"/>
              </w:rPr>
              <w:t>iegšanu (1.pielikuma 10.punkts), k</w:t>
            </w:r>
            <w:r w:rsidR="00456600" w:rsidRPr="00456600">
              <w:rPr>
                <w:lang w:val="lv-LV"/>
              </w:rPr>
              <w:t>ontroles apliecības sagatavošan</w:t>
            </w:r>
            <w:r w:rsidR="00C82307">
              <w:rPr>
                <w:lang w:val="lv-LV"/>
              </w:rPr>
              <w:t>u</w:t>
            </w:r>
            <w:r w:rsidR="00456600" w:rsidRPr="00456600">
              <w:rPr>
                <w:lang w:val="lv-LV"/>
              </w:rPr>
              <w:t xml:space="preserve"> par atkārtotu svaigu augļu un dārzeņu atbilstības novērtēšanu tirdzniecības standartiem (par neatbilstošo produkta partiju atkarībā no tās svara) un tās izsn</w:t>
            </w:r>
            <w:r w:rsidR="00981B57">
              <w:rPr>
                <w:lang w:val="lv-LV"/>
              </w:rPr>
              <w:t>iegšan</w:t>
            </w:r>
            <w:r w:rsidR="00C82307">
              <w:rPr>
                <w:lang w:val="lv-LV"/>
              </w:rPr>
              <w:t>u</w:t>
            </w:r>
            <w:r w:rsidR="00981B57">
              <w:rPr>
                <w:lang w:val="lv-LV"/>
              </w:rPr>
              <w:t xml:space="preserve"> (1.pielikuma 11.punkts), a</w:t>
            </w:r>
            <w:r w:rsidR="00981B57" w:rsidRPr="00981B57">
              <w:rPr>
                <w:lang w:val="lv-LV"/>
              </w:rPr>
              <w:t>r preču un produktu robežkontroli saistīta apliecinājuma vai sertifikāta sagatavošan</w:t>
            </w:r>
            <w:r w:rsidR="00C82307">
              <w:rPr>
                <w:lang w:val="lv-LV"/>
              </w:rPr>
              <w:t>u</w:t>
            </w:r>
            <w:r w:rsidR="00981B57" w:rsidRPr="00981B57">
              <w:rPr>
                <w:lang w:val="lv-LV"/>
              </w:rPr>
              <w:t xml:space="preserve"> un izsniegšan</w:t>
            </w:r>
            <w:r w:rsidR="00C82307">
              <w:rPr>
                <w:lang w:val="lv-LV"/>
              </w:rPr>
              <w:t>u</w:t>
            </w:r>
            <w:r w:rsidR="00981B57" w:rsidRPr="00981B57">
              <w:rPr>
                <w:lang w:val="lv-LV"/>
              </w:rPr>
              <w:t xml:space="preserve"> vai sertifikāta izraksta apstiprināšan</w:t>
            </w:r>
            <w:r w:rsidR="00C82307">
              <w:rPr>
                <w:lang w:val="lv-LV"/>
              </w:rPr>
              <w:t>u</w:t>
            </w:r>
            <w:r w:rsidR="00981B57" w:rsidRPr="00981B57">
              <w:rPr>
                <w:lang w:val="lv-LV"/>
              </w:rPr>
              <w:t xml:space="preserve"> (par kravu) (1.pieliku</w:t>
            </w:r>
            <w:r w:rsidR="003C55AD">
              <w:rPr>
                <w:lang w:val="lv-LV"/>
              </w:rPr>
              <w:t>ma 17.punkts), d</w:t>
            </w:r>
            <w:r w:rsidR="003C55AD" w:rsidRPr="003C55AD">
              <w:rPr>
                <w:lang w:val="lv-LV"/>
              </w:rPr>
              <w:t>ažādu ar uzraudzību un kontroli saistītu apliecinājumu, sertifikātu un izziņu sagatavošan</w:t>
            </w:r>
            <w:r w:rsidR="00C82307">
              <w:rPr>
                <w:lang w:val="lv-LV"/>
              </w:rPr>
              <w:t>u</w:t>
            </w:r>
            <w:r w:rsidR="003C55AD" w:rsidRPr="003C55AD">
              <w:rPr>
                <w:lang w:val="lv-LV"/>
              </w:rPr>
              <w:t xml:space="preserve"> un izsniegšan</w:t>
            </w:r>
            <w:r w:rsidR="00C82307">
              <w:rPr>
                <w:lang w:val="lv-LV"/>
              </w:rPr>
              <w:t>u</w:t>
            </w:r>
            <w:r w:rsidR="003C55AD" w:rsidRPr="003C55AD">
              <w:rPr>
                <w:lang w:val="lv-LV"/>
              </w:rPr>
              <w:t xml:space="preserve"> (ja nav nepieciešama speciāla uzraudzības objekta pārbaude vai citas darbības (laboratoriskie izmeklējumi)) (1.pielikuma 19.punkts)</w:t>
            </w:r>
            <w:r w:rsidR="00FE59D8">
              <w:rPr>
                <w:lang w:val="lv-LV"/>
              </w:rPr>
              <w:t>, a</w:t>
            </w:r>
            <w:r w:rsidR="00FE59D8" w:rsidRPr="00FE59D8">
              <w:rPr>
                <w:lang w:val="lv-LV"/>
              </w:rPr>
              <w:t>tzinum</w:t>
            </w:r>
            <w:r w:rsidR="00C82307">
              <w:rPr>
                <w:lang w:val="lv-LV"/>
              </w:rPr>
              <w:t>a</w:t>
            </w:r>
            <w:r w:rsidR="00FE59D8" w:rsidRPr="00FE59D8">
              <w:rPr>
                <w:lang w:val="lv-LV"/>
              </w:rPr>
              <w:t xml:space="preserve"> par mērījumu un testēšanas rezultātiem un ieteikumu sagatavošan</w:t>
            </w:r>
            <w:r w:rsidR="00C82307">
              <w:rPr>
                <w:lang w:val="lv-LV"/>
              </w:rPr>
              <w:t>u</w:t>
            </w:r>
            <w:r w:rsidR="00FE59D8" w:rsidRPr="00FE59D8">
              <w:rPr>
                <w:lang w:val="lv-LV"/>
              </w:rPr>
              <w:t xml:space="preserve"> turpmākai rīcībai (</w:t>
            </w:r>
            <w:r w:rsidR="00FE59D8" w:rsidRPr="00FB7A12">
              <w:rPr>
                <w:lang w:val="lv-LV"/>
              </w:rPr>
              <w:t>2.pielikuma 3.punkts)</w:t>
            </w:r>
            <w:r w:rsidR="004D3559" w:rsidRPr="00FB7A12">
              <w:rPr>
                <w:lang w:val="lv-LV"/>
              </w:rPr>
              <w:t>.</w:t>
            </w:r>
            <w:r w:rsidR="00154954" w:rsidRPr="00FB7A12">
              <w:rPr>
                <w:lang w:val="lv-LV"/>
              </w:rPr>
              <w:t xml:space="preserve"> </w:t>
            </w:r>
          </w:p>
          <w:p w:rsidR="00272625" w:rsidRPr="00FB7A12" w:rsidRDefault="00E00CF7" w:rsidP="00FB7A12">
            <w:pPr>
              <w:jc w:val="both"/>
              <w:rPr>
                <w:lang w:val="lv-LV"/>
              </w:rPr>
            </w:pPr>
            <w:r>
              <w:rPr>
                <w:lang w:val="lv-LV"/>
              </w:rPr>
              <w:t>3</w:t>
            </w:r>
            <w:r w:rsidR="004D3559" w:rsidRPr="00FB7A12">
              <w:rPr>
                <w:lang w:val="lv-LV"/>
              </w:rPr>
              <w:t xml:space="preserve">. </w:t>
            </w:r>
            <w:r w:rsidR="002A7DD8" w:rsidRPr="00FB7A12">
              <w:rPr>
                <w:lang w:val="lv-LV"/>
              </w:rPr>
              <w:t>Nepieciešams noteikt maksu par v</w:t>
            </w:r>
            <w:r w:rsidR="005857AF" w:rsidRPr="00FB7A12">
              <w:rPr>
                <w:lang w:val="lv-LV"/>
              </w:rPr>
              <w:t>eterinārā (ves</w:t>
            </w:r>
            <w:r w:rsidR="002A7DD8" w:rsidRPr="00FB7A12">
              <w:rPr>
                <w:lang w:val="lv-LV"/>
              </w:rPr>
              <w:t>elības) sertifikāta sagatavošanu</w:t>
            </w:r>
            <w:r w:rsidR="005857AF" w:rsidRPr="00FB7A12">
              <w:rPr>
                <w:lang w:val="lv-LV"/>
              </w:rPr>
              <w:t xml:space="preserve"> un izsniegšan</w:t>
            </w:r>
            <w:r w:rsidR="002A7DD8" w:rsidRPr="00FB7A12">
              <w:rPr>
                <w:lang w:val="lv-LV"/>
              </w:rPr>
              <w:t>u</w:t>
            </w:r>
            <w:r w:rsidR="005857AF" w:rsidRPr="00FB7A12">
              <w:rPr>
                <w:lang w:val="lv-LV"/>
              </w:rPr>
              <w:t xml:space="preserve"> mā</w:t>
            </w:r>
            <w:r w:rsidR="002A7DD8" w:rsidRPr="00FB7A12">
              <w:rPr>
                <w:lang w:val="lv-LV"/>
              </w:rPr>
              <w:t xml:space="preserve">jas (istabas) dzīvniekam </w:t>
            </w:r>
            <w:r w:rsidR="005857AF" w:rsidRPr="00FB7A12">
              <w:rPr>
                <w:lang w:val="lv-LV"/>
              </w:rPr>
              <w:t xml:space="preserve">(1.pielikuma </w:t>
            </w:r>
            <w:r w:rsidR="00B15754">
              <w:rPr>
                <w:lang w:val="lv-LV"/>
              </w:rPr>
              <w:t>3.</w:t>
            </w:r>
            <w:r w:rsidR="00B15754" w:rsidRPr="00B15754">
              <w:rPr>
                <w:vertAlign w:val="superscript"/>
                <w:lang w:val="lv-LV"/>
              </w:rPr>
              <w:t>1</w:t>
            </w:r>
            <w:r w:rsidR="005857AF" w:rsidRPr="00FB7A12">
              <w:rPr>
                <w:lang w:val="lv-LV"/>
              </w:rPr>
              <w:t xml:space="preserve"> punkts)</w:t>
            </w:r>
            <w:r w:rsidR="00FB7A12" w:rsidRPr="00FB7A12">
              <w:rPr>
                <w:lang w:val="lv-LV"/>
              </w:rPr>
              <w:t>, samazinot izmaksas šī pakalpojuma ņēmējiem (</w:t>
            </w:r>
            <w:r w:rsidR="00C82307">
              <w:rPr>
                <w:lang w:val="lv-LV"/>
              </w:rPr>
              <w:t>patlaban</w:t>
            </w:r>
            <w:r w:rsidR="00FB7A12" w:rsidRPr="00FB7A12">
              <w:rPr>
                <w:lang w:val="lv-LV"/>
              </w:rPr>
              <w:t xml:space="preserve"> noteikta vienota maksa par sertifikātu izsniegšanu visiem dzīvniekiem </w:t>
            </w:r>
            <w:r w:rsidR="00C82307">
              <w:rPr>
                <w:lang w:val="lv-LV"/>
              </w:rPr>
              <w:t xml:space="preserve">– gan </w:t>
            </w:r>
            <w:r w:rsidR="00FB7A12" w:rsidRPr="00FB7A12">
              <w:rPr>
                <w:lang w:val="lv-LV"/>
              </w:rPr>
              <w:t>mājas (istabas)</w:t>
            </w:r>
            <w:r w:rsidR="00C82307">
              <w:rPr>
                <w:lang w:val="lv-LV"/>
              </w:rPr>
              <w:t>, gan</w:t>
            </w:r>
            <w:r w:rsidR="00FB7A12" w:rsidRPr="00FB7A12">
              <w:rPr>
                <w:lang w:val="lv-LV"/>
              </w:rPr>
              <w:t xml:space="preserve"> lauksaimniecības</w:t>
            </w:r>
            <w:r w:rsidR="00C82307">
              <w:rPr>
                <w:lang w:val="lv-LV"/>
              </w:rPr>
              <w:t xml:space="preserve"> dzīvniekiem</w:t>
            </w:r>
            <w:r w:rsidR="00FB7A12" w:rsidRPr="00FB7A12">
              <w:rPr>
                <w:lang w:val="lv-LV"/>
              </w:rPr>
              <w:t>).</w:t>
            </w:r>
          </w:p>
          <w:p w:rsidR="00186473" w:rsidRPr="00BA32DE" w:rsidRDefault="00E00CF7" w:rsidP="00A20B75">
            <w:pPr>
              <w:jc w:val="both"/>
              <w:rPr>
                <w:lang w:val="lv-LV"/>
              </w:rPr>
            </w:pPr>
            <w:r>
              <w:rPr>
                <w:bCs/>
                <w:lang w:val="lv-LV"/>
              </w:rPr>
              <w:t>4</w:t>
            </w:r>
            <w:r w:rsidR="00186473" w:rsidRPr="00692F5C">
              <w:rPr>
                <w:bCs/>
                <w:lang w:val="lv-LV"/>
              </w:rPr>
              <w:t xml:space="preserve">. </w:t>
            </w:r>
            <w:r w:rsidR="005A6628">
              <w:rPr>
                <w:bCs/>
                <w:lang w:val="lv-LV"/>
              </w:rPr>
              <w:t xml:space="preserve">Jāpapildina </w:t>
            </w:r>
            <w:r w:rsidR="00B25718">
              <w:rPr>
                <w:bCs/>
                <w:lang w:val="lv-LV"/>
              </w:rPr>
              <w:t>1.pielikuma 23.punkts</w:t>
            </w:r>
            <w:r w:rsidR="005A6628">
              <w:rPr>
                <w:bCs/>
                <w:lang w:val="lv-LV"/>
              </w:rPr>
              <w:t>,</w:t>
            </w:r>
            <w:r w:rsidR="007F0F6C">
              <w:rPr>
                <w:bCs/>
                <w:lang w:val="lv-LV"/>
              </w:rPr>
              <w:t xml:space="preserve"> nosakot, ka maksa par </w:t>
            </w:r>
            <w:r w:rsidR="00545BDE">
              <w:rPr>
                <w:bCs/>
                <w:lang w:val="lv-LV"/>
              </w:rPr>
              <w:t>PVD</w:t>
            </w:r>
            <w:r w:rsidR="007F0F6C">
              <w:rPr>
                <w:bCs/>
                <w:lang w:val="lv-LV"/>
              </w:rPr>
              <w:t xml:space="preserve"> uzraudzības objektu novērtēšanu (pārbaudi) maksājama arī </w:t>
            </w:r>
            <w:r w:rsidR="00C82307">
              <w:rPr>
                <w:bCs/>
                <w:lang w:val="lv-LV"/>
              </w:rPr>
              <w:t xml:space="preserve">saistībā ar </w:t>
            </w:r>
            <w:r w:rsidR="007F0F6C">
              <w:rPr>
                <w:bCs/>
                <w:lang w:val="lv-LV"/>
              </w:rPr>
              <w:t>reģistrācij</w:t>
            </w:r>
            <w:r w:rsidR="00C82307">
              <w:rPr>
                <w:bCs/>
                <w:lang w:val="lv-LV"/>
              </w:rPr>
              <w:t>u</w:t>
            </w:r>
            <w:r w:rsidR="007F0F6C">
              <w:rPr>
                <w:bCs/>
                <w:lang w:val="lv-LV"/>
              </w:rPr>
              <w:t xml:space="preserve">, kā arī </w:t>
            </w:r>
            <w:r w:rsidR="00C82307">
              <w:rPr>
                <w:bCs/>
                <w:lang w:val="lv-LV"/>
              </w:rPr>
              <w:t>paredzot</w:t>
            </w:r>
            <w:r w:rsidR="007F0F6C">
              <w:rPr>
                <w:bCs/>
                <w:lang w:val="lv-LV"/>
              </w:rPr>
              <w:t xml:space="preserve"> maks</w:t>
            </w:r>
            <w:r w:rsidR="005A0DAC">
              <w:rPr>
                <w:bCs/>
                <w:lang w:val="lv-LV"/>
              </w:rPr>
              <w:t>u</w:t>
            </w:r>
            <w:r w:rsidR="007F0F6C">
              <w:rPr>
                <w:bCs/>
                <w:lang w:val="lv-LV"/>
              </w:rPr>
              <w:t xml:space="preserve"> par atkārtotu novērtēšanu. </w:t>
            </w:r>
            <w:r w:rsidR="00186473" w:rsidRPr="00692F5C">
              <w:rPr>
                <w:bCs/>
                <w:lang w:val="lv-LV"/>
              </w:rPr>
              <w:t xml:space="preserve">Ministru kabineta </w:t>
            </w:r>
            <w:r w:rsidR="00186473" w:rsidRPr="00692F5C">
              <w:rPr>
                <w:lang w:val="lv-LV"/>
              </w:rPr>
              <w:t xml:space="preserve">2013.gada 10.septembra </w:t>
            </w:r>
            <w:r w:rsidR="00186473" w:rsidRPr="00692F5C">
              <w:rPr>
                <w:bCs/>
                <w:lang w:val="lv-LV"/>
              </w:rPr>
              <w:t xml:space="preserve">noteikumu Nr.768 „Prasības veterinārmedicīniskās prakses iestādēm un veterinārmedicīniskā pakalpojuma sniedzējiem, to reģistrācijas un reģistrācijas anulēšanas kārtība” </w:t>
            </w:r>
            <w:r w:rsidR="00186473" w:rsidRPr="00692F5C">
              <w:rPr>
                <w:lang w:val="lv-LV"/>
              </w:rPr>
              <w:t xml:space="preserve">30.punkts nosaka, ka veterinārmedicīniskās prakses iestāde apmaksā dienesta izsniegto rēķinu par veikto veterinārmedicīniskās prakses iestādes pirmsreģistrācijas vai atkārtoto pārbaudi saskaņā ar normatīvajiem </w:t>
            </w:r>
            <w:r w:rsidR="00186473" w:rsidRPr="00BA61BA">
              <w:rPr>
                <w:lang w:val="lv-LV"/>
              </w:rPr>
              <w:t>aktiem par dienesta veikto valsts uzraudzības un kontroles darbību un sniegto maksas pakalpojumu samaksu.</w:t>
            </w:r>
            <w:r w:rsidR="00BA61BA" w:rsidRPr="00BA61BA">
              <w:rPr>
                <w:lang w:val="lv-LV"/>
              </w:rPr>
              <w:t xml:space="preserve"> Arī atzīšanas </w:t>
            </w:r>
            <w:r w:rsidR="00C82307">
              <w:rPr>
                <w:lang w:val="lv-LV"/>
              </w:rPr>
              <w:t>laikā</w:t>
            </w:r>
            <w:r w:rsidR="00BA61BA" w:rsidRPr="00BA61BA">
              <w:rPr>
                <w:lang w:val="lv-LV"/>
              </w:rPr>
              <w:t xml:space="preserve"> tiek veiktas atkārtotas novērtēšanas darbības, ja</w:t>
            </w:r>
            <w:r w:rsidR="00136EAA" w:rsidRPr="00BA61BA">
              <w:rPr>
                <w:iCs/>
                <w:lang w:val="lv-LV"/>
              </w:rPr>
              <w:t xml:space="preserve"> pēc pirmās pārbaudes uzņēmums netiek atzīts (</w:t>
            </w:r>
            <w:r w:rsidR="00BA61BA" w:rsidRPr="00BA61BA">
              <w:rPr>
                <w:iCs/>
                <w:lang w:val="lv-LV"/>
              </w:rPr>
              <w:t xml:space="preserve">tiek konstatētas neatbilstības) un uzņēmumam piešķir pagaidu </w:t>
            </w:r>
            <w:r w:rsidR="00136EAA" w:rsidRPr="00BA61BA">
              <w:rPr>
                <w:iCs/>
                <w:lang w:val="lv-LV"/>
              </w:rPr>
              <w:t xml:space="preserve">atzīšanas </w:t>
            </w:r>
            <w:r w:rsidR="00BA61BA" w:rsidRPr="00BA61BA">
              <w:rPr>
                <w:iCs/>
                <w:lang w:val="lv-LV"/>
              </w:rPr>
              <w:t>numuru</w:t>
            </w:r>
            <w:r w:rsidR="00BA61BA">
              <w:rPr>
                <w:iCs/>
                <w:lang w:val="lv-LV"/>
              </w:rPr>
              <w:t xml:space="preserve"> (piemēram, pārtikas </w:t>
            </w:r>
            <w:r w:rsidR="00BA61BA" w:rsidRPr="00BA32DE">
              <w:rPr>
                <w:iCs/>
                <w:lang w:val="lv-LV"/>
              </w:rPr>
              <w:t xml:space="preserve">uzņēmumu atzīšana saskaņā ar Ministru kabineta </w:t>
            </w:r>
            <w:r w:rsidR="00BA32DE">
              <w:rPr>
                <w:iCs/>
                <w:lang w:val="lv-LV"/>
              </w:rPr>
              <w:t>2010.gada 2.februāra noteikumiem Nr.104 „</w:t>
            </w:r>
            <w:r w:rsidR="00BA32DE" w:rsidRPr="00BA32DE">
              <w:rPr>
                <w:bCs/>
                <w:lang w:val="lv-LV"/>
              </w:rPr>
              <w:t>Pārtikas uzņēmumu atzīšanas un reģistrācijas kārtība</w:t>
            </w:r>
            <w:r w:rsidR="00BA32DE">
              <w:rPr>
                <w:bCs/>
                <w:lang w:val="lv-LV"/>
              </w:rPr>
              <w:t>”).</w:t>
            </w:r>
          </w:p>
          <w:p w:rsidR="0087012A" w:rsidRPr="00E16B46" w:rsidRDefault="00E00CF7" w:rsidP="00A20B75">
            <w:pPr>
              <w:jc w:val="both"/>
              <w:rPr>
                <w:lang w:val="lv-LV"/>
              </w:rPr>
            </w:pPr>
            <w:r>
              <w:rPr>
                <w:lang w:val="lv-LV"/>
              </w:rPr>
              <w:lastRenderedPageBreak/>
              <w:t>5</w:t>
            </w:r>
            <w:r w:rsidR="00C77515" w:rsidRPr="00BA32DE">
              <w:rPr>
                <w:lang w:val="lv-LV"/>
              </w:rPr>
              <w:t>.</w:t>
            </w:r>
            <w:r w:rsidR="00A613E2" w:rsidRPr="00BA32DE">
              <w:rPr>
                <w:lang w:val="lv-LV"/>
              </w:rPr>
              <w:t xml:space="preserve"> </w:t>
            </w:r>
            <w:r w:rsidR="0087012A">
              <w:rPr>
                <w:lang w:val="lv-LV"/>
              </w:rPr>
              <w:t xml:space="preserve">Jānosaka, ka </w:t>
            </w:r>
            <w:r w:rsidR="00C82307">
              <w:rPr>
                <w:lang w:val="lv-LV"/>
              </w:rPr>
              <w:t xml:space="preserve">saistībā ar </w:t>
            </w:r>
            <w:r w:rsidR="0087012A">
              <w:rPr>
                <w:lang w:val="lv-LV"/>
              </w:rPr>
              <w:t>veterinār</w:t>
            </w:r>
            <w:r w:rsidR="00C82307">
              <w:rPr>
                <w:lang w:val="lv-LV"/>
              </w:rPr>
              <w:t>o</w:t>
            </w:r>
            <w:r w:rsidR="0087012A">
              <w:rPr>
                <w:lang w:val="lv-LV"/>
              </w:rPr>
              <w:t xml:space="preserve"> ekspertīz</w:t>
            </w:r>
            <w:r w:rsidR="00C82307">
              <w:rPr>
                <w:lang w:val="lv-LV"/>
              </w:rPr>
              <w:t>i</w:t>
            </w:r>
            <w:r w:rsidR="0087012A">
              <w:rPr>
                <w:lang w:val="lv-LV"/>
              </w:rPr>
              <w:t xml:space="preserve"> sedz izdevumus ne tikai par patērēto degvielu, bet arī autogāzi (1.</w:t>
            </w:r>
            <w:r w:rsidR="001200D5" w:rsidRPr="00E16B46">
              <w:rPr>
                <w:lang w:val="lv-LV"/>
              </w:rPr>
              <w:t>p</w:t>
            </w:r>
            <w:r w:rsidR="0087012A" w:rsidRPr="00E16B46">
              <w:rPr>
                <w:lang w:val="lv-LV"/>
              </w:rPr>
              <w:t>ielikuma 29.punkts).</w:t>
            </w:r>
          </w:p>
          <w:p w:rsidR="00964D36" w:rsidRPr="00E16B46" w:rsidRDefault="00E00CF7" w:rsidP="00A20B75">
            <w:pPr>
              <w:jc w:val="both"/>
              <w:rPr>
                <w:lang w:val="lv-LV"/>
              </w:rPr>
            </w:pPr>
            <w:r>
              <w:rPr>
                <w:lang w:val="lv-LV"/>
              </w:rPr>
              <w:t>6</w:t>
            </w:r>
            <w:r w:rsidR="00964D36" w:rsidRPr="00E16B46">
              <w:rPr>
                <w:lang w:val="lv-LV"/>
              </w:rPr>
              <w:t xml:space="preserve">. </w:t>
            </w:r>
            <w:r w:rsidR="00E16B46" w:rsidRPr="00E16B46">
              <w:rPr>
                <w:lang w:val="lv-LV"/>
              </w:rPr>
              <w:t>Patlaban 1.pielikuma 31.punktā not</w:t>
            </w:r>
            <w:r w:rsidR="00E16B46">
              <w:rPr>
                <w:lang w:val="lv-LV"/>
              </w:rPr>
              <w:t>e</w:t>
            </w:r>
            <w:r w:rsidR="00E16B46" w:rsidRPr="00E16B46">
              <w:rPr>
                <w:lang w:val="lv-LV"/>
              </w:rPr>
              <w:t>ikts, ka par b</w:t>
            </w:r>
            <w:r w:rsidR="00964D36" w:rsidRPr="00E16B46">
              <w:rPr>
                <w:lang w:val="lv-LV"/>
              </w:rPr>
              <w:t>ioloģiskās lauksaimniecības kontroles i</w:t>
            </w:r>
            <w:r w:rsidR="00E16B46" w:rsidRPr="00E16B46">
              <w:rPr>
                <w:lang w:val="lv-LV"/>
              </w:rPr>
              <w:t>nstitūcijas darbības izvērtēšanu</w:t>
            </w:r>
            <w:r w:rsidR="00964D36" w:rsidRPr="00E16B46">
              <w:rPr>
                <w:lang w:val="lv-LV"/>
              </w:rPr>
              <w:t xml:space="preserve"> trešajā valstī</w:t>
            </w:r>
            <w:r w:rsidR="00E16B46" w:rsidRPr="00E16B46">
              <w:rPr>
                <w:lang w:val="lv-LV"/>
              </w:rPr>
              <w:t xml:space="preserve"> pakalpojuma ņēmējs sedz </w:t>
            </w:r>
            <w:r w:rsidR="00CF6123">
              <w:rPr>
                <w:lang w:val="lv-LV"/>
              </w:rPr>
              <w:t xml:space="preserve">PVD </w:t>
            </w:r>
            <w:r w:rsidR="00E16B46" w:rsidRPr="00E16B46">
              <w:rPr>
                <w:lang w:val="lv-LV"/>
              </w:rPr>
              <w:t xml:space="preserve">izdevumus atbilstoši attaisnojuma dokumentiem un noteiktajiem tarifiem (komandējuma dienas nauda, ceļa izdevumi, naktsmītne). Nepieciešams </w:t>
            </w:r>
            <w:r w:rsidR="00A74861">
              <w:rPr>
                <w:lang w:val="lv-LV"/>
              </w:rPr>
              <w:t>noteikt, ka pakalpojuma ņēmējs sedz arī citus izdevumus, kas saistīti ar minētā pakalpojuma sniegšanu</w:t>
            </w:r>
            <w:r w:rsidR="00E16B46" w:rsidRPr="00E16B46">
              <w:rPr>
                <w:lang w:val="lv-LV"/>
              </w:rPr>
              <w:t xml:space="preserve">, piemēram, par vīzu </w:t>
            </w:r>
            <w:r w:rsidR="008071B2">
              <w:rPr>
                <w:lang w:val="lv-LV"/>
              </w:rPr>
              <w:t>saņemšanu</w:t>
            </w:r>
            <w:r w:rsidR="00E16B46" w:rsidRPr="00E16B46">
              <w:rPr>
                <w:lang w:val="lv-LV"/>
              </w:rPr>
              <w:t>.</w:t>
            </w:r>
          </w:p>
          <w:p w:rsidR="00201249" w:rsidRPr="00692F5C" w:rsidRDefault="00E00CF7" w:rsidP="00A20B75">
            <w:pPr>
              <w:jc w:val="both"/>
              <w:rPr>
                <w:bCs/>
                <w:lang w:val="lv-LV" w:eastAsia="ru-RU"/>
              </w:rPr>
            </w:pPr>
            <w:r>
              <w:rPr>
                <w:lang w:val="lv-LV"/>
              </w:rPr>
              <w:t>7</w:t>
            </w:r>
            <w:r w:rsidR="0087012A" w:rsidRPr="00E16B46">
              <w:rPr>
                <w:lang w:val="lv-LV"/>
              </w:rPr>
              <w:t xml:space="preserve">. </w:t>
            </w:r>
            <w:r w:rsidR="002F5003" w:rsidRPr="00E16B46">
              <w:rPr>
                <w:lang w:val="lv-LV" w:eastAsia="ru-RU"/>
              </w:rPr>
              <w:t>Šobrīd</w:t>
            </w:r>
            <w:r w:rsidR="002F5003" w:rsidRPr="00E16B46">
              <w:rPr>
                <w:bCs/>
                <w:lang w:val="lv-LV" w:eastAsia="ru-RU"/>
              </w:rPr>
              <w:t xml:space="preserve"> noteikum</w:t>
            </w:r>
            <w:r w:rsidR="00C82307">
              <w:rPr>
                <w:bCs/>
                <w:lang w:val="lv-LV" w:eastAsia="ru-RU"/>
              </w:rPr>
              <w:t>u</w:t>
            </w:r>
            <w:r w:rsidR="002F5003" w:rsidRPr="00E16B46">
              <w:rPr>
                <w:bCs/>
                <w:lang w:val="lv-LV" w:eastAsia="ru-RU"/>
              </w:rPr>
              <w:t xml:space="preserve"> 1.pielikuma VII nodaļa nosaka </w:t>
            </w:r>
            <w:r w:rsidR="002F5003" w:rsidRPr="00692F5C">
              <w:rPr>
                <w:bCs/>
                <w:lang w:val="lv-LV" w:eastAsia="ru-RU"/>
              </w:rPr>
              <w:t xml:space="preserve">samaksu par </w:t>
            </w:r>
            <w:r w:rsidR="00545BDE">
              <w:rPr>
                <w:lang w:val="lv-LV"/>
              </w:rPr>
              <w:t>PVD</w:t>
            </w:r>
            <w:r w:rsidR="002F5003" w:rsidRPr="00692F5C">
              <w:rPr>
                <w:lang w:val="lv-LV"/>
              </w:rPr>
              <w:t xml:space="preserve"> izdevumiem, kas saistīti ar Nacionālās pārtikas </w:t>
            </w:r>
            <w:r w:rsidR="002F5003" w:rsidRPr="00E85698">
              <w:rPr>
                <w:lang w:val="lv-LV"/>
              </w:rPr>
              <w:t xml:space="preserve">kvalitātes shēmas </w:t>
            </w:r>
            <w:r w:rsidR="002F5003" w:rsidRPr="00E85698">
              <w:rPr>
                <w:lang w:val="lv-LV" w:eastAsia="ru-RU"/>
              </w:rPr>
              <w:t>produktu sertificēšanu</w:t>
            </w:r>
            <w:r w:rsidR="00855C15" w:rsidRPr="00E85698">
              <w:rPr>
                <w:lang w:val="lv-LV" w:eastAsia="ru-RU"/>
              </w:rPr>
              <w:t xml:space="preserve"> un pārbaudēm</w:t>
            </w:r>
            <w:r w:rsidR="002F5003" w:rsidRPr="00E85698">
              <w:rPr>
                <w:lang w:val="lv-LV" w:eastAsia="ru-RU"/>
              </w:rPr>
              <w:t>.</w:t>
            </w:r>
            <w:r w:rsidR="00D06584" w:rsidRPr="00E85698">
              <w:rPr>
                <w:lang w:val="lv-LV" w:eastAsia="ru-RU"/>
              </w:rPr>
              <w:t xml:space="preserve"> </w:t>
            </w:r>
            <w:r w:rsidR="00D06584" w:rsidRPr="00E85698">
              <w:rPr>
                <w:lang w:val="lv-LV"/>
              </w:rPr>
              <w:t>Latvijā attītās arī citas pārtikas kvalitātes shēmas</w:t>
            </w:r>
            <w:r w:rsidR="0087012A" w:rsidRPr="00E85698">
              <w:rPr>
                <w:lang w:val="lv-LV"/>
              </w:rPr>
              <w:t xml:space="preserve"> – a</w:t>
            </w:r>
            <w:r w:rsidR="00D06584" w:rsidRPr="00E85698">
              <w:rPr>
                <w:lang w:val="lv-LV"/>
              </w:rPr>
              <w:t xml:space="preserve">izsargātu ģeogrāfisko izcelsmes norāžu, </w:t>
            </w:r>
            <w:r w:rsidR="0087012A" w:rsidRPr="00E85698">
              <w:rPr>
                <w:lang w:val="lv-LV"/>
              </w:rPr>
              <w:t>a</w:t>
            </w:r>
            <w:r w:rsidR="00D06584" w:rsidRPr="00E85698">
              <w:rPr>
                <w:lang w:val="lv-LV"/>
              </w:rPr>
              <w:t>izsargāt</w:t>
            </w:r>
            <w:r w:rsidR="0087012A" w:rsidRPr="00E85698">
              <w:rPr>
                <w:lang w:val="lv-LV"/>
              </w:rPr>
              <w:t>u</w:t>
            </w:r>
            <w:r w:rsidR="00D06584" w:rsidRPr="00E85698">
              <w:rPr>
                <w:lang w:val="lv-LV"/>
              </w:rPr>
              <w:t xml:space="preserve"> cilmes vietas nosaukumu un </w:t>
            </w:r>
            <w:r w:rsidR="0087012A" w:rsidRPr="00E85698">
              <w:rPr>
                <w:lang w:val="lv-LV"/>
              </w:rPr>
              <w:t>g</w:t>
            </w:r>
            <w:r w:rsidR="00D06584" w:rsidRPr="00E85698">
              <w:rPr>
                <w:lang w:val="lv-LV"/>
              </w:rPr>
              <w:t>arantēt</w:t>
            </w:r>
            <w:r w:rsidR="00C55D2E" w:rsidRPr="00E85698">
              <w:rPr>
                <w:lang w:val="lv-LV"/>
              </w:rPr>
              <w:t>u</w:t>
            </w:r>
            <w:r w:rsidR="00D06584" w:rsidRPr="00E85698">
              <w:rPr>
                <w:lang w:val="lv-LV"/>
              </w:rPr>
              <w:t xml:space="preserve"> tradicionālo īpatnību shēmas.</w:t>
            </w:r>
            <w:r w:rsidR="00855C15" w:rsidRPr="00E85698">
              <w:rPr>
                <w:lang w:val="lv-LV" w:eastAsia="ru-RU"/>
              </w:rPr>
              <w:t xml:space="preserve"> </w:t>
            </w:r>
            <w:r w:rsidR="00C82307">
              <w:rPr>
                <w:lang w:val="lv-LV"/>
              </w:rPr>
              <w:t xml:space="preserve">Tā kā </w:t>
            </w:r>
            <w:r w:rsidR="00431C7D" w:rsidRPr="00E85698">
              <w:rPr>
                <w:lang w:val="lv-LV"/>
              </w:rPr>
              <w:t xml:space="preserve"> Eiropas Parlamenta un Padomes 2012.gada 21.novembra Regulas</w:t>
            </w:r>
            <w:r w:rsidR="00A20B75" w:rsidRPr="00E85698">
              <w:rPr>
                <w:lang w:val="lv-LV"/>
              </w:rPr>
              <w:t xml:space="preserve"> </w:t>
            </w:r>
            <w:r w:rsidR="00431C7D" w:rsidRPr="00E85698">
              <w:rPr>
                <w:lang w:val="lv-LV"/>
              </w:rPr>
              <w:t>(ES)</w:t>
            </w:r>
            <w:r w:rsidR="00A20B75" w:rsidRPr="00E85698">
              <w:rPr>
                <w:lang w:val="lv-LV"/>
              </w:rPr>
              <w:t xml:space="preserve"> </w:t>
            </w:r>
            <w:r w:rsidR="00431C7D" w:rsidRPr="00E85698">
              <w:rPr>
                <w:lang w:val="lv-LV"/>
              </w:rPr>
              <w:t>Nr.1151/2012 par lauksaimniecības produktu un pārtikas pro</w:t>
            </w:r>
            <w:r w:rsidR="004E29EF">
              <w:rPr>
                <w:lang w:val="lv-LV"/>
              </w:rPr>
              <w:t>duktu kvalitātes shēmām 37.panta 1.punkts</w:t>
            </w:r>
            <w:r w:rsidR="00431C7D" w:rsidRPr="00E85698">
              <w:rPr>
                <w:lang w:val="lv-LV"/>
              </w:rPr>
              <w:t xml:space="preserve"> nosaka, ka </w:t>
            </w:r>
            <w:r w:rsidR="00C55D2E" w:rsidRPr="00E85698">
              <w:rPr>
                <w:lang w:val="lv-LV"/>
              </w:rPr>
              <w:t>a</w:t>
            </w:r>
            <w:r w:rsidR="00431C7D" w:rsidRPr="00E85698">
              <w:rPr>
                <w:lang w:val="lv-LV"/>
              </w:rPr>
              <w:t xml:space="preserve">izsargātu ģeogrāfisko izcelsmes norāžu, </w:t>
            </w:r>
            <w:r w:rsidR="00C55D2E" w:rsidRPr="00E85698">
              <w:rPr>
                <w:lang w:val="lv-LV"/>
              </w:rPr>
              <w:t>a</w:t>
            </w:r>
            <w:r w:rsidR="00431C7D" w:rsidRPr="00E85698">
              <w:rPr>
                <w:lang w:val="lv-LV"/>
              </w:rPr>
              <w:t>izsargāt</w:t>
            </w:r>
            <w:r w:rsidR="00C55D2E" w:rsidRPr="00E85698">
              <w:rPr>
                <w:lang w:val="lv-LV"/>
              </w:rPr>
              <w:t xml:space="preserve">u </w:t>
            </w:r>
            <w:r w:rsidR="00431C7D" w:rsidRPr="00E85698">
              <w:rPr>
                <w:lang w:val="lv-LV"/>
              </w:rPr>
              <w:t>cilmes vietas nosaukumu</w:t>
            </w:r>
            <w:r w:rsidR="00431C7D" w:rsidRPr="00692F5C">
              <w:rPr>
                <w:lang w:val="lv-LV"/>
              </w:rPr>
              <w:t xml:space="preserve"> un </w:t>
            </w:r>
            <w:r w:rsidR="00C55D2E">
              <w:rPr>
                <w:lang w:val="lv-LV"/>
              </w:rPr>
              <w:t>g</w:t>
            </w:r>
            <w:r w:rsidR="00431C7D" w:rsidRPr="00692F5C">
              <w:rPr>
                <w:lang w:val="lv-LV"/>
              </w:rPr>
              <w:t>arantēt</w:t>
            </w:r>
            <w:r w:rsidR="00C55D2E">
              <w:rPr>
                <w:lang w:val="lv-LV"/>
              </w:rPr>
              <w:t>u</w:t>
            </w:r>
            <w:r w:rsidR="00431C7D" w:rsidRPr="00692F5C">
              <w:rPr>
                <w:lang w:val="lv-LV"/>
              </w:rPr>
              <w:t xml:space="preserve"> tradicionālo īpatnību shēmu produktu atbilstības specifikācijām pārbaudes izmaksas var segt uzņēmēji, </w:t>
            </w:r>
            <w:r w:rsidR="00C82307">
              <w:rPr>
                <w:lang w:val="lv-LV"/>
              </w:rPr>
              <w:t>par</w:t>
            </w:r>
            <w:r w:rsidR="00431C7D" w:rsidRPr="00692F5C">
              <w:rPr>
                <w:lang w:val="lv-LV"/>
              </w:rPr>
              <w:t xml:space="preserve"> kuriem notiek minētās kontroles, </w:t>
            </w:r>
            <w:r w:rsidR="00107BB6">
              <w:rPr>
                <w:lang w:val="lv-LV"/>
              </w:rPr>
              <w:t>noteikt</w:t>
            </w:r>
            <w:r w:rsidR="00C82307">
              <w:rPr>
                <w:lang w:val="lv-LV"/>
              </w:rPr>
              <w:t>ā</w:t>
            </w:r>
            <w:r w:rsidR="00107BB6">
              <w:rPr>
                <w:lang w:val="lv-LV"/>
              </w:rPr>
              <w:t xml:space="preserve"> maks</w:t>
            </w:r>
            <w:r w:rsidR="00C82307">
              <w:rPr>
                <w:lang w:val="lv-LV"/>
              </w:rPr>
              <w:t>a</w:t>
            </w:r>
            <w:r w:rsidR="00107BB6">
              <w:rPr>
                <w:lang w:val="lv-LV"/>
              </w:rPr>
              <w:t xml:space="preserve"> </w:t>
            </w:r>
            <w:r w:rsidR="00C82307">
              <w:rPr>
                <w:lang w:val="lv-LV"/>
              </w:rPr>
              <w:t>ir</w:t>
            </w:r>
            <w:r w:rsidR="00C82307" w:rsidRPr="00692F5C">
              <w:rPr>
                <w:lang w:val="lv-LV"/>
              </w:rPr>
              <w:t xml:space="preserve"> </w:t>
            </w:r>
            <w:r w:rsidR="00C82307">
              <w:rPr>
                <w:lang w:val="lv-LV"/>
              </w:rPr>
              <w:t xml:space="preserve">jāattiecina </w:t>
            </w:r>
            <w:r w:rsidR="00107BB6">
              <w:rPr>
                <w:lang w:val="lv-LV"/>
              </w:rPr>
              <w:t>uz dažādu</w:t>
            </w:r>
            <w:r w:rsidR="00742F49" w:rsidRPr="00692F5C">
              <w:rPr>
                <w:lang w:val="lv-LV"/>
              </w:rPr>
              <w:t xml:space="preserve"> </w:t>
            </w:r>
            <w:r w:rsidR="0081417E" w:rsidRPr="00692F5C">
              <w:rPr>
                <w:lang w:val="lv-LV"/>
              </w:rPr>
              <w:t>p</w:t>
            </w:r>
            <w:r w:rsidR="00431C7D" w:rsidRPr="00692F5C">
              <w:rPr>
                <w:bCs/>
                <w:lang w:val="lv-LV" w:eastAsia="ru-RU"/>
              </w:rPr>
              <w:t>ārtikas kvalitātes shēmu produktu sertificēšanu, ikgadējo pārbaudi un atkārtotu pārbau</w:t>
            </w:r>
            <w:r w:rsidR="00F11CC5" w:rsidRPr="00692F5C">
              <w:rPr>
                <w:bCs/>
                <w:lang w:val="lv-LV" w:eastAsia="ru-RU"/>
              </w:rPr>
              <w:t>di, ja konstatēta neatbilstība.</w:t>
            </w:r>
          </w:p>
          <w:p w:rsidR="008D7E12" w:rsidRPr="008D7E12" w:rsidRDefault="00E00CF7" w:rsidP="0041029E">
            <w:pPr>
              <w:jc w:val="both"/>
              <w:rPr>
                <w:lang w:val="lv-LV"/>
              </w:rPr>
            </w:pPr>
            <w:r>
              <w:rPr>
                <w:lang w:val="lv-LV"/>
              </w:rPr>
              <w:t>8</w:t>
            </w:r>
            <w:r w:rsidR="008D7E12">
              <w:rPr>
                <w:lang w:val="lv-LV"/>
              </w:rPr>
              <w:t>. Nepieciešams palielināt maksu par a</w:t>
            </w:r>
            <w:r w:rsidR="008D7E12" w:rsidRPr="008D7E12">
              <w:rPr>
                <w:lang w:val="lv-LV"/>
              </w:rPr>
              <w:t>prīkojuma, iekārtu (piemēram, audioaparatūras, videoaparatūras, kodoskopa, diaprojektora) nom</w:t>
            </w:r>
            <w:r w:rsidR="008D7E12">
              <w:rPr>
                <w:lang w:val="lv-LV"/>
              </w:rPr>
              <w:t>u (2.pielikuma 7.punkts</w:t>
            </w:r>
            <w:r w:rsidR="008D7E12" w:rsidRPr="008D7E12">
              <w:rPr>
                <w:lang w:val="lv-LV"/>
              </w:rPr>
              <w:t>)</w:t>
            </w:r>
            <w:r w:rsidR="008D7E12">
              <w:rPr>
                <w:lang w:val="lv-LV"/>
              </w:rPr>
              <w:t>, lai tā atbilstu faktiskajiem izdevumiem.</w:t>
            </w:r>
          </w:p>
          <w:p w:rsidR="007920FA" w:rsidRPr="00121515" w:rsidRDefault="00E00CF7" w:rsidP="00121515">
            <w:pPr>
              <w:jc w:val="both"/>
              <w:rPr>
                <w:lang w:val="lv-LV"/>
              </w:rPr>
            </w:pPr>
            <w:r>
              <w:rPr>
                <w:lang w:val="lv-LV"/>
              </w:rPr>
              <w:t>9</w:t>
            </w:r>
            <w:r w:rsidR="00A43061" w:rsidRPr="00692F5C">
              <w:rPr>
                <w:lang w:val="lv-LV"/>
              </w:rPr>
              <w:t xml:space="preserve">. </w:t>
            </w:r>
            <w:r w:rsidR="00121515" w:rsidRPr="00121515">
              <w:rPr>
                <w:lang w:val="lv-LV"/>
              </w:rPr>
              <w:t xml:space="preserve">Patlaban noteiktā samaksa par valsts uzraudzības un kontroles </w:t>
            </w:r>
            <w:r w:rsidR="00121515" w:rsidRPr="004D0365">
              <w:rPr>
                <w:lang w:val="lv-LV"/>
              </w:rPr>
              <w:t>darbībām preču un produktu robežkontrolē (3.pielikums) nesedz faktiskās kontroles izmaksas</w:t>
            </w:r>
            <w:r w:rsidR="008E3B6E" w:rsidRPr="004D0365">
              <w:rPr>
                <w:lang w:val="lv-LV"/>
              </w:rPr>
              <w:t xml:space="preserve">, </w:t>
            </w:r>
            <w:r w:rsidR="005358F3">
              <w:rPr>
                <w:lang w:val="lv-LV"/>
              </w:rPr>
              <w:t>bet tas</w:t>
            </w:r>
            <w:r w:rsidR="008E3B6E" w:rsidRPr="004D0365">
              <w:rPr>
                <w:lang w:val="lv-LV"/>
              </w:rPr>
              <w:t xml:space="preserve"> ir pretrunā ar </w:t>
            </w:r>
            <w:r w:rsidR="005358F3" w:rsidRPr="004D0365">
              <w:rPr>
                <w:lang w:val="lv-LV"/>
              </w:rPr>
              <w:t xml:space="preserve">principiem </w:t>
            </w:r>
            <w:r w:rsidR="008E3B6E" w:rsidRPr="004D0365">
              <w:rPr>
                <w:lang w:val="lv-LV"/>
              </w:rPr>
              <w:t>Eiropas Parlamenta un Padomes 2004.gada 29.aprīļa Regulā (EK) Nr.882/2004 par oficiālo kontroli, ko veic, lai nodrošinātu atbilstības pārbaudi saistībā ar dzīvnieku barības un pārtikas aprites tiesību aktiem un dzīvnieku veselības un dzīvnieku labturības noteikumiem</w:t>
            </w:r>
            <w:r w:rsidR="00121515" w:rsidRPr="004D0365">
              <w:rPr>
                <w:lang w:val="lv-LV"/>
              </w:rPr>
              <w:t>.</w:t>
            </w:r>
            <w:r w:rsidR="00121515" w:rsidRPr="008E3B6E">
              <w:rPr>
                <w:lang w:val="lv-LV"/>
              </w:rPr>
              <w:t xml:space="preserve"> Maksu</w:t>
            </w:r>
            <w:r w:rsidR="00166CD1" w:rsidRPr="008E3B6E">
              <w:rPr>
                <w:lang w:val="lv-LV"/>
              </w:rPr>
              <w:t xml:space="preserve"> </w:t>
            </w:r>
            <w:r w:rsidR="00166CD1" w:rsidRPr="00121515">
              <w:rPr>
                <w:lang w:val="lv-LV"/>
              </w:rPr>
              <w:t xml:space="preserve">par robežkontroli </w:t>
            </w:r>
            <w:r w:rsidR="00121515">
              <w:rPr>
                <w:lang w:val="lv-LV"/>
              </w:rPr>
              <w:t xml:space="preserve">nepieciešams </w:t>
            </w:r>
            <w:r w:rsidR="00166CD1" w:rsidRPr="00121515">
              <w:rPr>
                <w:lang w:val="lv-LV"/>
              </w:rPr>
              <w:t>paaugstināt</w:t>
            </w:r>
            <w:r w:rsidR="00121515">
              <w:rPr>
                <w:lang w:val="lv-LV"/>
              </w:rPr>
              <w:t xml:space="preserve"> par</w:t>
            </w:r>
            <w:r w:rsidR="00166CD1" w:rsidRPr="00121515">
              <w:rPr>
                <w:lang w:val="lv-LV"/>
              </w:rPr>
              <w:t xml:space="preserve"> apmēram</w:t>
            </w:r>
            <w:r w:rsidR="00121515">
              <w:rPr>
                <w:lang w:val="lv-LV"/>
              </w:rPr>
              <w:t xml:space="preserve"> </w:t>
            </w:r>
            <w:r w:rsidR="00013D49">
              <w:rPr>
                <w:lang w:val="lv-LV"/>
              </w:rPr>
              <w:t>22%, jo:</w:t>
            </w:r>
          </w:p>
          <w:p w:rsidR="008D47BA" w:rsidRDefault="008D47BA" w:rsidP="00013D49">
            <w:pPr>
              <w:rPr>
                <w:lang w:val="lv-LV"/>
              </w:rPr>
            </w:pPr>
            <w:r w:rsidRPr="00121515">
              <w:rPr>
                <w:lang w:val="lv-LV"/>
              </w:rPr>
              <w:t>1</w:t>
            </w:r>
            <w:r w:rsidR="00013D49">
              <w:rPr>
                <w:lang w:val="lv-LV"/>
              </w:rPr>
              <w:t xml:space="preserve">) pēdējos gados būtiski samazinās kontrolējamo kravu </w:t>
            </w:r>
            <w:r w:rsidRPr="00121515">
              <w:rPr>
                <w:lang w:val="lv-LV"/>
              </w:rPr>
              <w:t>skait</w:t>
            </w:r>
            <w:r w:rsidR="00013D49">
              <w:rPr>
                <w:lang w:val="lv-LV"/>
              </w:rPr>
              <w:t>s</w:t>
            </w:r>
            <w:r w:rsidRPr="00121515">
              <w:rPr>
                <w:lang w:val="lv-LV"/>
              </w:rPr>
              <w:t xml:space="preserve"> </w:t>
            </w:r>
            <w:r w:rsidR="00013D49">
              <w:rPr>
                <w:lang w:val="lv-LV"/>
              </w:rPr>
              <w:t>(</w:t>
            </w:r>
            <w:r w:rsidR="00013D49" w:rsidRPr="00121515">
              <w:rPr>
                <w:lang w:val="lv-LV"/>
              </w:rPr>
              <w:t xml:space="preserve">2012.gadā </w:t>
            </w:r>
            <w:r w:rsidR="00013D49">
              <w:rPr>
                <w:lang w:val="lv-LV"/>
              </w:rPr>
              <w:t xml:space="preserve">– </w:t>
            </w:r>
            <w:r w:rsidR="00013D49" w:rsidRPr="00121515">
              <w:rPr>
                <w:lang w:val="lv-LV"/>
              </w:rPr>
              <w:t>66</w:t>
            </w:r>
            <w:r w:rsidR="00013D49">
              <w:rPr>
                <w:lang w:val="lv-LV"/>
              </w:rPr>
              <w:t> </w:t>
            </w:r>
            <w:r w:rsidR="00013D49" w:rsidRPr="00121515">
              <w:rPr>
                <w:lang w:val="lv-LV"/>
              </w:rPr>
              <w:t>255</w:t>
            </w:r>
            <w:r w:rsidR="00013D49">
              <w:rPr>
                <w:lang w:val="lv-LV"/>
              </w:rPr>
              <w:t xml:space="preserve"> kravas,</w:t>
            </w:r>
            <w:r w:rsidR="00013D49" w:rsidRPr="00121515">
              <w:rPr>
                <w:lang w:val="lv-LV"/>
              </w:rPr>
              <w:t xml:space="preserve"> 2013.gadā – 58</w:t>
            </w:r>
            <w:r w:rsidR="00013D49">
              <w:rPr>
                <w:lang w:val="lv-LV"/>
              </w:rPr>
              <w:t> </w:t>
            </w:r>
            <w:r w:rsidR="00013D49" w:rsidRPr="00121515">
              <w:rPr>
                <w:lang w:val="lv-LV"/>
              </w:rPr>
              <w:t>316</w:t>
            </w:r>
            <w:r w:rsidR="00013D49">
              <w:rPr>
                <w:lang w:val="lv-LV"/>
              </w:rPr>
              <w:t xml:space="preserve"> kravas,</w:t>
            </w:r>
            <w:r w:rsidR="00013D49" w:rsidRPr="00121515">
              <w:rPr>
                <w:lang w:val="lv-LV"/>
              </w:rPr>
              <w:t xml:space="preserve"> k</w:t>
            </w:r>
            <w:r w:rsidR="00013D49">
              <w:rPr>
                <w:lang w:val="lv-LV"/>
              </w:rPr>
              <w:t>ravu skaita samazinājums – 12%);</w:t>
            </w:r>
          </w:p>
          <w:p w:rsidR="007920FA" w:rsidRDefault="008D47BA" w:rsidP="00013D49">
            <w:pPr>
              <w:jc w:val="both"/>
              <w:rPr>
                <w:lang w:val="lv-LV"/>
              </w:rPr>
            </w:pPr>
            <w:r w:rsidRPr="00121515">
              <w:rPr>
                <w:lang w:val="lv-LV"/>
              </w:rPr>
              <w:t>2</w:t>
            </w:r>
            <w:r w:rsidR="00013D49">
              <w:rPr>
                <w:lang w:val="lv-LV"/>
              </w:rPr>
              <w:t>) par 10,54% palielinājies i</w:t>
            </w:r>
            <w:r w:rsidRPr="00121515">
              <w:rPr>
                <w:lang w:val="lv-LV"/>
              </w:rPr>
              <w:t xml:space="preserve">zdevumu </w:t>
            </w:r>
            <w:r w:rsidR="00013D49">
              <w:rPr>
                <w:lang w:val="lv-LV"/>
              </w:rPr>
              <w:t>apjoms – robežkontroles punktu apsaimniekošana, kontroles punktos</w:t>
            </w:r>
            <w:r w:rsidRPr="00121515">
              <w:rPr>
                <w:lang w:val="lv-LV"/>
              </w:rPr>
              <w:t xml:space="preserve"> strādājošo </w:t>
            </w:r>
            <w:r w:rsidR="00013D49">
              <w:rPr>
                <w:lang w:val="lv-LV"/>
              </w:rPr>
              <w:t xml:space="preserve">inspektoru </w:t>
            </w:r>
            <w:r w:rsidRPr="00121515">
              <w:rPr>
                <w:lang w:val="lv-LV"/>
              </w:rPr>
              <w:t>algu palielināšana par 14</w:t>
            </w:r>
            <w:r w:rsidR="00013D49">
              <w:rPr>
                <w:lang w:val="lv-LV"/>
              </w:rPr>
              <w:t xml:space="preserve"> </w:t>
            </w:r>
            <w:r w:rsidR="00013D49" w:rsidRPr="00013D49">
              <w:rPr>
                <w:i/>
                <w:lang w:val="lv-LV"/>
              </w:rPr>
              <w:t>euro</w:t>
            </w:r>
            <w:r w:rsidR="00013D49">
              <w:rPr>
                <w:lang w:val="lv-LV"/>
              </w:rPr>
              <w:t xml:space="preserve">, </w:t>
            </w:r>
            <w:r w:rsidRPr="00121515">
              <w:rPr>
                <w:lang w:val="lv-LV"/>
              </w:rPr>
              <w:t xml:space="preserve">kas </w:t>
            </w:r>
            <w:r w:rsidR="00013D49">
              <w:rPr>
                <w:lang w:val="lv-LV"/>
              </w:rPr>
              <w:t xml:space="preserve">saistīta ar </w:t>
            </w:r>
            <w:r w:rsidR="00013D49" w:rsidRPr="00121515">
              <w:rPr>
                <w:lang w:val="lv-LV"/>
              </w:rPr>
              <w:t>amatu algu izlīdzināšan</w:t>
            </w:r>
            <w:r w:rsidR="00013D49">
              <w:rPr>
                <w:lang w:val="lv-LV"/>
              </w:rPr>
              <w:t>u</w:t>
            </w:r>
            <w:r w:rsidR="00013D49" w:rsidRPr="00121515">
              <w:rPr>
                <w:lang w:val="lv-LV"/>
              </w:rPr>
              <w:t xml:space="preserve"> valsts pārvaldē</w:t>
            </w:r>
            <w:r w:rsidR="00013D49">
              <w:rPr>
                <w:lang w:val="lv-LV"/>
              </w:rPr>
              <w:t>.</w:t>
            </w:r>
            <w:r w:rsidRPr="00121515">
              <w:rPr>
                <w:lang w:val="lv-LV"/>
              </w:rPr>
              <w:t xml:space="preserve"> Tā kā robežkontroles funkcija tiek finansēta no maksas pakalpojumiem, tad </w:t>
            </w:r>
            <w:r w:rsidR="00B75342">
              <w:rPr>
                <w:lang w:val="lv-LV"/>
              </w:rPr>
              <w:t xml:space="preserve">par </w:t>
            </w:r>
            <w:r w:rsidRPr="00121515">
              <w:rPr>
                <w:lang w:val="lv-LV"/>
              </w:rPr>
              <w:t xml:space="preserve">šiem </w:t>
            </w:r>
            <w:r w:rsidRPr="00121515">
              <w:rPr>
                <w:lang w:val="lv-LV"/>
              </w:rPr>
              <w:lastRenderedPageBreak/>
              <w:t xml:space="preserve">amatiem </w:t>
            </w:r>
            <w:r w:rsidR="00013D49">
              <w:rPr>
                <w:lang w:val="lv-LV"/>
              </w:rPr>
              <w:t xml:space="preserve">papildu budžeta </w:t>
            </w:r>
            <w:r w:rsidRPr="00121515">
              <w:rPr>
                <w:lang w:val="lv-LV"/>
              </w:rPr>
              <w:t>līdzekļ</w:t>
            </w:r>
            <w:r w:rsidR="00013D49">
              <w:rPr>
                <w:lang w:val="lv-LV"/>
              </w:rPr>
              <w:t>i netika piešķirti</w:t>
            </w:r>
            <w:r w:rsidRPr="00121515">
              <w:rPr>
                <w:lang w:val="lv-LV"/>
              </w:rPr>
              <w:t>.</w:t>
            </w:r>
          </w:p>
          <w:p w:rsidR="0069022D" w:rsidRPr="00692F5C" w:rsidRDefault="0069022D" w:rsidP="00B75342">
            <w:pPr>
              <w:jc w:val="both"/>
              <w:rPr>
                <w:lang w:val="lv-LV"/>
              </w:rPr>
            </w:pPr>
            <w:r>
              <w:rPr>
                <w:lang w:val="lv-LV"/>
              </w:rPr>
              <w:t xml:space="preserve">Maksas apmērs par kravu robežkontroli </w:t>
            </w:r>
            <w:r w:rsidR="00B75342">
              <w:rPr>
                <w:lang w:val="lv-LV"/>
              </w:rPr>
              <w:t xml:space="preserve">gandrīz </w:t>
            </w:r>
            <w:r>
              <w:rPr>
                <w:lang w:val="lv-LV"/>
              </w:rPr>
              <w:t>nav mainījies kopš 2004.gada.</w:t>
            </w:r>
          </w:p>
        </w:tc>
      </w:tr>
      <w:tr w:rsidR="005D73DE" w:rsidRPr="00692F5C" w:rsidTr="00C21DCA">
        <w:tc>
          <w:tcPr>
            <w:tcW w:w="250" w:type="pct"/>
          </w:tcPr>
          <w:p w:rsidR="00A162FE" w:rsidRPr="00692F5C" w:rsidRDefault="00A162FE" w:rsidP="00C21DCA">
            <w:pPr>
              <w:jc w:val="center"/>
              <w:rPr>
                <w:lang w:val="lv-LV" w:eastAsia="lv-LV"/>
              </w:rPr>
            </w:pPr>
            <w:r w:rsidRPr="00692F5C">
              <w:rPr>
                <w:lang w:val="lv-LV" w:eastAsia="lv-LV"/>
              </w:rPr>
              <w:lastRenderedPageBreak/>
              <w:t>3.</w:t>
            </w:r>
          </w:p>
        </w:tc>
        <w:tc>
          <w:tcPr>
            <w:tcW w:w="1397" w:type="pct"/>
          </w:tcPr>
          <w:p w:rsidR="00A162FE" w:rsidRPr="00692F5C" w:rsidRDefault="006A073E" w:rsidP="005D73DE">
            <w:pPr>
              <w:jc w:val="both"/>
              <w:rPr>
                <w:lang w:val="lv-LV" w:eastAsia="lv-LV"/>
              </w:rPr>
            </w:pPr>
            <w:r w:rsidRPr="00692F5C">
              <w:rPr>
                <w:lang w:val="lv-LV" w:eastAsia="lv-LV"/>
              </w:rPr>
              <w:t>Projekta izstrādē iesaistītās institūcijas</w:t>
            </w:r>
          </w:p>
        </w:tc>
        <w:tc>
          <w:tcPr>
            <w:tcW w:w="3353" w:type="pct"/>
          </w:tcPr>
          <w:p w:rsidR="00A162FE" w:rsidRPr="00692F5C" w:rsidRDefault="00637D61" w:rsidP="005D73DE">
            <w:pPr>
              <w:jc w:val="both"/>
              <w:rPr>
                <w:highlight w:val="yellow"/>
                <w:lang w:val="lv-LV" w:eastAsia="lv-LV"/>
              </w:rPr>
            </w:pPr>
            <w:r w:rsidRPr="00692F5C">
              <w:rPr>
                <w:lang w:val="lv-LV" w:eastAsia="lv-LV"/>
              </w:rPr>
              <w:t>Pārtikas un veterinārais dienests</w:t>
            </w:r>
          </w:p>
        </w:tc>
      </w:tr>
      <w:tr w:rsidR="005D73DE" w:rsidRPr="00692F5C" w:rsidTr="00C21DCA">
        <w:tc>
          <w:tcPr>
            <w:tcW w:w="250" w:type="pct"/>
          </w:tcPr>
          <w:p w:rsidR="00A162FE" w:rsidRPr="00692F5C" w:rsidRDefault="00A162FE" w:rsidP="00C21DCA">
            <w:pPr>
              <w:jc w:val="center"/>
              <w:rPr>
                <w:lang w:val="lv-LV" w:eastAsia="lv-LV"/>
              </w:rPr>
            </w:pPr>
            <w:r w:rsidRPr="00692F5C">
              <w:rPr>
                <w:lang w:val="lv-LV" w:eastAsia="lv-LV"/>
              </w:rPr>
              <w:t>4.</w:t>
            </w:r>
          </w:p>
        </w:tc>
        <w:tc>
          <w:tcPr>
            <w:tcW w:w="1397" w:type="pct"/>
          </w:tcPr>
          <w:p w:rsidR="00A162FE" w:rsidRPr="00692F5C" w:rsidRDefault="006A073E" w:rsidP="005D73DE">
            <w:pPr>
              <w:jc w:val="both"/>
              <w:rPr>
                <w:lang w:val="lv-LV" w:eastAsia="lv-LV"/>
              </w:rPr>
            </w:pPr>
            <w:r w:rsidRPr="00692F5C">
              <w:rPr>
                <w:lang w:val="lv-LV" w:eastAsia="lv-LV"/>
              </w:rPr>
              <w:t>Cita informācija</w:t>
            </w:r>
          </w:p>
        </w:tc>
        <w:tc>
          <w:tcPr>
            <w:tcW w:w="3353" w:type="pct"/>
          </w:tcPr>
          <w:p w:rsidR="00A162FE" w:rsidRPr="00692F5C" w:rsidRDefault="00D671BC" w:rsidP="005D73DE">
            <w:pPr>
              <w:jc w:val="both"/>
              <w:rPr>
                <w:lang w:val="lv-LV"/>
              </w:rPr>
            </w:pPr>
            <w:r w:rsidRPr="00692F5C">
              <w:rPr>
                <w:lang w:val="lv-LV"/>
              </w:rPr>
              <w:t>Nav</w:t>
            </w:r>
          </w:p>
        </w:tc>
      </w:tr>
    </w:tbl>
    <w:p w:rsidR="00C21DCA" w:rsidRPr="00692F5C" w:rsidRDefault="00C21DCA">
      <w:pPr>
        <w:rPr>
          <w:lang w:val="lv-LV"/>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456"/>
        <w:gridCol w:w="2552"/>
        <w:gridCol w:w="6125"/>
      </w:tblGrid>
      <w:tr w:rsidR="00C85AF2" w:rsidRPr="005B26B8" w:rsidTr="00DF02A2">
        <w:tc>
          <w:tcPr>
            <w:tcW w:w="0" w:type="auto"/>
            <w:gridSpan w:val="3"/>
            <w:vAlign w:val="center"/>
          </w:tcPr>
          <w:p w:rsidR="00C85AF2" w:rsidRPr="00536C83" w:rsidRDefault="00C85AF2" w:rsidP="00DF02A2">
            <w:pPr>
              <w:jc w:val="center"/>
              <w:rPr>
                <w:b/>
                <w:bCs/>
                <w:lang w:val="lv-LV" w:eastAsia="lv-LV"/>
              </w:rPr>
            </w:pPr>
            <w:r w:rsidRPr="00D601DC">
              <w:rPr>
                <w:b/>
                <w:lang w:val="lv-LV"/>
              </w:rPr>
              <w:t>II. Tiesību akta projekta ietekme uz sabiedrību,</w:t>
            </w:r>
            <w:r w:rsidRPr="00D601DC">
              <w:rPr>
                <w:b/>
                <w:bCs/>
                <w:lang w:val="lv-LV"/>
              </w:rPr>
              <w:t xml:space="preserve"> tautsaimniecības attīstību un administratīvo slogu</w:t>
            </w:r>
          </w:p>
        </w:tc>
      </w:tr>
      <w:tr w:rsidR="00C85AF2" w:rsidRPr="005A0DAC" w:rsidTr="00DF02A2">
        <w:tc>
          <w:tcPr>
            <w:tcW w:w="250" w:type="pct"/>
          </w:tcPr>
          <w:p w:rsidR="00C85AF2" w:rsidRPr="00692F5C" w:rsidRDefault="00C85AF2" w:rsidP="00DF02A2">
            <w:pPr>
              <w:jc w:val="center"/>
              <w:rPr>
                <w:lang w:val="lv-LV" w:eastAsia="lv-LV"/>
              </w:rPr>
            </w:pPr>
            <w:r w:rsidRPr="00692F5C">
              <w:rPr>
                <w:lang w:val="lv-LV" w:eastAsia="lv-LV"/>
              </w:rPr>
              <w:t>1.</w:t>
            </w:r>
          </w:p>
        </w:tc>
        <w:tc>
          <w:tcPr>
            <w:tcW w:w="1397" w:type="pct"/>
          </w:tcPr>
          <w:p w:rsidR="00C85AF2" w:rsidRPr="00692F5C" w:rsidRDefault="00C85AF2" w:rsidP="00DF02A2">
            <w:pPr>
              <w:jc w:val="both"/>
              <w:rPr>
                <w:lang w:val="lv-LV"/>
              </w:rPr>
            </w:pPr>
            <w:r w:rsidRPr="00692F5C">
              <w:rPr>
                <w:lang w:val="lv-LV"/>
              </w:rPr>
              <w:t>Sabiedrības mērķgrupas, kuras tiesiskais regulējums ietekmē vai varētu ietekmēt</w:t>
            </w:r>
          </w:p>
        </w:tc>
        <w:tc>
          <w:tcPr>
            <w:tcW w:w="3353" w:type="pct"/>
          </w:tcPr>
          <w:p w:rsidR="00366623" w:rsidRDefault="00707308" w:rsidP="00707308">
            <w:pPr>
              <w:jc w:val="both"/>
              <w:rPr>
                <w:lang w:val="lv-LV"/>
              </w:rPr>
            </w:pPr>
            <w:r w:rsidRPr="000017B6">
              <w:rPr>
                <w:lang w:val="lv-LV"/>
              </w:rPr>
              <w:t>Noteikumu projekta tiesiskais regulējums attiecas uz</w:t>
            </w:r>
            <w:r w:rsidR="00366623">
              <w:rPr>
                <w:lang w:val="lv-LV"/>
              </w:rPr>
              <w:t>:</w:t>
            </w:r>
          </w:p>
          <w:p w:rsidR="00707308" w:rsidRDefault="00366623" w:rsidP="00707308">
            <w:pPr>
              <w:jc w:val="both"/>
              <w:rPr>
                <w:iCs/>
                <w:highlight w:val="yellow"/>
                <w:lang w:val="lv-LV"/>
              </w:rPr>
            </w:pPr>
            <w:r>
              <w:rPr>
                <w:lang w:val="lv-LV"/>
              </w:rPr>
              <w:t xml:space="preserve">1) </w:t>
            </w:r>
            <w:r w:rsidR="0016095C">
              <w:rPr>
                <w:lang w:val="lv-LV"/>
              </w:rPr>
              <w:t>uzņēmējiem</w:t>
            </w:r>
            <w:r w:rsidR="00707308">
              <w:rPr>
                <w:lang w:val="lv-LV"/>
              </w:rPr>
              <w:t>:</w:t>
            </w:r>
          </w:p>
          <w:p w:rsidR="00C85AF2" w:rsidRDefault="00366623" w:rsidP="00707308">
            <w:pPr>
              <w:jc w:val="both"/>
              <w:rPr>
                <w:lang w:val="lv-LV"/>
              </w:rPr>
            </w:pPr>
            <w:r>
              <w:rPr>
                <w:iCs/>
                <w:lang w:val="lv-LV"/>
              </w:rPr>
              <w:t>a</w:t>
            </w:r>
            <w:r w:rsidR="00707308" w:rsidRPr="00642218">
              <w:rPr>
                <w:iCs/>
                <w:lang w:val="lv-LV"/>
              </w:rPr>
              <w:t xml:space="preserve">) </w:t>
            </w:r>
            <w:r w:rsidR="0016095C" w:rsidRPr="00642218">
              <w:rPr>
                <w:iCs/>
                <w:lang w:val="lv-LV"/>
              </w:rPr>
              <w:t>k</w:t>
            </w:r>
            <w:r w:rsidR="005358F3">
              <w:rPr>
                <w:iCs/>
                <w:lang w:val="lv-LV"/>
              </w:rPr>
              <w:t>uri</w:t>
            </w:r>
            <w:r w:rsidR="0016095C" w:rsidRPr="00642218">
              <w:rPr>
                <w:iCs/>
                <w:lang w:val="lv-LV"/>
              </w:rPr>
              <w:t xml:space="preserve"> </w:t>
            </w:r>
            <w:r w:rsidR="00964050" w:rsidRPr="00642218">
              <w:rPr>
                <w:lang w:val="lv-LV"/>
              </w:rPr>
              <w:t xml:space="preserve">iesaistīti </w:t>
            </w:r>
            <w:r w:rsidR="00707308" w:rsidRPr="00642218">
              <w:rPr>
                <w:lang w:val="lv-LV"/>
              </w:rPr>
              <w:t xml:space="preserve">pārtikas un nepārtikas preču </w:t>
            </w:r>
            <w:r w:rsidR="00964050" w:rsidRPr="00642218">
              <w:rPr>
                <w:lang w:val="lv-LV"/>
              </w:rPr>
              <w:t xml:space="preserve">kravu ievešanā </w:t>
            </w:r>
            <w:r w:rsidR="00707308" w:rsidRPr="00642218">
              <w:rPr>
                <w:lang w:val="lv-LV"/>
              </w:rPr>
              <w:t>no trešajām valstīm;</w:t>
            </w:r>
          </w:p>
          <w:p w:rsidR="000017B6" w:rsidRPr="00790F3B" w:rsidRDefault="00366623" w:rsidP="00707308">
            <w:pPr>
              <w:jc w:val="both"/>
              <w:rPr>
                <w:lang w:val="lv-LV"/>
              </w:rPr>
            </w:pPr>
            <w:r>
              <w:rPr>
                <w:lang w:val="lv-LV"/>
              </w:rPr>
              <w:t>b</w:t>
            </w:r>
            <w:r w:rsidR="00707308">
              <w:rPr>
                <w:lang w:val="lv-LV"/>
              </w:rPr>
              <w:t>)</w:t>
            </w:r>
            <w:r w:rsidR="000017B6" w:rsidRPr="000017B6">
              <w:rPr>
                <w:lang w:val="lv-LV"/>
              </w:rPr>
              <w:t xml:space="preserve"> </w:t>
            </w:r>
            <w:r w:rsidR="0016095C">
              <w:rPr>
                <w:lang w:val="lv-LV"/>
              </w:rPr>
              <w:t>k</w:t>
            </w:r>
            <w:r w:rsidR="005358F3">
              <w:rPr>
                <w:lang w:val="lv-LV"/>
              </w:rPr>
              <w:t>uriem</w:t>
            </w:r>
            <w:r w:rsidR="0016095C">
              <w:rPr>
                <w:lang w:val="lv-LV"/>
              </w:rPr>
              <w:t xml:space="preserve"> nepieciešams saņemt veterināros sertifikātus vai citus apliecinājumus par produktu atbilstību;</w:t>
            </w:r>
            <w:r w:rsidR="000017B6" w:rsidRPr="000017B6">
              <w:rPr>
                <w:lang w:val="lv-LV"/>
              </w:rPr>
              <w:t xml:space="preserve"> </w:t>
            </w:r>
          </w:p>
          <w:p w:rsidR="000017B6" w:rsidRDefault="00366623" w:rsidP="00707308">
            <w:pPr>
              <w:jc w:val="both"/>
              <w:rPr>
                <w:lang w:val="lv-LV"/>
              </w:rPr>
            </w:pPr>
            <w:r>
              <w:rPr>
                <w:lang w:val="lv-LV"/>
              </w:rPr>
              <w:t>c</w:t>
            </w:r>
            <w:r w:rsidR="0016095C">
              <w:rPr>
                <w:lang w:val="lv-LV"/>
              </w:rPr>
              <w:t>) k</w:t>
            </w:r>
            <w:r w:rsidR="005358F3">
              <w:rPr>
                <w:lang w:val="lv-LV"/>
              </w:rPr>
              <w:t>uri</w:t>
            </w:r>
            <w:r w:rsidR="0016095C">
              <w:rPr>
                <w:lang w:val="lv-LV"/>
              </w:rPr>
              <w:t xml:space="preserve"> plāno </w:t>
            </w:r>
            <w:r w:rsidR="00642218">
              <w:rPr>
                <w:lang w:val="lv-LV"/>
              </w:rPr>
              <w:t>uzsākt uzņēmējdarbību, k</w:t>
            </w:r>
            <w:r w:rsidR="005358F3">
              <w:rPr>
                <w:lang w:val="lv-LV"/>
              </w:rPr>
              <w:t>am</w:t>
            </w:r>
            <w:r w:rsidR="00642218">
              <w:rPr>
                <w:lang w:val="lv-LV"/>
              </w:rPr>
              <w:t xml:space="preserve"> nepieciešama uzņēmuma reģistrācija ar pārbaudi vai atzīšana;</w:t>
            </w:r>
          </w:p>
          <w:p w:rsidR="004618A2" w:rsidRDefault="00366623" w:rsidP="00707308">
            <w:pPr>
              <w:jc w:val="both"/>
              <w:rPr>
                <w:lang w:val="lv-LV"/>
              </w:rPr>
            </w:pPr>
            <w:r>
              <w:rPr>
                <w:lang w:val="lv-LV"/>
              </w:rPr>
              <w:t>d</w:t>
            </w:r>
            <w:r w:rsidR="004618A2">
              <w:rPr>
                <w:lang w:val="lv-LV"/>
              </w:rPr>
              <w:t xml:space="preserve">) </w:t>
            </w:r>
            <w:r w:rsidR="007911B6">
              <w:rPr>
                <w:lang w:val="lv-LV"/>
              </w:rPr>
              <w:t>kuru darbībā konstatētas neatbilstības</w:t>
            </w:r>
            <w:r w:rsidR="00271A7F">
              <w:rPr>
                <w:lang w:val="lv-LV"/>
              </w:rPr>
              <w:t>,</w:t>
            </w:r>
            <w:r w:rsidR="007911B6">
              <w:rPr>
                <w:lang w:val="lv-LV"/>
              </w:rPr>
              <w:t xml:space="preserve"> tāpēc nepieciešamas atkārtotas </w:t>
            </w:r>
            <w:r w:rsidR="0049284E">
              <w:rPr>
                <w:lang w:val="lv-LV"/>
              </w:rPr>
              <w:t>PVD pārbaudes.</w:t>
            </w:r>
          </w:p>
          <w:p w:rsidR="00674D4F" w:rsidRPr="004D0365" w:rsidRDefault="00674D4F" w:rsidP="00EA77E3">
            <w:pPr>
              <w:jc w:val="both"/>
              <w:rPr>
                <w:lang w:val="lv-LV"/>
              </w:rPr>
            </w:pPr>
            <w:r w:rsidRPr="00790F3B">
              <w:rPr>
                <w:lang w:val="lv-LV"/>
              </w:rPr>
              <w:t>Mērķgrup</w:t>
            </w:r>
            <w:r w:rsidR="00EA77E3">
              <w:rPr>
                <w:lang w:val="lv-LV"/>
              </w:rPr>
              <w:t>as</w:t>
            </w:r>
            <w:r w:rsidRPr="00790F3B">
              <w:rPr>
                <w:lang w:val="lv-LV"/>
              </w:rPr>
              <w:t xml:space="preserve"> skaitliskais </w:t>
            </w:r>
            <w:r w:rsidR="004D093A">
              <w:rPr>
                <w:lang w:val="lv-LV"/>
              </w:rPr>
              <w:t>lielums</w:t>
            </w:r>
            <w:r w:rsidRPr="00790F3B">
              <w:rPr>
                <w:lang w:val="lv-LV"/>
              </w:rPr>
              <w:t xml:space="preserve"> ir atkarīgs n</w:t>
            </w:r>
            <w:r w:rsidR="00366623">
              <w:rPr>
                <w:lang w:val="lv-LV"/>
              </w:rPr>
              <w:t xml:space="preserve">o ekonomiskās </w:t>
            </w:r>
            <w:r w:rsidR="00366623" w:rsidRPr="004D0365">
              <w:rPr>
                <w:lang w:val="lv-LV"/>
              </w:rPr>
              <w:t>attīstības valstī;</w:t>
            </w:r>
          </w:p>
          <w:p w:rsidR="00366623" w:rsidRPr="00692F5C" w:rsidRDefault="00366623" w:rsidP="00366623">
            <w:pPr>
              <w:jc w:val="both"/>
              <w:rPr>
                <w:lang w:val="lv-LV"/>
              </w:rPr>
            </w:pPr>
            <w:r w:rsidRPr="004D0365">
              <w:rPr>
                <w:lang w:val="lv-LV"/>
              </w:rPr>
              <w:t xml:space="preserve">2) </w:t>
            </w:r>
            <w:r w:rsidRPr="004D0365">
              <w:rPr>
                <w:lang w:val="lv-LV" w:eastAsia="lv-LV"/>
              </w:rPr>
              <w:t>PVD inspektoriem.</w:t>
            </w:r>
          </w:p>
        </w:tc>
      </w:tr>
      <w:tr w:rsidR="00C85AF2" w:rsidRPr="005B26B8" w:rsidTr="00DF02A2">
        <w:tc>
          <w:tcPr>
            <w:tcW w:w="250" w:type="pct"/>
          </w:tcPr>
          <w:p w:rsidR="00C85AF2" w:rsidRPr="00692F5C" w:rsidRDefault="00C85AF2" w:rsidP="00DF02A2">
            <w:pPr>
              <w:jc w:val="center"/>
              <w:rPr>
                <w:lang w:val="lv-LV" w:eastAsia="lv-LV"/>
              </w:rPr>
            </w:pPr>
            <w:r w:rsidRPr="00692F5C">
              <w:rPr>
                <w:lang w:val="lv-LV" w:eastAsia="lv-LV"/>
              </w:rPr>
              <w:t>2.</w:t>
            </w:r>
          </w:p>
        </w:tc>
        <w:tc>
          <w:tcPr>
            <w:tcW w:w="1397" w:type="pct"/>
          </w:tcPr>
          <w:p w:rsidR="00C85AF2" w:rsidRPr="00692F5C" w:rsidRDefault="00C85AF2" w:rsidP="00DF02A2">
            <w:pPr>
              <w:widowControl w:val="0"/>
              <w:jc w:val="both"/>
              <w:rPr>
                <w:lang w:val="lv-LV"/>
              </w:rPr>
            </w:pPr>
            <w:r w:rsidRPr="00692F5C">
              <w:rPr>
                <w:lang w:val="lv-LV"/>
              </w:rPr>
              <w:t>Tiesiskā regulējuma ietekme uz tautsaimniecību un administratīvo slogu</w:t>
            </w:r>
          </w:p>
        </w:tc>
        <w:tc>
          <w:tcPr>
            <w:tcW w:w="3353" w:type="pct"/>
          </w:tcPr>
          <w:p w:rsidR="00154954" w:rsidRPr="00A11955" w:rsidRDefault="00105DD3" w:rsidP="00154954">
            <w:pPr>
              <w:jc w:val="both"/>
              <w:rPr>
                <w:lang w:val="lv-LV"/>
              </w:rPr>
            </w:pPr>
            <w:r>
              <w:rPr>
                <w:szCs w:val="22"/>
                <w:lang w:val="lv-LV"/>
              </w:rPr>
              <w:t xml:space="preserve">1. </w:t>
            </w:r>
            <w:r w:rsidR="00154954" w:rsidRPr="00A11955">
              <w:rPr>
                <w:szCs w:val="22"/>
                <w:lang w:val="lv-LV"/>
              </w:rPr>
              <w:t xml:space="preserve">Maksa par vienu inspektora darba stundu plānots paaugstināt par 0,98 </w:t>
            </w:r>
            <w:r w:rsidR="00154954" w:rsidRPr="00A11955">
              <w:rPr>
                <w:i/>
                <w:szCs w:val="22"/>
                <w:lang w:val="lv-LV"/>
              </w:rPr>
              <w:t>euro</w:t>
            </w:r>
            <w:r w:rsidR="00154954" w:rsidRPr="00A11955">
              <w:rPr>
                <w:szCs w:val="22"/>
                <w:lang w:val="lv-LV"/>
              </w:rPr>
              <w:t>. Tas attiecas uz jaunu uzņēmumu atzīšanu, reģistrāciju, atkārtotām pārbaudēm neatbilstību gadījumos</w:t>
            </w:r>
            <w:r w:rsidR="00271A7F">
              <w:rPr>
                <w:szCs w:val="22"/>
                <w:lang w:val="lv-LV"/>
              </w:rPr>
              <w:t xml:space="preserve"> un</w:t>
            </w:r>
            <w:r w:rsidR="008711B1">
              <w:rPr>
                <w:szCs w:val="22"/>
                <w:lang w:val="lv-LV"/>
              </w:rPr>
              <w:t xml:space="preserve"> oficiālo papildu kontroli</w:t>
            </w:r>
            <w:r w:rsidR="00154954" w:rsidRPr="00A11955">
              <w:rPr>
                <w:szCs w:val="22"/>
                <w:lang w:val="lv-LV"/>
              </w:rPr>
              <w:t>.</w:t>
            </w:r>
            <w:r w:rsidR="008711B1">
              <w:rPr>
                <w:szCs w:val="22"/>
                <w:lang w:val="lv-LV"/>
              </w:rPr>
              <w:t xml:space="preserve"> </w:t>
            </w:r>
            <w:r w:rsidR="008711B1" w:rsidRPr="00595260">
              <w:rPr>
                <w:lang w:val="lv-LV"/>
              </w:rPr>
              <w:t>Par plānveida pārbaudēm</w:t>
            </w:r>
            <w:r w:rsidR="008711B1">
              <w:rPr>
                <w:lang w:val="lv-LV"/>
              </w:rPr>
              <w:t xml:space="preserve"> uzņēmēji nemaksā, </w:t>
            </w:r>
            <w:r w:rsidR="00271A7F">
              <w:rPr>
                <w:lang w:val="lv-LV"/>
              </w:rPr>
              <w:t xml:space="preserve">un </w:t>
            </w:r>
            <w:r w:rsidR="008711B1">
              <w:rPr>
                <w:lang w:val="lv-LV"/>
              </w:rPr>
              <w:t>tās tiek nodrošinātas par valsts budžeta līdzekļiem</w:t>
            </w:r>
            <w:r w:rsidR="008711B1" w:rsidRPr="00595260">
              <w:rPr>
                <w:lang w:val="lv-LV"/>
              </w:rPr>
              <w:t>.</w:t>
            </w:r>
          </w:p>
          <w:p w:rsidR="00154954" w:rsidRDefault="00154954" w:rsidP="00154954">
            <w:pPr>
              <w:jc w:val="both"/>
              <w:rPr>
                <w:lang w:val="lv-LV"/>
              </w:rPr>
            </w:pPr>
            <w:r w:rsidRPr="00A11955">
              <w:rPr>
                <w:lang w:val="lv-LV"/>
              </w:rPr>
              <w:t xml:space="preserve">Vidējais vienas darbības (kontrole uzņēmumā u.c.) ilgums ir viena stunda, tātad izmaksas par </w:t>
            </w:r>
            <w:r w:rsidR="00545BDE">
              <w:rPr>
                <w:lang w:val="lv-LV"/>
              </w:rPr>
              <w:t>PVD</w:t>
            </w:r>
            <w:r w:rsidRPr="00A11955">
              <w:rPr>
                <w:lang w:val="lv-LV"/>
              </w:rPr>
              <w:t xml:space="preserve"> darbībām palielinās vidēji par 0,98 </w:t>
            </w:r>
            <w:r w:rsidRPr="00A11955">
              <w:rPr>
                <w:i/>
                <w:lang w:val="lv-LV"/>
              </w:rPr>
              <w:t>euro</w:t>
            </w:r>
            <w:r w:rsidRPr="00A11955">
              <w:rPr>
                <w:lang w:val="lv-LV"/>
              </w:rPr>
              <w:t xml:space="preserve"> katrā kontroles reizē.</w:t>
            </w:r>
          </w:p>
          <w:p w:rsidR="008711B1" w:rsidRPr="00692F5C" w:rsidRDefault="008711B1" w:rsidP="008711B1">
            <w:pPr>
              <w:jc w:val="both"/>
              <w:rPr>
                <w:lang w:val="lv-LV"/>
              </w:rPr>
            </w:pPr>
            <w:r w:rsidRPr="008812A5">
              <w:rPr>
                <w:lang w:val="lv-LV"/>
              </w:rPr>
              <w:t xml:space="preserve">Maksas maiņa ietekmēs arī sertifikātu izsniegšanu, tomēr, </w:t>
            </w:r>
            <w:r w:rsidR="00271A7F">
              <w:rPr>
                <w:lang w:val="lv-LV"/>
              </w:rPr>
              <w:t>tā kā</w:t>
            </w:r>
            <w:r w:rsidRPr="008812A5">
              <w:rPr>
                <w:lang w:val="lv-LV"/>
              </w:rPr>
              <w:t xml:space="preserve"> vidēji viena sertifikāta izrakstīšanai tiek tērēta 0</w:t>
            </w:r>
            <w:r w:rsidR="00271A7F">
              <w:rPr>
                <w:lang w:val="lv-LV"/>
              </w:rPr>
              <w:t>,</w:t>
            </w:r>
            <w:r w:rsidRPr="008812A5">
              <w:rPr>
                <w:lang w:val="lv-LV"/>
              </w:rPr>
              <w:t>5</w:t>
            </w:r>
            <w:r w:rsidR="00271A7F">
              <w:rPr>
                <w:lang w:val="lv-LV"/>
              </w:rPr>
              <w:t>–</w:t>
            </w:r>
            <w:r w:rsidRPr="008812A5">
              <w:rPr>
                <w:lang w:val="lv-LV"/>
              </w:rPr>
              <w:t xml:space="preserve">1 stunda laika, šis sadārdzinājums ir neliels – vairumā gadījumu tas būs </w:t>
            </w:r>
            <w:r w:rsidR="00271A7F" w:rsidRPr="003018EF">
              <w:rPr>
                <w:lang w:val="lv-LV"/>
              </w:rPr>
              <w:t>EUR</w:t>
            </w:r>
            <w:r w:rsidR="00271A7F" w:rsidRPr="00271A7F">
              <w:rPr>
                <w:lang w:val="lv-LV"/>
              </w:rPr>
              <w:t xml:space="preserve"> </w:t>
            </w:r>
            <w:r w:rsidRPr="008812A5">
              <w:rPr>
                <w:lang w:val="lv-LV"/>
              </w:rPr>
              <w:t>0</w:t>
            </w:r>
            <w:r w:rsidR="00271A7F">
              <w:rPr>
                <w:lang w:val="lv-LV"/>
              </w:rPr>
              <w:t>,</w:t>
            </w:r>
            <w:r w:rsidRPr="008812A5">
              <w:rPr>
                <w:lang w:val="lv-LV"/>
              </w:rPr>
              <w:t>49</w:t>
            </w:r>
            <w:r w:rsidR="00271A7F">
              <w:rPr>
                <w:lang w:val="lv-LV"/>
              </w:rPr>
              <w:t>–</w:t>
            </w:r>
            <w:r w:rsidRPr="008812A5">
              <w:rPr>
                <w:lang w:val="lv-LV"/>
              </w:rPr>
              <w:t>0</w:t>
            </w:r>
            <w:r w:rsidR="00271A7F">
              <w:rPr>
                <w:lang w:val="lv-LV"/>
              </w:rPr>
              <w:t>,</w:t>
            </w:r>
            <w:r w:rsidRPr="008812A5">
              <w:rPr>
                <w:lang w:val="lv-LV"/>
              </w:rPr>
              <w:t>98.</w:t>
            </w:r>
          </w:p>
          <w:p w:rsidR="00C85AF2" w:rsidRPr="004D0365" w:rsidRDefault="00105DD3" w:rsidP="00A11955">
            <w:pPr>
              <w:jc w:val="both"/>
              <w:rPr>
                <w:lang w:val="lv-LV"/>
              </w:rPr>
            </w:pPr>
            <w:r>
              <w:rPr>
                <w:lang w:val="lv-LV"/>
              </w:rPr>
              <w:t xml:space="preserve">2. </w:t>
            </w:r>
            <w:r w:rsidR="00A11955" w:rsidRPr="004D0365">
              <w:rPr>
                <w:lang w:val="lv-LV"/>
              </w:rPr>
              <w:t>Samaksa par kravu robežkontroli palielināsies apmēram par 22%.</w:t>
            </w:r>
          </w:p>
          <w:p w:rsidR="00336645" w:rsidRPr="00490E75" w:rsidRDefault="00105DD3" w:rsidP="00240395">
            <w:pPr>
              <w:jc w:val="both"/>
              <w:rPr>
                <w:b/>
                <w:lang w:val="lv-LV"/>
              </w:rPr>
            </w:pPr>
            <w:r w:rsidRPr="004D0365">
              <w:rPr>
                <w:lang w:val="lv-LV"/>
              </w:rPr>
              <w:t>3. Nosakot maksu par veterinārā (veselības) sertifikāta sagatavošanu un izsniegšanu mājas (istabas) dzīvniekam (1.pielikuma 3.</w:t>
            </w:r>
            <w:r w:rsidRPr="004D0365">
              <w:rPr>
                <w:vertAlign w:val="superscript"/>
                <w:lang w:val="lv-LV"/>
              </w:rPr>
              <w:t>1</w:t>
            </w:r>
            <w:r w:rsidRPr="004D0365">
              <w:rPr>
                <w:lang w:val="lv-LV"/>
              </w:rPr>
              <w:t xml:space="preserve"> punkts), samazinās izmaksas šī pakalpojuma ņēmējiem (patlaban noteikta vienota maksa par sertifikātu izsniegšanu visiem dzīvniekiem – gan mājas (istabas), gan lauksaimniecības dzīvniekiem).</w:t>
            </w:r>
          </w:p>
        </w:tc>
      </w:tr>
      <w:tr w:rsidR="00C85AF2" w:rsidRPr="00692F5C" w:rsidTr="00DF02A2">
        <w:tc>
          <w:tcPr>
            <w:tcW w:w="250" w:type="pct"/>
          </w:tcPr>
          <w:p w:rsidR="00C85AF2" w:rsidRPr="00692F5C" w:rsidRDefault="00C85AF2" w:rsidP="00DF02A2">
            <w:pPr>
              <w:jc w:val="center"/>
              <w:rPr>
                <w:lang w:val="lv-LV" w:eastAsia="lv-LV"/>
              </w:rPr>
            </w:pPr>
            <w:r w:rsidRPr="00692F5C">
              <w:rPr>
                <w:lang w:val="lv-LV" w:eastAsia="lv-LV"/>
              </w:rPr>
              <w:t>3.</w:t>
            </w:r>
          </w:p>
        </w:tc>
        <w:tc>
          <w:tcPr>
            <w:tcW w:w="1397" w:type="pct"/>
          </w:tcPr>
          <w:p w:rsidR="00C85AF2" w:rsidRPr="00692F5C" w:rsidRDefault="00C85AF2" w:rsidP="00DF02A2">
            <w:pPr>
              <w:pStyle w:val="Paraststmeklis"/>
              <w:spacing w:before="0" w:beforeAutospacing="0" w:after="0" w:afterAutospacing="0"/>
              <w:jc w:val="both"/>
              <w:rPr>
                <w:lang w:val="lv-LV"/>
              </w:rPr>
            </w:pPr>
            <w:r w:rsidRPr="00692F5C">
              <w:rPr>
                <w:lang w:val="lv-LV"/>
              </w:rPr>
              <w:t>Administratīvo izmaksu monetārs novērtējums</w:t>
            </w:r>
          </w:p>
        </w:tc>
        <w:tc>
          <w:tcPr>
            <w:tcW w:w="3353" w:type="pct"/>
          </w:tcPr>
          <w:p w:rsidR="00C85AF2" w:rsidRPr="00692F5C" w:rsidRDefault="003F3E77" w:rsidP="00DF02A2">
            <w:pPr>
              <w:jc w:val="both"/>
              <w:rPr>
                <w:highlight w:val="yellow"/>
                <w:lang w:val="lv-LV" w:eastAsia="lv-LV"/>
              </w:rPr>
            </w:pPr>
            <w:r w:rsidRPr="003F3E77">
              <w:rPr>
                <w:lang w:val="lv-LV" w:eastAsia="lv-LV"/>
              </w:rPr>
              <w:t>Projekts šo jomu neskar.</w:t>
            </w:r>
          </w:p>
        </w:tc>
      </w:tr>
      <w:tr w:rsidR="00C85AF2" w:rsidRPr="00692F5C" w:rsidTr="00DF02A2">
        <w:tc>
          <w:tcPr>
            <w:tcW w:w="250" w:type="pct"/>
          </w:tcPr>
          <w:p w:rsidR="00C85AF2" w:rsidRPr="00692F5C" w:rsidRDefault="00C85AF2" w:rsidP="00DF02A2">
            <w:pPr>
              <w:jc w:val="center"/>
              <w:rPr>
                <w:lang w:val="lv-LV" w:eastAsia="lv-LV"/>
              </w:rPr>
            </w:pPr>
            <w:r w:rsidRPr="00692F5C">
              <w:rPr>
                <w:lang w:val="lv-LV" w:eastAsia="lv-LV"/>
              </w:rPr>
              <w:t>4.</w:t>
            </w:r>
          </w:p>
        </w:tc>
        <w:tc>
          <w:tcPr>
            <w:tcW w:w="1397" w:type="pct"/>
          </w:tcPr>
          <w:p w:rsidR="00C85AF2" w:rsidRPr="00692F5C" w:rsidRDefault="00C85AF2" w:rsidP="00DF02A2">
            <w:pPr>
              <w:jc w:val="both"/>
              <w:rPr>
                <w:lang w:val="lv-LV"/>
              </w:rPr>
            </w:pPr>
            <w:r w:rsidRPr="00692F5C">
              <w:rPr>
                <w:lang w:val="lv-LV"/>
              </w:rPr>
              <w:t>Cita informācija</w:t>
            </w:r>
          </w:p>
        </w:tc>
        <w:tc>
          <w:tcPr>
            <w:tcW w:w="3353" w:type="pct"/>
          </w:tcPr>
          <w:p w:rsidR="00C85AF2" w:rsidRPr="00692F5C" w:rsidRDefault="00C85AF2" w:rsidP="00DF02A2">
            <w:pPr>
              <w:jc w:val="both"/>
              <w:rPr>
                <w:lang w:val="lv-LV"/>
              </w:rPr>
            </w:pPr>
            <w:r w:rsidRPr="00692F5C">
              <w:rPr>
                <w:lang w:val="lv-LV"/>
              </w:rPr>
              <w:t>Nav</w:t>
            </w:r>
          </w:p>
        </w:tc>
      </w:tr>
    </w:tbl>
    <w:p w:rsidR="00637747" w:rsidRDefault="00637747" w:rsidP="005D73DE">
      <w:pPr>
        <w:jc w:val="both"/>
        <w:rPr>
          <w:lang w:val="lv-LV" w:eastAsia="lv-LV"/>
        </w:rPr>
      </w:pPr>
    </w:p>
    <w:tbl>
      <w:tblPr>
        <w:tblW w:w="4969" w:type="pct"/>
        <w:tblInd w:w="3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367"/>
        <w:gridCol w:w="1261"/>
        <w:gridCol w:w="1332"/>
        <w:gridCol w:w="1278"/>
        <w:gridCol w:w="1417"/>
        <w:gridCol w:w="1419"/>
      </w:tblGrid>
      <w:tr w:rsidR="003A4AAD" w:rsidRPr="005B26B8" w:rsidTr="003A4AAD">
        <w:tc>
          <w:tcPr>
            <w:tcW w:w="5000" w:type="pct"/>
            <w:gridSpan w:val="6"/>
            <w:tcBorders>
              <w:top w:val="outset" w:sz="6" w:space="0" w:color="000000"/>
              <w:left w:val="outset" w:sz="6" w:space="0" w:color="000000"/>
              <w:bottom w:val="outset" w:sz="6" w:space="0" w:color="000000"/>
              <w:right w:val="outset" w:sz="6" w:space="0" w:color="000000"/>
            </w:tcBorders>
            <w:hideMark/>
          </w:tcPr>
          <w:p w:rsidR="003A4AAD" w:rsidRDefault="003A4AAD">
            <w:pPr>
              <w:pStyle w:val="Paraststmeklis"/>
              <w:spacing w:before="0" w:beforeAutospacing="0" w:after="0" w:afterAutospacing="0"/>
              <w:jc w:val="center"/>
              <w:rPr>
                <w:b/>
                <w:bCs/>
                <w:lang w:val="lv-LV"/>
              </w:rPr>
            </w:pPr>
            <w:r w:rsidRPr="00E00800">
              <w:rPr>
                <w:b/>
                <w:bCs/>
                <w:lang w:val="lv-LV"/>
              </w:rPr>
              <w:lastRenderedPageBreak/>
              <w:t>III. Tiesību akta projekta ietekme uz valsts budžetu un pašvaldību budžetiem</w:t>
            </w:r>
          </w:p>
        </w:tc>
      </w:tr>
      <w:tr w:rsidR="003A4AAD" w:rsidTr="003A4AAD">
        <w:tc>
          <w:tcPr>
            <w:tcW w:w="1304" w:type="pct"/>
            <w:vMerge w:val="restart"/>
            <w:tcBorders>
              <w:top w:val="outset" w:sz="6" w:space="0" w:color="000000"/>
              <w:left w:val="outset" w:sz="6" w:space="0" w:color="000000"/>
              <w:bottom w:val="outset" w:sz="6" w:space="0" w:color="000000"/>
              <w:right w:val="outset" w:sz="6" w:space="0" w:color="000000"/>
            </w:tcBorders>
            <w:vAlign w:val="center"/>
            <w:hideMark/>
          </w:tcPr>
          <w:p w:rsidR="003A4AAD" w:rsidRDefault="003A4AAD">
            <w:pPr>
              <w:pStyle w:val="Paraststmeklis"/>
              <w:spacing w:before="0" w:beforeAutospacing="0" w:after="0" w:afterAutospacing="0"/>
              <w:jc w:val="center"/>
              <w:rPr>
                <w:b/>
                <w:bCs/>
                <w:sz w:val="23"/>
                <w:szCs w:val="23"/>
                <w:lang w:val="lv-LV"/>
              </w:rPr>
            </w:pPr>
            <w:r>
              <w:rPr>
                <w:b/>
                <w:bCs/>
                <w:sz w:val="23"/>
                <w:szCs w:val="23"/>
                <w:lang w:val="lv-LV"/>
              </w:rPr>
              <w:t>Rādītāji</w:t>
            </w:r>
          </w:p>
        </w:tc>
        <w:tc>
          <w:tcPr>
            <w:tcW w:w="1429" w:type="pct"/>
            <w:gridSpan w:val="2"/>
            <w:vMerge w:val="restart"/>
            <w:tcBorders>
              <w:top w:val="outset" w:sz="6" w:space="0" w:color="000000"/>
              <w:left w:val="outset" w:sz="6" w:space="0" w:color="000000"/>
              <w:bottom w:val="outset" w:sz="6" w:space="0" w:color="000000"/>
              <w:right w:val="outset" w:sz="6" w:space="0" w:color="000000"/>
            </w:tcBorders>
            <w:vAlign w:val="center"/>
            <w:hideMark/>
          </w:tcPr>
          <w:p w:rsidR="003A4AAD" w:rsidRDefault="003A4AAD">
            <w:pPr>
              <w:pStyle w:val="Paraststmeklis"/>
              <w:spacing w:before="0" w:beforeAutospacing="0" w:after="0" w:afterAutospacing="0"/>
              <w:jc w:val="center"/>
              <w:rPr>
                <w:b/>
                <w:bCs/>
                <w:sz w:val="23"/>
                <w:szCs w:val="23"/>
                <w:lang w:val="lv-LV"/>
              </w:rPr>
            </w:pPr>
            <w:r>
              <w:rPr>
                <w:b/>
                <w:bCs/>
                <w:sz w:val="23"/>
                <w:szCs w:val="23"/>
                <w:lang w:val="lv-LV"/>
              </w:rPr>
              <w:t>2015.gads</w:t>
            </w:r>
          </w:p>
        </w:tc>
        <w:tc>
          <w:tcPr>
            <w:tcW w:w="2267" w:type="pct"/>
            <w:gridSpan w:val="3"/>
            <w:tcBorders>
              <w:top w:val="outset" w:sz="6" w:space="0" w:color="000000"/>
              <w:left w:val="outset" w:sz="6" w:space="0" w:color="000000"/>
              <w:bottom w:val="outset" w:sz="6" w:space="0" w:color="000000"/>
              <w:right w:val="outset" w:sz="6" w:space="0" w:color="000000"/>
            </w:tcBorders>
            <w:vAlign w:val="center"/>
            <w:hideMark/>
          </w:tcPr>
          <w:p w:rsidR="003A4AAD" w:rsidRDefault="003A4AAD">
            <w:pPr>
              <w:pStyle w:val="Paraststmeklis"/>
              <w:spacing w:before="0" w:beforeAutospacing="0" w:after="0" w:afterAutospacing="0"/>
              <w:jc w:val="center"/>
              <w:rPr>
                <w:sz w:val="23"/>
                <w:szCs w:val="23"/>
                <w:lang w:val="lv-LV"/>
              </w:rPr>
            </w:pPr>
            <w:r>
              <w:rPr>
                <w:sz w:val="23"/>
                <w:szCs w:val="23"/>
                <w:lang w:val="lv-LV"/>
              </w:rPr>
              <w:t>Turpmākie trīs gadi (</w:t>
            </w:r>
            <w:r>
              <w:rPr>
                <w:i/>
                <w:sz w:val="23"/>
                <w:szCs w:val="23"/>
                <w:lang w:val="lv-LV"/>
              </w:rPr>
              <w:t>euro</w:t>
            </w:r>
            <w:r>
              <w:rPr>
                <w:sz w:val="23"/>
                <w:szCs w:val="23"/>
                <w:lang w:val="lv-LV"/>
              </w:rPr>
              <w:t>)</w:t>
            </w:r>
          </w:p>
        </w:tc>
      </w:tr>
      <w:tr w:rsidR="003A4AAD" w:rsidTr="003A4AAD">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3A4AAD" w:rsidRDefault="003A4AAD">
            <w:pPr>
              <w:rPr>
                <w:rFonts w:eastAsia="Arial Unicode MS"/>
                <w:b/>
                <w:bCs/>
                <w:sz w:val="23"/>
                <w:szCs w:val="23"/>
                <w:lang w:val="lv-LV"/>
              </w:rPr>
            </w:pPr>
          </w:p>
        </w:tc>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3A4AAD" w:rsidRDefault="003A4AAD">
            <w:pPr>
              <w:rPr>
                <w:rFonts w:eastAsia="Arial Unicode MS"/>
                <w:b/>
                <w:bCs/>
                <w:sz w:val="23"/>
                <w:szCs w:val="23"/>
                <w:lang w:val="lv-LV"/>
              </w:rPr>
            </w:pPr>
          </w:p>
        </w:tc>
        <w:tc>
          <w:tcPr>
            <w:tcW w:w="704" w:type="pct"/>
            <w:tcBorders>
              <w:top w:val="outset" w:sz="6" w:space="0" w:color="000000"/>
              <w:left w:val="outset" w:sz="6" w:space="0" w:color="000000"/>
              <w:bottom w:val="outset" w:sz="6" w:space="0" w:color="000000"/>
              <w:right w:val="outset" w:sz="6" w:space="0" w:color="000000"/>
            </w:tcBorders>
            <w:vAlign w:val="center"/>
            <w:hideMark/>
          </w:tcPr>
          <w:p w:rsidR="003A4AAD" w:rsidRDefault="003A4AAD">
            <w:pPr>
              <w:pStyle w:val="Paraststmeklis"/>
              <w:spacing w:before="0" w:beforeAutospacing="0" w:after="0" w:afterAutospacing="0"/>
              <w:jc w:val="center"/>
              <w:rPr>
                <w:b/>
                <w:bCs/>
                <w:sz w:val="23"/>
                <w:szCs w:val="23"/>
                <w:lang w:val="lv-LV"/>
              </w:rPr>
            </w:pPr>
            <w:r>
              <w:rPr>
                <w:b/>
                <w:bCs/>
                <w:sz w:val="23"/>
                <w:szCs w:val="23"/>
                <w:lang w:val="lv-LV"/>
              </w:rPr>
              <w:t>2016.</w:t>
            </w:r>
          </w:p>
        </w:tc>
        <w:tc>
          <w:tcPr>
            <w:tcW w:w="781" w:type="pct"/>
            <w:tcBorders>
              <w:top w:val="outset" w:sz="6" w:space="0" w:color="000000"/>
              <w:left w:val="outset" w:sz="6" w:space="0" w:color="000000"/>
              <w:bottom w:val="outset" w:sz="6" w:space="0" w:color="000000"/>
              <w:right w:val="outset" w:sz="6" w:space="0" w:color="000000"/>
            </w:tcBorders>
            <w:vAlign w:val="center"/>
            <w:hideMark/>
          </w:tcPr>
          <w:p w:rsidR="003A4AAD" w:rsidRDefault="003A4AAD">
            <w:pPr>
              <w:pStyle w:val="Paraststmeklis"/>
              <w:spacing w:before="0" w:beforeAutospacing="0" w:after="0" w:afterAutospacing="0"/>
              <w:jc w:val="center"/>
              <w:rPr>
                <w:b/>
                <w:bCs/>
                <w:sz w:val="23"/>
                <w:szCs w:val="23"/>
                <w:lang w:val="lv-LV"/>
              </w:rPr>
            </w:pPr>
            <w:r>
              <w:rPr>
                <w:b/>
                <w:bCs/>
                <w:sz w:val="23"/>
                <w:szCs w:val="23"/>
                <w:lang w:val="lv-LV"/>
              </w:rPr>
              <w:t>2017.</w:t>
            </w:r>
          </w:p>
        </w:tc>
        <w:tc>
          <w:tcPr>
            <w:tcW w:w="782" w:type="pct"/>
            <w:tcBorders>
              <w:top w:val="outset" w:sz="6" w:space="0" w:color="000000"/>
              <w:left w:val="outset" w:sz="6" w:space="0" w:color="000000"/>
              <w:bottom w:val="outset" w:sz="6" w:space="0" w:color="000000"/>
              <w:right w:val="outset" w:sz="6" w:space="0" w:color="000000"/>
            </w:tcBorders>
            <w:vAlign w:val="center"/>
            <w:hideMark/>
          </w:tcPr>
          <w:p w:rsidR="003A4AAD" w:rsidRDefault="003A4AAD">
            <w:pPr>
              <w:pStyle w:val="Paraststmeklis"/>
              <w:spacing w:before="0" w:beforeAutospacing="0" w:after="0" w:afterAutospacing="0"/>
              <w:jc w:val="center"/>
              <w:rPr>
                <w:b/>
                <w:bCs/>
                <w:sz w:val="23"/>
                <w:szCs w:val="23"/>
                <w:lang w:val="lv-LV"/>
              </w:rPr>
            </w:pPr>
            <w:r>
              <w:rPr>
                <w:b/>
                <w:bCs/>
                <w:sz w:val="23"/>
                <w:szCs w:val="23"/>
                <w:lang w:val="lv-LV"/>
              </w:rPr>
              <w:t>2018.</w:t>
            </w:r>
          </w:p>
        </w:tc>
      </w:tr>
      <w:tr w:rsidR="003A4AAD" w:rsidRPr="005358F3" w:rsidTr="003A4AAD">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3A4AAD" w:rsidRDefault="003A4AAD">
            <w:pPr>
              <w:rPr>
                <w:rFonts w:eastAsia="Arial Unicode MS"/>
                <w:b/>
                <w:bCs/>
                <w:sz w:val="23"/>
                <w:szCs w:val="23"/>
                <w:lang w:val="lv-LV"/>
              </w:rPr>
            </w:pPr>
          </w:p>
        </w:tc>
        <w:tc>
          <w:tcPr>
            <w:tcW w:w="695" w:type="pct"/>
            <w:tcBorders>
              <w:top w:val="outset" w:sz="6" w:space="0" w:color="000000"/>
              <w:left w:val="outset" w:sz="6" w:space="0" w:color="000000"/>
              <w:bottom w:val="outset" w:sz="6" w:space="0" w:color="000000"/>
              <w:right w:val="outset" w:sz="6" w:space="0" w:color="000000"/>
            </w:tcBorders>
            <w:vAlign w:val="center"/>
            <w:hideMark/>
          </w:tcPr>
          <w:p w:rsidR="003A4AAD" w:rsidRDefault="003A4AAD">
            <w:pPr>
              <w:pStyle w:val="Paraststmeklis"/>
              <w:spacing w:before="0" w:beforeAutospacing="0" w:after="0" w:afterAutospacing="0"/>
              <w:jc w:val="center"/>
              <w:rPr>
                <w:sz w:val="23"/>
                <w:szCs w:val="23"/>
                <w:lang w:val="lv-LV"/>
              </w:rPr>
            </w:pPr>
            <w:r>
              <w:rPr>
                <w:sz w:val="23"/>
                <w:szCs w:val="23"/>
                <w:lang w:val="lv-LV"/>
              </w:rPr>
              <w:t>saskaņā ar valsts budžetu kārtējam gadam</w:t>
            </w:r>
          </w:p>
        </w:tc>
        <w:tc>
          <w:tcPr>
            <w:tcW w:w="734" w:type="pct"/>
            <w:tcBorders>
              <w:top w:val="outset" w:sz="6" w:space="0" w:color="000000"/>
              <w:left w:val="outset" w:sz="6" w:space="0" w:color="000000"/>
              <w:bottom w:val="outset" w:sz="6" w:space="0" w:color="000000"/>
              <w:right w:val="outset" w:sz="6" w:space="0" w:color="000000"/>
            </w:tcBorders>
            <w:vAlign w:val="center"/>
            <w:hideMark/>
          </w:tcPr>
          <w:p w:rsidR="003A4AAD" w:rsidRDefault="003A4AAD">
            <w:pPr>
              <w:pStyle w:val="Paraststmeklis"/>
              <w:spacing w:before="0" w:beforeAutospacing="0" w:after="0" w:afterAutospacing="0"/>
              <w:jc w:val="center"/>
              <w:rPr>
                <w:sz w:val="23"/>
                <w:szCs w:val="23"/>
                <w:lang w:val="lv-LV"/>
              </w:rPr>
            </w:pPr>
            <w:r>
              <w:rPr>
                <w:sz w:val="23"/>
                <w:szCs w:val="23"/>
                <w:lang w:val="lv-LV"/>
              </w:rPr>
              <w:t>izmaiņas kārtējā gadā, salīdzinot ar budžetu kārtējam gadam</w:t>
            </w:r>
          </w:p>
        </w:tc>
        <w:tc>
          <w:tcPr>
            <w:tcW w:w="704" w:type="pct"/>
            <w:tcBorders>
              <w:top w:val="outset" w:sz="6" w:space="0" w:color="000000"/>
              <w:left w:val="outset" w:sz="6" w:space="0" w:color="000000"/>
              <w:bottom w:val="outset" w:sz="6" w:space="0" w:color="000000"/>
              <w:right w:val="outset" w:sz="6" w:space="0" w:color="000000"/>
            </w:tcBorders>
            <w:vAlign w:val="center"/>
            <w:hideMark/>
          </w:tcPr>
          <w:p w:rsidR="003A4AAD" w:rsidRDefault="003A4AAD">
            <w:pPr>
              <w:pStyle w:val="Paraststmeklis"/>
              <w:spacing w:before="0" w:beforeAutospacing="0" w:after="0" w:afterAutospacing="0"/>
              <w:jc w:val="center"/>
              <w:rPr>
                <w:sz w:val="23"/>
                <w:szCs w:val="23"/>
                <w:lang w:val="lv-LV"/>
              </w:rPr>
            </w:pPr>
            <w:r>
              <w:rPr>
                <w:sz w:val="23"/>
                <w:szCs w:val="23"/>
                <w:lang w:val="lv-LV"/>
              </w:rPr>
              <w:t>izmaiņas, salīdzinot ar kārtējo (2015.) gadu</w:t>
            </w:r>
          </w:p>
        </w:tc>
        <w:tc>
          <w:tcPr>
            <w:tcW w:w="781" w:type="pct"/>
            <w:tcBorders>
              <w:top w:val="outset" w:sz="6" w:space="0" w:color="000000"/>
              <w:left w:val="outset" w:sz="6" w:space="0" w:color="000000"/>
              <w:bottom w:val="outset" w:sz="6" w:space="0" w:color="000000"/>
              <w:right w:val="outset" w:sz="6" w:space="0" w:color="000000"/>
            </w:tcBorders>
            <w:vAlign w:val="center"/>
            <w:hideMark/>
          </w:tcPr>
          <w:p w:rsidR="003A4AAD" w:rsidRDefault="003A4AAD">
            <w:pPr>
              <w:pStyle w:val="Paraststmeklis"/>
              <w:spacing w:before="0" w:beforeAutospacing="0" w:after="0" w:afterAutospacing="0"/>
              <w:jc w:val="center"/>
              <w:rPr>
                <w:sz w:val="23"/>
                <w:szCs w:val="23"/>
                <w:lang w:val="lv-LV"/>
              </w:rPr>
            </w:pPr>
            <w:r>
              <w:rPr>
                <w:sz w:val="23"/>
                <w:szCs w:val="23"/>
                <w:lang w:val="lv-LV"/>
              </w:rPr>
              <w:t>izmaiņas, salīdzinot ar kārtējo (2015.) gadu</w:t>
            </w:r>
          </w:p>
        </w:tc>
        <w:tc>
          <w:tcPr>
            <w:tcW w:w="782" w:type="pct"/>
            <w:tcBorders>
              <w:top w:val="outset" w:sz="6" w:space="0" w:color="000000"/>
              <w:left w:val="outset" w:sz="6" w:space="0" w:color="000000"/>
              <w:bottom w:val="outset" w:sz="6" w:space="0" w:color="000000"/>
              <w:right w:val="outset" w:sz="6" w:space="0" w:color="000000"/>
            </w:tcBorders>
            <w:vAlign w:val="center"/>
            <w:hideMark/>
          </w:tcPr>
          <w:p w:rsidR="003A4AAD" w:rsidRDefault="003A4AAD">
            <w:pPr>
              <w:pStyle w:val="Paraststmeklis"/>
              <w:spacing w:before="0" w:beforeAutospacing="0" w:after="0" w:afterAutospacing="0"/>
              <w:jc w:val="center"/>
              <w:rPr>
                <w:sz w:val="23"/>
                <w:szCs w:val="23"/>
                <w:lang w:val="lv-LV"/>
              </w:rPr>
            </w:pPr>
            <w:r>
              <w:rPr>
                <w:sz w:val="23"/>
                <w:szCs w:val="23"/>
                <w:lang w:val="lv-LV"/>
              </w:rPr>
              <w:t>izmaiņas, salīdzinot ar kārtējo (2015.) gadu</w:t>
            </w:r>
          </w:p>
        </w:tc>
      </w:tr>
      <w:tr w:rsidR="003A4AAD" w:rsidTr="003A4AAD">
        <w:tc>
          <w:tcPr>
            <w:tcW w:w="1304" w:type="pct"/>
            <w:tcBorders>
              <w:top w:val="outset" w:sz="6" w:space="0" w:color="000000"/>
              <w:left w:val="outset" w:sz="6" w:space="0" w:color="000000"/>
              <w:bottom w:val="outset" w:sz="6" w:space="0" w:color="000000"/>
              <w:right w:val="outset" w:sz="6" w:space="0" w:color="000000"/>
            </w:tcBorders>
            <w:vAlign w:val="center"/>
            <w:hideMark/>
          </w:tcPr>
          <w:p w:rsidR="003A4AAD" w:rsidRDefault="003A4AAD">
            <w:pPr>
              <w:pStyle w:val="Paraststmeklis"/>
              <w:spacing w:before="0" w:beforeAutospacing="0" w:after="0" w:afterAutospacing="0"/>
              <w:jc w:val="center"/>
              <w:rPr>
                <w:sz w:val="23"/>
                <w:szCs w:val="23"/>
                <w:lang w:val="lv-LV"/>
              </w:rPr>
            </w:pPr>
            <w:r>
              <w:rPr>
                <w:sz w:val="23"/>
                <w:szCs w:val="23"/>
                <w:lang w:val="lv-LV"/>
              </w:rPr>
              <w:t>1</w:t>
            </w:r>
          </w:p>
        </w:tc>
        <w:tc>
          <w:tcPr>
            <w:tcW w:w="695" w:type="pct"/>
            <w:tcBorders>
              <w:top w:val="outset" w:sz="6" w:space="0" w:color="000000"/>
              <w:left w:val="outset" w:sz="6" w:space="0" w:color="000000"/>
              <w:bottom w:val="outset" w:sz="6" w:space="0" w:color="000000"/>
              <w:right w:val="outset" w:sz="6" w:space="0" w:color="000000"/>
            </w:tcBorders>
            <w:vAlign w:val="center"/>
            <w:hideMark/>
          </w:tcPr>
          <w:p w:rsidR="003A4AAD" w:rsidRDefault="003A4AAD">
            <w:pPr>
              <w:pStyle w:val="Paraststmeklis"/>
              <w:spacing w:before="0" w:beforeAutospacing="0" w:after="0" w:afterAutospacing="0"/>
              <w:jc w:val="center"/>
              <w:rPr>
                <w:sz w:val="23"/>
                <w:szCs w:val="23"/>
                <w:lang w:val="lv-LV"/>
              </w:rPr>
            </w:pPr>
            <w:r>
              <w:rPr>
                <w:sz w:val="23"/>
                <w:szCs w:val="23"/>
                <w:lang w:val="lv-LV"/>
              </w:rPr>
              <w:t>2</w:t>
            </w:r>
          </w:p>
        </w:tc>
        <w:tc>
          <w:tcPr>
            <w:tcW w:w="734" w:type="pct"/>
            <w:tcBorders>
              <w:top w:val="outset" w:sz="6" w:space="0" w:color="000000"/>
              <w:left w:val="outset" w:sz="6" w:space="0" w:color="000000"/>
              <w:bottom w:val="outset" w:sz="6" w:space="0" w:color="000000"/>
              <w:right w:val="outset" w:sz="6" w:space="0" w:color="000000"/>
            </w:tcBorders>
            <w:vAlign w:val="center"/>
            <w:hideMark/>
          </w:tcPr>
          <w:p w:rsidR="003A4AAD" w:rsidRDefault="003A4AAD">
            <w:pPr>
              <w:pStyle w:val="Paraststmeklis"/>
              <w:spacing w:before="0" w:beforeAutospacing="0" w:after="0" w:afterAutospacing="0"/>
              <w:jc w:val="center"/>
              <w:rPr>
                <w:sz w:val="23"/>
                <w:szCs w:val="23"/>
                <w:lang w:val="lv-LV"/>
              </w:rPr>
            </w:pPr>
            <w:r>
              <w:rPr>
                <w:sz w:val="23"/>
                <w:szCs w:val="23"/>
                <w:lang w:val="lv-LV"/>
              </w:rPr>
              <w:t>3</w:t>
            </w:r>
          </w:p>
        </w:tc>
        <w:tc>
          <w:tcPr>
            <w:tcW w:w="704" w:type="pct"/>
            <w:tcBorders>
              <w:top w:val="outset" w:sz="6" w:space="0" w:color="000000"/>
              <w:left w:val="outset" w:sz="6" w:space="0" w:color="000000"/>
              <w:bottom w:val="outset" w:sz="6" w:space="0" w:color="000000"/>
              <w:right w:val="outset" w:sz="6" w:space="0" w:color="000000"/>
            </w:tcBorders>
            <w:vAlign w:val="center"/>
            <w:hideMark/>
          </w:tcPr>
          <w:p w:rsidR="003A4AAD" w:rsidRDefault="003A4AAD">
            <w:pPr>
              <w:pStyle w:val="Paraststmeklis"/>
              <w:spacing w:before="0" w:beforeAutospacing="0" w:after="0" w:afterAutospacing="0"/>
              <w:jc w:val="center"/>
              <w:rPr>
                <w:sz w:val="23"/>
                <w:szCs w:val="23"/>
                <w:lang w:val="lv-LV"/>
              </w:rPr>
            </w:pPr>
            <w:r>
              <w:rPr>
                <w:sz w:val="23"/>
                <w:szCs w:val="23"/>
                <w:lang w:val="lv-LV"/>
              </w:rPr>
              <w:t>4</w:t>
            </w:r>
          </w:p>
        </w:tc>
        <w:tc>
          <w:tcPr>
            <w:tcW w:w="781" w:type="pct"/>
            <w:tcBorders>
              <w:top w:val="outset" w:sz="6" w:space="0" w:color="000000"/>
              <w:left w:val="outset" w:sz="6" w:space="0" w:color="000000"/>
              <w:bottom w:val="outset" w:sz="6" w:space="0" w:color="000000"/>
              <w:right w:val="outset" w:sz="6" w:space="0" w:color="000000"/>
            </w:tcBorders>
            <w:vAlign w:val="center"/>
            <w:hideMark/>
          </w:tcPr>
          <w:p w:rsidR="003A4AAD" w:rsidRDefault="003A4AAD">
            <w:pPr>
              <w:pStyle w:val="Paraststmeklis"/>
              <w:spacing w:before="0" w:beforeAutospacing="0" w:after="0" w:afterAutospacing="0"/>
              <w:jc w:val="center"/>
              <w:rPr>
                <w:sz w:val="23"/>
                <w:szCs w:val="23"/>
                <w:lang w:val="lv-LV"/>
              </w:rPr>
            </w:pPr>
            <w:r>
              <w:rPr>
                <w:sz w:val="23"/>
                <w:szCs w:val="23"/>
                <w:lang w:val="lv-LV"/>
              </w:rPr>
              <w:t>5</w:t>
            </w:r>
          </w:p>
        </w:tc>
        <w:tc>
          <w:tcPr>
            <w:tcW w:w="782" w:type="pct"/>
            <w:tcBorders>
              <w:top w:val="outset" w:sz="6" w:space="0" w:color="000000"/>
              <w:left w:val="outset" w:sz="6" w:space="0" w:color="000000"/>
              <w:bottom w:val="outset" w:sz="6" w:space="0" w:color="000000"/>
              <w:right w:val="outset" w:sz="6" w:space="0" w:color="000000"/>
            </w:tcBorders>
            <w:vAlign w:val="center"/>
            <w:hideMark/>
          </w:tcPr>
          <w:p w:rsidR="003A4AAD" w:rsidRDefault="003A4AAD">
            <w:pPr>
              <w:pStyle w:val="Paraststmeklis"/>
              <w:spacing w:before="0" w:beforeAutospacing="0" w:after="0" w:afterAutospacing="0"/>
              <w:jc w:val="center"/>
              <w:rPr>
                <w:sz w:val="23"/>
                <w:szCs w:val="23"/>
                <w:lang w:val="lv-LV"/>
              </w:rPr>
            </w:pPr>
            <w:r>
              <w:rPr>
                <w:sz w:val="23"/>
                <w:szCs w:val="23"/>
                <w:lang w:val="lv-LV"/>
              </w:rPr>
              <w:t>6</w:t>
            </w:r>
          </w:p>
        </w:tc>
      </w:tr>
      <w:tr w:rsidR="003A4AAD" w:rsidTr="003A4AAD">
        <w:tc>
          <w:tcPr>
            <w:tcW w:w="1304" w:type="pct"/>
            <w:tcBorders>
              <w:top w:val="outset" w:sz="6" w:space="0" w:color="000000"/>
              <w:left w:val="outset" w:sz="6" w:space="0" w:color="000000"/>
              <w:bottom w:val="outset" w:sz="6" w:space="0" w:color="000000"/>
              <w:right w:val="outset" w:sz="6" w:space="0" w:color="000000"/>
            </w:tcBorders>
            <w:hideMark/>
          </w:tcPr>
          <w:p w:rsidR="003A4AAD" w:rsidRDefault="003A4AAD">
            <w:pPr>
              <w:pStyle w:val="Paraststmeklis"/>
              <w:spacing w:before="0" w:beforeAutospacing="0" w:after="0" w:afterAutospacing="0"/>
              <w:jc w:val="both"/>
              <w:rPr>
                <w:sz w:val="23"/>
                <w:szCs w:val="23"/>
                <w:lang w:val="lv-LV"/>
              </w:rPr>
            </w:pPr>
            <w:r>
              <w:rPr>
                <w:sz w:val="23"/>
                <w:szCs w:val="23"/>
                <w:lang w:val="lv-LV"/>
              </w:rPr>
              <w:t>1. Budžeta ieņēmumi:</w:t>
            </w:r>
          </w:p>
        </w:tc>
        <w:tc>
          <w:tcPr>
            <w:tcW w:w="695" w:type="pct"/>
            <w:tcBorders>
              <w:top w:val="outset" w:sz="6" w:space="0" w:color="000000"/>
              <w:left w:val="outset" w:sz="6" w:space="0" w:color="000000"/>
              <w:bottom w:val="outset" w:sz="6" w:space="0" w:color="000000"/>
              <w:right w:val="outset" w:sz="6" w:space="0" w:color="000000"/>
            </w:tcBorders>
            <w:vAlign w:val="center"/>
            <w:hideMark/>
          </w:tcPr>
          <w:p w:rsidR="003A4AAD" w:rsidRDefault="003A4AAD">
            <w:pPr>
              <w:jc w:val="center"/>
              <w:rPr>
                <w:b/>
                <w:sz w:val="23"/>
                <w:szCs w:val="23"/>
                <w:lang w:val="lv-LV"/>
              </w:rPr>
            </w:pPr>
            <w:r>
              <w:rPr>
                <w:b/>
                <w:sz w:val="23"/>
                <w:szCs w:val="23"/>
                <w:lang w:val="lv-LV"/>
              </w:rPr>
              <w:t>808 516,7</w:t>
            </w:r>
          </w:p>
        </w:tc>
        <w:tc>
          <w:tcPr>
            <w:tcW w:w="734" w:type="pct"/>
            <w:tcBorders>
              <w:top w:val="outset" w:sz="6" w:space="0" w:color="000000"/>
              <w:left w:val="outset" w:sz="6" w:space="0" w:color="000000"/>
              <w:bottom w:val="outset" w:sz="6" w:space="0" w:color="000000"/>
              <w:right w:val="outset" w:sz="6" w:space="0" w:color="000000"/>
            </w:tcBorders>
            <w:vAlign w:val="center"/>
            <w:hideMark/>
          </w:tcPr>
          <w:p w:rsidR="003A4AAD" w:rsidRDefault="003A4AAD">
            <w:pPr>
              <w:jc w:val="center"/>
              <w:rPr>
                <w:b/>
                <w:sz w:val="23"/>
                <w:szCs w:val="23"/>
                <w:lang w:val="lv-LV"/>
              </w:rPr>
            </w:pPr>
            <w:r>
              <w:rPr>
                <w:b/>
                <w:sz w:val="23"/>
                <w:szCs w:val="23"/>
                <w:lang w:val="lv-LV"/>
              </w:rPr>
              <w:t>65 343,0</w:t>
            </w:r>
          </w:p>
        </w:tc>
        <w:tc>
          <w:tcPr>
            <w:tcW w:w="704" w:type="pct"/>
            <w:tcBorders>
              <w:top w:val="outset" w:sz="6" w:space="0" w:color="000000"/>
              <w:left w:val="outset" w:sz="6" w:space="0" w:color="000000"/>
              <w:bottom w:val="outset" w:sz="6" w:space="0" w:color="000000"/>
              <w:right w:val="outset" w:sz="6" w:space="0" w:color="000000"/>
            </w:tcBorders>
            <w:vAlign w:val="center"/>
            <w:hideMark/>
          </w:tcPr>
          <w:p w:rsidR="003A4AAD" w:rsidRDefault="003A4AAD">
            <w:pPr>
              <w:jc w:val="center"/>
              <w:rPr>
                <w:b/>
                <w:sz w:val="23"/>
                <w:szCs w:val="23"/>
                <w:lang w:val="lv-LV"/>
              </w:rPr>
            </w:pPr>
            <w:r>
              <w:rPr>
                <w:b/>
                <w:sz w:val="23"/>
                <w:szCs w:val="23"/>
                <w:lang w:val="lv-LV"/>
              </w:rPr>
              <w:t>157 650,9</w:t>
            </w:r>
          </w:p>
        </w:tc>
        <w:tc>
          <w:tcPr>
            <w:tcW w:w="781" w:type="pct"/>
            <w:tcBorders>
              <w:top w:val="outset" w:sz="6" w:space="0" w:color="000000"/>
              <w:left w:val="outset" w:sz="6" w:space="0" w:color="000000"/>
              <w:bottom w:val="outset" w:sz="6" w:space="0" w:color="000000"/>
              <w:right w:val="outset" w:sz="6" w:space="0" w:color="000000"/>
            </w:tcBorders>
            <w:vAlign w:val="center"/>
            <w:hideMark/>
          </w:tcPr>
          <w:p w:rsidR="003A4AAD" w:rsidRDefault="003A4AAD">
            <w:pPr>
              <w:jc w:val="center"/>
              <w:rPr>
                <w:b/>
                <w:sz w:val="23"/>
                <w:szCs w:val="23"/>
                <w:lang w:val="lv-LV"/>
              </w:rPr>
            </w:pPr>
            <w:r>
              <w:rPr>
                <w:b/>
                <w:sz w:val="23"/>
                <w:szCs w:val="23"/>
                <w:lang w:val="lv-LV"/>
              </w:rPr>
              <w:t>157 650,9</w:t>
            </w:r>
          </w:p>
        </w:tc>
        <w:tc>
          <w:tcPr>
            <w:tcW w:w="782" w:type="pct"/>
            <w:tcBorders>
              <w:top w:val="outset" w:sz="6" w:space="0" w:color="000000"/>
              <w:left w:val="outset" w:sz="6" w:space="0" w:color="000000"/>
              <w:bottom w:val="outset" w:sz="6" w:space="0" w:color="000000"/>
              <w:right w:val="outset" w:sz="6" w:space="0" w:color="000000"/>
            </w:tcBorders>
            <w:vAlign w:val="center"/>
            <w:hideMark/>
          </w:tcPr>
          <w:p w:rsidR="003A4AAD" w:rsidRDefault="003A4AAD">
            <w:pPr>
              <w:jc w:val="center"/>
              <w:rPr>
                <w:b/>
                <w:sz w:val="23"/>
                <w:szCs w:val="23"/>
                <w:lang w:val="lv-LV"/>
              </w:rPr>
            </w:pPr>
            <w:r>
              <w:rPr>
                <w:b/>
                <w:sz w:val="23"/>
                <w:szCs w:val="23"/>
                <w:lang w:val="lv-LV"/>
              </w:rPr>
              <w:t>157 650,9</w:t>
            </w:r>
          </w:p>
        </w:tc>
      </w:tr>
      <w:tr w:rsidR="003A4AAD" w:rsidTr="003A4AAD">
        <w:tc>
          <w:tcPr>
            <w:tcW w:w="1304" w:type="pct"/>
            <w:tcBorders>
              <w:top w:val="outset" w:sz="6" w:space="0" w:color="000000"/>
              <w:left w:val="outset" w:sz="6" w:space="0" w:color="000000"/>
              <w:bottom w:val="outset" w:sz="6" w:space="0" w:color="000000"/>
              <w:right w:val="outset" w:sz="6" w:space="0" w:color="000000"/>
            </w:tcBorders>
            <w:hideMark/>
          </w:tcPr>
          <w:p w:rsidR="003A4AAD" w:rsidRDefault="003A4AAD">
            <w:pPr>
              <w:pStyle w:val="Paraststmeklis"/>
              <w:spacing w:before="0" w:beforeAutospacing="0" w:after="0" w:afterAutospacing="0"/>
              <w:jc w:val="both"/>
              <w:rPr>
                <w:sz w:val="23"/>
                <w:szCs w:val="23"/>
                <w:lang w:val="lv-LV"/>
              </w:rPr>
            </w:pPr>
            <w:r>
              <w:rPr>
                <w:sz w:val="23"/>
                <w:szCs w:val="23"/>
                <w:lang w:val="lv-LV"/>
              </w:rPr>
              <w:t>1.1. valsts pamatbudžets, tai skaitā ieņēmumi no maksas pakalpojumiem un citi pašu ieņēmumi</w:t>
            </w:r>
          </w:p>
        </w:tc>
        <w:tc>
          <w:tcPr>
            <w:tcW w:w="695" w:type="pct"/>
            <w:tcBorders>
              <w:top w:val="outset" w:sz="6" w:space="0" w:color="000000"/>
              <w:left w:val="outset" w:sz="6" w:space="0" w:color="000000"/>
              <w:bottom w:val="outset" w:sz="6" w:space="0" w:color="000000"/>
              <w:right w:val="outset" w:sz="6" w:space="0" w:color="000000"/>
            </w:tcBorders>
            <w:vAlign w:val="center"/>
            <w:hideMark/>
          </w:tcPr>
          <w:p w:rsidR="003A4AAD" w:rsidRDefault="003A4AAD">
            <w:pPr>
              <w:jc w:val="center"/>
              <w:rPr>
                <w:sz w:val="23"/>
                <w:szCs w:val="23"/>
                <w:lang w:val="lv-LV"/>
              </w:rPr>
            </w:pPr>
            <w:r>
              <w:rPr>
                <w:sz w:val="23"/>
                <w:szCs w:val="23"/>
                <w:lang w:val="lv-LV"/>
              </w:rPr>
              <w:t>808 516,7</w:t>
            </w:r>
          </w:p>
        </w:tc>
        <w:tc>
          <w:tcPr>
            <w:tcW w:w="734" w:type="pct"/>
            <w:tcBorders>
              <w:top w:val="outset" w:sz="6" w:space="0" w:color="000000"/>
              <w:left w:val="outset" w:sz="6" w:space="0" w:color="000000"/>
              <w:bottom w:val="outset" w:sz="6" w:space="0" w:color="000000"/>
              <w:right w:val="outset" w:sz="6" w:space="0" w:color="000000"/>
            </w:tcBorders>
            <w:vAlign w:val="center"/>
            <w:hideMark/>
          </w:tcPr>
          <w:p w:rsidR="003A4AAD" w:rsidRDefault="003A4AAD">
            <w:pPr>
              <w:jc w:val="center"/>
              <w:rPr>
                <w:sz w:val="23"/>
                <w:szCs w:val="23"/>
                <w:lang w:val="lv-LV"/>
              </w:rPr>
            </w:pPr>
            <w:r>
              <w:rPr>
                <w:sz w:val="23"/>
                <w:szCs w:val="23"/>
                <w:lang w:val="lv-LV"/>
              </w:rPr>
              <w:t>65 343,0</w:t>
            </w:r>
          </w:p>
        </w:tc>
        <w:tc>
          <w:tcPr>
            <w:tcW w:w="704" w:type="pct"/>
            <w:tcBorders>
              <w:top w:val="outset" w:sz="6" w:space="0" w:color="000000"/>
              <w:left w:val="outset" w:sz="6" w:space="0" w:color="000000"/>
              <w:bottom w:val="outset" w:sz="6" w:space="0" w:color="000000"/>
              <w:right w:val="outset" w:sz="6" w:space="0" w:color="000000"/>
            </w:tcBorders>
            <w:vAlign w:val="center"/>
            <w:hideMark/>
          </w:tcPr>
          <w:p w:rsidR="003A4AAD" w:rsidRDefault="003A4AAD">
            <w:pPr>
              <w:jc w:val="center"/>
              <w:rPr>
                <w:sz w:val="23"/>
                <w:szCs w:val="23"/>
                <w:lang w:val="lv-LV"/>
              </w:rPr>
            </w:pPr>
            <w:r>
              <w:rPr>
                <w:sz w:val="23"/>
                <w:szCs w:val="23"/>
                <w:lang w:val="lv-LV"/>
              </w:rPr>
              <w:t>157 650,9</w:t>
            </w:r>
          </w:p>
        </w:tc>
        <w:tc>
          <w:tcPr>
            <w:tcW w:w="781" w:type="pct"/>
            <w:tcBorders>
              <w:top w:val="outset" w:sz="6" w:space="0" w:color="000000"/>
              <w:left w:val="outset" w:sz="6" w:space="0" w:color="000000"/>
              <w:bottom w:val="outset" w:sz="6" w:space="0" w:color="000000"/>
              <w:right w:val="outset" w:sz="6" w:space="0" w:color="000000"/>
            </w:tcBorders>
            <w:vAlign w:val="center"/>
            <w:hideMark/>
          </w:tcPr>
          <w:p w:rsidR="003A4AAD" w:rsidRDefault="003A4AAD">
            <w:pPr>
              <w:jc w:val="center"/>
              <w:rPr>
                <w:sz w:val="23"/>
                <w:szCs w:val="23"/>
                <w:lang w:val="lv-LV"/>
              </w:rPr>
            </w:pPr>
            <w:r>
              <w:rPr>
                <w:sz w:val="23"/>
                <w:szCs w:val="23"/>
                <w:lang w:val="lv-LV"/>
              </w:rPr>
              <w:t>157 650,9</w:t>
            </w:r>
          </w:p>
        </w:tc>
        <w:tc>
          <w:tcPr>
            <w:tcW w:w="782" w:type="pct"/>
            <w:tcBorders>
              <w:top w:val="outset" w:sz="6" w:space="0" w:color="000000"/>
              <w:left w:val="outset" w:sz="6" w:space="0" w:color="000000"/>
              <w:bottom w:val="outset" w:sz="6" w:space="0" w:color="000000"/>
              <w:right w:val="outset" w:sz="6" w:space="0" w:color="000000"/>
            </w:tcBorders>
            <w:vAlign w:val="center"/>
            <w:hideMark/>
          </w:tcPr>
          <w:p w:rsidR="003A4AAD" w:rsidRDefault="003A4AAD">
            <w:pPr>
              <w:jc w:val="center"/>
              <w:rPr>
                <w:sz w:val="23"/>
                <w:szCs w:val="23"/>
                <w:lang w:val="lv-LV"/>
              </w:rPr>
            </w:pPr>
            <w:r>
              <w:rPr>
                <w:sz w:val="23"/>
                <w:szCs w:val="23"/>
                <w:lang w:val="lv-LV"/>
              </w:rPr>
              <w:t>157 650,9</w:t>
            </w:r>
          </w:p>
        </w:tc>
      </w:tr>
      <w:tr w:rsidR="003A4AAD" w:rsidTr="003A4AAD">
        <w:tc>
          <w:tcPr>
            <w:tcW w:w="1304" w:type="pct"/>
            <w:tcBorders>
              <w:top w:val="outset" w:sz="6" w:space="0" w:color="000000"/>
              <w:left w:val="outset" w:sz="6" w:space="0" w:color="000000"/>
              <w:bottom w:val="outset" w:sz="6" w:space="0" w:color="000000"/>
              <w:right w:val="outset" w:sz="6" w:space="0" w:color="000000"/>
            </w:tcBorders>
            <w:hideMark/>
          </w:tcPr>
          <w:p w:rsidR="003A4AAD" w:rsidRDefault="003A4AAD">
            <w:pPr>
              <w:pStyle w:val="Paraststmeklis"/>
              <w:spacing w:before="0" w:beforeAutospacing="0" w:after="0" w:afterAutospacing="0"/>
              <w:jc w:val="both"/>
              <w:rPr>
                <w:sz w:val="23"/>
                <w:szCs w:val="23"/>
                <w:lang w:val="lv-LV"/>
              </w:rPr>
            </w:pPr>
            <w:r>
              <w:rPr>
                <w:sz w:val="23"/>
                <w:szCs w:val="23"/>
                <w:lang w:val="lv-LV"/>
              </w:rPr>
              <w:t>1.2. valsts speciālais budžets</w:t>
            </w:r>
          </w:p>
        </w:tc>
        <w:tc>
          <w:tcPr>
            <w:tcW w:w="695" w:type="pct"/>
            <w:tcBorders>
              <w:top w:val="outset" w:sz="6" w:space="0" w:color="000000"/>
              <w:left w:val="outset" w:sz="6" w:space="0" w:color="000000"/>
              <w:bottom w:val="outset" w:sz="6" w:space="0" w:color="000000"/>
              <w:right w:val="outset" w:sz="6" w:space="0" w:color="000000"/>
            </w:tcBorders>
            <w:vAlign w:val="center"/>
          </w:tcPr>
          <w:p w:rsidR="003A4AAD" w:rsidRDefault="003A4AAD">
            <w:pPr>
              <w:jc w:val="center"/>
              <w:rPr>
                <w:sz w:val="23"/>
                <w:szCs w:val="23"/>
                <w:lang w:val="lv-LV"/>
              </w:rPr>
            </w:pPr>
          </w:p>
        </w:tc>
        <w:tc>
          <w:tcPr>
            <w:tcW w:w="734" w:type="pct"/>
            <w:tcBorders>
              <w:top w:val="outset" w:sz="6" w:space="0" w:color="000000"/>
              <w:left w:val="outset" w:sz="6" w:space="0" w:color="000000"/>
              <w:bottom w:val="outset" w:sz="6" w:space="0" w:color="000000"/>
              <w:right w:val="outset" w:sz="6" w:space="0" w:color="000000"/>
            </w:tcBorders>
            <w:vAlign w:val="center"/>
          </w:tcPr>
          <w:p w:rsidR="003A4AAD" w:rsidRDefault="003A4AAD">
            <w:pPr>
              <w:jc w:val="center"/>
              <w:rPr>
                <w:sz w:val="23"/>
                <w:szCs w:val="23"/>
                <w:lang w:val="lv-LV"/>
              </w:rPr>
            </w:pPr>
          </w:p>
        </w:tc>
        <w:tc>
          <w:tcPr>
            <w:tcW w:w="704" w:type="pct"/>
            <w:tcBorders>
              <w:top w:val="outset" w:sz="6" w:space="0" w:color="000000"/>
              <w:left w:val="outset" w:sz="6" w:space="0" w:color="000000"/>
              <w:bottom w:val="outset" w:sz="6" w:space="0" w:color="000000"/>
              <w:right w:val="outset" w:sz="6" w:space="0" w:color="000000"/>
            </w:tcBorders>
          </w:tcPr>
          <w:p w:rsidR="003A4AAD" w:rsidRDefault="003A4AAD">
            <w:pPr>
              <w:jc w:val="center"/>
              <w:rPr>
                <w:sz w:val="23"/>
                <w:szCs w:val="23"/>
                <w:lang w:val="lv-LV"/>
              </w:rPr>
            </w:pPr>
          </w:p>
        </w:tc>
        <w:tc>
          <w:tcPr>
            <w:tcW w:w="781" w:type="pct"/>
            <w:tcBorders>
              <w:top w:val="outset" w:sz="6" w:space="0" w:color="000000"/>
              <w:left w:val="outset" w:sz="6" w:space="0" w:color="000000"/>
              <w:bottom w:val="outset" w:sz="6" w:space="0" w:color="000000"/>
              <w:right w:val="outset" w:sz="6" w:space="0" w:color="000000"/>
            </w:tcBorders>
          </w:tcPr>
          <w:p w:rsidR="003A4AAD" w:rsidRDefault="003A4AAD">
            <w:pPr>
              <w:jc w:val="center"/>
              <w:rPr>
                <w:sz w:val="23"/>
                <w:szCs w:val="23"/>
                <w:lang w:val="lv-LV"/>
              </w:rPr>
            </w:pPr>
          </w:p>
        </w:tc>
        <w:tc>
          <w:tcPr>
            <w:tcW w:w="782" w:type="pct"/>
            <w:tcBorders>
              <w:top w:val="outset" w:sz="6" w:space="0" w:color="000000"/>
              <w:left w:val="outset" w:sz="6" w:space="0" w:color="000000"/>
              <w:bottom w:val="outset" w:sz="6" w:space="0" w:color="000000"/>
              <w:right w:val="outset" w:sz="6" w:space="0" w:color="000000"/>
            </w:tcBorders>
          </w:tcPr>
          <w:p w:rsidR="003A4AAD" w:rsidRDefault="003A4AAD">
            <w:pPr>
              <w:jc w:val="center"/>
              <w:rPr>
                <w:sz w:val="23"/>
                <w:szCs w:val="23"/>
                <w:lang w:val="lv-LV"/>
              </w:rPr>
            </w:pPr>
          </w:p>
        </w:tc>
      </w:tr>
      <w:tr w:rsidR="003A4AAD" w:rsidTr="003A4AAD">
        <w:trPr>
          <w:trHeight w:val="158"/>
        </w:trPr>
        <w:tc>
          <w:tcPr>
            <w:tcW w:w="1304" w:type="pct"/>
            <w:tcBorders>
              <w:top w:val="outset" w:sz="6" w:space="0" w:color="000000"/>
              <w:left w:val="outset" w:sz="6" w:space="0" w:color="000000"/>
              <w:bottom w:val="outset" w:sz="6" w:space="0" w:color="000000"/>
              <w:right w:val="outset" w:sz="6" w:space="0" w:color="000000"/>
            </w:tcBorders>
            <w:hideMark/>
          </w:tcPr>
          <w:p w:rsidR="003A4AAD" w:rsidRDefault="003A4AAD">
            <w:pPr>
              <w:pStyle w:val="Paraststmeklis"/>
              <w:spacing w:before="0" w:beforeAutospacing="0" w:after="0" w:afterAutospacing="0"/>
              <w:jc w:val="both"/>
              <w:rPr>
                <w:sz w:val="23"/>
                <w:szCs w:val="23"/>
                <w:lang w:val="lv-LV"/>
              </w:rPr>
            </w:pPr>
            <w:r>
              <w:rPr>
                <w:sz w:val="23"/>
                <w:szCs w:val="23"/>
                <w:lang w:val="lv-LV"/>
              </w:rPr>
              <w:t>1.3. pašvaldību budžets</w:t>
            </w:r>
          </w:p>
        </w:tc>
        <w:tc>
          <w:tcPr>
            <w:tcW w:w="695" w:type="pct"/>
            <w:tcBorders>
              <w:top w:val="outset" w:sz="6" w:space="0" w:color="000000"/>
              <w:left w:val="outset" w:sz="6" w:space="0" w:color="000000"/>
              <w:bottom w:val="outset" w:sz="6" w:space="0" w:color="000000"/>
              <w:right w:val="outset" w:sz="6" w:space="0" w:color="000000"/>
            </w:tcBorders>
            <w:vAlign w:val="center"/>
          </w:tcPr>
          <w:p w:rsidR="003A4AAD" w:rsidRDefault="003A4AAD">
            <w:pPr>
              <w:jc w:val="center"/>
              <w:rPr>
                <w:sz w:val="23"/>
                <w:szCs w:val="23"/>
                <w:lang w:val="lv-LV"/>
              </w:rPr>
            </w:pPr>
          </w:p>
        </w:tc>
        <w:tc>
          <w:tcPr>
            <w:tcW w:w="734" w:type="pct"/>
            <w:tcBorders>
              <w:top w:val="outset" w:sz="6" w:space="0" w:color="000000"/>
              <w:left w:val="outset" w:sz="6" w:space="0" w:color="000000"/>
              <w:bottom w:val="outset" w:sz="6" w:space="0" w:color="000000"/>
              <w:right w:val="outset" w:sz="6" w:space="0" w:color="000000"/>
            </w:tcBorders>
            <w:vAlign w:val="center"/>
          </w:tcPr>
          <w:p w:rsidR="003A4AAD" w:rsidRDefault="003A4AAD">
            <w:pPr>
              <w:jc w:val="center"/>
              <w:rPr>
                <w:sz w:val="23"/>
                <w:szCs w:val="23"/>
                <w:lang w:val="lv-LV"/>
              </w:rPr>
            </w:pPr>
          </w:p>
        </w:tc>
        <w:tc>
          <w:tcPr>
            <w:tcW w:w="704" w:type="pct"/>
            <w:tcBorders>
              <w:top w:val="outset" w:sz="6" w:space="0" w:color="000000"/>
              <w:left w:val="outset" w:sz="6" w:space="0" w:color="000000"/>
              <w:bottom w:val="outset" w:sz="6" w:space="0" w:color="000000"/>
              <w:right w:val="outset" w:sz="6" w:space="0" w:color="000000"/>
            </w:tcBorders>
          </w:tcPr>
          <w:p w:rsidR="003A4AAD" w:rsidRDefault="003A4AAD">
            <w:pPr>
              <w:jc w:val="center"/>
              <w:rPr>
                <w:sz w:val="23"/>
                <w:szCs w:val="23"/>
                <w:lang w:val="lv-LV"/>
              </w:rPr>
            </w:pPr>
          </w:p>
        </w:tc>
        <w:tc>
          <w:tcPr>
            <w:tcW w:w="781" w:type="pct"/>
            <w:tcBorders>
              <w:top w:val="outset" w:sz="6" w:space="0" w:color="000000"/>
              <w:left w:val="outset" w:sz="6" w:space="0" w:color="000000"/>
              <w:bottom w:val="outset" w:sz="6" w:space="0" w:color="000000"/>
              <w:right w:val="outset" w:sz="6" w:space="0" w:color="000000"/>
            </w:tcBorders>
          </w:tcPr>
          <w:p w:rsidR="003A4AAD" w:rsidRDefault="003A4AAD">
            <w:pPr>
              <w:jc w:val="center"/>
              <w:rPr>
                <w:sz w:val="23"/>
                <w:szCs w:val="23"/>
                <w:lang w:val="lv-LV"/>
              </w:rPr>
            </w:pPr>
          </w:p>
        </w:tc>
        <w:tc>
          <w:tcPr>
            <w:tcW w:w="782" w:type="pct"/>
            <w:tcBorders>
              <w:top w:val="outset" w:sz="6" w:space="0" w:color="000000"/>
              <w:left w:val="outset" w:sz="6" w:space="0" w:color="000000"/>
              <w:bottom w:val="outset" w:sz="6" w:space="0" w:color="000000"/>
              <w:right w:val="outset" w:sz="6" w:space="0" w:color="000000"/>
            </w:tcBorders>
          </w:tcPr>
          <w:p w:rsidR="003A4AAD" w:rsidRDefault="003A4AAD">
            <w:pPr>
              <w:jc w:val="center"/>
              <w:rPr>
                <w:sz w:val="23"/>
                <w:szCs w:val="23"/>
                <w:lang w:val="lv-LV"/>
              </w:rPr>
            </w:pPr>
          </w:p>
        </w:tc>
      </w:tr>
      <w:tr w:rsidR="003A4AAD" w:rsidTr="003A4AAD">
        <w:tc>
          <w:tcPr>
            <w:tcW w:w="1304" w:type="pct"/>
            <w:tcBorders>
              <w:top w:val="outset" w:sz="6" w:space="0" w:color="000000"/>
              <w:left w:val="outset" w:sz="6" w:space="0" w:color="000000"/>
              <w:bottom w:val="outset" w:sz="6" w:space="0" w:color="000000"/>
              <w:right w:val="outset" w:sz="6" w:space="0" w:color="000000"/>
            </w:tcBorders>
            <w:hideMark/>
          </w:tcPr>
          <w:p w:rsidR="003A4AAD" w:rsidRDefault="003A4AAD">
            <w:pPr>
              <w:pStyle w:val="Paraststmeklis"/>
              <w:spacing w:before="0" w:beforeAutospacing="0" w:after="0" w:afterAutospacing="0"/>
              <w:jc w:val="both"/>
              <w:rPr>
                <w:sz w:val="23"/>
                <w:szCs w:val="23"/>
                <w:lang w:val="lv-LV"/>
              </w:rPr>
            </w:pPr>
            <w:r>
              <w:rPr>
                <w:sz w:val="23"/>
                <w:szCs w:val="23"/>
                <w:lang w:val="lv-LV"/>
              </w:rPr>
              <w:t>2. Budžeta izdevumi:</w:t>
            </w:r>
          </w:p>
        </w:tc>
        <w:tc>
          <w:tcPr>
            <w:tcW w:w="695" w:type="pct"/>
            <w:tcBorders>
              <w:top w:val="outset" w:sz="6" w:space="0" w:color="000000"/>
              <w:left w:val="outset" w:sz="6" w:space="0" w:color="000000"/>
              <w:bottom w:val="outset" w:sz="6" w:space="0" w:color="000000"/>
              <w:right w:val="outset" w:sz="6" w:space="0" w:color="000000"/>
            </w:tcBorders>
            <w:vAlign w:val="center"/>
            <w:hideMark/>
          </w:tcPr>
          <w:p w:rsidR="003A4AAD" w:rsidRDefault="003A4AAD">
            <w:pPr>
              <w:jc w:val="center"/>
              <w:rPr>
                <w:b/>
                <w:sz w:val="23"/>
                <w:szCs w:val="23"/>
                <w:lang w:val="lv-LV"/>
              </w:rPr>
            </w:pPr>
            <w:r>
              <w:rPr>
                <w:b/>
                <w:sz w:val="23"/>
                <w:szCs w:val="23"/>
                <w:lang w:val="lv-LV"/>
              </w:rPr>
              <w:t>808 516,7</w:t>
            </w:r>
          </w:p>
        </w:tc>
        <w:tc>
          <w:tcPr>
            <w:tcW w:w="734" w:type="pct"/>
            <w:tcBorders>
              <w:top w:val="outset" w:sz="6" w:space="0" w:color="000000"/>
              <w:left w:val="outset" w:sz="6" w:space="0" w:color="000000"/>
              <w:bottom w:val="outset" w:sz="6" w:space="0" w:color="000000"/>
              <w:right w:val="outset" w:sz="6" w:space="0" w:color="000000"/>
            </w:tcBorders>
            <w:vAlign w:val="center"/>
            <w:hideMark/>
          </w:tcPr>
          <w:p w:rsidR="003A4AAD" w:rsidRDefault="003A4AAD">
            <w:pPr>
              <w:jc w:val="center"/>
              <w:rPr>
                <w:b/>
                <w:sz w:val="23"/>
                <w:szCs w:val="23"/>
                <w:lang w:val="lv-LV"/>
              </w:rPr>
            </w:pPr>
            <w:r>
              <w:rPr>
                <w:b/>
                <w:sz w:val="23"/>
                <w:szCs w:val="23"/>
                <w:lang w:val="lv-LV"/>
              </w:rPr>
              <w:t>65 343,0</w:t>
            </w:r>
          </w:p>
        </w:tc>
        <w:tc>
          <w:tcPr>
            <w:tcW w:w="704" w:type="pct"/>
            <w:tcBorders>
              <w:top w:val="outset" w:sz="6" w:space="0" w:color="000000"/>
              <w:left w:val="outset" w:sz="6" w:space="0" w:color="000000"/>
              <w:bottom w:val="outset" w:sz="6" w:space="0" w:color="000000"/>
              <w:right w:val="outset" w:sz="6" w:space="0" w:color="000000"/>
            </w:tcBorders>
            <w:vAlign w:val="center"/>
            <w:hideMark/>
          </w:tcPr>
          <w:p w:rsidR="003A4AAD" w:rsidRDefault="003A4AAD">
            <w:pPr>
              <w:jc w:val="center"/>
              <w:rPr>
                <w:b/>
                <w:sz w:val="23"/>
                <w:szCs w:val="23"/>
                <w:lang w:val="lv-LV"/>
              </w:rPr>
            </w:pPr>
            <w:r>
              <w:rPr>
                <w:b/>
                <w:sz w:val="23"/>
                <w:szCs w:val="23"/>
                <w:lang w:val="lv-LV"/>
              </w:rPr>
              <w:t>157 650,9</w:t>
            </w:r>
          </w:p>
        </w:tc>
        <w:tc>
          <w:tcPr>
            <w:tcW w:w="781" w:type="pct"/>
            <w:tcBorders>
              <w:top w:val="outset" w:sz="6" w:space="0" w:color="000000"/>
              <w:left w:val="outset" w:sz="6" w:space="0" w:color="000000"/>
              <w:bottom w:val="outset" w:sz="6" w:space="0" w:color="000000"/>
              <w:right w:val="outset" w:sz="6" w:space="0" w:color="000000"/>
            </w:tcBorders>
            <w:vAlign w:val="center"/>
            <w:hideMark/>
          </w:tcPr>
          <w:p w:rsidR="003A4AAD" w:rsidRDefault="003A4AAD">
            <w:pPr>
              <w:jc w:val="center"/>
              <w:rPr>
                <w:b/>
                <w:sz w:val="23"/>
                <w:szCs w:val="23"/>
                <w:lang w:val="lv-LV"/>
              </w:rPr>
            </w:pPr>
            <w:r>
              <w:rPr>
                <w:b/>
                <w:sz w:val="23"/>
                <w:szCs w:val="23"/>
                <w:lang w:val="lv-LV"/>
              </w:rPr>
              <w:t>157 650,9</w:t>
            </w:r>
          </w:p>
        </w:tc>
        <w:tc>
          <w:tcPr>
            <w:tcW w:w="782" w:type="pct"/>
            <w:tcBorders>
              <w:top w:val="outset" w:sz="6" w:space="0" w:color="000000"/>
              <w:left w:val="outset" w:sz="6" w:space="0" w:color="000000"/>
              <w:bottom w:val="outset" w:sz="6" w:space="0" w:color="000000"/>
              <w:right w:val="outset" w:sz="6" w:space="0" w:color="000000"/>
            </w:tcBorders>
            <w:vAlign w:val="center"/>
            <w:hideMark/>
          </w:tcPr>
          <w:p w:rsidR="003A4AAD" w:rsidRDefault="003A4AAD">
            <w:pPr>
              <w:jc w:val="center"/>
              <w:rPr>
                <w:b/>
                <w:sz w:val="23"/>
                <w:szCs w:val="23"/>
                <w:lang w:val="lv-LV"/>
              </w:rPr>
            </w:pPr>
            <w:r>
              <w:rPr>
                <w:b/>
                <w:sz w:val="23"/>
                <w:szCs w:val="23"/>
                <w:lang w:val="lv-LV"/>
              </w:rPr>
              <w:t>157 650,9</w:t>
            </w:r>
          </w:p>
        </w:tc>
      </w:tr>
      <w:tr w:rsidR="003A4AAD" w:rsidTr="003A4AAD">
        <w:tc>
          <w:tcPr>
            <w:tcW w:w="1304" w:type="pct"/>
            <w:tcBorders>
              <w:top w:val="outset" w:sz="6" w:space="0" w:color="000000"/>
              <w:left w:val="outset" w:sz="6" w:space="0" w:color="000000"/>
              <w:bottom w:val="outset" w:sz="6" w:space="0" w:color="000000"/>
              <w:right w:val="outset" w:sz="6" w:space="0" w:color="000000"/>
            </w:tcBorders>
            <w:hideMark/>
          </w:tcPr>
          <w:p w:rsidR="003A4AAD" w:rsidRDefault="003A4AAD">
            <w:pPr>
              <w:pStyle w:val="Paraststmeklis"/>
              <w:spacing w:before="0" w:beforeAutospacing="0" w:after="0" w:afterAutospacing="0"/>
              <w:jc w:val="both"/>
              <w:rPr>
                <w:sz w:val="23"/>
                <w:szCs w:val="23"/>
                <w:lang w:val="lv-LV"/>
              </w:rPr>
            </w:pPr>
            <w:r>
              <w:rPr>
                <w:sz w:val="23"/>
                <w:szCs w:val="23"/>
                <w:lang w:val="lv-LV"/>
              </w:rPr>
              <w:t>2.1. valsts pamatbudžets</w:t>
            </w:r>
          </w:p>
        </w:tc>
        <w:tc>
          <w:tcPr>
            <w:tcW w:w="695" w:type="pct"/>
            <w:tcBorders>
              <w:top w:val="outset" w:sz="6" w:space="0" w:color="000000"/>
              <w:left w:val="outset" w:sz="6" w:space="0" w:color="000000"/>
              <w:bottom w:val="outset" w:sz="6" w:space="0" w:color="000000"/>
              <w:right w:val="outset" w:sz="6" w:space="0" w:color="000000"/>
            </w:tcBorders>
            <w:vAlign w:val="center"/>
            <w:hideMark/>
          </w:tcPr>
          <w:p w:rsidR="003A4AAD" w:rsidRDefault="003A4AAD">
            <w:pPr>
              <w:jc w:val="center"/>
              <w:rPr>
                <w:sz w:val="23"/>
                <w:szCs w:val="23"/>
                <w:lang w:val="lv-LV"/>
              </w:rPr>
            </w:pPr>
            <w:r>
              <w:rPr>
                <w:sz w:val="23"/>
                <w:szCs w:val="23"/>
                <w:lang w:val="lv-LV"/>
              </w:rPr>
              <w:t>808 516,7</w:t>
            </w:r>
          </w:p>
        </w:tc>
        <w:tc>
          <w:tcPr>
            <w:tcW w:w="734" w:type="pct"/>
            <w:tcBorders>
              <w:top w:val="outset" w:sz="6" w:space="0" w:color="000000"/>
              <w:left w:val="outset" w:sz="6" w:space="0" w:color="000000"/>
              <w:bottom w:val="outset" w:sz="6" w:space="0" w:color="000000"/>
              <w:right w:val="outset" w:sz="6" w:space="0" w:color="000000"/>
            </w:tcBorders>
            <w:vAlign w:val="center"/>
            <w:hideMark/>
          </w:tcPr>
          <w:p w:rsidR="003A4AAD" w:rsidRDefault="003A4AAD">
            <w:pPr>
              <w:jc w:val="center"/>
              <w:rPr>
                <w:sz w:val="23"/>
                <w:szCs w:val="23"/>
                <w:lang w:val="lv-LV"/>
              </w:rPr>
            </w:pPr>
            <w:r>
              <w:rPr>
                <w:sz w:val="23"/>
                <w:szCs w:val="23"/>
                <w:lang w:val="lv-LV"/>
              </w:rPr>
              <w:t>65 343,0</w:t>
            </w:r>
          </w:p>
        </w:tc>
        <w:tc>
          <w:tcPr>
            <w:tcW w:w="704" w:type="pct"/>
            <w:tcBorders>
              <w:top w:val="outset" w:sz="6" w:space="0" w:color="000000"/>
              <w:left w:val="outset" w:sz="6" w:space="0" w:color="000000"/>
              <w:bottom w:val="outset" w:sz="6" w:space="0" w:color="000000"/>
              <w:right w:val="outset" w:sz="6" w:space="0" w:color="000000"/>
            </w:tcBorders>
            <w:vAlign w:val="center"/>
            <w:hideMark/>
          </w:tcPr>
          <w:p w:rsidR="003A4AAD" w:rsidRDefault="003A4AAD">
            <w:pPr>
              <w:jc w:val="center"/>
              <w:rPr>
                <w:sz w:val="23"/>
                <w:szCs w:val="23"/>
                <w:lang w:val="lv-LV"/>
              </w:rPr>
            </w:pPr>
            <w:r>
              <w:rPr>
                <w:sz w:val="23"/>
                <w:szCs w:val="23"/>
                <w:lang w:val="lv-LV"/>
              </w:rPr>
              <w:t>157 650,9</w:t>
            </w:r>
          </w:p>
        </w:tc>
        <w:tc>
          <w:tcPr>
            <w:tcW w:w="781" w:type="pct"/>
            <w:tcBorders>
              <w:top w:val="outset" w:sz="6" w:space="0" w:color="000000"/>
              <w:left w:val="outset" w:sz="6" w:space="0" w:color="000000"/>
              <w:bottom w:val="outset" w:sz="6" w:space="0" w:color="000000"/>
              <w:right w:val="outset" w:sz="6" w:space="0" w:color="000000"/>
            </w:tcBorders>
            <w:vAlign w:val="center"/>
            <w:hideMark/>
          </w:tcPr>
          <w:p w:rsidR="003A4AAD" w:rsidRDefault="003A4AAD">
            <w:pPr>
              <w:jc w:val="center"/>
              <w:rPr>
                <w:sz w:val="23"/>
                <w:szCs w:val="23"/>
                <w:lang w:val="lv-LV"/>
              </w:rPr>
            </w:pPr>
            <w:r>
              <w:rPr>
                <w:sz w:val="23"/>
                <w:szCs w:val="23"/>
                <w:lang w:val="lv-LV"/>
              </w:rPr>
              <w:t>157 650,9</w:t>
            </w:r>
          </w:p>
        </w:tc>
        <w:tc>
          <w:tcPr>
            <w:tcW w:w="782" w:type="pct"/>
            <w:tcBorders>
              <w:top w:val="outset" w:sz="6" w:space="0" w:color="000000"/>
              <w:left w:val="outset" w:sz="6" w:space="0" w:color="000000"/>
              <w:bottom w:val="outset" w:sz="6" w:space="0" w:color="000000"/>
              <w:right w:val="outset" w:sz="6" w:space="0" w:color="000000"/>
            </w:tcBorders>
            <w:vAlign w:val="center"/>
            <w:hideMark/>
          </w:tcPr>
          <w:p w:rsidR="003A4AAD" w:rsidRDefault="003A4AAD">
            <w:pPr>
              <w:jc w:val="center"/>
              <w:rPr>
                <w:sz w:val="23"/>
                <w:szCs w:val="23"/>
                <w:lang w:val="lv-LV"/>
              </w:rPr>
            </w:pPr>
            <w:r>
              <w:rPr>
                <w:sz w:val="23"/>
                <w:szCs w:val="23"/>
                <w:lang w:val="lv-LV"/>
              </w:rPr>
              <w:t>157 650,9</w:t>
            </w:r>
          </w:p>
        </w:tc>
      </w:tr>
      <w:tr w:rsidR="003A4AAD" w:rsidTr="003A4AAD">
        <w:tc>
          <w:tcPr>
            <w:tcW w:w="1304" w:type="pct"/>
            <w:tcBorders>
              <w:top w:val="outset" w:sz="6" w:space="0" w:color="000000"/>
              <w:left w:val="outset" w:sz="6" w:space="0" w:color="000000"/>
              <w:bottom w:val="outset" w:sz="6" w:space="0" w:color="000000"/>
              <w:right w:val="outset" w:sz="6" w:space="0" w:color="000000"/>
            </w:tcBorders>
            <w:hideMark/>
          </w:tcPr>
          <w:p w:rsidR="003A4AAD" w:rsidRDefault="003A4AAD">
            <w:pPr>
              <w:pStyle w:val="Paraststmeklis"/>
              <w:spacing w:before="0" w:beforeAutospacing="0" w:after="0" w:afterAutospacing="0"/>
              <w:jc w:val="both"/>
              <w:rPr>
                <w:sz w:val="23"/>
                <w:szCs w:val="23"/>
                <w:lang w:val="lv-LV"/>
              </w:rPr>
            </w:pPr>
            <w:r>
              <w:rPr>
                <w:sz w:val="23"/>
                <w:szCs w:val="23"/>
                <w:lang w:val="lv-LV"/>
              </w:rPr>
              <w:t>2.2. valsts speciālais budžets</w:t>
            </w:r>
          </w:p>
        </w:tc>
        <w:tc>
          <w:tcPr>
            <w:tcW w:w="695" w:type="pct"/>
            <w:tcBorders>
              <w:top w:val="outset" w:sz="6" w:space="0" w:color="000000"/>
              <w:left w:val="outset" w:sz="6" w:space="0" w:color="000000"/>
              <w:bottom w:val="outset" w:sz="6" w:space="0" w:color="000000"/>
              <w:right w:val="outset" w:sz="6" w:space="0" w:color="000000"/>
            </w:tcBorders>
            <w:vAlign w:val="center"/>
          </w:tcPr>
          <w:p w:rsidR="003A4AAD" w:rsidRDefault="003A4AAD">
            <w:pPr>
              <w:jc w:val="center"/>
              <w:rPr>
                <w:sz w:val="23"/>
                <w:szCs w:val="23"/>
                <w:lang w:val="lv-LV"/>
              </w:rPr>
            </w:pPr>
          </w:p>
        </w:tc>
        <w:tc>
          <w:tcPr>
            <w:tcW w:w="734" w:type="pct"/>
            <w:tcBorders>
              <w:top w:val="outset" w:sz="6" w:space="0" w:color="000000"/>
              <w:left w:val="outset" w:sz="6" w:space="0" w:color="000000"/>
              <w:bottom w:val="outset" w:sz="6" w:space="0" w:color="000000"/>
              <w:right w:val="outset" w:sz="6" w:space="0" w:color="000000"/>
            </w:tcBorders>
            <w:vAlign w:val="center"/>
          </w:tcPr>
          <w:p w:rsidR="003A4AAD" w:rsidRDefault="003A4AAD">
            <w:pPr>
              <w:jc w:val="center"/>
              <w:rPr>
                <w:sz w:val="23"/>
                <w:szCs w:val="23"/>
                <w:lang w:val="lv-LV"/>
              </w:rPr>
            </w:pPr>
          </w:p>
        </w:tc>
        <w:tc>
          <w:tcPr>
            <w:tcW w:w="704" w:type="pct"/>
            <w:tcBorders>
              <w:top w:val="outset" w:sz="6" w:space="0" w:color="000000"/>
              <w:left w:val="outset" w:sz="6" w:space="0" w:color="000000"/>
              <w:bottom w:val="outset" w:sz="6" w:space="0" w:color="000000"/>
              <w:right w:val="outset" w:sz="6" w:space="0" w:color="000000"/>
            </w:tcBorders>
          </w:tcPr>
          <w:p w:rsidR="003A4AAD" w:rsidRDefault="003A4AAD">
            <w:pPr>
              <w:jc w:val="center"/>
              <w:rPr>
                <w:sz w:val="23"/>
                <w:szCs w:val="23"/>
                <w:lang w:val="lv-LV"/>
              </w:rPr>
            </w:pPr>
          </w:p>
        </w:tc>
        <w:tc>
          <w:tcPr>
            <w:tcW w:w="781" w:type="pct"/>
            <w:tcBorders>
              <w:top w:val="outset" w:sz="6" w:space="0" w:color="000000"/>
              <w:left w:val="outset" w:sz="6" w:space="0" w:color="000000"/>
              <w:bottom w:val="outset" w:sz="6" w:space="0" w:color="000000"/>
              <w:right w:val="outset" w:sz="6" w:space="0" w:color="000000"/>
            </w:tcBorders>
          </w:tcPr>
          <w:p w:rsidR="003A4AAD" w:rsidRDefault="003A4AAD">
            <w:pPr>
              <w:jc w:val="center"/>
              <w:rPr>
                <w:sz w:val="23"/>
                <w:szCs w:val="23"/>
                <w:lang w:val="lv-LV"/>
              </w:rPr>
            </w:pPr>
          </w:p>
        </w:tc>
        <w:tc>
          <w:tcPr>
            <w:tcW w:w="782" w:type="pct"/>
            <w:tcBorders>
              <w:top w:val="outset" w:sz="6" w:space="0" w:color="000000"/>
              <w:left w:val="outset" w:sz="6" w:space="0" w:color="000000"/>
              <w:bottom w:val="outset" w:sz="6" w:space="0" w:color="000000"/>
              <w:right w:val="outset" w:sz="6" w:space="0" w:color="000000"/>
            </w:tcBorders>
          </w:tcPr>
          <w:p w:rsidR="003A4AAD" w:rsidRDefault="003A4AAD">
            <w:pPr>
              <w:jc w:val="center"/>
              <w:rPr>
                <w:sz w:val="23"/>
                <w:szCs w:val="23"/>
                <w:lang w:val="lv-LV"/>
              </w:rPr>
            </w:pPr>
          </w:p>
        </w:tc>
      </w:tr>
      <w:tr w:rsidR="003A4AAD" w:rsidTr="003A4AAD">
        <w:tc>
          <w:tcPr>
            <w:tcW w:w="1304" w:type="pct"/>
            <w:tcBorders>
              <w:top w:val="outset" w:sz="6" w:space="0" w:color="000000"/>
              <w:left w:val="outset" w:sz="6" w:space="0" w:color="000000"/>
              <w:bottom w:val="outset" w:sz="6" w:space="0" w:color="000000"/>
              <w:right w:val="outset" w:sz="6" w:space="0" w:color="000000"/>
            </w:tcBorders>
            <w:hideMark/>
          </w:tcPr>
          <w:p w:rsidR="003A4AAD" w:rsidRDefault="003A4AAD">
            <w:pPr>
              <w:pStyle w:val="Paraststmeklis"/>
              <w:spacing w:before="0" w:beforeAutospacing="0" w:after="0" w:afterAutospacing="0"/>
              <w:jc w:val="both"/>
              <w:rPr>
                <w:sz w:val="23"/>
                <w:szCs w:val="23"/>
                <w:lang w:val="lv-LV"/>
              </w:rPr>
            </w:pPr>
            <w:r>
              <w:rPr>
                <w:sz w:val="23"/>
                <w:szCs w:val="23"/>
                <w:lang w:val="lv-LV"/>
              </w:rPr>
              <w:t>2.3. pašvaldību budžets</w:t>
            </w:r>
          </w:p>
        </w:tc>
        <w:tc>
          <w:tcPr>
            <w:tcW w:w="695" w:type="pct"/>
            <w:tcBorders>
              <w:top w:val="outset" w:sz="6" w:space="0" w:color="000000"/>
              <w:left w:val="outset" w:sz="6" w:space="0" w:color="000000"/>
              <w:bottom w:val="outset" w:sz="6" w:space="0" w:color="000000"/>
              <w:right w:val="outset" w:sz="6" w:space="0" w:color="000000"/>
            </w:tcBorders>
            <w:vAlign w:val="center"/>
          </w:tcPr>
          <w:p w:rsidR="003A4AAD" w:rsidRDefault="003A4AAD">
            <w:pPr>
              <w:jc w:val="center"/>
              <w:rPr>
                <w:sz w:val="23"/>
                <w:szCs w:val="23"/>
                <w:lang w:val="lv-LV"/>
              </w:rPr>
            </w:pPr>
          </w:p>
        </w:tc>
        <w:tc>
          <w:tcPr>
            <w:tcW w:w="734" w:type="pct"/>
            <w:tcBorders>
              <w:top w:val="outset" w:sz="6" w:space="0" w:color="000000"/>
              <w:left w:val="outset" w:sz="6" w:space="0" w:color="000000"/>
              <w:bottom w:val="outset" w:sz="6" w:space="0" w:color="000000"/>
              <w:right w:val="outset" w:sz="6" w:space="0" w:color="000000"/>
            </w:tcBorders>
            <w:vAlign w:val="center"/>
          </w:tcPr>
          <w:p w:rsidR="003A4AAD" w:rsidRDefault="003A4AAD">
            <w:pPr>
              <w:jc w:val="center"/>
              <w:rPr>
                <w:sz w:val="23"/>
                <w:szCs w:val="23"/>
                <w:lang w:val="lv-LV"/>
              </w:rPr>
            </w:pPr>
          </w:p>
        </w:tc>
        <w:tc>
          <w:tcPr>
            <w:tcW w:w="704" w:type="pct"/>
            <w:tcBorders>
              <w:top w:val="outset" w:sz="6" w:space="0" w:color="000000"/>
              <w:left w:val="outset" w:sz="6" w:space="0" w:color="000000"/>
              <w:bottom w:val="outset" w:sz="6" w:space="0" w:color="000000"/>
              <w:right w:val="outset" w:sz="6" w:space="0" w:color="000000"/>
            </w:tcBorders>
          </w:tcPr>
          <w:p w:rsidR="003A4AAD" w:rsidRDefault="003A4AAD">
            <w:pPr>
              <w:jc w:val="center"/>
              <w:rPr>
                <w:sz w:val="23"/>
                <w:szCs w:val="23"/>
                <w:lang w:val="lv-LV"/>
              </w:rPr>
            </w:pPr>
          </w:p>
        </w:tc>
        <w:tc>
          <w:tcPr>
            <w:tcW w:w="781" w:type="pct"/>
            <w:tcBorders>
              <w:top w:val="outset" w:sz="6" w:space="0" w:color="000000"/>
              <w:left w:val="outset" w:sz="6" w:space="0" w:color="000000"/>
              <w:bottom w:val="outset" w:sz="6" w:space="0" w:color="000000"/>
              <w:right w:val="outset" w:sz="6" w:space="0" w:color="000000"/>
            </w:tcBorders>
          </w:tcPr>
          <w:p w:rsidR="003A4AAD" w:rsidRDefault="003A4AAD">
            <w:pPr>
              <w:jc w:val="center"/>
              <w:rPr>
                <w:sz w:val="23"/>
                <w:szCs w:val="23"/>
                <w:lang w:val="lv-LV"/>
              </w:rPr>
            </w:pPr>
          </w:p>
        </w:tc>
        <w:tc>
          <w:tcPr>
            <w:tcW w:w="782" w:type="pct"/>
            <w:tcBorders>
              <w:top w:val="outset" w:sz="6" w:space="0" w:color="000000"/>
              <w:left w:val="outset" w:sz="6" w:space="0" w:color="000000"/>
              <w:bottom w:val="outset" w:sz="6" w:space="0" w:color="000000"/>
              <w:right w:val="outset" w:sz="6" w:space="0" w:color="000000"/>
            </w:tcBorders>
          </w:tcPr>
          <w:p w:rsidR="003A4AAD" w:rsidRDefault="003A4AAD">
            <w:pPr>
              <w:jc w:val="center"/>
              <w:rPr>
                <w:sz w:val="23"/>
                <w:szCs w:val="23"/>
                <w:lang w:val="lv-LV"/>
              </w:rPr>
            </w:pPr>
          </w:p>
        </w:tc>
      </w:tr>
      <w:tr w:rsidR="003A4AAD" w:rsidTr="003A4AAD">
        <w:tc>
          <w:tcPr>
            <w:tcW w:w="1304" w:type="pct"/>
            <w:tcBorders>
              <w:top w:val="outset" w:sz="6" w:space="0" w:color="000000"/>
              <w:left w:val="outset" w:sz="6" w:space="0" w:color="000000"/>
              <w:bottom w:val="outset" w:sz="6" w:space="0" w:color="000000"/>
              <w:right w:val="outset" w:sz="6" w:space="0" w:color="000000"/>
            </w:tcBorders>
            <w:hideMark/>
          </w:tcPr>
          <w:p w:rsidR="003A4AAD" w:rsidRDefault="003A4AAD">
            <w:pPr>
              <w:pStyle w:val="Paraststmeklis"/>
              <w:spacing w:before="0" w:beforeAutospacing="0" w:after="0" w:afterAutospacing="0"/>
              <w:jc w:val="both"/>
              <w:rPr>
                <w:sz w:val="23"/>
                <w:szCs w:val="23"/>
                <w:lang w:val="lv-LV"/>
              </w:rPr>
            </w:pPr>
            <w:r>
              <w:rPr>
                <w:sz w:val="23"/>
                <w:szCs w:val="23"/>
                <w:lang w:val="lv-LV"/>
              </w:rPr>
              <w:t>3. Finansiālā ietekme:</w:t>
            </w:r>
          </w:p>
        </w:tc>
        <w:tc>
          <w:tcPr>
            <w:tcW w:w="695" w:type="pct"/>
            <w:tcBorders>
              <w:top w:val="outset" w:sz="6" w:space="0" w:color="000000"/>
              <w:left w:val="outset" w:sz="6" w:space="0" w:color="000000"/>
              <w:bottom w:val="outset" w:sz="6" w:space="0" w:color="000000"/>
              <w:right w:val="outset" w:sz="6" w:space="0" w:color="000000"/>
            </w:tcBorders>
            <w:vAlign w:val="center"/>
            <w:hideMark/>
          </w:tcPr>
          <w:p w:rsidR="003A4AAD" w:rsidRDefault="003A4AAD">
            <w:pPr>
              <w:jc w:val="center"/>
              <w:rPr>
                <w:b/>
                <w:sz w:val="23"/>
                <w:szCs w:val="23"/>
                <w:lang w:val="lv-LV"/>
              </w:rPr>
            </w:pPr>
            <w:r>
              <w:rPr>
                <w:b/>
                <w:sz w:val="23"/>
                <w:szCs w:val="23"/>
                <w:lang w:val="lv-LV"/>
              </w:rPr>
              <w:t>0,0</w:t>
            </w:r>
          </w:p>
        </w:tc>
        <w:tc>
          <w:tcPr>
            <w:tcW w:w="734" w:type="pct"/>
            <w:tcBorders>
              <w:top w:val="outset" w:sz="6" w:space="0" w:color="000000"/>
              <w:left w:val="outset" w:sz="6" w:space="0" w:color="000000"/>
              <w:bottom w:val="outset" w:sz="6" w:space="0" w:color="000000"/>
              <w:right w:val="outset" w:sz="6" w:space="0" w:color="000000"/>
            </w:tcBorders>
            <w:vAlign w:val="center"/>
            <w:hideMark/>
          </w:tcPr>
          <w:p w:rsidR="003A4AAD" w:rsidRDefault="003A4AAD">
            <w:pPr>
              <w:jc w:val="center"/>
              <w:rPr>
                <w:b/>
                <w:sz w:val="23"/>
                <w:szCs w:val="23"/>
                <w:lang w:val="lv-LV"/>
              </w:rPr>
            </w:pPr>
            <w:r>
              <w:rPr>
                <w:b/>
                <w:sz w:val="23"/>
                <w:szCs w:val="23"/>
                <w:lang w:val="lv-LV"/>
              </w:rPr>
              <w:t>0,0</w:t>
            </w:r>
          </w:p>
        </w:tc>
        <w:tc>
          <w:tcPr>
            <w:tcW w:w="704" w:type="pct"/>
            <w:tcBorders>
              <w:top w:val="outset" w:sz="6" w:space="0" w:color="000000"/>
              <w:left w:val="outset" w:sz="6" w:space="0" w:color="000000"/>
              <w:bottom w:val="outset" w:sz="6" w:space="0" w:color="000000"/>
              <w:right w:val="outset" w:sz="6" w:space="0" w:color="000000"/>
            </w:tcBorders>
            <w:hideMark/>
          </w:tcPr>
          <w:p w:rsidR="003A4AAD" w:rsidRDefault="003A4AAD">
            <w:pPr>
              <w:jc w:val="center"/>
              <w:rPr>
                <w:b/>
                <w:sz w:val="23"/>
                <w:szCs w:val="23"/>
                <w:lang w:val="lv-LV"/>
              </w:rPr>
            </w:pPr>
            <w:r>
              <w:rPr>
                <w:b/>
                <w:sz w:val="23"/>
                <w:szCs w:val="23"/>
                <w:lang w:val="lv-LV"/>
              </w:rPr>
              <w:t>0,0</w:t>
            </w:r>
          </w:p>
        </w:tc>
        <w:tc>
          <w:tcPr>
            <w:tcW w:w="781" w:type="pct"/>
            <w:tcBorders>
              <w:top w:val="outset" w:sz="6" w:space="0" w:color="000000"/>
              <w:left w:val="outset" w:sz="6" w:space="0" w:color="000000"/>
              <w:bottom w:val="outset" w:sz="6" w:space="0" w:color="000000"/>
              <w:right w:val="outset" w:sz="6" w:space="0" w:color="000000"/>
            </w:tcBorders>
            <w:hideMark/>
          </w:tcPr>
          <w:p w:rsidR="003A4AAD" w:rsidRDefault="003A4AAD">
            <w:pPr>
              <w:jc w:val="center"/>
              <w:rPr>
                <w:b/>
                <w:sz w:val="23"/>
                <w:szCs w:val="23"/>
                <w:lang w:val="lv-LV"/>
              </w:rPr>
            </w:pPr>
            <w:r>
              <w:rPr>
                <w:b/>
                <w:sz w:val="23"/>
                <w:szCs w:val="23"/>
                <w:lang w:val="lv-LV"/>
              </w:rPr>
              <w:t>0,0</w:t>
            </w:r>
          </w:p>
        </w:tc>
        <w:tc>
          <w:tcPr>
            <w:tcW w:w="782" w:type="pct"/>
            <w:tcBorders>
              <w:top w:val="outset" w:sz="6" w:space="0" w:color="000000"/>
              <w:left w:val="outset" w:sz="6" w:space="0" w:color="000000"/>
              <w:bottom w:val="outset" w:sz="6" w:space="0" w:color="000000"/>
              <w:right w:val="outset" w:sz="6" w:space="0" w:color="000000"/>
            </w:tcBorders>
            <w:hideMark/>
          </w:tcPr>
          <w:p w:rsidR="003A4AAD" w:rsidRDefault="003A4AAD">
            <w:pPr>
              <w:jc w:val="center"/>
              <w:rPr>
                <w:b/>
                <w:sz w:val="23"/>
                <w:szCs w:val="23"/>
                <w:lang w:val="lv-LV"/>
              </w:rPr>
            </w:pPr>
            <w:r>
              <w:rPr>
                <w:b/>
                <w:sz w:val="23"/>
                <w:szCs w:val="23"/>
                <w:lang w:val="lv-LV"/>
              </w:rPr>
              <w:t>0,0</w:t>
            </w:r>
          </w:p>
        </w:tc>
      </w:tr>
      <w:tr w:rsidR="003A4AAD" w:rsidTr="003A4AAD">
        <w:tc>
          <w:tcPr>
            <w:tcW w:w="1304" w:type="pct"/>
            <w:tcBorders>
              <w:top w:val="outset" w:sz="6" w:space="0" w:color="000000"/>
              <w:left w:val="outset" w:sz="6" w:space="0" w:color="000000"/>
              <w:bottom w:val="outset" w:sz="6" w:space="0" w:color="000000"/>
              <w:right w:val="outset" w:sz="6" w:space="0" w:color="000000"/>
            </w:tcBorders>
            <w:hideMark/>
          </w:tcPr>
          <w:p w:rsidR="003A4AAD" w:rsidRDefault="003A4AAD">
            <w:pPr>
              <w:pStyle w:val="Paraststmeklis"/>
              <w:spacing w:before="0" w:beforeAutospacing="0" w:after="0" w:afterAutospacing="0"/>
              <w:jc w:val="both"/>
              <w:rPr>
                <w:sz w:val="23"/>
                <w:szCs w:val="23"/>
                <w:lang w:val="lv-LV"/>
              </w:rPr>
            </w:pPr>
            <w:r>
              <w:rPr>
                <w:sz w:val="23"/>
                <w:szCs w:val="23"/>
                <w:lang w:val="lv-LV"/>
              </w:rPr>
              <w:t>3.1. valsts pamatbudžets</w:t>
            </w:r>
          </w:p>
        </w:tc>
        <w:tc>
          <w:tcPr>
            <w:tcW w:w="695" w:type="pct"/>
            <w:tcBorders>
              <w:top w:val="outset" w:sz="6" w:space="0" w:color="000000"/>
              <w:left w:val="outset" w:sz="6" w:space="0" w:color="000000"/>
              <w:bottom w:val="outset" w:sz="6" w:space="0" w:color="000000"/>
              <w:right w:val="outset" w:sz="6" w:space="0" w:color="000000"/>
            </w:tcBorders>
            <w:vAlign w:val="center"/>
            <w:hideMark/>
          </w:tcPr>
          <w:p w:rsidR="003A4AAD" w:rsidRDefault="003A4AAD">
            <w:pPr>
              <w:jc w:val="center"/>
              <w:rPr>
                <w:sz w:val="23"/>
                <w:szCs w:val="23"/>
                <w:lang w:val="lv-LV"/>
              </w:rPr>
            </w:pPr>
            <w:r>
              <w:rPr>
                <w:sz w:val="23"/>
                <w:szCs w:val="23"/>
                <w:lang w:val="lv-LV"/>
              </w:rPr>
              <w:t>0,0</w:t>
            </w:r>
          </w:p>
        </w:tc>
        <w:tc>
          <w:tcPr>
            <w:tcW w:w="734" w:type="pct"/>
            <w:tcBorders>
              <w:top w:val="outset" w:sz="6" w:space="0" w:color="000000"/>
              <w:left w:val="outset" w:sz="6" w:space="0" w:color="000000"/>
              <w:bottom w:val="outset" w:sz="6" w:space="0" w:color="000000"/>
              <w:right w:val="outset" w:sz="6" w:space="0" w:color="000000"/>
            </w:tcBorders>
            <w:vAlign w:val="center"/>
            <w:hideMark/>
          </w:tcPr>
          <w:p w:rsidR="003A4AAD" w:rsidRDefault="003A4AAD">
            <w:pPr>
              <w:jc w:val="center"/>
              <w:rPr>
                <w:sz w:val="23"/>
                <w:szCs w:val="23"/>
                <w:lang w:val="lv-LV"/>
              </w:rPr>
            </w:pPr>
            <w:r>
              <w:rPr>
                <w:sz w:val="23"/>
                <w:szCs w:val="23"/>
                <w:lang w:val="lv-LV"/>
              </w:rPr>
              <w:t>0,0</w:t>
            </w:r>
          </w:p>
        </w:tc>
        <w:tc>
          <w:tcPr>
            <w:tcW w:w="704" w:type="pct"/>
            <w:tcBorders>
              <w:top w:val="outset" w:sz="6" w:space="0" w:color="000000"/>
              <w:left w:val="outset" w:sz="6" w:space="0" w:color="000000"/>
              <w:bottom w:val="outset" w:sz="6" w:space="0" w:color="000000"/>
              <w:right w:val="outset" w:sz="6" w:space="0" w:color="000000"/>
            </w:tcBorders>
            <w:hideMark/>
          </w:tcPr>
          <w:p w:rsidR="003A4AAD" w:rsidRDefault="003A4AAD">
            <w:pPr>
              <w:jc w:val="center"/>
              <w:rPr>
                <w:sz w:val="23"/>
                <w:szCs w:val="23"/>
                <w:lang w:val="lv-LV"/>
              </w:rPr>
            </w:pPr>
            <w:r>
              <w:rPr>
                <w:sz w:val="23"/>
                <w:szCs w:val="23"/>
                <w:lang w:val="lv-LV"/>
              </w:rPr>
              <w:t>0,0</w:t>
            </w:r>
          </w:p>
        </w:tc>
        <w:tc>
          <w:tcPr>
            <w:tcW w:w="781" w:type="pct"/>
            <w:tcBorders>
              <w:top w:val="outset" w:sz="6" w:space="0" w:color="000000"/>
              <w:left w:val="outset" w:sz="6" w:space="0" w:color="000000"/>
              <w:bottom w:val="outset" w:sz="6" w:space="0" w:color="000000"/>
              <w:right w:val="outset" w:sz="6" w:space="0" w:color="000000"/>
            </w:tcBorders>
            <w:hideMark/>
          </w:tcPr>
          <w:p w:rsidR="003A4AAD" w:rsidRDefault="003A4AAD">
            <w:pPr>
              <w:jc w:val="center"/>
              <w:rPr>
                <w:sz w:val="23"/>
                <w:szCs w:val="23"/>
                <w:lang w:val="lv-LV"/>
              </w:rPr>
            </w:pPr>
            <w:r>
              <w:rPr>
                <w:sz w:val="23"/>
                <w:szCs w:val="23"/>
                <w:lang w:val="lv-LV"/>
              </w:rPr>
              <w:t>0,0</w:t>
            </w:r>
          </w:p>
        </w:tc>
        <w:tc>
          <w:tcPr>
            <w:tcW w:w="782" w:type="pct"/>
            <w:tcBorders>
              <w:top w:val="outset" w:sz="6" w:space="0" w:color="000000"/>
              <w:left w:val="outset" w:sz="6" w:space="0" w:color="000000"/>
              <w:bottom w:val="outset" w:sz="6" w:space="0" w:color="000000"/>
              <w:right w:val="outset" w:sz="6" w:space="0" w:color="000000"/>
            </w:tcBorders>
            <w:hideMark/>
          </w:tcPr>
          <w:p w:rsidR="003A4AAD" w:rsidRDefault="003A4AAD">
            <w:pPr>
              <w:jc w:val="center"/>
              <w:rPr>
                <w:sz w:val="23"/>
                <w:szCs w:val="23"/>
                <w:lang w:val="lv-LV"/>
              </w:rPr>
            </w:pPr>
            <w:r>
              <w:rPr>
                <w:sz w:val="23"/>
                <w:szCs w:val="23"/>
                <w:lang w:val="lv-LV"/>
              </w:rPr>
              <w:t>0,0</w:t>
            </w:r>
          </w:p>
        </w:tc>
      </w:tr>
      <w:tr w:rsidR="003A4AAD" w:rsidTr="003A4AAD">
        <w:tc>
          <w:tcPr>
            <w:tcW w:w="1304" w:type="pct"/>
            <w:tcBorders>
              <w:top w:val="outset" w:sz="6" w:space="0" w:color="000000"/>
              <w:left w:val="outset" w:sz="6" w:space="0" w:color="000000"/>
              <w:bottom w:val="outset" w:sz="6" w:space="0" w:color="000000"/>
              <w:right w:val="outset" w:sz="6" w:space="0" w:color="000000"/>
            </w:tcBorders>
            <w:hideMark/>
          </w:tcPr>
          <w:p w:rsidR="003A4AAD" w:rsidRDefault="003A4AAD">
            <w:pPr>
              <w:pStyle w:val="Paraststmeklis"/>
              <w:spacing w:before="0" w:beforeAutospacing="0" w:after="0" w:afterAutospacing="0"/>
              <w:jc w:val="both"/>
              <w:rPr>
                <w:sz w:val="23"/>
                <w:szCs w:val="23"/>
                <w:lang w:val="lv-LV"/>
              </w:rPr>
            </w:pPr>
            <w:r>
              <w:rPr>
                <w:sz w:val="23"/>
                <w:szCs w:val="23"/>
                <w:lang w:val="lv-LV"/>
              </w:rPr>
              <w:t>3.2. speciālais budžets</w:t>
            </w:r>
          </w:p>
        </w:tc>
        <w:tc>
          <w:tcPr>
            <w:tcW w:w="695" w:type="pct"/>
            <w:tcBorders>
              <w:top w:val="outset" w:sz="6" w:space="0" w:color="000000"/>
              <w:left w:val="outset" w:sz="6" w:space="0" w:color="000000"/>
              <w:bottom w:val="outset" w:sz="6" w:space="0" w:color="000000"/>
              <w:right w:val="outset" w:sz="6" w:space="0" w:color="000000"/>
            </w:tcBorders>
            <w:vAlign w:val="center"/>
          </w:tcPr>
          <w:p w:rsidR="003A4AAD" w:rsidRDefault="003A4AAD">
            <w:pPr>
              <w:jc w:val="center"/>
              <w:rPr>
                <w:sz w:val="23"/>
                <w:szCs w:val="23"/>
                <w:lang w:val="lv-LV"/>
              </w:rPr>
            </w:pPr>
          </w:p>
        </w:tc>
        <w:tc>
          <w:tcPr>
            <w:tcW w:w="734" w:type="pct"/>
            <w:tcBorders>
              <w:top w:val="outset" w:sz="6" w:space="0" w:color="000000"/>
              <w:left w:val="outset" w:sz="6" w:space="0" w:color="000000"/>
              <w:bottom w:val="outset" w:sz="6" w:space="0" w:color="000000"/>
              <w:right w:val="outset" w:sz="6" w:space="0" w:color="000000"/>
            </w:tcBorders>
            <w:vAlign w:val="center"/>
          </w:tcPr>
          <w:p w:rsidR="003A4AAD" w:rsidRDefault="003A4AAD">
            <w:pPr>
              <w:jc w:val="center"/>
              <w:rPr>
                <w:sz w:val="23"/>
                <w:szCs w:val="23"/>
                <w:lang w:val="lv-LV"/>
              </w:rPr>
            </w:pPr>
          </w:p>
        </w:tc>
        <w:tc>
          <w:tcPr>
            <w:tcW w:w="704" w:type="pct"/>
            <w:tcBorders>
              <w:top w:val="outset" w:sz="6" w:space="0" w:color="000000"/>
              <w:left w:val="outset" w:sz="6" w:space="0" w:color="000000"/>
              <w:bottom w:val="outset" w:sz="6" w:space="0" w:color="000000"/>
              <w:right w:val="outset" w:sz="6" w:space="0" w:color="000000"/>
            </w:tcBorders>
          </w:tcPr>
          <w:p w:rsidR="003A4AAD" w:rsidRDefault="003A4AAD">
            <w:pPr>
              <w:jc w:val="center"/>
              <w:rPr>
                <w:sz w:val="23"/>
                <w:szCs w:val="23"/>
                <w:lang w:val="lv-LV"/>
              </w:rPr>
            </w:pPr>
          </w:p>
        </w:tc>
        <w:tc>
          <w:tcPr>
            <w:tcW w:w="781" w:type="pct"/>
            <w:tcBorders>
              <w:top w:val="outset" w:sz="6" w:space="0" w:color="000000"/>
              <w:left w:val="outset" w:sz="6" w:space="0" w:color="000000"/>
              <w:bottom w:val="outset" w:sz="6" w:space="0" w:color="000000"/>
              <w:right w:val="outset" w:sz="6" w:space="0" w:color="000000"/>
            </w:tcBorders>
          </w:tcPr>
          <w:p w:rsidR="003A4AAD" w:rsidRDefault="003A4AAD">
            <w:pPr>
              <w:jc w:val="center"/>
              <w:rPr>
                <w:sz w:val="23"/>
                <w:szCs w:val="23"/>
                <w:lang w:val="lv-LV"/>
              </w:rPr>
            </w:pPr>
          </w:p>
        </w:tc>
        <w:tc>
          <w:tcPr>
            <w:tcW w:w="782" w:type="pct"/>
            <w:tcBorders>
              <w:top w:val="outset" w:sz="6" w:space="0" w:color="000000"/>
              <w:left w:val="outset" w:sz="6" w:space="0" w:color="000000"/>
              <w:bottom w:val="outset" w:sz="6" w:space="0" w:color="000000"/>
              <w:right w:val="outset" w:sz="6" w:space="0" w:color="000000"/>
            </w:tcBorders>
          </w:tcPr>
          <w:p w:rsidR="003A4AAD" w:rsidRDefault="003A4AAD">
            <w:pPr>
              <w:jc w:val="center"/>
              <w:rPr>
                <w:sz w:val="23"/>
                <w:szCs w:val="23"/>
                <w:lang w:val="lv-LV"/>
              </w:rPr>
            </w:pPr>
          </w:p>
        </w:tc>
      </w:tr>
      <w:tr w:rsidR="003A4AAD" w:rsidTr="003A4AAD">
        <w:tc>
          <w:tcPr>
            <w:tcW w:w="1304" w:type="pct"/>
            <w:tcBorders>
              <w:top w:val="outset" w:sz="6" w:space="0" w:color="000000"/>
              <w:left w:val="outset" w:sz="6" w:space="0" w:color="000000"/>
              <w:bottom w:val="outset" w:sz="6" w:space="0" w:color="000000"/>
              <w:right w:val="outset" w:sz="6" w:space="0" w:color="000000"/>
            </w:tcBorders>
            <w:hideMark/>
          </w:tcPr>
          <w:p w:rsidR="003A4AAD" w:rsidRDefault="003A4AAD">
            <w:pPr>
              <w:pStyle w:val="Paraststmeklis"/>
              <w:spacing w:before="0" w:beforeAutospacing="0" w:after="0" w:afterAutospacing="0"/>
              <w:jc w:val="both"/>
              <w:rPr>
                <w:sz w:val="23"/>
                <w:szCs w:val="23"/>
                <w:lang w:val="lv-LV"/>
              </w:rPr>
            </w:pPr>
            <w:r>
              <w:rPr>
                <w:sz w:val="23"/>
                <w:szCs w:val="23"/>
                <w:lang w:val="lv-LV"/>
              </w:rPr>
              <w:t>3.3. pašvaldību budžets</w:t>
            </w:r>
          </w:p>
        </w:tc>
        <w:tc>
          <w:tcPr>
            <w:tcW w:w="695" w:type="pct"/>
            <w:tcBorders>
              <w:top w:val="outset" w:sz="6" w:space="0" w:color="000000"/>
              <w:left w:val="outset" w:sz="6" w:space="0" w:color="000000"/>
              <w:bottom w:val="outset" w:sz="6" w:space="0" w:color="000000"/>
              <w:right w:val="outset" w:sz="6" w:space="0" w:color="000000"/>
            </w:tcBorders>
            <w:vAlign w:val="center"/>
          </w:tcPr>
          <w:p w:rsidR="003A4AAD" w:rsidRDefault="003A4AAD">
            <w:pPr>
              <w:jc w:val="center"/>
              <w:rPr>
                <w:sz w:val="23"/>
                <w:szCs w:val="23"/>
                <w:lang w:val="lv-LV"/>
              </w:rPr>
            </w:pPr>
          </w:p>
        </w:tc>
        <w:tc>
          <w:tcPr>
            <w:tcW w:w="734" w:type="pct"/>
            <w:tcBorders>
              <w:top w:val="outset" w:sz="6" w:space="0" w:color="000000"/>
              <w:left w:val="outset" w:sz="6" w:space="0" w:color="000000"/>
              <w:bottom w:val="outset" w:sz="6" w:space="0" w:color="000000"/>
              <w:right w:val="outset" w:sz="6" w:space="0" w:color="000000"/>
            </w:tcBorders>
            <w:vAlign w:val="center"/>
          </w:tcPr>
          <w:p w:rsidR="003A4AAD" w:rsidRDefault="003A4AAD">
            <w:pPr>
              <w:jc w:val="center"/>
              <w:rPr>
                <w:sz w:val="23"/>
                <w:szCs w:val="23"/>
                <w:lang w:val="lv-LV"/>
              </w:rPr>
            </w:pPr>
          </w:p>
        </w:tc>
        <w:tc>
          <w:tcPr>
            <w:tcW w:w="704" w:type="pct"/>
            <w:tcBorders>
              <w:top w:val="outset" w:sz="6" w:space="0" w:color="000000"/>
              <w:left w:val="outset" w:sz="6" w:space="0" w:color="000000"/>
              <w:bottom w:val="outset" w:sz="6" w:space="0" w:color="000000"/>
              <w:right w:val="outset" w:sz="6" w:space="0" w:color="000000"/>
            </w:tcBorders>
          </w:tcPr>
          <w:p w:rsidR="003A4AAD" w:rsidRDefault="003A4AAD">
            <w:pPr>
              <w:jc w:val="center"/>
              <w:rPr>
                <w:sz w:val="23"/>
                <w:szCs w:val="23"/>
                <w:lang w:val="lv-LV"/>
              </w:rPr>
            </w:pPr>
          </w:p>
        </w:tc>
        <w:tc>
          <w:tcPr>
            <w:tcW w:w="781" w:type="pct"/>
            <w:tcBorders>
              <w:top w:val="outset" w:sz="6" w:space="0" w:color="000000"/>
              <w:left w:val="outset" w:sz="6" w:space="0" w:color="000000"/>
              <w:bottom w:val="outset" w:sz="6" w:space="0" w:color="000000"/>
              <w:right w:val="outset" w:sz="6" w:space="0" w:color="000000"/>
            </w:tcBorders>
          </w:tcPr>
          <w:p w:rsidR="003A4AAD" w:rsidRDefault="003A4AAD">
            <w:pPr>
              <w:jc w:val="center"/>
              <w:rPr>
                <w:sz w:val="23"/>
                <w:szCs w:val="23"/>
                <w:lang w:val="lv-LV"/>
              </w:rPr>
            </w:pPr>
          </w:p>
        </w:tc>
        <w:tc>
          <w:tcPr>
            <w:tcW w:w="782" w:type="pct"/>
            <w:tcBorders>
              <w:top w:val="outset" w:sz="6" w:space="0" w:color="000000"/>
              <w:left w:val="outset" w:sz="6" w:space="0" w:color="000000"/>
              <w:bottom w:val="outset" w:sz="6" w:space="0" w:color="000000"/>
              <w:right w:val="outset" w:sz="6" w:space="0" w:color="000000"/>
            </w:tcBorders>
          </w:tcPr>
          <w:p w:rsidR="003A4AAD" w:rsidRDefault="003A4AAD">
            <w:pPr>
              <w:jc w:val="center"/>
              <w:rPr>
                <w:sz w:val="23"/>
                <w:szCs w:val="23"/>
                <w:lang w:val="lv-LV"/>
              </w:rPr>
            </w:pPr>
          </w:p>
        </w:tc>
      </w:tr>
      <w:tr w:rsidR="003A4AAD" w:rsidTr="003A4AAD">
        <w:trPr>
          <w:trHeight w:val="310"/>
        </w:trPr>
        <w:tc>
          <w:tcPr>
            <w:tcW w:w="1304" w:type="pct"/>
            <w:vMerge w:val="restart"/>
            <w:tcBorders>
              <w:top w:val="outset" w:sz="6" w:space="0" w:color="000000"/>
              <w:left w:val="outset" w:sz="6" w:space="0" w:color="000000"/>
              <w:bottom w:val="outset" w:sz="6" w:space="0" w:color="000000"/>
              <w:right w:val="outset" w:sz="6" w:space="0" w:color="000000"/>
            </w:tcBorders>
            <w:hideMark/>
          </w:tcPr>
          <w:p w:rsidR="003A4AAD" w:rsidRDefault="003A4AAD">
            <w:pPr>
              <w:pStyle w:val="Paraststmeklis"/>
              <w:spacing w:before="0" w:beforeAutospacing="0" w:after="0" w:afterAutospacing="0"/>
              <w:jc w:val="both"/>
              <w:rPr>
                <w:sz w:val="23"/>
                <w:szCs w:val="23"/>
                <w:lang w:val="lv-LV"/>
              </w:rPr>
            </w:pPr>
            <w:r>
              <w:rPr>
                <w:sz w:val="23"/>
                <w:szCs w:val="23"/>
                <w:lang w:val="lv-LV"/>
              </w:rPr>
              <w:t>4. Finanšu līdzekļi papildu izde</w:t>
            </w:r>
            <w:r>
              <w:rPr>
                <w:sz w:val="23"/>
                <w:szCs w:val="23"/>
                <w:lang w:val="lv-LV"/>
              </w:rPr>
              <w:softHyphen/>
              <w:t>vumu finansēšanai (kompensējošu izdevumu samazinājumu norāda ar "+" zīmi)</w:t>
            </w:r>
          </w:p>
        </w:tc>
        <w:tc>
          <w:tcPr>
            <w:tcW w:w="695" w:type="pct"/>
            <w:vMerge w:val="restart"/>
            <w:tcBorders>
              <w:top w:val="outset" w:sz="6" w:space="0" w:color="000000"/>
              <w:left w:val="outset" w:sz="6" w:space="0" w:color="000000"/>
              <w:bottom w:val="outset" w:sz="6" w:space="0" w:color="000000"/>
              <w:right w:val="outset" w:sz="6" w:space="0" w:color="000000"/>
            </w:tcBorders>
            <w:vAlign w:val="center"/>
            <w:hideMark/>
          </w:tcPr>
          <w:p w:rsidR="003A4AAD" w:rsidRDefault="003A4AAD">
            <w:pPr>
              <w:pStyle w:val="Paraststmeklis"/>
              <w:spacing w:before="0" w:beforeAutospacing="0" w:after="0" w:afterAutospacing="0"/>
              <w:jc w:val="center"/>
              <w:rPr>
                <w:sz w:val="23"/>
                <w:szCs w:val="23"/>
                <w:lang w:val="lv-LV"/>
              </w:rPr>
            </w:pPr>
            <w:r>
              <w:rPr>
                <w:sz w:val="23"/>
                <w:szCs w:val="23"/>
                <w:lang w:val="lv-LV"/>
              </w:rPr>
              <w:t>X</w:t>
            </w:r>
          </w:p>
        </w:tc>
        <w:tc>
          <w:tcPr>
            <w:tcW w:w="734" w:type="pct"/>
            <w:tcBorders>
              <w:top w:val="outset" w:sz="6" w:space="0" w:color="000000"/>
              <w:left w:val="outset" w:sz="6" w:space="0" w:color="000000"/>
              <w:bottom w:val="outset" w:sz="6" w:space="0" w:color="000000"/>
              <w:right w:val="outset" w:sz="6" w:space="0" w:color="000000"/>
            </w:tcBorders>
            <w:vAlign w:val="center"/>
            <w:hideMark/>
          </w:tcPr>
          <w:p w:rsidR="003A4AAD" w:rsidRDefault="003A4AAD">
            <w:pPr>
              <w:jc w:val="center"/>
              <w:rPr>
                <w:sz w:val="23"/>
                <w:szCs w:val="23"/>
                <w:lang w:val="lv-LV"/>
              </w:rPr>
            </w:pPr>
            <w:r>
              <w:rPr>
                <w:sz w:val="23"/>
                <w:szCs w:val="23"/>
                <w:lang w:val="lv-LV"/>
              </w:rPr>
              <w:t>0,0</w:t>
            </w:r>
          </w:p>
        </w:tc>
        <w:tc>
          <w:tcPr>
            <w:tcW w:w="704" w:type="pct"/>
            <w:tcBorders>
              <w:top w:val="outset" w:sz="6" w:space="0" w:color="000000"/>
              <w:left w:val="outset" w:sz="6" w:space="0" w:color="000000"/>
              <w:bottom w:val="outset" w:sz="6" w:space="0" w:color="000000"/>
              <w:right w:val="outset" w:sz="6" w:space="0" w:color="000000"/>
            </w:tcBorders>
            <w:hideMark/>
          </w:tcPr>
          <w:p w:rsidR="003A4AAD" w:rsidRDefault="003A4AAD">
            <w:pPr>
              <w:jc w:val="center"/>
              <w:rPr>
                <w:sz w:val="23"/>
                <w:szCs w:val="23"/>
                <w:lang w:val="lv-LV"/>
              </w:rPr>
            </w:pPr>
            <w:r>
              <w:rPr>
                <w:sz w:val="23"/>
                <w:szCs w:val="23"/>
                <w:lang w:val="lv-LV"/>
              </w:rPr>
              <w:t>0,0</w:t>
            </w:r>
          </w:p>
        </w:tc>
        <w:tc>
          <w:tcPr>
            <w:tcW w:w="781" w:type="pct"/>
            <w:tcBorders>
              <w:top w:val="outset" w:sz="6" w:space="0" w:color="000000"/>
              <w:left w:val="outset" w:sz="6" w:space="0" w:color="000000"/>
              <w:bottom w:val="outset" w:sz="6" w:space="0" w:color="000000"/>
              <w:right w:val="outset" w:sz="6" w:space="0" w:color="000000"/>
            </w:tcBorders>
            <w:hideMark/>
          </w:tcPr>
          <w:p w:rsidR="003A4AAD" w:rsidRDefault="003A4AAD">
            <w:pPr>
              <w:jc w:val="center"/>
              <w:rPr>
                <w:sz w:val="23"/>
                <w:szCs w:val="23"/>
                <w:lang w:val="lv-LV"/>
              </w:rPr>
            </w:pPr>
            <w:r>
              <w:rPr>
                <w:sz w:val="23"/>
                <w:szCs w:val="23"/>
                <w:lang w:val="lv-LV"/>
              </w:rPr>
              <w:t>0,0</w:t>
            </w:r>
          </w:p>
        </w:tc>
        <w:tc>
          <w:tcPr>
            <w:tcW w:w="782" w:type="pct"/>
            <w:tcBorders>
              <w:top w:val="outset" w:sz="6" w:space="0" w:color="000000"/>
              <w:left w:val="outset" w:sz="6" w:space="0" w:color="000000"/>
              <w:bottom w:val="outset" w:sz="6" w:space="0" w:color="000000"/>
              <w:right w:val="outset" w:sz="6" w:space="0" w:color="000000"/>
            </w:tcBorders>
            <w:hideMark/>
          </w:tcPr>
          <w:p w:rsidR="003A4AAD" w:rsidRDefault="003A4AAD">
            <w:pPr>
              <w:jc w:val="center"/>
              <w:rPr>
                <w:sz w:val="23"/>
                <w:szCs w:val="23"/>
                <w:lang w:val="lv-LV"/>
              </w:rPr>
            </w:pPr>
            <w:r>
              <w:rPr>
                <w:sz w:val="23"/>
                <w:szCs w:val="23"/>
                <w:lang w:val="lv-LV"/>
              </w:rPr>
              <w:t>0,0</w:t>
            </w:r>
          </w:p>
        </w:tc>
      </w:tr>
      <w:tr w:rsidR="003A4AAD" w:rsidTr="003A4AAD">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3A4AAD" w:rsidRDefault="003A4AAD">
            <w:pPr>
              <w:rPr>
                <w:rFonts w:eastAsia="Arial Unicode MS"/>
                <w:sz w:val="23"/>
                <w:szCs w:val="23"/>
                <w:lang w:val="lv-LV"/>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3A4AAD" w:rsidRDefault="003A4AAD">
            <w:pPr>
              <w:rPr>
                <w:rFonts w:eastAsia="Arial Unicode MS"/>
                <w:sz w:val="23"/>
                <w:szCs w:val="23"/>
                <w:lang w:val="lv-LV"/>
              </w:rPr>
            </w:pPr>
          </w:p>
        </w:tc>
        <w:tc>
          <w:tcPr>
            <w:tcW w:w="734" w:type="pct"/>
            <w:tcBorders>
              <w:top w:val="outset" w:sz="6" w:space="0" w:color="000000"/>
              <w:left w:val="outset" w:sz="6" w:space="0" w:color="000000"/>
              <w:bottom w:val="outset" w:sz="6" w:space="0" w:color="000000"/>
              <w:right w:val="outset" w:sz="6" w:space="0" w:color="000000"/>
            </w:tcBorders>
          </w:tcPr>
          <w:p w:rsidR="003A4AAD" w:rsidRDefault="003A4AAD">
            <w:pPr>
              <w:rPr>
                <w:sz w:val="23"/>
                <w:szCs w:val="23"/>
                <w:lang w:val="lv-LV"/>
              </w:rPr>
            </w:pPr>
          </w:p>
        </w:tc>
        <w:tc>
          <w:tcPr>
            <w:tcW w:w="704" w:type="pct"/>
            <w:tcBorders>
              <w:top w:val="outset" w:sz="6" w:space="0" w:color="000000"/>
              <w:left w:val="outset" w:sz="6" w:space="0" w:color="000000"/>
              <w:bottom w:val="outset" w:sz="6" w:space="0" w:color="000000"/>
              <w:right w:val="outset" w:sz="6" w:space="0" w:color="000000"/>
            </w:tcBorders>
          </w:tcPr>
          <w:p w:rsidR="003A4AAD" w:rsidRDefault="003A4AAD">
            <w:pPr>
              <w:jc w:val="center"/>
              <w:rPr>
                <w:sz w:val="23"/>
                <w:szCs w:val="23"/>
                <w:lang w:val="lv-LV"/>
              </w:rPr>
            </w:pPr>
          </w:p>
        </w:tc>
        <w:tc>
          <w:tcPr>
            <w:tcW w:w="781" w:type="pct"/>
            <w:tcBorders>
              <w:top w:val="outset" w:sz="6" w:space="0" w:color="000000"/>
              <w:left w:val="outset" w:sz="6" w:space="0" w:color="000000"/>
              <w:bottom w:val="outset" w:sz="6" w:space="0" w:color="000000"/>
              <w:right w:val="outset" w:sz="6" w:space="0" w:color="000000"/>
            </w:tcBorders>
          </w:tcPr>
          <w:p w:rsidR="003A4AAD" w:rsidRDefault="003A4AAD">
            <w:pPr>
              <w:jc w:val="center"/>
              <w:rPr>
                <w:sz w:val="23"/>
                <w:szCs w:val="23"/>
                <w:lang w:val="lv-LV"/>
              </w:rPr>
            </w:pPr>
          </w:p>
        </w:tc>
        <w:tc>
          <w:tcPr>
            <w:tcW w:w="782" w:type="pct"/>
            <w:tcBorders>
              <w:top w:val="outset" w:sz="6" w:space="0" w:color="000000"/>
              <w:left w:val="outset" w:sz="6" w:space="0" w:color="000000"/>
              <w:bottom w:val="outset" w:sz="6" w:space="0" w:color="000000"/>
              <w:right w:val="outset" w:sz="6" w:space="0" w:color="000000"/>
            </w:tcBorders>
          </w:tcPr>
          <w:p w:rsidR="003A4AAD" w:rsidRDefault="003A4AAD">
            <w:pPr>
              <w:jc w:val="center"/>
              <w:rPr>
                <w:sz w:val="23"/>
                <w:szCs w:val="23"/>
                <w:lang w:val="lv-LV"/>
              </w:rPr>
            </w:pPr>
          </w:p>
        </w:tc>
      </w:tr>
      <w:tr w:rsidR="003A4AAD" w:rsidTr="003A4AAD">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3A4AAD" w:rsidRDefault="003A4AAD">
            <w:pPr>
              <w:rPr>
                <w:rFonts w:eastAsia="Arial Unicode MS"/>
                <w:sz w:val="23"/>
                <w:szCs w:val="23"/>
                <w:lang w:val="lv-LV"/>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3A4AAD" w:rsidRDefault="003A4AAD">
            <w:pPr>
              <w:rPr>
                <w:rFonts w:eastAsia="Arial Unicode MS"/>
                <w:sz w:val="23"/>
                <w:szCs w:val="23"/>
                <w:lang w:val="lv-LV"/>
              </w:rPr>
            </w:pPr>
          </w:p>
        </w:tc>
        <w:tc>
          <w:tcPr>
            <w:tcW w:w="734" w:type="pct"/>
            <w:tcBorders>
              <w:top w:val="outset" w:sz="6" w:space="0" w:color="000000"/>
              <w:left w:val="outset" w:sz="6" w:space="0" w:color="000000"/>
              <w:bottom w:val="outset" w:sz="6" w:space="0" w:color="000000"/>
              <w:right w:val="outset" w:sz="6" w:space="0" w:color="000000"/>
            </w:tcBorders>
          </w:tcPr>
          <w:p w:rsidR="003A4AAD" w:rsidRDefault="003A4AAD">
            <w:pPr>
              <w:jc w:val="center"/>
              <w:rPr>
                <w:sz w:val="23"/>
                <w:szCs w:val="23"/>
                <w:lang w:val="lv-LV"/>
              </w:rPr>
            </w:pPr>
          </w:p>
        </w:tc>
        <w:tc>
          <w:tcPr>
            <w:tcW w:w="704" w:type="pct"/>
            <w:tcBorders>
              <w:top w:val="outset" w:sz="6" w:space="0" w:color="000000"/>
              <w:left w:val="outset" w:sz="6" w:space="0" w:color="000000"/>
              <w:bottom w:val="outset" w:sz="6" w:space="0" w:color="000000"/>
              <w:right w:val="outset" w:sz="6" w:space="0" w:color="000000"/>
            </w:tcBorders>
          </w:tcPr>
          <w:p w:rsidR="003A4AAD" w:rsidRDefault="003A4AAD">
            <w:pPr>
              <w:jc w:val="center"/>
              <w:rPr>
                <w:sz w:val="23"/>
                <w:szCs w:val="23"/>
                <w:lang w:val="lv-LV"/>
              </w:rPr>
            </w:pPr>
          </w:p>
        </w:tc>
        <w:tc>
          <w:tcPr>
            <w:tcW w:w="781" w:type="pct"/>
            <w:tcBorders>
              <w:top w:val="outset" w:sz="6" w:space="0" w:color="000000"/>
              <w:left w:val="outset" w:sz="6" w:space="0" w:color="000000"/>
              <w:bottom w:val="outset" w:sz="6" w:space="0" w:color="000000"/>
              <w:right w:val="outset" w:sz="6" w:space="0" w:color="000000"/>
            </w:tcBorders>
          </w:tcPr>
          <w:p w:rsidR="003A4AAD" w:rsidRDefault="003A4AAD">
            <w:pPr>
              <w:jc w:val="center"/>
              <w:rPr>
                <w:sz w:val="23"/>
                <w:szCs w:val="23"/>
                <w:lang w:val="lv-LV"/>
              </w:rPr>
            </w:pPr>
          </w:p>
        </w:tc>
        <w:tc>
          <w:tcPr>
            <w:tcW w:w="782" w:type="pct"/>
            <w:tcBorders>
              <w:top w:val="outset" w:sz="6" w:space="0" w:color="000000"/>
              <w:left w:val="outset" w:sz="6" w:space="0" w:color="000000"/>
              <w:bottom w:val="outset" w:sz="6" w:space="0" w:color="000000"/>
              <w:right w:val="outset" w:sz="6" w:space="0" w:color="000000"/>
            </w:tcBorders>
          </w:tcPr>
          <w:p w:rsidR="003A4AAD" w:rsidRDefault="003A4AAD">
            <w:pPr>
              <w:jc w:val="center"/>
              <w:rPr>
                <w:sz w:val="23"/>
                <w:szCs w:val="23"/>
                <w:lang w:val="lv-LV"/>
              </w:rPr>
            </w:pPr>
          </w:p>
        </w:tc>
      </w:tr>
      <w:tr w:rsidR="003A4AAD" w:rsidTr="003A4AAD">
        <w:tc>
          <w:tcPr>
            <w:tcW w:w="1304" w:type="pct"/>
            <w:tcBorders>
              <w:top w:val="outset" w:sz="6" w:space="0" w:color="000000"/>
              <w:left w:val="outset" w:sz="6" w:space="0" w:color="000000"/>
              <w:bottom w:val="outset" w:sz="6" w:space="0" w:color="000000"/>
              <w:right w:val="outset" w:sz="6" w:space="0" w:color="000000"/>
            </w:tcBorders>
            <w:hideMark/>
          </w:tcPr>
          <w:p w:rsidR="003A4AAD" w:rsidRDefault="003A4AAD">
            <w:pPr>
              <w:pStyle w:val="Paraststmeklis"/>
              <w:spacing w:before="0" w:beforeAutospacing="0" w:after="0" w:afterAutospacing="0"/>
              <w:jc w:val="both"/>
              <w:rPr>
                <w:sz w:val="23"/>
                <w:szCs w:val="23"/>
                <w:lang w:val="lv-LV"/>
              </w:rPr>
            </w:pPr>
            <w:r>
              <w:rPr>
                <w:sz w:val="23"/>
                <w:szCs w:val="23"/>
                <w:lang w:val="lv-LV"/>
              </w:rPr>
              <w:t>5. Precizēta finansiālā ietekme:</w:t>
            </w:r>
          </w:p>
        </w:tc>
        <w:tc>
          <w:tcPr>
            <w:tcW w:w="695" w:type="pct"/>
            <w:vMerge w:val="restart"/>
            <w:tcBorders>
              <w:top w:val="outset" w:sz="6" w:space="0" w:color="000000"/>
              <w:left w:val="outset" w:sz="6" w:space="0" w:color="000000"/>
              <w:bottom w:val="outset" w:sz="6" w:space="0" w:color="000000"/>
              <w:right w:val="outset" w:sz="6" w:space="0" w:color="000000"/>
            </w:tcBorders>
            <w:hideMark/>
          </w:tcPr>
          <w:p w:rsidR="003A4AAD" w:rsidRDefault="003A4AAD">
            <w:pPr>
              <w:pStyle w:val="Paraststmeklis"/>
              <w:spacing w:before="0" w:beforeAutospacing="0" w:after="0" w:afterAutospacing="0"/>
              <w:jc w:val="center"/>
              <w:rPr>
                <w:sz w:val="23"/>
                <w:szCs w:val="23"/>
                <w:lang w:val="lv-LV"/>
              </w:rPr>
            </w:pPr>
            <w:r>
              <w:rPr>
                <w:sz w:val="23"/>
                <w:szCs w:val="23"/>
                <w:lang w:val="lv-LV"/>
              </w:rPr>
              <w:t>X</w:t>
            </w:r>
          </w:p>
        </w:tc>
        <w:tc>
          <w:tcPr>
            <w:tcW w:w="734" w:type="pct"/>
            <w:tcBorders>
              <w:top w:val="outset" w:sz="6" w:space="0" w:color="000000"/>
              <w:left w:val="outset" w:sz="6" w:space="0" w:color="000000"/>
              <w:bottom w:val="outset" w:sz="6" w:space="0" w:color="000000"/>
              <w:right w:val="outset" w:sz="6" w:space="0" w:color="000000"/>
            </w:tcBorders>
            <w:hideMark/>
          </w:tcPr>
          <w:p w:rsidR="003A4AAD" w:rsidRDefault="003A4AAD">
            <w:pPr>
              <w:jc w:val="center"/>
              <w:rPr>
                <w:sz w:val="23"/>
                <w:szCs w:val="23"/>
                <w:lang w:val="lv-LV"/>
              </w:rPr>
            </w:pPr>
            <w:r>
              <w:rPr>
                <w:sz w:val="23"/>
                <w:szCs w:val="23"/>
                <w:lang w:val="lv-LV"/>
              </w:rPr>
              <w:t>0,0</w:t>
            </w:r>
          </w:p>
        </w:tc>
        <w:tc>
          <w:tcPr>
            <w:tcW w:w="704" w:type="pct"/>
            <w:tcBorders>
              <w:top w:val="outset" w:sz="6" w:space="0" w:color="000000"/>
              <w:left w:val="outset" w:sz="6" w:space="0" w:color="000000"/>
              <w:bottom w:val="outset" w:sz="6" w:space="0" w:color="000000"/>
              <w:right w:val="outset" w:sz="6" w:space="0" w:color="000000"/>
            </w:tcBorders>
            <w:hideMark/>
          </w:tcPr>
          <w:p w:rsidR="003A4AAD" w:rsidRDefault="003A4AAD">
            <w:pPr>
              <w:jc w:val="center"/>
              <w:rPr>
                <w:sz w:val="23"/>
                <w:szCs w:val="23"/>
                <w:lang w:val="lv-LV"/>
              </w:rPr>
            </w:pPr>
            <w:r>
              <w:rPr>
                <w:sz w:val="23"/>
                <w:szCs w:val="23"/>
                <w:lang w:val="lv-LV"/>
              </w:rPr>
              <w:t>0,0</w:t>
            </w:r>
          </w:p>
        </w:tc>
        <w:tc>
          <w:tcPr>
            <w:tcW w:w="781" w:type="pct"/>
            <w:tcBorders>
              <w:top w:val="outset" w:sz="6" w:space="0" w:color="000000"/>
              <w:left w:val="outset" w:sz="6" w:space="0" w:color="000000"/>
              <w:bottom w:val="outset" w:sz="6" w:space="0" w:color="000000"/>
              <w:right w:val="outset" w:sz="6" w:space="0" w:color="000000"/>
            </w:tcBorders>
            <w:hideMark/>
          </w:tcPr>
          <w:p w:rsidR="003A4AAD" w:rsidRDefault="003A4AAD">
            <w:pPr>
              <w:jc w:val="center"/>
              <w:rPr>
                <w:sz w:val="23"/>
                <w:szCs w:val="23"/>
                <w:lang w:val="lv-LV"/>
              </w:rPr>
            </w:pPr>
            <w:r>
              <w:rPr>
                <w:sz w:val="23"/>
                <w:szCs w:val="23"/>
                <w:lang w:val="lv-LV"/>
              </w:rPr>
              <w:t>0,0</w:t>
            </w:r>
          </w:p>
        </w:tc>
        <w:tc>
          <w:tcPr>
            <w:tcW w:w="782" w:type="pct"/>
            <w:tcBorders>
              <w:top w:val="outset" w:sz="6" w:space="0" w:color="000000"/>
              <w:left w:val="outset" w:sz="6" w:space="0" w:color="000000"/>
              <w:bottom w:val="outset" w:sz="6" w:space="0" w:color="000000"/>
              <w:right w:val="outset" w:sz="6" w:space="0" w:color="000000"/>
            </w:tcBorders>
            <w:hideMark/>
          </w:tcPr>
          <w:p w:rsidR="003A4AAD" w:rsidRDefault="003A4AAD">
            <w:pPr>
              <w:jc w:val="center"/>
              <w:rPr>
                <w:sz w:val="23"/>
                <w:szCs w:val="23"/>
                <w:lang w:val="lv-LV"/>
              </w:rPr>
            </w:pPr>
            <w:r>
              <w:rPr>
                <w:sz w:val="23"/>
                <w:szCs w:val="23"/>
                <w:lang w:val="lv-LV"/>
              </w:rPr>
              <w:t>0,0</w:t>
            </w:r>
          </w:p>
        </w:tc>
      </w:tr>
      <w:tr w:rsidR="003A4AAD" w:rsidTr="003A4AAD">
        <w:tc>
          <w:tcPr>
            <w:tcW w:w="1304" w:type="pct"/>
            <w:tcBorders>
              <w:top w:val="outset" w:sz="6" w:space="0" w:color="000000"/>
              <w:left w:val="outset" w:sz="6" w:space="0" w:color="000000"/>
              <w:bottom w:val="outset" w:sz="6" w:space="0" w:color="000000"/>
              <w:right w:val="outset" w:sz="6" w:space="0" w:color="000000"/>
            </w:tcBorders>
            <w:hideMark/>
          </w:tcPr>
          <w:p w:rsidR="003A4AAD" w:rsidRDefault="003A4AAD">
            <w:pPr>
              <w:pStyle w:val="Paraststmeklis"/>
              <w:spacing w:before="0" w:beforeAutospacing="0" w:after="0" w:afterAutospacing="0"/>
              <w:jc w:val="both"/>
              <w:rPr>
                <w:sz w:val="23"/>
                <w:szCs w:val="23"/>
                <w:lang w:val="lv-LV"/>
              </w:rPr>
            </w:pPr>
            <w:r>
              <w:rPr>
                <w:sz w:val="23"/>
                <w:szCs w:val="23"/>
                <w:lang w:val="lv-LV"/>
              </w:rPr>
              <w:t>5.1. valsts pamatbudžets</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3A4AAD" w:rsidRDefault="003A4AAD">
            <w:pPr>
              <w:rPr>
                <w:rFonts w:eastAsia="Arial Unicode MS"/>
                <w:sz w:val="23"/>
                <w:szCs w:val="23"/>
                <w:lang w:val="lv-LV"/>
              </w:rPr>
            </w:pPr>
          </w:p>
        </w:tc>
        <w:tc>
          <w:tcPr>
            <w:tcW w:w="734" w:type="pct"/>
            <w:tcBorders>
              <w:top w:val="outset" w:sz="6" w:space="0" w:color="000000"/>
              <w:left w:val="outset" w:sz="6" w:space="0" w:color="000000"/>
              <w:bottom w:val="outset" w:sz="6" w:space="0" w:color="000000"/>
              <w:right w:val="outset" w:sz="6" w:space="0" w:color="000000"/>
            </w:tcBorders>
            <w:hideMark/>
          </w:tcPr>
          <w:p w:rsidR="003A4AAD" w:rsidRDefault="003A4AAD">
            <w:pPr>
              <w:jc w:val="center"/>
              <w:rPr>
                <w:sz w:val="23"/>
                <w:szCs w:val="23"/>
                <w:lang w:val="lv-LV"/>
              </w:rPr>
            </w:pPr>
            <w:r>
              <w:rPr>
                <w:sz w:val="23"/>
                <w:szCs w:val="23"/>
                <w:lang w:val="lv-LV"/>
              </w:rPr>
              <w:t>0,0</w:t>
            </w:r>
          </w:p>
        </w:tc>
        <w:tc>
          <w:tcPr>
            <w:tcW w:w="704" w:type="pct"/>
            <w:tcBorders>
              <w:top w:val="outset" w:sz="6" w:space="0" w:color="000000"/>
              <w:left w:val="outset" w:sz="6" w:space="0" w:color="000000"/>
              <w:bottom w:val="outset" w:sz="6" w:space="0" w:color="000000"/>
              <w:right w:val="outset" w:sz="6" w:space="0" w:color="000000"/>
            </w:tcBorders>
            <w:hideMark/>
          </w:tcPr>
          <w:p w:rsidR="003A4AAD" w:rsidRDefault="003A4AAD">
            <w:pPr>
              <w:jc w:val="center"/>
              <w:rPr>
                <w:sz w:val="23"/>
                <w:szCs w:val="23"/>
                <w:lang w:val="lv-LV"/>
              </w:rPr>
            </w:pPr>
            <w:r>
              <w:rPr>
                <w:sz w:val="23"/>
                <w:szCs w:val="23"/>
                <w:lang w:val="lv-LV"/>
              </w:rPr>
              <w:t>0,0</w:t>
            </w:r>
          </w:p>
        </w:tc>
        <w:tc>
          <w:tcPr>
            <w:tcW w:w="781" w:type="pct"/>
            <w:tcBorders>
              <w:top w:val="outset" w:sz="6" w:space="0" w:color="000000"/>
              <w:left w:val="outset" w:sz="6" w:space="0" w:color="000000"/>
              <w:bottom w:val="outset" w:sz="6" w:space="0" w:color="000000"/>
              <w:right w:val="outset" w:sz="6" w:space="0" w:color="000000"/>
            </w:tcBorders>
            <w:hideMark/>
          </w:tcPr>
          <w:p w:rsidR="003A4AAD" w:rsidRDefault="003A4AAD">
            <w:pPr>
              <w:jc w:val="center"/>
              <w:rPr>
                <w:sz w:val="23"/>
                <w:szCs w:val="23"/>
                <w:lang w:val="lv-LV"/>
              </w:rPr>
            </w:pPr>
            <w:r>
              <w:rPr>
                <w:sz w:val="23"/>
                <w:szCs w:val="23"/>
                <w:lang w:val="lv-LV"/>
              </w:rPr>
              <w:t>0,0</w:t>
            </w:r>
          </w:p>
        </w:tc>
        <w:tc>
          <w:tcPr>
            <w:tcW w:w="782" w:type="pct"/>
            <w:tcBorders>
              <w:top w:val="outset" w:sz="6" w:space="0" w:color="000000"/>
              <w:left w:val="outset" w:sz="6" w:space="0" w:color="000000"/>
              <w:bottom w:val="outset" w:sz="6" w:space="0" w:color="000000"/>
              <w:right w:val="outset" w:sz="6" w:space="0" w:color="000000"/>
            </w:tcBorders>
            <w:hideMark/>
          </w:tcPr>
          <w:p w:rsidR="003A4AAD" w:rsidRDefault="003A4AAD">
            <w:pPr>
              <w:jc w:val="center"/>
              <w:rPr>
                <w:sz w:val="23"/>
                <w:szCs w:val="23"/>
                <w:lang w:val="lv-LV"/>
              </w:rPr>
            </w:pPr>
            <w:r>
              <w:rPr>
                <w:sz w:val="23"/>
                <w:szCs w:val="23"/>
                <w:lang w:val="lv-LV"/>
              </w:rPr>
              <w:t>0,0</w:t>
            </w:r>
          </w:p>
        </w:tc>
      </w:tr>
      <w:tr w:rsidR="003A4AAD" w:rsidTr="003A4AAD">
        <w:tc>
          <w:tcPr>
            <w:tcW w:w="1304" w:type="pct"/>
            <w:tcBorders>
              <w:top w:val="outset" w:sz="6" w:space="0" w:color="000000"/>
              <w:left w:val="outset" w:sz="6" w:space="0" w:color="000000"/>
              <w:bottom w:val="outset" w:sz="6" w:space="0" w:color="000000"/>
              <w:right w:val="outset" w:sz="6" w:space="0" w:color="000000"/>
            </w:tcBorders>
            <w:hideMark/>
          </w:tcPr>
          <w:p w:rsidR="003A4AAD" w:rsidRDefault="003A4AAD">
            <w:pPr>
              <w:pStyle w:val="Paraststmeklis"/>
              <w:spacing w:before="0" w:beforeAutospacing="0" w:after="0" w:afterAutospacing="0"/>
              <w:jc w:val="both"/>
              <w:rPr>
                <w:sz w:val="23"/>
                <w:szCs w:val="23"/>
                <w:lang w:val="lv-LV"/>
              </w:rPr>
            </w:pPr>
            <w:r>
              <w:rPr>
                <w:sz w:val="23"/>
                <w:szCs w:val="23"/>
                <w:lang w:val="lv-LV"/>
              </w:rPr>
              <w:t>5.2. speciālais budžets</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3A4AAD" w:rsidRDefault="003A4AAD">
            <w:pPr>
              <w:rPr>
                <w:rFonts w:eastAsia="Arial Unicode MS"/>
                <w:sz w:val="23"/>
                <w:szCs w:val="23"/>
                <w:lang w:val="lv-LV"/>
              </w:rPr>
            </w:pPr>
          </w:p>
        </w:tc>
        <w:tc>
          <w:tcPr>
            <w:tcW w:w="734" w:type="pct"/>
            <w:tcBorders>
              <w:top w:val="outset" w:sz="6" w:space="0" w:color="000000"/>
              <w:left w:val="outset" w:sz="6" w:space="0" w:color="000000"/>
              <w:bottom w:val="outset" w:sz="6" w:space="0" w:color="000000"/>
              <w:right w:val="outset" w:sz="6" w:space="0" w:color="000000"/>
            </w:tcBorders>
          </w:tcPr>
          <w:p w:rsidR="003A4AAD" w:rsidRDefault="003A4AAD">
            <w:pPr>
              <w:jc w:val="center"/>
              <w:rPr>
                <w:sz w:val="23"/>
                <w:szCs w:val="23"/>
                <w:lang w:val="lv-LV"/>
              </w:rPr>
            </w:pPr>
          </w:p>
        </w:tc>
        <w:tc>
          <w:tcPr>
            <w:tcW w:w="704" w:type="pct"/>
            <w:tcBorders>
              <w:top w:val="outset" w:sz="6" w:space="0" w:color="000000"/>
              <w:left w:val="outset" w:sz="6" w:space="0" w:color="000000"/>
              <w:bottom w:val="outset" w:sz="6" w:space="0" w:color="000000"/>
              <w:right w:val="outset" w:sz="6" w:space="0" w:color="000000"/>
            </w:tcBorders>
          </w:tcPr>
          <w:p w:rsidR="003A4AAD" w:rsidRDefault="003A4AAD">
            <w:pPr>
              <w:jc w:val="center"/>
              <w:rPr>
                <w:sz w:val="23"/>
                <w:szCs w:val="23"/>
                <w:lang w:val="lv-LV"/>
              </w:rPr>
            </w:pPr>
          </w:p>
        </w:tc>
        <w:tc>
          <w:tcPr>
            <w:tcW w:w="781" w:type="pct"/>
            <w:tcBorders>
              <w:top w:val="outset" w:sz="6" w:space="0" w:color="000000"/>
              <w:left w:val="outset" w:sz="6" w:space="0" w:color="000000"/>
              <w:bottom w:val="outset" w:sz="6" w:space="0" w:color="000000"/>
              <w:right w:val="outset" w:sz="6" w:space="0" w:color="000000"/>
            </w:tcBorders>
          </w:tcPr>
          <w:p w:rsidR="003A4AAD" w:rsidRDefault="003A4AAD">
            <w:pPr>
              <w:jc w:val="center"/>
              <w:rPr>
                <w:sz w:val="23"/>
                <w:szCs w:val="23"/>
                <w:lang w:val="lv-LV"/>
              </w:rPr>
            </w:pPr>
          </w:p>
        </w:tc>
        <w:tc>
          <w:tcPr>
            <w:tcW w:w="782" w:type="pct"/>
            <w:tcBorders>
              <w:top w:val="outset" w:sz="6" w:space="0" w:color="000000"/>
              <w:left w:val="outset" w:sz="6" w:space="0" w:color="000000"/>
              <w:bottom w:val="outset" w:sz="6" w:space="0" w:color="000000"/>
              <w:right w:val="outset" w:sz="6" w:space="0" w:color="000000"/>
            </w:tcBorders>
          </w:tcPr>
          <w:p w:rsidR="003A4AAD" w:rsidRDefault="003A4AAD">
            <w:pPr>
              <w:jc w:val="center"/>
              <w:rPr>
                <w:sz w:val="23"/>
                <w:szCs w:val="23"/>
                <w:lang w:val="lv-LV"/>
              </w:rPr>
            </w:pPr>
          </w:p>
        </w:tc>
      </w:tr>
      <w:tr w:rsidR="003A4AAD" w:rsidTr="003A4AAD">
        <w:tc>
          <w:tcPr>
            <w:tcW w:w="1304" w:type="pct"/>
            <w:tcBorders>
              <w:top w:val="outset" w:sz="6" w:space="0" w:color="000000"/>
              <w:left w:val="outset" w:sz="6" w:space="0" w:color="000000"/>
              <w:bottom w:val="outset" w:sz="6" w:space="0" w:color="000000"/>
              <w:right w:val="outset" w:sz="6" w:space="0" w:color="000000"/>
            </w:tcBorders>
            <w:hideMark/>
          </w:tcPr>
          <w:p w:rsidR="003A4AAD" w:rsidRDefault="003A4AAD">
            <w:pPr>
              <w:pStyle w:val="Paraststmeklis"/>
              <w:spacing w:before="0" w:beforeAutospacing="0" w:after="0" w:afterAutospacing="0"/>
              <w:jc w:val="both"/>
              <w:rPr>
                <w:sz w:val="23"/>
                <w:szCs w:val="23"/>
                <w:lang w:val="lv-LV"/>
              </w:rPr>
            </w:pPr>
            <w:r>
              <w:rPr>
                <w:sz w:val="23"/>
                <w:szCs w:val="23"/>
                <w:lang w:val="lv-LV"/>
              </w:rPr>
              <w:t>5.3. pašvaldību budžets</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3A4AAD" w:rsidRDefault="003A4AAD">
            <w:pPr>
              <w:rPr>
                <w:rFonts w:eastAsia="Arial Unicode MS"/>
                <w:sz w:val="23"/>
                <w:szCs w:val="23"/>
                <w:lang w:val="lv-LV"/>
              </w:rPr>
            </w:pPr>
          </w:p>
        </w:tc>
        <w:tc>
          <w:tcPr>
            <w:tcW w:w="734" w:type="pct"/>
            <w:tcBorders>
              <w:top w:val="outset" w:sz="6" w:space="0" w:color="000000"/>
              <w:left w:val="outset" w:sz="6" w:space="0" w:color="000000"/>
              <w:bottom w:val="outset" w:sz="6" w:space="0" w:color="000000"/>
              <w:right w:val="outset" w:sz="6" w:space="0" w:color="000000"/>
            </w:tcBorders>
          </w:tcPr>
          <w:p w:rsidR="003A4AAD" w:rsidRDefault="003A4AAD">
            <w:pPr>
              <w:jc w:val="center"/>
              <w:rPr>
                <w:sz w:val="23"/>
                <w:szCs w:val="23"/>
                <w:lang w:val="lv-LV"/>
              </w:rPr>
            </w:pPr>
          </w:p>
        </w:tc>
        <w:tc>
          <w:tcPr>
            <w:tcW w:w="704" w:type="pct"/>
            <w:tcBorders>
              <w:top w:val="outset" w:sz="6" w:space="0" w:color="000000"/>
              <w:left w:val="outset" w:sz="6" w:space="0" w:color="000000"/>
              <w:bottom w:val="outset" w:sz="6" w:space="0" w:color="000000"/>
              <w:right w:val="outset" w:sz="6" w:space="0" w:color="000000"/>
            </w:tcBorders>
          </w:tcPr>
          <w:p w:rsidR="003A4AAD" w:rsidRDefault="003A4AAD">
            <w:pPr>
              <w:jc w:val="center"/>
              <w:rPr>
                <w:sz w:val="23"/>
                <w:szCs w:val="23"/>
                <w:lang w:val="lv-LV"/>
              </w:rPr>
            </w:pPr>
          </w:p>
        </w:tc>
        <w:tc>
          <w:tcPr>
            <w:tcW w:w="781" w:type="pct"/>
            <w:tcBorders>
              <w:top w:val="outset" w:sz="6" w:space="0" w:color="000000"/>
              <w:left w:val="outset" w:sz="6" w:space="0" w:color="000000"/>
              <w:bottom w:val="outset" w:sz="6" w:space="0" w:color="000000"/>
              <w:right w:val="outset" w:sz="6" w:space="0" w:color="000000"/>
            </w:tcBorders>
          </w:tcPr>
          <w:p w:rsidR="003A4AAD" w:rsidRDefault="003A4AAD">
            <w:pPr>
              <w:jc w:val="center"/>
              <w:rPr>
                <w:sz w:val="23"/>
                <w:szCs w:val="23"/>
                <w:lang w:val="lv-LV"/>
              </w:rPr>
            </w:pPr>
          </w:p>
        </w:tc>
        <w:tc>
          <w:tcPr>
            <w:tcW w:w="782" w:type="pct"/>
            <w:tcBorders>
              <w:top w:val="outset" w:sz="6" w:space="0" w:color="000000"/>
              <w:left w:val="outset" w:sz="6" w:space="0" w:color="000000"/>
              <w:bottom w:val="outset" w:sz="6" w:space="0" w:color="000000"/>
              <w:right w:val="outset" w:sz="6" w:space="0" w:color="000000"/>
            </w:tcBorders>
          </w:tcPr>
          <w:p w:rsidR="003A4AAD" w:rsidRDefault="003A4AAD">
            <w:pPr>
              <w:jc w:val="center"/>
              <w:rPr>
                <w:sz w:val="23"/>
                <w:szCs w:val="23"/>
                <w:lang w:val="lv-LV"/>
              </w:rPr>
            </w:pPr>
          </w:p>
        </w:tc>
      </w:tr>
      <w:tr w:rsidR="003A4AAD" w:rsidRPr="005358F3" w:rsidTr="003A4AAD">
        <w:tc>
          <w:tcPr>
            <w:tcW w:w="1304" w:type="pct"/>
            <w:tcBorders>
              <w:top w:val="outset" w:sz="6" w:space="0" w:color="000000"/>
              <w:left w:val="outset" w:sz="6" w:space="0" w:color="000000"/>
              <w:bottom w:val="outset" w:sz="6" w:space="0" w:color="000000"/>
              <w:right w:val="outset" w:sz="6" w:space="0" w:color="000000"/>
            </w:tcBorders>
            <w:hideMark/>
          </w:tcPr>
          <w:p w:rsidR="003A4AAD" w:rsidRDefault="003A4AAD" w:rsidP="00F07E7C">
            <w:pPr>
              <w:pStyle w:val="Paraststmeklis"/>
              <w:spacing w:before="0" w:beforeAutospacing="0" w:after="0" w:afterAutospacing="0"/>
              <w:jc w:val="both"/>
              <w:rPr>
                <w:sz w:val="23"/>
                <w:szCs w:val="23"/>
                <w:lang w:val="lv-LV"/>
              </w:rPr>
            </w:pPr>
            <w:r w:rsidRPr="006C0014">
              <w:rPr>
                <w:sz w:val="23"/>
                <w:szCs w:val="23"/>
                <w:lang w:val="lv-LV"/>
              </w:rPr>
              <w:t xml:space="preserve">6. </w:t>
            </w:r>
            <w:r w:rsidR="00F07E7C" w:rsidRPr="00692F5C">
              <w:rPr>
                <w:sz w:val="23"/>
                <w:szCs w:val="23"/>
                <w:lang w:val="lv-LV"/>
              </w:rPr>
              <w:t>Detalizēts ieņēmumu un izdevu</w:t>
            </w:r>
            <w:r w:rsidR="00F07E7C" w:rsidRPr="00692F5C">
              <w:rPr>
                <w:sz w:val="23"/>
                <w:szCs w:val="23"/>
                <w:lang w:val="lv-LV"/>
              </w:rPr>
              <w:softHyphen/>
              <w:t>mu aprēķins (ja nepieciešams, detalizētu ieņēmumu un izdevumu aprēķinu var pievienot anotācijas pielikumā):</w:t>
            </w:r>
          </w:p>
        </w:tc>
        <w:tc>
          <w:tcPr>
            <w:tcW w:w="3696" w:type="pct"/>
            <w:gridSpan w:val="5"/>
            <w:tcBorders>
              <w:top w:val="outset" w:sz="6" w:space="0" w:color="000000"/>
              <w:left w:val="outset" w:sz="6" w:space="0" w:color="000000"/>
              <w:bottom w:val="outset" w:sz="6" w:space="0" w:color="000000"/>
              <w:right w:val="outset" w:sz="6" w:space="0" w:color="000000"/>
            </w:tcBorders>
          </w:tcPr>
          <w:p w:rsidR="003A4AAD" w:rsidRDefault="00F07E7C">
            <w:pPr>
              <w:pStyle w:val="Paraststmeklis"/>
              <w:tabs>
                <w:tab w:val="left" w:pos="720"/>
              </w:tabs>
              <w:spacing w:before="0" w:beforeAutospacing="0" w:after="0" w:afterAutospacing="0"/>
              <w:jc w:val="both"/>
              <w:rPr>
                <w:sz w:val="23"/>
                <w:szCs w:val="23"/>
                <w:lang w:val="lv-LV"/>
              </w:rPr>
            </w:pPr>
            <w:r w:rsidRPr="006C0014">
              <w:rPr>
                <w:sz w:val="23"/>
                <w:szCs w:val="23"/>
                <w:lang w:val="lv-LV"/>
              </w:rPr>
              <w:t>Detalizēts ieņēmumu un izdevu</w:t>
            </w:r>
            <w:r w:rsidRPr="006C0014">
              <w:rPr>
                <w:sz w:val="23"/>
                <w:szCs w:val="23"/>
                <w:lang w:val="lv-LV"/>
              </w:rPr>
              <w:softHyphen/>
              <w:t>mu aprēķins pievienots anotācijas pielikumā</w:t>
            </w:r>
            <w:r>
              <w:rPr>
                <w:sz w:val="23"/>
                <w:szCs w:val="23"/>
                <w:lang w:val="lv-LV"/>
              </w:rPr>
              <w:t>.</w:t>
            </w:r>
          </w:p>
        </w:tc>
      </w:tr>
      <w:tr w:rsidR="003A4AAD" w:rsidTr="003A4AAD">
        <w:tc>
          <w:tcPr>
            <w:tcW w:w="1304" w:type="pct"/>
            <w:tcBorders>
              <w:top w:val="outset" w:sz="6" w:space="0" w:color="000000"/>
              <w:left w:val="outset" w:sz="6" w:space="0" w:color="000000"/>
              <w:bottom w:val="outset" w:sz="6" w:space="0" w:color="000000"/>
              <w:right w:val="outset" w:sz="6" w:space="0" w:color="000000"/>
            </w:tcBorders>
            <w:hideMark/>
          </w:tcPr>
          <w:p w:rsidR="003A4AAD" w:rsidRDefault="003A4AAD">
            <w:pPr>
              <w:pStyle w:val="Paraststmeklis"/>
              <w:spacing w:before="0" w:beforeAutospacing="0" w:after="0" w:afterAutospacing="0"/>
              <w:rPr>
                <w:b/>
                <w:sz w:val="23"/>
                <w:szCs w:val="23"/>
                <w:highlight w:val="yellow"/>
                <w:lang w:val="lv-LV"/>
              </w:rPr>
            </w:pPr>
            <w:r>
              <w:rPr>
                <w:b/>
                <w:sz w:val="23"/>
                <w:szCs w:val="23"/>
                <w:lang w:val="lv-LV"/>
              </w:rPr>
              <w:lastRenderedPageBreak/>
              <w:t>6.1. detalizēts ieņēmumu aprēķins:</w:t>
            </w:r>
          </w:p>
        </w:tc>
        <w:tc>
          <w:tcPr>
            <w:tcW w:w="695" w:type="pct"/>
            <w:tcBorders>
              <w:top w:val="outset" w:sz="6" w:space="0" w:color="000000"/>
              <w:left w:val="outset" w:sz="6" w:space="0" w:color="000000"/>
              <w:bottom w:val="outset" w:sz="6" w:space="0" w:color="000000"/>
              <w:right w:val="outset" w:sz="6" w:space="0" w:color="000000"/>
            </w:tcBorders>
            <w:vAlign w:val="center"/>
            <w:hideMark/>
          </w:tcPr>
          <w:p w:rsidR="003A4AAD" w:rsidRDefault="003A4AAD">
            <w:pPr>
              <w:jc w:val="center"/>
              <w:rPr>
                <w:b/>
                <w:sz w:val="23"/>
                <w:szCs w:val="23"/>
                <w:lang w:val="lv-LV"/>
              </w:rPr>
            </w:pPr>
            <w:r>
              <w:rPr>
                <w:b/>
                <w:sz w:val="23"/>
                <w:szCs w:val="23"/>
                <w:lang w:val="lv-LV"/>
              </w:rPr>
              <w:t>808 516,7</w:t>
            </w:r>
          </w:p>
        </w:tc>
        <w:tc>
          <w:tcPr>
            <w:tcW w:w="734" w:type="pct"/>
            <w:tcBorders>
              <w:top w:val="outset" w:sz="6" w:space="0" w:color="000000"/>
              <w:left w:val="outset" w:sz="6" w:space="0" w:color="000000"/>
              <w:bottom w:val="outset" w:sz="6" w:space="0" w:color="000000"/>
              <w:right w:val="outset" w:sz="6" w:space="0" w:color="000000"/>
            </w:tcBorders>
            <w:vAlign w:val="center"/>
            <w:hideMark/>
          </w:tcPr>
          <w:p w:rsidR="003A4AAD" w:rsidRDefault="003A4AAD">
            <w:pPr>
              <w:jc w:val="center"/>
              <w:rPr>
                <w:b/>
                <w:sz w:val="23"/>
                <w:szCs w:val="23"/>
                <w:lang w:val="lv-LV"/>
              </w:rPr>
            </w:pPr>
            <w:r>
              <w:rPr>
                <w:b/>
                <w:sz w:val="23"/>
                <w:szCs w:val="23"/>
                <w:lang w:val="lv-LV"/>
              </w:rPr>
              <w:t>65 343,0</w:t>
            </w:r>
          </w:p>
        </w:tc>
        <w:tc>
          <w:tcPr>
            <w:tcW w:w="704" w:type="pct"/>
            <w:tcBorders>
              <w:top w:val="outset" w:sz="6" w:space="0" w:color="000000"/>
              <w:left w:val="outset" w:sz="6" w:space="0" w:color="000000"/>
              <w:bottom w:val="outset" w:sz="6" w:space="0" w:color="000000"/>
              <w:right w:val="outset" w:sz="6" w:space="0" w:color="000000"/>
            </w:tcBorders>
            <w:vAlign w:val="center"/>
            <w:hideMark/>
          </w:tcPr>
          <w:p w:rsidR="003A4AAD" w:rsidRDefault="003A4AAD">
            <w:pPr>
              <w:jc w:val="center"/>
              <w:rPr>
                <w:b/>
                <w:sz w:val="23"/>
                <w:szCs w:val="23"/>
                <w:lang w:val="lv-LV"/>
              </w:rPr>
            </w:pPr>
            <w:r>
              <w:rPr>
                <w:b/>
                <w:sz w:val="23"/>
                <w:szCs w:val="23"/>
                <w:lang w:val="lv-LV"/>
              </w:rPr>
              <w:t>157 650,9</w:t>
            </w:r>
          </w:p>
        </w:tc>
        <w:tc>
          <w:tcPr>
            <w:tcW w:w="781" w:type="pct"/>
            <w:tcBorders>
              <w:top w:val="outset" w:sz="6" w:space="0" w:color="000000"/>
              <w:left w:val="outset" w:sz="6" w:space="0" w:color="000000"/>
              <w:bottom w:val="outset" w:sz="6" w:space="0" w:color="000000"/>
              <w:right w:val="outset" w:sz="6" w:space="0" w:color="000000"/>
            </w:tcBorders>
            <w:vAlign w:val="center"/>
            <w:hideMark/>
          </w:tcPr>
          <w:p w:rsidR="003A4AAD" w:rsidRDefault="003A4AAD">
            <w:pPr>
              <w:jc w:val="center"/>
              <w:rPr>
                <w:b/>
                <w:sz w:val="23"/>
                <w:szCs w:val="23"/>
                <w:lang w:val="lv-LV"/>
              </w:rPr>
            </w:pPr>
            <w:r>
              <w:rPr>
                <w:b/>
                <w:sz w:val="23"/>
                <w:szCs w:val="23"/>
                <w:lang w:val="lv-LV"/>
              </w:rPr>
              <w:t>157 650,9</w:t>
            </w:r>
          </w:p>
        </w:tc>
        <w:tc>
          <w:tcPr>
            <w:tcW w:w="782" w:type="pct"/>
            <w:tcBorders>
              <w:top w:val="outset" w:sz="6" w:space="0" w:color="000000"/>
              <w:left w:val="outset" w:sz="6" w:space="0" w:color="000000"/>
              <w:bottom w:val="outset" w:sz="6" w:space="0" w:color="000000"/>
              <w:right w:val="outset" w:sz="6" w:space="0" w:color="000000"/>
            </w:tcBorders>
            <w:vAlign w:val="center"/>
            <w:hideMark/>
          </w:tcPr>
          <w:p w:rsidR="003A4AAD" w:rsidRDefault="003A4AAD">
            <w:pPr>
              <w:jc w:val="center"/>
              <w:rPr>
                <w:b/>
                <w:sz w:val="23"/>
                <w:szCs w:val="23"/>
                <w:lang w:val="lv-LV"/>
              </w:rPr>
            </w:pPr>
            <w:r>
              <w:rPr>
                <w:b/>
                <w:sz w:val="23"/>
                <w:szCs w:val="23"/>
                <w:lang w:val="lv-LV"/>
              </w:rPr>
              <w:t>157 650,9</w:t>
            </w:r>
          </w:p>
        </w:tc>
      </w:tr>
      <w:tr w:rsidR="003A4AAD" w:rsidTr="003A4AAD">
        <w:tc>
          <w:tcPr>
            <w:tcW w:w="1304" w:type="pct"/>
            <w:tcBorders>
              <w:top w:val="outset" w:sz="6" w:space="0" w:color="000000"/>
              <w:left w:val="outset" w:sz="6" w:space="0" w:color="000000"/>
              <w:bottom w:val="outset" w:sz="6" w:space="0" w:color="000000"/>
              <w:right w:val="outset" w:sz="6" w:space="0" w:color="000000"/>
            </w:tcBorders>
            <w:hideMark/>
          </w:tcPr>
          <w:p w:rsidR="003A4AAD" w:rsidRDefault="003A4AAD">
            <w:pPr>
              <w:pStyle w:val="Paraststmeklis"/>
              <w:spacing w:before="0" w:beforeAutospacing="0" w:after="0" w:afterAutospacing="0"/>
              <w:jc w:val="both"/>
              <w:rPr>
                <w:sz w:val="23"/>
                <w:szCs w:val="23"/>
                <w:lang w:val="lv-LV"/>
              </w:rPr>
            </w:pPr>
            <w:r>
              <w:rPr>
                <w:sz w:val="23"/>
                <w:szCs w:val="23"/>
                <w:lang w:val="lv-LV"/>
              </w:rPr>
              <w:t>6.1.1. Ieņēmumi no samaksas par normatīvajos aktos noteiktajām PVD valsts uzraudzības un kontroles darbībām atbilstoši noteikumu projektam (noteikumu Nr.1083 1.pielikums)</w:t>
            </w:r>
          </w:p>
        </w:tc>
        <w:tc>
          <w:tcPr>
            <w:tcW w:w="695" w:type="pct"/>
            <w:tcBorders>
              <w:top w:val="outset" w:sz="6" w:space="0" w:color="000000"/>
              <w:left w:val="outset" w:sz="6" w:space="0" w:color="000000"/>
              <w:bottom w:val="outset" w:sz="6" w:space="0" w:color="000000"/>
              <w:right w:val="outset" w:sz="6" w:space="0" w:color="000000"/>
            </w:tcBorders>
            <w:vAlign w:val="center"/>
            <w:hideMark/>
          </w:tcPr>
          <w:p w:rsidR="003A4AAD" w:rsidRDefault="003A4AAD">
            <w:pPr>
              <w:jc w:val="center"/>
              <w:rPr>
                <w:sz w:val="23"/>
                <w:szCs w:val="23"/>
                <w:lang w:val="lv-LV"/>
              </w:rPr>
            </w:pPr>
            <w:r>
              <w:rPr>
                <w:sz w:val="23"/>
                <w:szCs w:val="23"/>
                <w:lang w:val="lv-LV"/>
              </w:rPr>
              <w:t>146 595,9</w:t>
            </w:r>
          </w:p>
        </w:tc>
        <w:tc>
          <w:tcPr>
            <w:tcW w:w="734" w:type="pct"/>
            <w:tcBorders>
              <w:top w:val="outset" w:sz="6" w:space="0" w:color="000000"/>
              <w:left w:val="outset" w:sz="6" w:space="0" w:color="000000"/>
              <w:bottom w:val="outset" w:sz="6" w:space="0" w:color="000000"/>
              <w:right w:val="outset" w:sz="6" w:space="0" w:color="000000"/>
            </w:tcBorders>
            <w:vAlign w:val="center"/>
            <w:hideMark/>
          </w:tcPr>
          <w:p w:rsidR="003A4AAD" w:rsidRDefault="003A4AAD">
            <w:pPr>
              <w:jc w:val="center"/>
              <w:rPr>
                <w:sz w:val="23"/>
                <w:szCs w:val="23"/>
                <w:lang w:val="lv-LV"/>
              </w:rPr>
            </w:pPr>
            <w:r>
              <w:rPr>
                <w:sz w:val="23"/>
                <w:szCs w:val="23"/>
                <w:lang w:val="lv-LV"/>
              </w:rPr>
              <w:t>6 372,1</w:t>
            </w:r>
          </w:p>
        </w:tc>
        <w:tc>
          <w:tcPr>
            <w:tcW w:w="704" w:type="pct"/>
            <w:tcBorders>
              <w:top w:val="outset" w:sz="6" w:space="0" w:color="000000"/>
              <w:left w:val="outset" w:sz="6" w:space="0" w:color="000000"/>
              <w:bottom w:val="outset" w:sz="6" w:space="0" w:color="000000"/>
              <w:right w:val="outset" w:sz="6" w:space="0" w:color="000000"/>
            </w:tcBorders>
            <w:vAlign w:val="center"/>
            <w:hideMark/>
          </w:tcPr>
          <w:p w:rsidR="003A4AAD" w:rsidRDefault="003A4AAD">
            <w:pPr>
              <w:jc w:val="center"/>
              <w:rPr>
                <w:sz w:val="23"/>
                <w:szCs w:val="23"/>
                <w:lang w:val="lv-LV"/>
              </w:rPr>
            </w:pPr>
            <w:r>
              <w:rPr>
                <w:sz w:val="23"/>
                <w:szCs w:val="23"/>
                <w:lang w:val="lv-LV"/>
              </w:rPr>
              <w:t>15 414,3</w:t>
            </w:r>
          </w:p>
        </w:tc>
        <w:tc>
          <w:tcPr>
            <w:tcW w:w="781" w:type="pct"/>
            <w:tcBorders>
              <w:top w:val="outset" w:sz="6" w:space="0" w:color="000000"/>
              <w:left w:val="outset" w:sz="6" w:space="0" w:color="000000"/>
              <w:bottom w:val="outset" w:sz="6" w:space="0" w:color="000000"/>
              <w:right w:val="outset" w:sz="6" w:space="0" w:color="000000"/>
            </w:tcBorders>
            <w:vAlign w:val="center"/>
            <w:hideMark/>
          </w:tcPr>
          <w:p w:rsidR="003A4AAD" w:rsidRDefault="003A4AAD">
            <w:pPr>
              <w:jc w:val="center"/>
              <w:rPr>
                <w:sz w:val="23"/>
                <w:szCs w:val="23"/>
                <w:lang w:val="lv-LV"/>
              </w:rPr>
            </w:pPr>
            <w:r>
              <w:rPr>
                <w:sz w:val="23"/>
                <w:szCs w:val="23"/>
                <w:lang w:val="lv-LV"/>
              </w:rPr>
              <w:t>15 414,3</w:t>
            </w:r>
          </w:p>
        </w:tc>
        <w:tc>
          <w:tcPr>
            <w:tcW w:w="782" w:type="pct"/>
            <w:tcBorders>
              <w:top w:val="outset" w:sz="6" w:space="0" w:color="000000"/>
              <w:left w:val="outset" w:sz="6" w:space="0" w:color="000000"/>
              <w:bottom w:val="outset" w:sz="6" w:space="0" w:color="000000"/>
              <w:right w:val="outset" w:sz="6" w:space="0" w:color="000000"/>
            </w:tcBorders>
            <w:vAlign w:val="center"/>
            <w:hideMark/>
          </w:tcPr>
          <w:p w:rsidR="003A4AAD" w:rsidRDefault="003A4AAD">
            <w:pPr>
              <w:jc w:val="center"/>
              <w:rPr>
                <w:sz w:val="23"/>
                <w:szCs w:val="23"/>
                <w:lang w:val="lv-LV"/>
              </w:rPr>
            </w:pPr>
            <w:r>
              <w:rPr>
                <w:sz w:val="23"/>
                <w:szCs w:val="23"/>
                <w:lang w:val="lv-LV"/>
              </w:rPr>
              <w:t>15 414,3</w:t>
            </w:r>
          </w:p>
        </w:tc>
      </w:tr>
      <w:tr w:rsidR="003A4AAD" w:rsidTr="003A4AAD">
        <w:tc>
          <w:tcPr>
            <w:tcW w:w="1304" w:type="pct"/>
            <w:tcBorders>
              <w:top w:val="outset" w:sz="6" w:space="0" w:color="000000"/>
              <w:left w:val="outset" w:sz="6" w:space="0" w:color="000000"/>
              <w:bottom w:val="outset" w:sz="6" w:space="0" w:color="000000"/>
              <w:right w:val="outset" w:sz="6" w:space="0" w:color="000000"/>
            </w:tcBorders>
            <w:hideMark/>
          </w:tcPr>
          <w:p w:rsidR="003A4AAD" w:rsidRDefault="003A4AAD">
            <w:pPr>
              <w:pStyle w:val="Paraststmeklis"/>
              <w:spacing w:before="0" w:beforeAutospacing="0" w:after="0" w:afterAutospacing="0"/>
              <w:jc w:val="both"/>
              <w:rPr>
                <w:sz w:val="23"/>
                <w:szCs w:val="23"/>
                <w:lang w:val="lv-LV"/>
              </w:rPr>
            </w:pPr>
            <w:r>
              <w:rPr>
                <w:sz w:val="23"/>
                <w:szCs w:val="23"/>
                <w:lang w:val="lv-LV"/>
              </w:rPr>
              <w:t>6.1.2. Ieņēmumi no PVD maksas pakalpojumiem, kas tiek aplikti ar pievienotās vērtības nodokli (noteikumu Nr.1083 2.pielikums)</w:t>
            </w:r>
          </w:p>
        </w:tc>
        <w:tc>
          <w:tcPr>
            <w:tcW w:w="695" w:type="pct"/>
            <w:tcBorders>
              <w:top w:val="outset" w:sz="6" w:space="0" w:color="000000"/>
              <w:left w:val="outset" w:sz="6" w:space="0" w:color="000000"/>
              <w:bottom w:val="outset" w:sz="6" w:space="0" w:color="000000"/>
              <w:right w:val="outset" w:sz="6" w:space="0" w:color="000000"/>
            </w:tcBorders>
            <w:vAlign w:val="center"/>
            <w:hideMark/>
          </w:tcPr>
          <w:p w:rsidR="003A4AAD" w:rsidRDefault="003A4AAD">
            <w:pPr>
              <w:jc w:val="center"/>
              <w:rPr>
                <w:sz w:val="23"/>
                <w:szCs w:val="23"/>
                <w:lang w:val="lv-LV"/>
              </w:rPr>
            </w:pPr>
            <w:r>
              <w:rPr>
                <w:sz w:val="23"/>
                <w:szCs w:val="23"/>
                <w:lang w:val="lv-LV"/>
              </w:rPr>
              <w:t>14 619,6</w:t>
            </w:r>
          </w:p>
        </w:tc>
        <w:tc>
          <w:tcPr>
            <w:tcW w:w="734" w:type="pct"/>
            <w:tcBorders>
              <w:top w:val="outset" w:sz="6" w:space="0" w:color="000000"/>
              <w:left w:val="outset" w:sz="6" w:space="0" w:color="000000"/>
              <w:bottom w:val="outset" w:sz="6" w:space="0" w:color="000000"/>
              <w:right w:val="outset" w:sz="6" w:space="0" w:color="000000"/>
            </w:tcBorders>
            <w:vAlign w:val="center"/>
            <w:hideMark/>
          </w:tcPr>
          <w:p w:rsidR="003A4AAD" w:rsidRDefault="003A4AAD">
            <w:pPr>
              <w:jc w:val="center"/>
              <w:rPr>
                <w:sz w:val="23"/>
                <w:szCs w:val="23"/>
                <w:lang w:val="lv-LV"/>
              </w:rPr>
            </w:pPr>
            <w:r>
              <w:rPr>
                <w:sz w:val="23"/>
                <w:szCs w:val="23"/>
                <w:lang w:val="lv-LV"/>
              </w:rPr>
              <w:t>566,0</w:t>
            </w:r>
          </w:p>
        </w:tc>
        <w:tc>
          <w:tcPr>
            <w:tcW w:w="704" w:type="pct"/>
            <w:tcBorders>
              <w:top w:val="outset" w:sz="6" w:space="0" w:color="000000"/>
              <w:left w:val="outset" w:sz="6" w:space="0" w:color="000000"/>
              <w:bottom w:val="outset" w:sz="6" w:space="0" w:color="000000"/>
              <w:right w:val="outset" w:sz="6" w:space="0" w:color="000000"/>
            </w:tcBorders>
            <w:vAlign w:val="center"/>
            <w:hideMark/>
          </w:tcPr>
          <w:p w:rsidR="003A4AAD" w:rsidRDefault="003A4AAD">
            <w:pPr>
              <w:jc w:val="center"/>
              <w:rPr>
                <w:sz w:val="23"/>
                <w:szCs w:val="23"/>
                <w:lang w:val="lv-LV"/>
              </w:rPr>
            </w:pPr>
            <w:r>
              <w:rPr>
                <w:sz w:val="23"/>
                <w:szCs w:val="23"/>
                <w:lang w:val="lv-LV"/>
              </w:rPr>
              <w:t>1 362,6</w:t>
            </w:r>
          </w:p>
        </w:tc>
        <w:tc>
          <w:tcPr>
            <w:tcW w:w="781" w:type="pct"/>
            <w:tcBorders>
              <w:top w:val="outset" w:sz="6" w:space="0" w:color="000000"/>
              <w:left w:val="outset" w:sz="6" w:space="0" w:color="000000"/>
              <w:bottom w:val="outset" w:sz="6" w:space="0" w:color="000000"/>
              <w:right w:val="outset" w:sz="6" w:space="0" w:color="000000"/>
            </w:tcBorders>
            <w:vAlign w:val="center"/>
            <w:hideMark/>
          </w:tcPr>
          <w:p w:rsidR="003A4AAD" w:rsidRDefault="003A4AAD">
            <w:pPr>
              <w:jc w:val="center"/>
              <w:rPr>
                <w:sz w:val="23"/>
                <w:szCs w:val="23"/>
                <w:lang w:val="lv-LV"/>
              </w:rPr>
            </w:pPr>
            <w:r>
              <w:rPr>
                <w:sz w:val="23"/>
                <w:szCs w:val="23"/>
                <w:lang w:val="lv-LV"/>
              </w:rPr>
              <w:t>1 362,6</w:t>
            </w:r>
          </w:p>
        </w:tc>
        <w:tc>
          <w:tcPr>
            <w:tcW w:w="782" w:type="pct"/>
            <w:tcBorders>
              <w:top w:val="outset" w:sz="6" w:space="0" w:color="000000"/>
              <w:left w:val="outset" w:sz="6" w:space="0" w:color="000000"/>
              <w:bottom w:val="outset" w:sz="6" w:space="0" w:color="000000"/>
              <w:right w:val="outset" w:sz="6" w:space="0" w:color="000000"/>
            </w:tcBorders>
            <w:vAlign w:val="center"/>
            <w:hideMark/>
          </w:tcPr>
          <w:p w:rsidR="003A4AAD" w:rsidRDefault="003A4AAD">
            <w:pPr>
              <w:jc w:val="center"/>
              <w:rPr>
                <w:sz w:val="23"/>
                <w:szCs w:val="23"/>
                <w:lang w:val="lv-LV"/>
              </w:rPr>
            </w:pPr>
            <w:r>
              <w:rPr>
                <w:sz w:val="23"/>
                <w:szCs w:val="23"/>
                <w:lang w:val="lv-LV"/>
              </w:rPr>
              <w:t>1 362,6</w:t>
            </w:r>
          </w:p>
        </w:tc>
      </w:tr>
      <w:tr w:rsidR="003A4AAD" w:rsidTr="003A4AAD">
        <w:tc>
          <w:tcPr>
            <w:tcW w:w="1304" w:type="pct"/>
            <w:tcBorders>
              <w:top w:val="outset" w:sz="6" w:space="0" w:color="000000"/>
              <w:left w:val="outset" w:sz="6" w:space="0" w:color="000000"/>
              <w:bottom w:val="outset" w:sz="6" w:space="0" w:color="000000"/>
              <w:right w:val="outset" w:sz="6" w:space="0" w:color="000000"/>
            </w:tcBorders>
            <w:hideMark/>
          </w:tcPr>
          <w:p w:rsidR="003A4AAD" w:rsidRDefault="003A4AAD">
            <w:pPr>
              <w:pStyle w:val="Paraststmeklis"/>
              <w:spacing w:before="0" w:beforeAutospacing="0" w:after="0" w:afterAutospacing="0"/>
              <w:jc w:val="both"/>
              <w:rPr>
                <w:sz w:val="23"/>
                <w:szCs w:val="23"/>
                <w:lang w:val="lv-LV"/>
              </w:rPr>
            </w:pPr>
            <w:r>
              <w:rPr>
                <w:sz w:val="23"/>
                <w:szCs w:val="23"/>
                <w:lang w:val="lv-LV"/>
              </w:rPr>
              <w:t>6.1.3. Ieņēmumi no valsts uzraudzības un kontroles darbībām preču un produktu robežkontrolē (noteikumu Nr.1083 3.pielikums)</w:t>
            </w:r>
          </w:p>
        </w:tc>
        <w:tc>
          <w:tcPr>
            <w:tcW w:w="695" w:type="pct"/>
            <w:tcBorders>
              <w:top w:val="outset" w:sz="6" w:space="0" w:color="000000"/>
              <w:left w:val="outset" w:sz="6" w:space="0" w:color="000000"/>
              <w:bottom w:val="outset" w:sz="6" w:space="0" w:color="000000"/>
              <w:right w:val="outset" w:sz="6" w:space="0" w:color="000000"/>
            </w:tcBorders>
            <w:vAlign w:val="center"/>
            <w:hideMark/>
          </w:tcPr>
          <w:p w:rsidR="003A4AAD" w:rsidRDefault="003A4AAD">
            <w:pPr>
              <w:jc w:val="center"/>
              <w:rPr>
                <w:sz w:val="23"/>
                <w:szCs w:val="23"/>
                <w:lang w:val="lv-LV"/>
              </w:rPr>
            </w:pPr>
            <w:r>
              <w:rPr>
                <w:sz w:val="23"/>
                <w:szCs w:val="23"/>
                <w:lang w:val="lv-LV"/>
              </w:rPr>
              <w:t>626 985,5</w:t>
            </w:r>
          </w:p>
        </w:tc>
        <w:tc>
          <w:tcPr>
            <w:tcW w:w="734" w:type="pct"/>
            <w:tcBorders>
              <w:top w:val="outset" w:sz="6" w:space="0" w:color="000000"/>
              <w:left w:val="outset" w:sz="6" w:space="0" w:color="000000"/>
              <w:bottom w:val="outset" w:sz="6" w:space="0" w:color="000000"/>
              <w:right w:val="outset" w:sz="6" w:space="0" w:color="000000"/>
            </w:tcBorders>
            <w:vAlign w:val="center"/>
            <w:hideMark/>
          </w:tcPr>
          <w:p w:rsidR="003A4AAD" w:rsidRDefault="003A4AAD">
            <w:pPr>
              <w:jc w:val="center"/>
              <w:rPr>
                <w:sz w:val="23"/>
                <w:szCs w:val="23"/>
                <w:lang w:val="lv-LV"/>
              </w:rPr>
            </w:pPr>
            <w:r>
              <w:rPr>
                <w:sz w:val="23"/>
                <w:szCs w:val="23"/>
                <w:lang w:val="lv-LV"/>
              </w:rPr>
              <w:t>57 630,7</w:t>
            </w:r>
          </w:p>
        </w:tc>
        <w:tc>
          <w:tcPr>
            <w:tcW w:w="704" w:type="pct"/>
            <w:tcBorders>
              <w:top w:val="outset" w:sz="6" w:space="0" w:color="000000"/>
              <w:left w:val="outset" w:sz="6" w:space="0" w:color="000000"/>
              <w:bottom w:val="outset" w:sz="6" w:space="0" w:color="000000"/>
              <w:right w:val="outset" w:sz="6" w:space="0" w:color="000000"/>
            </w:tcBorders>
            <w:vAlign w:val="center"/>
            <w:hideMark/>
          </w:tcPr>
          <w:p w:rsidR="003A4AAD" w:rsidRDefault="003A4AAD">
            <w:pPr>
              <w:jc w:val="center"/>
              <w:rPr>
                <w:sz w:val="23"/>
                <w:szCs w:val="23"/>
                <w:lang w:val="lv-LV"/>
              </w:rPr>
            </w:pPr>
            <w:r>
              <w:rPr>
                <w:sz w:val="23"/>
                <w:szCs w:val="23"/>
                <w:lang w:val="lv-LV"/>
              </w:rPr>
              <w:t>139 008,1</w:t>
            </w:r>
          </w:p>
        </w:tc>
        <w:tc>
          <w:tcPr>
            <w:tcW w:w="781" w:type="pct"/>
            <w:tcBorders>
              <w:top w:val="outset" w:sz="6" w:space="0" w:color="000000"/>
              <w:left w:val="outset" w:sz="6" w:space="0" w:color="000000"/>
              <w:bottom w:val="outset" w:sz="6" w:space="0" w:color="000000"/>
              <w:right w:val="outset" w:sz="6" w:space="0" w:color="000000"/>
            </w:tcBorders>
            <w:vAlign w:val="center"/>
            <w:hideMark/>
          </w:tcPr>
          <w:p w:rsidR="003A4AAD" w:rsidRDefault="003A4AAD">
            <w:pPr>
              <w:jc w:val="center"/>
              <w:rPr>
                <w:sz w:val="23"/>
                <w:szCs w:val="23"/>
                <w:lang w:val="lv-LV"/>
              </w:rPr>
            </w:pPr>
            <w:r>
              <w:rPr>
                <w:sz w:val="23"/>
                <w:szCs w:val="23"/>
                <w:lang w:val="lv-LV"/>
              </w:rPr>
              <w:t>139 008,1</w:t>
            </w:r>
          </w:p>
        </w:tc>
        <w:tc>
          <w:tcPr>
            <w:tcW w:w="782" w:type="pct"/>
            <w:tcBorders>
              <w:top w:val="outset" w:sz="6" w:space="0" w:color="000000"/>
              <w:left w:val="outset" w:sz="6" w:space="0" w:color="000000"/>
              <w:bottom w:val="outset" w:sz="6" w:space="0" w:color="000000"/>
              <w:right w:val="outset" w:sz="6" w:space="0" w:color="000000"/>
            </w:tcBorders>
            <w:vAlign w:val="center"/>
            <w:hideMark/>
          </w:tcPr>
          <w:p w:rsidR="003A4AAD" w:rsidRDefault="003A4AAD">
            <w:pPr>
              <w:jc w:val="center"/>
              <w:rPr>
                <w:sz w:val="23"/>
                <w:szCs w:val="23"/>
                <w:lang w:val="lv-LV"/>
              </w:rPr>
            </w:pPr>
            <w:r>
              <w:rPr>
                <w:sz w:val="23"/>
                <w:szCs w:val="23"/>
                <w:lang w:val="lv-LV"/>
              </w:rPr>
              <w:t>139 008,1</w:t>
            </w:r>
          </w:p>
        </w:tc>
      </w:tr>
      <w:tr w:rsidR="003A4AAD" w:rsidTr="003A4AAD">
        <w:tc>
          <w:tcPr>
            <w:tcW w:w="1304" w:type="pct"/>
            <w:tcBorders>
              <w:top w:val="outset" w:sz="6" w:space="0" w:color="000000"/>
              <w:left w:val="outset" w:sz="6" w:space="0" w:color="000000"/>
              <w:bottom w:val="outset" w:sz="6" w:space="0" w:color="000000"/>
              <w:right w:val="outset" w:sz="6" w:space="0" w:color="000000"/>
            </w:tcBorders>
            <w:hideMark/>
          </w:tcPr>
          <w:p w:rsidR="003A4AAD" w:rsidRDefault="003A4AAD">
            <w:pPr>
              <w:pStyle w:val="Paraststmeklis"/>
              <w:spacing w:before="0" w:beforeAutospacing="0" w:after="0" w:afterAutospacing="0"/>
              <w:jc w:val="both"/>
              <w:rPr>
                <w:sz w:val="23"/>
                <w:szCs w:val="23"/>
                <w:lang w:val="lv-LV"/>
              </w:rPr>
            </w:pPr>
            <w:r>
              <w:rPr>
                <w:sz w:val="23"/>
                <w:szCs w:val="23"/>
                <w:lang w:val="lv-LV"/>
              </w:rPr>
              <w:t>6.1.4. Ieņēmumi no samaksas par papildu oficiālo kontroli (noteikumu Nr.1083 4.pielikums)</w:t>
            </w:r>
          </w:p>
        </w:tc>
        <w:tc>
          <w:tcPr>
            <w:tcW w:w="695" w:type="pct"/>
            <w:tcBorders>
              <w:top w:val="outset" w:sz="6" w:space="0" w:color="000000"/>
              <w:left w:val="outset" w:sz="6" w:space="0" w:color="000000"/>
              <w:bottom w:val="outset" w:sz="6" w:space="0" w:color="000000"/>
              <w:right w:val="outset" w:sz="6" w:space="0" w:color="000000"/>
            </w:tcBorders>
            <w:vAlign w:val="center"/>
            <w:hideMark/>
          </w:tcPr>
          <w:p w:rsidR="003A4AAD" w:rsidRDefault="003A4AAD">
            <w:pPr>
              <w:jc w:val="center"/>
              <w:rPr>
                <w:sz w:val="23"/>
                <w:szCs w:val="23"/>
                <w:lang w:val="lv-LV"/>
              </w:rPr>
            </w:pPr>
            <w:r>
              <w:rPr>
                <w:sz w:val="23"/>
                <w:szCs w:val="23"/>
                <w:lang w:val="lv-LV"/>
              </w:rPr>
              <w:t>20 315,7</w:t>
            </w:r>
          </w:p>
        </w:tc>
        <w:tc>
          <w:tcPr>
            <w:tcW w:w="734" w:type="pct"/>
            <w:tcBorders>
              <w:top w:val="outset" w:sz="6" w:space="0" w:color="000000"/>
              <w:left w:val="outset" w:sz="6" w:space="0" w:color="000000"/>
              <w:bottom w:val="outset" w:sz="6" w:space="0" w:color="000000"/>
              <w:right w:val="outset" w:sz="6" w:space="0" w:color="000000"/>
            </w:tcBorders>
            <w:vAlign w:val="center"/>
            <w:hideMark/>
          </w:tcPr>
          <w:p w:rsidR="003A4AAD" w:rsidRDefault="003A4AAD">
            <w:pPr>
              <w:jc w:val="center"/>
              <w:rPr>
                <w:sz w:val="23"/>
                <w:szCs w:val="23"/>
                <w:lang w:val="lv-LV"/>
              </w:rPr>
            </w:pPr>
            <w:r>
              <w:rPr>
                <w:sz w:val="23"/>
                <w:szCs w:val="23"/>
                <w:lang w:val="lv-LV"/>
              </w:rPr>
              <w:t>774,2</w:t>
            </w:r>
          </w:p>
        </w:tc>
        <w:tc>
          <w:tcPr>
            <w:tcW w:w="704" w:type="pct"/>
            <w:tcBorders>
              <w:top w:val="outset" w:sz="6" w:space="0" w:color="000000"/>
              <w:left w:val="outset" w:sz="6" w:space="0" w:color="000000"/>
              <w:bottom w:val="outset" w:sz="6" w:space="0" w:color="000000"/>
              <w:right w:val="outset" w:sz="6" w:space="0" w:color="000000"/>
            </w:tcBorders>
            <w:vAlign w:val="center"/>
            <w:hideMark/>
          </w:tcPr>
          <w:p w:rsidR="003A4AAD" w:rsidRDefault="003A4AAD">
            <w:pPr>
              <w:jc w:val="center"/>
              <w:rPr>
                <w:sz w:val="23"/>
                <w:szCs w:val="23"/>
                <w:lang w:val="lv-LV"/>
              </w:rPr>
            </w:pPr>
            <w:r>
              <w:rPr>
                <w:sz w:val="23"/>
                <w:szCs w:val="23"/>
                <w:lang w:val="lv-LV"/>
              </w:rPr>
              <w:t>1 865,9</w:t>
            </w:r>
          </w:p>
        </w:tc>
        <w:tc>
          <w:tcPr>
            <w:tcW w:w="781" w:type="pct"/>
            <w:tcBorders>
              <w:top w:val="outset" w:sz="6" w:space="0" w:color="000000"/>
              <w:left w:val="outset" w:sz="6" w:space="0" w:color="000000"/>
              <w:bottom w:val="outset" w:sz="6" w:space="0" w:color="000000"/>
              <w:right w:val="outset" w:sz="6" w:space="0" w:color="000000"/>
            </w:tcBorders>
            <w:vAlign w:val="center"/>
            <w:hideMark/>
          </w:tcPr>
          <w:p w:rsidR="003A4AAD" w:rsidRDefault="003A4AAD">
            <w:pPr>
              <w:jc w:val="center"/>
              <w:rPr>
                <w:sz w:val="23"/>
                <w:szCs w:val="23"/>
                <w:lang w:val="lv-LV"/>
              </w:rPr>
            </w:pPr>
            <w:r>
              <w:rPr>
                <w:sz w:val="23"/>
                <w:szCs w:val="23"/>
                <w:lang w:val="lv-LV"/>
              </w:rPr>
              <w:t>1 865,9</w:t>
            </w:r>
          </w:p>
        </w:tc>
        <w:tc>
          <w:tcPr>
            <w:tcW w:w="782" w:type="pct"/>
            <w:tcBorders>
              <w:top w:val="outset" w:sz="6" w:space="0" w:color="000000"/>
              <w:left w:val="outset" w:sz="6" w:space="0" w:color="000000"/>
              <w:bottom w:val="outset" w:sz="6" w:space="0" w:color="000000"/>
              <w:right w:val="outset" w:sz="6" w:space="0" w:color="000000"/>
            </w:tcBorders>
            <w:vAlign w:val="center"/>
            <w:hideMark/>
          </w:tcPr>
          <w:p w:rsidR="003A4AAD" w:rsidRDefault="003A4AAD">
            <w:pPr>
              <w:jc w:val="center"/>
              <w:rPr>
                <w:sz w:val="23"/>
                <w:szCs w:val="23"/>
                <w:lang w:val="lv-LV"/>
              </w:rPr>
            </w:pPr>
            <w:r>
              <w:rPr>
                <w:sz w:val="23"/>
                <w:szCs w:val="23"/>
                <w:lang w:val="lv-LV"/>
              </w:rPr>
              <w:t>1 865,9</w:t>
            </w:r>
          </w:p>
        </w:tc>
      </w:tr>
      <w:tr w:rsidR="003A4AAD" w:rsidTr="003A4AAD">
        <w:tc>
          <w:tcPr>
            <w:tcW w:w="1304" w:type="pct"/>
            <w:tcBorders>
              <w:top w:val="outset" w:sz="6" w:space="0" w:color="000000"/>
              <w:left w:val="outset" w:sz="6" w:space="0" w:color="000000"/>
              <w:bottom w:val="outset" w:sz="6" w:space="0" w:color="000000"/>
              <w:right w:val="outset" w:sz="6" w:space="0" w:color="000000"/>
            </w:tcBorders>
            <w:hideMark/>
          </w:tcPr>
          <w:p w:rsidR="003A4AAD" w:rsidRDefault="003A4AAD">
            <w:pPr>
              <w:pStyle w:val="Paraststmeklis"/>
              <w:spacing w:before="0" w:beforeAutospacing="0" w:after="0" w:afterAutospacing="0"/>
              <w:rPr>
                <w:b/>
                <w:sz w:val="23"/>
                <w:szCs w:val="23"/>
                <w:highlight w:val="yellow"/>
                <w:lang w:val="lv-LV"/>
              </w:rPr>
            </w:pPr>
            <w:r>
              <w:rPr>
                <w:b/>
                <w:sz w:val="23"/>
                <w:szCs w:val="23"/>
                <w:lang w:val="lv-LV"/>
              </w:rPr>
              <w:t>6.2. detalizēts izdevumu aprēķins:</w:t>
            </w:r>
          </w:p>
        </w:tc>
        <w:tc>
          <w:tcPr>
            <w:tcW w:w="695" w:type="pct"/>
            <w:tcBorders>
              <w:top w:val="outset" w:sz="6" w:space="0" w:color="000000"/>
              <w:left w:val="outset" w:sz="6" w:space="0" w:color="000000"/>
              <w:bottom w:val="outset" w:sz="6" w:space="0" w:color="000000"/>
              <w:right w:val="outset" w:sz="6" w:space="0" w:color="000000"/>
            </w:tcBorders>
            <w:vAlign w:val="center"/>
            <w:hideMark/>
          </w:tcPr>
          <w:p w:rsidR="003A4AAD" w:rsidRDefault="003A4AAD">
            <w:pPr>
              <w:jc w:val="center"/>
              <w:rPr>
                <w:b/>
                <w:sz w:val="23"/>
                <w:szCs w:val="23"/>
                <w:lang w:val="lv-LV"/>
              </w:rPr>
            </w:pPr>
            <w:r>
              <w:rPr>
                <w:b/>
                <w:sz w:val="23"/>
                <w:szCs w:val="23"/>
                <w:lang w:val="lv-LV"/>
              </w:rPr>
              <w:t>808 516,7</w:t>
            </w:r>
          </w:p>
        </w:tc>
        <w:tc>
          <w:tcPr>
            <w:tcW w:w="734" w:type="pct"/>
            <w:tcBorders>
              <w:top w:val="outset" w:sz="6" w:space="0" w:color="000000"/>
              <w:left w:val="outset" w:sz="6" w:space="0" w:color="000000"/>
              <w:bottom w:val="outset" w:sz="6" w:space="0" w:color="000000"/>
              <w:right w:val="outset" w:sz="6" w:space="0" w:color="000000"/>
            </w:tcBorders>
            <w:vAlign w:val="center"/>
            <w:hideMark/>
          </w:tcPr>
          <w:p w:rsidR="003A4AAD" w:rsidRDefault="003A4AAD">
            <w:pPr>
              <w:jc w:val="center"/>
              <w:rPr>
                <w:b/>
                <w:sz w:val="23"/>
                <w:szCs w:val="23"/>
                <w:lang w:val="lv-LV"/>
              </w:rPr>
            </w:pPr>
            <w:r>
              <w:rPr>
                <w:b/>
                <w:sz w:val="23"/>
                <w:szCs w:val="23"/>
                <w:lang w:val="lv-LV"/>
              </w:rPr>
              <w:t>65 343,0</w:t>
            </w:r>
          </w:p>
        </w:tc>
        <w:tc>
          <w:tcPr>
            <w:tcW w:w="704" w:type="pct"/>
            <w:tcBorders>
              <w:top w:val="outset" w:sz="6" w:space="0" w:color="000000"/>
              <w:left w:val="outset" w:sz="6" w:space="0" w:color="000000"/>
              <w:bottom w:val="outset" w:sz="6" w:space="0" w:color="000000"/>
              <w:right w:val="outset" w:sz="6" w:space="0" w:color="000000"/>
            </w:tcBorders>
            <w:vAlign w:val="center"/>
            <w:hideMark/>
          </w:tcPr>
          <w:p w:rsidR="003A4AAD" w:rsidRDefault="003A4AAD">
            <w:pPr>
              <w:jc w:val="center"/>
              <w:rPr>
                <w:b/>
                <w:sz w:val="23"/>
                <w:szCs w:val="23"/>
                <w:lang w:val="lv-LV"/>
              </w:rPr>
            </w:pPr>
            <w:r>
              <w:rPr>
                <w:b/>
                <w:sz w:val="23"/>
                <w:szCs w:val="23"/>
                <w:lang w:val="lv-LV"/>
              </w:rPr>
              <w:t>157 650,9</w:t>
            </w:r>
          </w:p>
        </w:tc>
        <w:tc>
          <w:tcPr>
            <w:tcW w:w="781" w:type="pct"/>
            <w:tcBorders>
              <w:top w:val="outset" w:sz="6" w:space="0" w:color="000000"/>
              <w:left w:val="outset" w:sz="6" w:space="0" w:color="000000"/>
              <w:bottom w:val="outset" w:sz="6" w:space="0" w:color="000000"/>
              <w:right w:val="outset" w:sz="6" w:space="0" w:color="000000"/>
            </w:tcBorders>
            <w:vAlign w:val="center"/>
            <w:hideMark/>
          </w:tcPr>
          <w:p w:rsidR="003A4AAD" w:rsidRDefault="003A4AAD">
            <w:pPr>
              <w:jc w:val="center"/>
              <w:rPr>
                <w:b/>
                <w:sz w:val="23"/>
                <w:szCs w:val="23"/>
                <w:lang w:val="lv-LV"/>
              </w:rPr>
            </w:pPr>
            <w:r>
              <w:rPr>
                <w:b/>
                <w:sz w:val="23"/>
                <w:szCs w:val="23"/>
                <w:lang w:val="lv-LV"/>
              </w:rPr>
              <w:t>157 650,9</w:t>
            </w:r>
          </w:p>
        </w:tc>
        <w:tc>
          <w:tcPr>
            <w:tcW w:w="782" w:type="pct"/>
            <w:tcBorders>
              <w:top w:val="outset" w:sz="6" w:space="0" w:color="000000"/>
              <w:left w:val="outset" w:sz="6" w:space="0" w:color="000000"/>
              <w:bottom w:val="outset" w:sz="6" w:space="0" w:color="000000"/>
              <w:right w:val="outset" w:sz="6" w:space="0" w:color="000000"/>
            </w:tcBorders>
            <w:vAlign w:val="center"/>
            <w:hideMark/>
          </w:tcPr>
          <w:p w:rsidR="003A4AAD" w:rsidRDefault="003A4AAD">
            <w:pPr>
              <w:jc w:val="center"/>
              <w:rPr>
                <w:b/>
                <w:sz w:val="23"/>
                <w:szCs w:val="23"/>
                <w:lang w:val="lv-LV"/>
              </w:rPr>
            </w:pPr>
            <w:r>
              <w:rPr>
                <w:b/>
                <w:sz w:val="23"/>
                <w:szCs w:val="23"/>
                <w:lang w:val="lv-LV"/>
              </w:rPr>
              <w:t>157 650,9</w:t>
            </w:r>
          </w:p>
        </w:tc>
      </w:tr>
      <w:tr w:rsidR="003A4AAD" w:rsidTr="003A4AAD">
        <w:tc>
          <w:tcPr>
            <w:tcW w:w="1304" w:type="pct"/>
            <w:tcBorders>
              <w:top w:val="outset" w:sz="6" w:space="0" w:color="000000"/>
              <w:left w:val="outset" w:sz="6" w:space="0" w:color="000000"/>
              <w:bottom w:val="outset" w:sz="6" w:space="0" w:color="000000"/>
              <w:right w:val="outset" w:sz="6" w:space="0" w:color="000000"/>
            </w:tcBorders>
            <w:hideMark/>
          </w:tcPr>
          <w:p w:rsidR="003A4AAD" w:rsidRDefault="003A4AAD">
            <w:pPr>
              <w:pStyle w:val="Paraststmeklis"/>
              <w:spacing w:before="0" w:beforeAutospacing="0" w:after="0" w:afterAutospacing="0"/>
              <w:jc w:val="both"/>
              <w:rPr>
                <w:sz w:val="23"/>
                <w:szCs w:val="23"/>
                <w:lang w:val="lv-LV"/>
              </w:rPr>
            </w:pPr>
            <w:r>
              <w:rPr>
                <w:sz w:val="23"/>
                <w:szCs w:val="23"/>
                <w:lang w:val="lv-LV"/>
              </w:rPr>
              <w:t xml:space="preserve">6.2.1. Izdevumi par normatīvajos aktos noteiktajām PVD valsts uzraudzības un kontroles darbībām atbilstoši noteikumu projektam (noteikumu Nr.1083 1.pielikums): </w:t>
            </w:r>
          </w:p>
          <w:p w:rsidR="003A4AAD" w:rsidRDefault="003A4AAD">
            <w:pPr>
              <w:pStyle w:val="Paraststmeklis"/>
              <w:spacing w:before="0" w:beforeAutospacing="0" w:after="0" w:afterAutospacing="0"/>
              <w:jc w:val="both"/>
              <w:rPr>
                <w:sz w:val="23"/>
                <w:szCs w:val="23"/>
                <w:lang w:val="lv-LV"/>
              </w:rPr>
            </w:pPr>
            <w:r>
              <w:rPr>
                <w:sz w:val="23"/>
                <w:szCs w:val="23"/>
                <w:lang w:val="lv-LV"/>
              </w:rPr>
              <w:t>2015.gada izdevumu sadalījums pa EKK: Atlīdzība (EKK 1000) – EUR 73 216,8; Preces un pakalpojumi (EKK 2000) – EUR 73 379,1.</w:t>
            </w:r>
          </w:p>
          <w:p w:rsidR="003A4AAD" w:rsidRDefault="003A4AAD">
            <w:pPr>
              <w:pStyle w:val="Paraststmeklis"/>
              <w:spacing w:before="0" w:beforeAutospacing="0" w:after="0" w:afterAutospacing="0"/>
              <w:jc w:val="both"/>
              <w:rPr>
                <w:sz w:val="23"/>
                <w:szCs w:val="23"/>
                <w:lang w:val="lv-LV"/>
              </w:rPr>
            </w:pPr>
            <w:r>
              <w:rPr>
                <w:sz w:val="23"/>
                <w:szCs w:val="23"/>
                <w:lang w:val="lv-LV"/>
              </w:rPr>
              <w:t xml:space="preserve">2015.gada izdevumu palielinājums pa EKK:  Atlīdzība (EKK 1000) – EUR 3 305,2; Preces un </w:t>
            </w:r>
            <w:r>
              <w:rPr>
                <w:sz w:val="23"/>
                <w:szCs w:val="23"/>
                <w:lang w:val="lv-LV"/>
              </w:rPr>
              <w:lastRenderedPageBreak/>
              <w:t>pakalpojumi (EKK 2000) – EUR 3 066,9.</w:t>
            </w:r>
          </w:p>
          <w:p w:rsidR="003A4AAD" w:rsidRDefault="003A4AAD">
            <w:pPr>
              <w:pStyle w:val="Paraststmeklis"/>
              <w:spacing w:before="0" w:beforeAutospacing="0" w:after="0" w:afterAutospacing="0"/>
              <w:jc w:val="both"/>
              <w:rPr>
                <w:sz w:val="23"/>
                <w:szCs w:val="23"/>
                <w:lang w:val="lv-LV"/>
              </w:rPr>
            </w:pPr>
            <w:r>
              <w:rPr>
                <w:sz w:val="23"/>
                <w:szCs w:val="23"/>
                <w:lang w:val="lv-LV"/>
              </w:rPr>
              <w:t>2016.gada un turpmāko gadu izdevumu palielinājuma sadalījums pa EKK: Atlīdzība (EKK 1000) – EUR 8 018,1; Preces un pakalpojumi (EKK 2000) – EUR 7 396,2.</w:t>
            </w:r>
          </w:p>
        </w:tc>
        <w:tc>
          <w:tcPr>
            <w:tcW w:w="695" w:type="pct"/>
            <w:tcBorders>
              <w:top w:val="outset" w:sz="6" w:space="0" w:color="000000"/>
              <w:left w:val="outset" w:sz="6" w:space="0" w:color="000000"/>
              <w:bottom w:val="outset" w:sz="6" w:space="0" w:color="000000"/>
              <w:right w:val="outset" w:sz="6" w:space="0" w:color="000000"/>
            </w:tcBorders>
            <w:vAlign w:val="center"/>
            <w:hideMark/>
          </w:tcPr>
          <w:p w:rsidR="003A4AAD" w:rsidRDefault="003A4AAD">
            <w:pPr>
              <w:jc w:val="center"/>
              <w:rPr>
                <w:sz w:val="23"/>
                <w:szCs w:val="23"/>
                <w:lang w:val="lv-LV"/>
              </w:rPr>
            </w:pPr>
            <w:r>
              <w:rPr>
                <w:sz w:val="23"/>
                <w:szCs w:val="23"/>
                <w:lang w:val="lv-LV"/>
              </w:rPr>
              <w:lastRenderedPageBreak/>
              <w:t>146 595,9</w:t>
            </w:r>
          </w:p>
        </w:tc>
        <w:tc>
          <w:tcPr>
            <w:tcW w:w="734" w:type="pct"/>
            <w:tcBorders>
              <w:top w:val="outset" w:sz="6" w:space="0" w:color="000000"/>
              <w:left w:val="outset" w:sz="6" w:space="0" w:color="000000"/>
              <w:bottom w:val="outset" w:sz="6" w:space="0" w:color="000000"/>
              <w:right w:val="outset" w:sz="6" w:space="0" w:color="000000"/>
            </w:tcBorders>
            <w:vAlign w:val="center"/>
            <w:hideMark/>
          </w:tcPr>
          <w:p w:rsidR="003A4AAD" w:rsidRDefault="003A4AAD">
            <w:pPr>
              <w:jc w:val="center"/>
              <w:rPr>
                <w:sz w:val="23"/>
                <w:szCs w:val="23"/>
                <w:lang w:val="lv-LV"/>
              </w:rPr>
            </w:pPr>
            <w:r>
              <w:rPr>
                <w:sz w:val="23"/>
                <w:szCs w:val="23"/>
                <w:lang w:val="lv-LV"/>
              </w:rPr>
              <w:t>6 372,1</w:t>
            </w:r>
          </w:p>
        </w:tc>
        <w:tc>
          <w:tcPr>
            <w:tcW w:w="704" w:type="pct"/>
            <w:tcBorders>
              <w:top w:val="outset" w:sz="6" w:space="0" w:color="000000"/>
              <w:left w:val="outset" w:sz="6" w:space="0" w:color="000000"/>
              <w:bottom w:val="outset" w:sz="6" w:space="0" w:color="000000"/>
              <w:right w:val="outset" w:sz="6" w:space="0" w:color="000000"/>
            </w:tcBorders>
            <w:vAlign w:val="center"/>
            <w:hideMark/>
          </w:tcPr>
          <w:p w:rsidR="003A4AAD" w:rsidRDefault="003A4AAD">
            <w:pPr>
              <w:jc w:val="center"/>
              <w:rPr>
                <w:sz w:val="23"/>
                <w:szCs w:val="23"/>
                <w:lang w:val="lv-LV"/>
              </w:rPr>
            </w:pPr>
            <w:r>
              <w:rPr>
                <w:sz w:val="23"/>
                <w:szCs w:val="23"/>
                <w:lang w:val="lv-LV"/>
              </w:rPr>
              <w:t>15 414,3</w:t>
            </w:r>
          </w:p>
        </w:tc>
        <w:tc>
          <w:tcPr>
            <w:tcW w:w="781" w:type="pct"/>
            <w:tcBorders>
              <w:top w:val="outset" w:sz="6" w:space="0" w:color="000000"/>
              <w:left w:val="outset" w:sz="6" w:space="0" w:color="000000"/>
              <w:bottom w:val="outset" w:sz="6" w:space="0" w:color="000000"/>
              <w:right w:val="outset" w:sz="6" w:space="0" w:color="000000"/>
            </w:tcBorders>
            <w:vAlign w:val="center"/>
            <w:hideMark/>
          </w:tcPr>
          <w:p w:rsidR="003A4AAD" w:rsidRDefault="003A4AAD">
            <w:pPr>
              <w:jc w:val="center"/>
              <w:rPr>
                <w:sz w:val="23"/>
                <w:szCs w:val="23"/>
                <w:lang w:val="lv-LV"/>
              </w:rPr>
            </w:pPr>
            <w:r>
              <w:rPr>
                <w:sz w:val="23"/>
                <w:szCs w:val="23"/>
                <w:lang w:val="lv-LV"/>
              </w:rPr>
              <w:t>15 414,3</w:t>
            </w:r>
          </w:p>
        </w:tc>
        <w:tc>
          <w:tcPr>
            <w:tcW w:w="782" w:type="pct"/>
            <w:tcBorders>
              <w:top w:val="outset" w:sz="6" w:space="0" w:color="000000"/>
              <w:left w:val="outset" w:sz="6" w:space="0" w:color="000000"/>
              <w:bottom w:val="outset" w:sz="6" w:space="0" w:color="000000"/>
              <w:right w:val="outset" w:sz="6" w:space="0" w:color="000000"/>
            </w:tcBorders>
            <w:vAlign w:val="center"/>
            <w:hideMark/>
          </w:tcPr>
          <w:p w:rsidR="003A4AAD" w:rsidRDefault="003A4AAD">
            <w:pPr>
              <w:jc w:val="center"/>
              <w:rPr>
                <w:sz w:val="23"/>
                <w:szCs w:val="23"/>
                <w:lang w:val="lv-LV"/>
              </w:rPr>
            </w:pPr>
            <w:r>
              <w:rPr>
                <w:sz w:val="23"/>
                <w:szCs w:val="23"/>
                <w:lang w:val="lv-LV"/>
              </w:rPr>
              <w:t>15 414,3</w:t>
            </w:r>
          </w:p>
        </w:tc>
      </w:tr>
      <w:tr w:rsidR="003A4AAD" w:rsidTr="003A4AAD">
        <w:tc>
          <w:tcPr>
            <w:tcW w:w="1304" w:type="pct"/>
            <w:tcBorders>
              <w:top w:val="outset" w:sz="6" w:space="0" w:color="000000"/>
              <w:left w:val="outset" w:sz="6" w:space="0" w:color="000000"/>
              <w:bottom w:val="outset" w:sz="6" w:space="0" w:color="000000"/>
              <w:right w:val="outset" w:sz="6" w:space="0" w:color="000000"/>
            </w:tcBorders>
            <w:hideMark/>
          </w:tcPr>
          <w:p w:rsidR="003A4AAD" w:rsidRDefault="003A4AAD">
            <w:pPr>
              <w:pStyle w:val="Paraststmeklis"/>
              <w:spacing w:before="0" w:beforeAutospacing="0" w:after="0" w:afterAutospacing="0"/>
              <w:jc w:val="both"/>
              <w:rPr>
                <w:sz w:val="23"/>
                <w:szCs w:val="23"/>
                <w:lang w:val="lv-LV"/>
              </w:rPr>
            </w:pPr>
            <w:r>
              <w:rPr>
                <w:sz w:val="23"/>
                <w:szCs w:val="23"/>
                <w:lang w:val="lv-LV"/>
              </w:rPr>
              <w:lastRenderedPageBreak/>
              <w:t>6.2.2. Izdevumi no PVD maksas pakalpojumu sniegšanas, kas tiek aplikti ar pievienotās vērtības nodokli (noteikumu Nr.1083 2.pielikums)</w:t>
            </w:r>
          </w:p>
          <w:p w:rsidR="003A4AAD" w:rsidRDefault="003A4AAD">
            <w:pPr>
              <w:pStyle w:val="Paraststmeklis"/>
              <w:spacing w:before="0" w:beforeAutospacing="0" w:after="0" w:afterAutospacing="0"/>
              <w:jc w:val="both"/>
              <w:rPr>
                <w:sz w:val="23"/>
                <w:szCs w:val="23"/>
                <w:lang w:val="lv-LV"/>
              </w:rPr>
            </w:pPr>
            <w:r>
              <w:rPr>
                <w:sz w:val="23"/>
                <w:szCs w:val="23"/>
                <w:lang w:val="lv-LV"/>
              </w:rPr>
              <w:t>2015.gada izdevumu sadalījums pa EKK: Atlīdzība (EKK 1000) – EUR 7 179,3; Preces un pakalpojumi (EKK 2000) – EUR 7 440,3.</w:t>
            </w:r>
          </w:p>
          <w:p w:rsidR="003A4AAD" w:rsidRDefault="003A4AAD">
            <w:pPr>
              <w:pStyle w:val="Paraststmeklis"/>
              <w:spacing w:before="0" w:beforeAutospacing="0" w:after="0" w:afterAutospacing="0"/>
              <w:jc w:val="both"/>
              <w:rPr>
                <w:sz w:val="23"/>
                <w:szCs w:val="23"/>
                <w:lang w:val="lv-LV"/>
              </w:rPr>
            </w:pPr>
            <w:r>
              <w:rPr>
                <w:sz w:val="23"/>
                <w:szCs w:val="23"/>
                <w:lang w:val="lv-LV"/>
              </w:rPr>
              <w:t>2015.gada izdevumu palielinājums pa EKK:  Atlīdzība (EKK 1000) – EUR 260,4; Preces un pakalpojumi (EKK 2000) – EUR 305,6.</w:t>
            </w:r>
          </w:p>
          <w:p w:rsidR="003A4AAD" w:rsidRDefault="003A4AAD">
            <w:pPr>
              <w:pStyle w:val="Paraststmeklis"/>
              <w:spacing w:before="0" w:beforeAutospacing="0" w:after="0" w:afterAutospacing="0"/>
              <w:jc w:val="both"/>
              <w:rPr>
                <w:sz w:val="23"/>
                <w:szCs w:val="23"/>
                <w:highlight w:val="yellow"/>
                <w:lang w:val="lv-LV"/>
              </w:rPr>
            </w:pPr>
            <w:r>
              <w:rPr>
                <w:sz w:val="23"/>
                <w:szCs w:val="23"/>
                <w:lang w:val="lv-LV"/>
              </w:rPr>
              <w:t>2016.gada un turpmāko gadu izdevumu palielinājuma sadalījums pa EKK: Atlīdzība (EKK 1000) – EUR 626,8; Preces un pakalpojumi (EKK 2000) – EUR 735,8.</w:t>
            </w:r>
          </w:p>
        </w:tc>
        <w:tc>
          <w:tcPr>
            <w:tcW w:w="695" w:type="pct"/>
            <w:tcBorders>
              <w:top w:val="outset" w:sz="6" w:space="0" w:color="000000"/>
              <w:left w:val="outset" w:sz="6" w:space="0" w:color="000000"/>
              <w:bottom w:val="outset" w:sz="6" w:space="0" w:color="000000"/>
              <w:right w:val="outset" w:sz="6" w:space="0" w:color="000000"/>
            </w:tcBorders>
            <w:vAlign w:val="center"/>
            <w:hideMark/>
          </w:tcPr>
          <w:p w:rsidR="003A4AAD" w:rsidRDefault="003A4AAD">
            <w:pPr>
              <w:jc w:val="center"/>
              <w:rPr>
                <w:sz w:val="23"/>
                <w:szCs w:val="23"/>
                <w:lang w:val="lv-LV"/>
              </w:rPr>
            </w:pPr>
            <w:r>
              <w:rPr>
                <w:sz w:val="23"/>
                <w:szCs w:val="23"/>
                <w:lang w:val="lv-LV"/>
              </w:rPr>
              <w:t>14 619,6</w:t>
            </w:r>
          </w:p>
        </w:tc>
        <w:tc>
          <w:tcPr>
            <w:tcW w:w="734" w:type="pct"/>
            <w:tcBorders>
              <w:top w:val="outset" w:sz="6" w:space="0" w:color="000000"/>
              <w:left w:val="outset" w:sz="6" w:space="0" w:color="000000"/>
              <w:bottom w:val="outset" w:sz="6" w:space="0" w:color="000000"/>
              <w:right w:val="outset" w:sz="6" w:space="0" w:color="000000"/>
            </w:tcBorders>
            <w:vAlign w:val="center"/>
            <w:hideMark/>
          </w:tcPr>
          <w:p w:rsidR="003A4AAD" w:rsidRDefault="003A4AAD">
            <w:pPr>
              <w:jc w:val="center"/>
              <w:rPr>
                <w:sz w:val="23"/>
                <w:szCs w:val="23"/>
                <w:lang w:val="lv-LV"/>
              </w:rPr>
            </w:pPr>
            <w:r>
              <w:rPr>
                <w:sz w:val="23"/>
                <w:szCs w:val="23"/>
                <w:lang w:val="lv-LV"/>
              </w:rPr>
              <w:t>566,0</w:t>
            </w:r>
          </w:p>
        </w:tc>
        <w:tc>
          <w:tcPr>
            <w:tcW w:w="704" w:type="pct"/>
            <w:tcBorders>
              <w:top w:val="outset" w:sz="6" w:space="0" w:color="000000"/>
              <w:left w:val="outset" w:sz="6" w:space="0" w:color="000000"/>
              <w:bottom w:val="outset" w:sz="6" w:space="0" w:color="000000"/>
              <w:right w:val="outset" w:sz="6" w:space="0" w:color="000000"/>
            </w:tcBorders>
            <w:vAlign w:val="center"/>
            <w:hideMark/>
          </w:tcPr>
          <w:p w:rsidR="003A4AAD" w:rsidRDefault="003A4AAD">
            <w:pPr>
              <w:jc w:val="center"/>
              <w:rPr>
                <w:sz w:val="23"/>
                <w:szCs w:val="23"/>
                <w:lang w:val="lv-LV"/>
              </w:rPr>
            </w:pPr>
            <w:r>
              <w:rPr>
                <w:sz w:val="23"/>
                <w:szCs w:val="23"/>
                <w:lang w:val="lv-LV"/>
              </w:rPr>
              <w:t>1 362,6</w:t>
            </w:r>
          </w:p>
        </w:tc>
        <w:tc>
          <w:tcPr>
            <w:tcW w:w="781" w:type="pct"/>
            <w:tcBorders>
              <w:top w:val="outset" w:sz="6" w:space="0" w:color="000000"/>
              <w:left w:val="outset" w:sz="6" w:space="0" w:color="000000"/>
              <w:bottom w:val="outset" w:sz="6" w:space="0" w:color="000000"/>
              <w:right w:val="outset" w:sz="6" w:space="0" w:color="000000"/>
            </w:tcBorders>
            <w:vAlign w:val="center"/>
            <w:hideMark/>
          </w:tcPr>
          <w:p w:rsidR="003A4AAD" w:rsidRDefault="003A4AAD">
            <w:pPr>
              <w:jc w:val="center"/>
              <w:rPr>
                <w:sz w:val="23"/>
                <w:szCs w:val="23"/>
                <w:lang w:val="lv-LV"/>
              </w:rPr>
            </w:pPr>
            <w:r>
              <w:rPr>
                <w:sz w:val="23"/>
                <w:szCs w:val="23"/>
                <w:lang w:val="lv-LV"/>
              </w:rPr>
              <w:t>1 362,6</w:t>
            </w:r>
          </w:p>
        </w:tc>
        <w:tc>
          <w:tcPr>
            <w:tcW w:w="782" w:type="pct"/>
            <w:tcBorders>
              <w:top w:val="outset" w:sz="6" w:space="0" w:color="000000"/>
              <w:left w:val="outset" w:sz="6" w:space="0" w:color="000000"/>
              <w:bottom w:val="outset" w:sz="6" w:space="0" w:color="000000"/>
              <w:right w:val="outset" w:sz="6" w:space="0" w:color="000000"/>
            </w:tcBorders>
            <w:vAlign w:val="center"/>
            <w:hideMark/>
          </w:tcPr>
          <w:p w:rsidR="003A4AAD" w:rsidRDefault="003A4AAD">
            <w:pPr>
              <w:jc w:val="center"/>
              <w:rPr>
                <w:sz w:val="23"/>
                <w:szCs w:val="23"/>
                <w:lang w:val="lv-LV"/>
              </w:rPr>
            </w:pPr>
            <w:r>
              <w:rPr>
                <w:sz w:val="23"/>
                <w:szCs w:val="23"/>
                <w:lang w:val="lv-LV"/>
              </w:rPr>
              <w:t>1 362,6</w:t>
            </w:r>
          </w:p>
        </w:tc>
      </w:tr>
      <w:tr w:rsidR="003A4AAD" w:rsidTr="003A4AAD">
        <w:tc>
          <w:tcPr>
            <w:tcW w:w="1304" w:type="pct"/>
            <w:tcBorders>
              <w:top w:val="outset" w:sz="6" w:space="0" w:color="000000"/>
              <w:left w:val="outset" w:sz="6" w:space="0" w:color="000000"/>
              <w:bottom w:val="outset" w:sz="6" w:space="0" w:color="000000"/>
              <w:right w:val="outset" w:sz="6" w:space="0" w:color="000000"/>
            </w:tcBorders>
            <w:hideMark/>
          </w:tcPr>
          <w:p w:rsidR="003A4AAD" w:rsidRDefault="003A4AAD">
            <w:pPr>
              <w:pStyle w:val="Paraststmeklis"/>
              <w:spacing w:before="0" w:beforeAutospacing="0" w:after="0" w:afterAutospacing="0"/>
              <w:jc w:val="both"/>
              <w:rPr>
                <w:sz w:val="23"/>
                <w:szCs w:val="23"/>
                <w:lang w:val="lv-LV"/>
              </w:rPr>
            </w:pPr>
            <w:r>
              <w:rPr>
                <w:sz w:val="23"/>
                <w:szCs w:val="23"/>
                <w:lang w:val="lv-LV"/>
              </w:rPr>
              <w:t>6.2.3. Izdevumi no valsts uzraudzības un kontroles darbībām preču un produktu robežkontrolē (noteikumu Nr.1083 3.pielikums)</w:t>
            </w:r>
          </w:p>
          <w:p w:rsidR="003A4AAD" w:rsidRDefault="003A4AAD">
            <w:pPr>
              <w:pStyle w:val="Paraststmeklis"/>
              <w:spacing w:before="0" w:beforeAutospacing="0" w:after="0" w:afterAutospacing="0"/>
              <w:jc w:val="both"/>
              <w:rPr>
                <w:sz w:val="23"/>
                <w:szCs w:val="23"/>
                <w:lang w:val="lv-LV"/>
              </w:rPr>
            </w:pPr>
            <w:r>
              <w:rPr>
                <w:sz w:val="23"/>
                <w:szCs w:val="23"/>
                <w:lang w:val="lv-LV"/>
              </w:rPr>
              <w:t>(EKK 1000) – 470 239,1 EUR; Preces un pakalpojumi (EKK 2000) – EUR 156 746,4.</w:t>
            </w:r>
          </w:p>
          <w:p w:rsidR="003A4AAD" w:rsidRDefault="003A4AAD">
            <w:pPr>
              <w:pStyle w:val="Paraststmeklis"/>
              <w:spacing w:before="0" w:beforeAutospacing="0" w:after="0" w:afterAutospacing="0"/>
              <w:jc w:val="both"/>
              <w:rPr>
                <w:sz w:val="23"/>
                <w:szCs w:val="23"/>
                <w:lang w:val="lv-LV"/>
              </w:rPr>
            </w:pPr>
            <w:r>
              <w:rPr>
                <w:sz w:val="23"/>
                <w:szCs w:val="23"/>
                <w:lang w:val="lv-LV"/>
              </w:rPr>
              <w:t xml:space="preserve">2015.gada izdevumu palielinājums pa EKK:  Atlīdzība (EKK 1000) – </w:t>
            </w:r>
            <w:r>
              <w:rPr>
                <w:sz w:val="23"/>
                <w:szCs w:val="23"/>
                <w:lang w:val="lv-LV"/>
              </w:rPr>
              <w:lastRenderedPageBreak/>
              <w:t>EUR 43 223,00; Preces un pakalpojumi (EKK 2000) – EUR 14 407,7.</w:t>
            </w:r>
          </w:p>
          <w:p w:rsidR="003A4AAD" w:rsidRDefault="003A4AAD">
            <w:pPr>
              <w:pStyle w:val="Paraststmeklis"/>
              <w:spacing w:before="0" w:beforeAutospacing="0" w:after="0" w:afterAutospacing="0"/>
              <w:jc w:val="both"/>
              <w:rPr>
                <w:sz w:val="23"/>
                <w:szCs w:val="23"/>
                <w:lang w:val="lv-LV"/>
              </w:rPr>
            </w:pPr>
            <w:r>
              <w:rPr>
                <w:sz w:val="23"/>
                <w:szCs w:val="23"/>
                <w:lang w:val="lv-LV"/>
              </w:rPr>
              <w:t>2016.gada un turpmāko gadu izdevumu palielinājuma sadalījums pa EKK: Atlīdzība (EKK 1000) – EUR 104 256,1; Preces un pakalpojumi (EKK 2000) – EUR 34 752,0.</w:t>
            </w:r>
          </w:p>
        </w:tc>
        <w:tc>
          <w:tcPr>
            <w:tcW w:w="695" w:type="pct"/>
            <w:tcBorders>
              <w:top w:val="outset" w:sz="6" w:space="0" w:color="000000"/>
              <w:left w:val="outset" w:sz="6" w:space="0" w:color="000000"/>
              <w:bottom w:val="outset" w:sz="6" w:space="0" w:color="000000"/>
              <w:right w:val="outset" w:sz="6" w:space="0" w:color="000000"/>
            </w:tcBorders>
            <w:vAlign w:val="center"/>
            <w:hideMark/>
          </w:tcPr>
          <w:p w:rsidR="003A4AAD" w:rsidRDefault="003A4AAD">
            <w:pPr>
              <w:jc w:val="center"/>
              <w:rPr>
                <w:sz w:val="23"/>
                <w:szCs w:val="23"/>
                <w:lang w:val="lv-LV"/>
              </w:rPr>
            </w:pPr>
            <w:r>
              <w:rPr>
                <w:sz w:val="23"/>
                <w:szCs w:val="23"/>
                <w:lang w:val="lv-LV"/>
              </w:rPr>
              <w:lastRenderedPageBreak/>
              <w:t>626 985,5</w:t>
            </w:r>
          </w:p>
        </w:tc>
        <w:tc>
          <w:tcPr>
            <w:tcW w:w="734" w:type="pct"/>
            <w:tcBorders>
              <w:top w:val="outset" w:sz="6" w:space="0" w:color="000000"/>
              <w:left w:val="outset" w:sz="6" w:space="0" w:color="000000"/>
              <w:bottom w:val="outset" w:sz="6" w:space="0" w:color="000000"/>
              <w:right w:val="outset" w:sz="6" w:space="0" w:color="000000"/>
            </w:tcBorders>
            <w:vAlign w:val="center"/>
            <w:hideMark/>
          </w:tcPr>
          <w:p w:rsidR="003A4AAD" w:rsidRDefault="003A4AAD">
            <w:pPr>
              <w:jc w:val="center"/>
              <w:rPr>
                <w:sz w:val="23"/>
                <w:szCs w:val="23"/>
                <w:lang w:val="lv-LV"/>
              </w:rPr>
            </w:pPr>
            <w:r>
              <w:rPr>
                <w:sz w:val="23"/>
                <w:szCs w:val="23"/>
                <w:lang w:val="lv-LV"/>
              </w:rPr>
              <w:t>57 630,7</w:t>
            </w:r>
          </w:p>
        </w:tc>
        <w:tc>
          <w:tcPr>
            <w:tcW w:w="704" w:type="pct"/>
            <w:tcBorders>
              <w:top w:val="outset" w:sz="6" w:space="0" w:color="000000"/>
              <w:left w:val="outset" w:sz="6" w:space="0" w:color="000000"/>
              <w:bottom w:val="outset" w:sz="6" w:space="0" w:color="000000"/>
              <w:right w:val="outset" w:sz="6" w:space="0" w:color="000000"/>
            </w:tcBorders>
            <w:vAlign w:val="center"/>
            <w:hideMark/>
          </w:tcPr>
          <w:p w:rsidR="003A4AAD" w:rsidRDefault="003A4AAD">
            <w:pPr>
              <w:jc w:val="center"/>
              <w:rPr>
                <w:sz w:val="23"/>
                <w:szCs w:val="23"/>
                <w:lang w:val="lv-LV"/>
              </w:rPr>
            </w:pPr>
            <w:r>
              <w:rPr>
                <w:sz w:val="23"/>
                <w:szCs w:val="23"/>
                <w:lang w:val="lv-LV"/>
              </w:rPr>
              <w:t>139 008,1</w:t>
            </w:r>
          </w:p>
        </w:tc>
        <w:tc>
          <w:tcPr>
            <w:tcW w:w="781" w:type="pct"/>
            <w:tcBorders>
              <w:top w:val="outset" w:sz="6" w:space="0" w:color="000000"/>
              <w:left w:val="outset" w:sz="6" w:space="0" w:color="000000"/>
              <w:bottom w:val="outset" w:sz="6" w:space="0" w:color="000000"/>
              <w:right w:val="outset" w:sz="6" w:space="0" w:color="000000"/>
            </w:tcBorders>
            <w:vAlign w:val="center"/>
            <w:hideMark/>
          </w:tcPr>
          <w:p w:rsidR="003A4AAD" w:rsidRDefault="003A4AAD">
            <w:pPr>
              <w:jc w:val="center"/>
              <w:rPr>
                <w:sz w:val="23"/>
                <w:szCs w:val="23"/>
                <w:lang w:val="lv-LV"/>
              </w:rPr>
            </w:pPr>
            <w:r>
              <w:rPr>
                <w:sz w:val="23"/>
                <w:szCs w:val="23"/>
                <w:lang w:val="lv-LV"/>
              </w:rPr>
              <w:t>139 008,1</w:t>
            </w:r>
          </w:p>
        </w:tc>
        <w:tc>
          <w:tcPr>
            <w:tcW w:w="782" w:type="pct"/>
            <w:tcBorders>
              <w:top w:val="outset" w:sz="6" w:space="0" w:color="000000"/>
              <w:left w:val="outset" w:sz="6" w:space="0" w:color="000000"/>
              <w:bottom w:val="outset" w:sz="6" w:space="0" w:color="000000"/>
              <w:right w:val="outset" w:sz="6" w:space="0" w:color="000000"/>
            </w:tcBorders>
            <w:vAlign w:val="center"/>
            <w:hideMark/>
          </w:tcPr>
          <w:p w:rsidR="003A4AAD" w:rsidRDefault="003A4AAD">
            <w:pPr>
              <w:jc w:val="center"/>
              <w:rPr>
                <w:sz w:val="23"/>
                <w:szCs w:val="23"/>
                <w:lang w:val="lv-LV"/>
              </w:rPr>
            </w:pPr>
            <w:r>
              <w:rPr>
                <w:sz w:val="23"/>
                <w:szCs w:val="23"/>
                <w:lang w:val="lv-LV"/>
              </w:rPr>
              <w:t>139 008,1</w:t>
            </w:r>
          </w:p>
        </w:tc>
      </w:tr>
      <w:tr w:rsidR="003A4AAD" w:rsidTr="003A4AAD">
        <w:tc>
          <w:tcPr>
            <w:tcW w:w="1304" w:type="pct"/>
            <w:tcBorders>
              <w:top w:val="outset" w:sz="6" w:space="0" w:color="000000"/>
              <w:left w:val="outset" w:sz="6" w:space="0" w:color="000000"/>
              <w:bottom w:val="outset" w:sz="6" w:space="0" w:color="000000"/>
              <w:right w:val="outset" w:sz="6" w:space="0" w:color="000000"/>
            </w:tcBorders>
            <w:hideMark/>
          </w:tcPr>
          <w:p w:rsidR="003A4AAD" w:rsidRDefault="003A4AAD">
            <w:pPr>
              <w:pStyle w:val="Paraststmeklis"/>
              <w:spacing w:before="0" w:beforeAutospacing="0" w:after="0" w:afterAutospacing="0"/>
              <w:jc w:val="both"/>
              <w:rPr>
                <w:sz w:val="23"/>
                <w:szCs w:val="23"/>
                <w:lang w:val="lv-LV"/>
              </w:rPr>
            </w:pPr>
            <w:r>
              <w:rPr>
                <w:sz w:val="23"/>
                <w:szCs w:val="23"/>
                <w:lang w:val="lv-LV"/>
              </w:rPr>
              <w:lastRenderedPageBreak/>
              <w:t>6.2.4. Izdevumi par papildu oficiālās kontroles veikšanu (noteikumu Nr.1083 4.pielikums)</w:t>
            </w:r>
          </w:p>
          <w:p w:rsidR="003A4AAD" w:rsidRDefault="003A4AAD">
            <w:pPr>
              <w:pStyle w:val="Paraststmeklis"/>
              <w:spacing w:before="0" w:beforeAutospacing="0" w:after="0" w:afterAutospacing="0"/>
              <w:jc w:val="both"/>
              <w:rPr>
                <w:sz w:val="23"/>
                <w:szCs w:val="23"/>
                <w:lang w:val="lv-LV"/>
              </w:rPr>
            </w:pPr>
            <w:r>
              <w:rPr>
                <w:sz w:val="23"/>
                <w:szCs w:val="23"/>
                <w:lang w:val="lv-LV"/>
              </w:rPr>
              <w:t>2015.gada izdevumu sadalījums pa EKK: Atlīdzība (EKK 1000) – EUR 9 977,0; Preces un pakalpojumi (EKK 2000) – EUR 10 338,7.</w:t>
            </w:r>
          </w:p>
          <w:p w:rsidR="003A4AAD" w:rsidRDefault="003A4AAD">
            <w:pPr>
              <w:pStyle w:val="Paraststmeklis"/>
              <w:spacing w:before="0" w:beforeAutospacing="0" w:after="0" w:afterAutospacing="0"/>
              <w:jc w:val="both"/>
              <w:rPr>
                <w:sz w:val="23"/>
                <w:szCs w:val="23"/>
                <w:lang w:val="lv-LV"/>
              </w:rPr>
            </w:pPr>
            <w:r>
              <w:rPr>
                <w:sz w:val="23"/>
                <w:szCs w:val="23"/>
                <w:lang w:val="lv-LV"/>
              </w:rPr>
              <w:t>2015.gada izdevumu palielinājums pa EKK:  Atlīdzība (EKK 1000) – EUR 356,3; Preces un pakalpojumi (EKK 2000) – EUR 417,9.</w:t>
            </w:r>
          </w:p>
          <w:p w:rsidR="003A4AAD" w:rsidRDefault="003A4AAD">
            <w:pPr>
              <w:pStyle w:val="Paraststmeklis"/>
              <w:spacing w:before="0" w:beforeAutospacing="0" w:after="0" w:afterAutospacing="0"/>
              <w:jc w:val="both"/>
              <w:rPr>
                <w:sz w:val="23"/>
                <w:szCs w:val="23"/>
                <w:lang w:val="lv-LV"/>
              </w:rPr>
            </w:pPr>
            <w:r>
              <w:rPr>
                <w:sz w:val="23"/>
                <w:szCs w:val="23"/>
                <w:lang w:val="lv-LV"/>
              </w:rPr>
              <w:t>2016.gada un turpmāko gadu izdevumu palielinājuma sadalījums pa EKK: Atlīdzība (EKK 1000) – EUR 858,7; Preces un pakalpojumi (EKK 2000) – EUR 1 007,2.</w:t>
            </w:r>
          </w:p>
        </w:tc>
        <w:tc>
          <w:tcPr>
            <w:tcW w:w="695" w:type="pct"/>
            <w:tcBorders>
              <w:top w:val="outset" w:sz="6" w:space="0" w:color="000000"/>
              <w:left w:val="outset" w:sz="6" w:space="0" w:color="000000"/>
              <w:bottom w:val="outset" w:sz="6" w:space="0" w:color="000000"/>
              <w:right w:val="outset" w:sz="6" w:space="0" w:color="000000"/>
            </w:tcBorders>
            <w:vAlign w:val="center"/>
            <w:hideMark/>
          </w:tcPr>
          <w:p w:rsidR="003A4AAD" w:rsidRDefault="003A4AAD">
            <w:pPr>
              <w:jc w:val="center"/>
              <w:rPr>
                <w:sz w:val="23"/>
                <w:szCs w:val="23"/>
                <w:lang w:val="lv-LV"/>
              </w:rPr>
            </w:pPr>
            <w:r>
              <w:rPr>
                <w:sz w:val="23"/>
                <w:szCs w:val="23"/>
                <w:lang w:val="lv-LV"/>
              </w:rPr>
              <w:t>20 315,7</w:t>
            </w:r>
          </w:p>
        </w:tc>
        <w:tc>
          <w:tcPr>
            <w:tcW w:w="734" w:type="pct"/>
            <w:tcBorders>
              <w:top w:val="outset" w:sz="6" w:space="0" w:color="000000"/>
              <w:left w:val="outset" w:sz="6" w:space="0" w:color="000000"/>
              <w:bottom w:val="outset" w:sz="6" w:space="0" w:color="000000"/>
              <w:right w:val="outset" w:sz="6" w:space="0" w:color="000000"/>
            </w:tcBorders>
            <w:vAlign w:val="center"/>
            <w:hideMark/>
          </w:tcPr>
          <w:p w:rsidR="003A4AAD" w:rsidRDefault="003A4AAD">
            <w:pPr>
              <w:jc w:val="center"/>
              <w:rPr>
                <w:sz w:val="23"/>
                <w:szCs w:val="23"/>
                <w:lang w:val="lv-LV"/>
              </w:rPr>
            </w:pPr>
            <w:r>
              <w:rPr>
                <w:sz w:val="23"/>
                <w:szCs w:val="23"/>
                <w:lang w:val="lv-LV"/>
              </w:rPr>
              <w:t>774,2</w:t>
            </w:r>
          </w:p>
        </w:tc>
        <w:tc>
          <w:tcPr>
            <w:tcW w:w="704" w:type="pct"/>
            <w:tcBorders>
              <w:top w:val="outset" w:sz="6" w:space="0" w:color="000000"/>
              <w:left w:val="outset" w:sz="6" w:space="0" w:color="000000"/>
              <w:bottom w:val="outset" w:sz="6" w:space="0" w:color="000000"/>
              <w:right w:val="outset" w:sz="6" w:space="0" w:color="000000"/>
            </w:tcBorders>
            <w:vAlign w:val="center"/>
            <w:hideMark/>
          </w:tcPr>
          <w:p w:rsidR="003A4AAD" w:rsidRDefault="003A4AAD">
            <w:pPr>
              <w:jc w:val="center"/>
              <w:rPr>
                <w:sz w:val="23"/>
                <w:szCs w:val="23"/>
                <w:lang w:val="lv-LV"/>
              </w:rPr>
            </w:pPr>
            <w:r>
              <w:rPr>
                <w:sz w:val="23"/>
                <w:szCs w:val="23"/>
                <w:lang w:val="lv-LV"/>
              </w:rPr>
              <w:t>1 865,9</w:t>
            </w:r>
          </w:p>
        </w:tc>
        <w:tc>
          <w:tcPr>
            <w:tcW w:w="781" w:type="pct"/>
            <w:tcBorders>
              <w:top w:val="outset" w:sz="6" w:space="0" w:color="000000"/>
              <w:left w:val="outset" w:sz="6" w:space="0" w:color="000000"/>
              <w:bottom w:val="outset" w:sz="6" w:space="0" w:color="000000"/>
              <w:right w:val="outset" w:sz="6" w:space="0" w:color="000000"/>
            </w:tcBorders>
            <w:vAlign w:val="center"/>
            <w:hideMark/>
          </w:tcPr>
          <w:p w:rsidR="003A4AAD" w:rsidRDefault="003A4AAD">
            <w:pPr>
              <w:jc w:val="center"/>
              <w:rPr>
                <w:sz w:val="23"/>
                <w:szCs w:val="23"/>
                <w:lang w:val="lv-LV"/>
              </w:rPr>
            </w:pPr>
            <w:r>
              <w:rPr>
                <w:sz w:val="23"/>
                <w:szCs w:val="23"/>
                <w:lang w:val="lv-LV"/>
              </w:rPr>
              <w:t>1 865,9</w:t>
            </w:r>
          </w:p>
        </w:tc>
        <w:tc>
          <w:tcPr>
            <w:tcW w:w="782" w:type="pct"/>
            <w:tcBorders>
              <w:top w:val="outset" w:sz="6" w:space="0" w:color="000000"/>
              <w:left w:val="outset" w:sz="6" w:space="0" w:color="000000"/>
              <w:bottom w:val="outset" w:sz="6" w:space="0" w:color="000000"/>
              <w:right w:val="outset" w:sz="6" w:space="0" w:color="000000"/>
            </w:tcBorders>
            <w:vAlign w:val="center"/>
            <w:hideMark/>
          </w:tcPr>
          <w:p w:rsidR="003A4AAD" w:rsidRDefault="003A4AAD">
            <w:pPr>
              <w:jc w:val="center"/>
              <w:rPr>
                <w:sz w:val="23"/>
                <w:szCs w:val="23"/>
                <w:lang w:val="lv-LV"/>
              </w:rPr>
            </w:pPr>
            <w:r>
              <w:rPr>
                <w:sz w:val="23"/>
                <w:szCs w:val="23"/>
                <w:lang w:val="lv-LV"/>
              </w:rPr>
              <w:t>1 865,9</w:t>
            </w:r>
          </w:p>
        </w:tc>
      </w:tr>
      <w:tr w:rsidR="003A4AAD" w:rsidRPr="005B26B8" w:rsidTr="003A4AAD">
        <w:tc>
          <w:tcPr>
            <w:tcW w:w="1304" w:type="pct"/>
            <w:tcBorders>
              <w:top w:val="outset" w:sz="6" w:space="0" w:color="000000"/>
              <w:left w:val="outset" w:sz="6" w:space="0" w:color="000000"/>
              <w:bottom w:val="outset" w:sz="6" w:space="0" w:color="000000"/>
              <w:right w:val="outset" w:sz="6" w:space="0" w:color="000000"/>
            </w:tcBorders>
            <w:hideMark/>
          </w:tcPr>
          <w:p w:rsidR="003A4AAD" w:rsidRDefault="003A4AAD">
            <w:pPr>
              <w:pStyle w:val="Paraststmeklis"/>
              <w:spacing w:before="0" w:beforeAutospacing="0" w:after="0" w:afterAutospacing="0"/>
              <w:rPr>
                <w:sz w:val="23"/>
                <w:szCs w:val="23"/>
                <w:lang w:val="lv-LV"/>
              </w:rPr>
            </w:pPr>
            <w:r>
              <w:rPr>
                <w:sz w:val="23"/>
                <w:szCs w:val="23"/>
                <w:lang w:val="lv-LV"/>
              </w:rPr>
              <w:t>7. Cita informācija</w:t>
            </w:r>
          </w:p>
        </w:tc>
        <w:tc>
          <w:tcPr>
            <w:tcW w:w="3696" w:type="pct"/>
            <w:gridSpan w:val="5"/>
            <w:tcBorders>
              <w:top w:val="outset" w:sz="6" w:space="0" w:color="000000"/>
              <w:left w:val="outset" w:sz="6" w:space="0" w:color="000000"/>
              <w:bottom w:val="outset" w:sz="6" w:space="0" w:color="000000"/>
              <w:right w:val="outset" w:sz="6" w:space="0" w:color="000000"/>
            </w:tcBorders>
            <w:hideMark/>
          </w:tcPr>
          <w:p w:rsidR="003A4AAD" w:rsidRDefault="003A4AAD">
            <w:pPr>
              <w:jc w:val="both"/>
              <w:rPr>
                <w:sz w:val="23"/>
                <w:szCs w:val="23"/>
                <w:lang w:val="lv-LV"/>
              </w:rPr>
            </w:pPr>
            <w:r>
              <w:rPr>
                <w:sz w:val="23"/>
                <w:szCs w:val="23"/>
                <w:lang w:val="lv-LV"/>
              </w:rPr>
              <w:t>Pēc noteikumu projekta pieņemšanas 2015.gadā papildus tiek plānoti ieņēmumi EUR 65 343,0 apmērā, kur finansējuma atlīdzībai EKK 1000 ir EUR 47 144,9 un precēm un pakalpojumiem EKK 2000 ir EUR 18</w:t>
            </w:r>
            <w:r w:rsidR="005358F3">
              <w:rPr>
                <w:sz w:val="23"/>
                <w:szCs w:val="23"/>
                <w:lang w:val="lv-LV"/>
              </w:rPr>
              <w:t> </w:t>
            </w:r>
            <w:r>
              <w:rPr>
                <w:sz w:val="23"/>
                <w:szCs w:val="23"/>
                <w:lang w:val="lv-LV"/>
              </w:rPr>
              <w:t>198,1; 2016.gadā un turpmāk ik gadu tiek plānoti papildu ieņēmumi EUR 157 650,9 apmērā, kur finansējums atlīdzībai EKK 1000 ir EUR 113 759,7 un precēm un pakalpojumiem EKK 2000 ir EUR 43 891,2.</w:t>
            </w:r>
          </w:p>
          <w:p w:rsidR="003A4AAD" w:rsidRDefault="003A4AAD">
            <w:pPr>
              <w:jc w:val="both"/>
              <w:rPr>
                <w:sz w:val="23"/>
                <w:szCs w:val="23"/>
                <w:lang w:val="lv-LV"/>
              </w:rPr>
            </w:pPr>
            <w:r>
              <w:rPr>
                <w:sz w:val="23"/>
                <w:szCs w:val="23"/>
                <w:lang w:val="lv-LV"/>
              </w:rPr>
              <w:t>PVD sniegto pakalpojumu izcenojuma aprēķinu atbilstoši Ministru kabineta 2011.gada 3.maija noteikumiem Nr.333 „Kārtība, kādā plānojami un uzskaitāmi ieņēmumi no maksas pakalpojumiem un ar šo pakalpojumu sniegšanu saistītie izdevumi, kā arī maksas pakalpojumu izcenojumu noteikšanas metodika un izcenojumu aprēķināšanas kārtība” skatīt anotācijas pielikumos.</w:t>
            </w:r>
          </w:p>
        </w:tc>
      </w:tr>
    </w:tbl>
    <w:p w:rsidR="004F7459" w:rsidRPr="00692F5C" w:rsidRDefault="004F7459" w:rsidP="005D73DE">
      <w:pPr>
        <w:jc w:val="both"/>
        <w:rPr>
          <w:lang w:val="lv-LV" w:eastAsia="lv-LV"/>
        </w:rPr>
      </w:pPr>
    </w:p>
    <w:p w:rsidR="000827FB" w:rsidRPr="00692F5C" w:rsidRDefault="000827FB" w:rsidP="00C21DCA">
      <w:pPr>
        <w:jc w:val="both"/>
        <w:rPr>
          <w:i/>
          <w:lang w:val="lv-LV"/>
        </w:rPr>
      </w:pPr>
      <w:r w:rsidRPr="00692F5C">
        <w:rPr>
          <w:i/>
          <w:lang w:val="lv-LV"/>
        </w:rPr>
        <w:t>Anotācijas IV sadaļa – projekts š</w:t>
      </w:r>
      <w:r w:rsidR="00114D64">
        <w:rPr>
          <w:i/>
          <w:lang w:val="lv-LV"/>
        </w:rPr>
        <w:t>o</w:t>
      </w:r>
      <w:r w:rsidRPr="00692F5C">
        <w:rPr>
          <w:i/>
          <w:lang w:val="lv-LV"/>
        </w:rPr>
        <w:t xml:space="preserve"> jom</w:t>
      </w:r>
      <w:r w:rsidR="00114D64">
        <w:rPr>
          <w:i/>
          <w:lang w:val="lv-LV"/>
        </w:rPr>
        <w:t>u</w:t>
      </w:r>
      <w:r w:rsidRPr="00692F5C">
        <w:rPr>
          <w:i/>
          <w:lang w:val="lv-LV"/>
        </w:rPr>
        <w:t xml:space="preserve"> neskar.</w:t>
      </w:r>
    </w:p>
    <w:p w:rsidR="00B02ED1" w:rsidRDefault="00B02ED1" w:rsidP="00C21DCA">
      <w:pPr>
        <w:jc w:val="both"/>
        <w:rPr>
          <w:lang w:val="lv-LV"/>
        </w:rPr>
      </w:pPr>
    </w:p>
    <w:tbl>
      <w:tblPr>
        <w:tblW w:w="5009" w:type="pct"/>
        <w:tblInd w:w="-1"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6"/>
        <w:gridCol w:w="491"/>
        <w:gridCol w:w="2276"/>
        <w:gridCol w:w="659"/>
        <w:gridCol w:w="1469"/>
        <w:gridCol w:w="1983"/>
        <w:gridCol w:w="2248"/>
        <w:gridCol w:w="15"/>
      </w:tblGrid>
      <w:tr w:rsidR="00A67AFC" w:rsidRPr="005358F3" w:rsidTr="00075D5F">
        <w:trPr>
          <w:gridAfter w:val="1"/>
          <w:wAfter w:w="8" w:type="pct"/>
        </w:trPr>
        <w:tc>
          <w:tcPr>
            <w:tcW w:w="4992" w:type="pct"/>
            <w:gridSpan w:val="7"/>
            <w:tcBorders>
              <w:top w:val="single" w:sz="4" w:space="0" w:color="auto"/>
              <w:left w:val="single" w:sz="4" w:space="0" w:color="auto"/>
              <w:bottom w:val="outset" w:sz="6" w:space="0" w:color="000000"/>
              <w:right w:val="single" w:sz="4" w:space="0" w:color="auto"/>
            </w:tcBorders>
          </w:tcPr>
          <w:p w:rsidR="00A67AFC" w:rsidRPr="00536C83" w:rsidRDefault="00A67AFC" w:rsidP="00D11E85">
            <w:pPr>
              <w:jc w:val="center"/>
              <w:rPr>
                <w:b/>
                <w:bCs/>
                <w:lang w:val="lv-LV"/>
              </w:rPr>
            </w:pPr>
            <w:r w:rsidRPr="00E00800">
              <w:rPr>
                <w:b/>
                <w:bCs/>
                <w:lang w:val="lv-LV"/>
              </w:rPr>
              <w:lastRenderedPageBreak/>
              <w:t>V. Tiesību akta projekta atbilstība Latvijas Republikas starptautiskajām saistībām</w:t>
            </w:r>
          </w:p>
        </w:tc>
      </w:tr>
      <w:tr w:rsidR="00A67AFC" w:rsidRPr="005358F3" w:rsidTr="0099055D">
        <w:trPr>
          <w:gridAfter w:val="1"/>
          <w:wAfter w:w="8" w:type="pct"/>
        </w:trPr>
        <w:tc>
          <w:tcPr>
            <w:tcW w:w="272" w:type="pct"/>
            <w:gridSpan w:val="2"/>
            <w:tcBorders>
              <w:top w:val="outset" w:sz="6" w:space="0" w:color="000000"/>
              <w:left w:val="outset" w:sz="6" w:space="0" w:color="000000"/>
              <w:bottom w:val="outset" w:sz="6" w:space="0" w:color="000000"/>
              <w:right w:val="outset" w:sz="6" w:space="0" w:color="000000"/>
            </w:tcBorders>
          </w:tcPr>
          <w:p w:rsidR="00A67AFC" w:rsidRPr="00281E8A" w:rsidRDefault="00A67AFC" w:rsidP="00D11E85">
            <w:pPr>
              <w:rPr>
                <w:lang w:val="lv-LV"/>
              </w:rPr>
            </w:pPr>
            <w:r w:rsidRPr="00281E8A">
              <w:rPr>
                <w:lang w:val="lv-LV"/>
              </w:rPr>
              <w:t>1.</w:t>
            </w:r>
          </w:p>
        </w:tc>
        <w:tc>
          <w:tcPr>
            <w:tcW w:w="1604" w:type="pct"/>
            <w:gridSpan w:val="2"/>
            <w:tcBorders>
              <w:top w:val="outset" w:sz="6" w:space="0" w:color="000000"/>
              <w:left w:val="outset" w:sz="6" w:space="0" w:color="000000"/>
              <w:bottom w:val="outset" w:sz="6" w:space="0" w:color="000000"/>
              <w:right w:val="outset" w:sz="6" w:space="0" w:color="000000"/>
            </w:tcBorders>
          </w:tcPr>
          <w:p w:rsidR="00A67AFC" w:rsidRPr="00281E8A" w:rsidRDefault="00A67AFC" w:rsidP="00D11E85">
            <w:pPr>
              <w:rPr>
                <w:lang w:val="lv-LV"/>
              </w:rPr>
            </w:pPr>
            <w:r w:rsidRPr="00281E8A">
              <w:rPr>
                <w:lang w:val="lv-LV"/>
              </w:rPr>
              <w:t>Saistības pret Eiropas Savienību</w:t>
            </w:r>
          </w:p>
        </w:tc>
        <w:tc>
          <w:tcPr>
            <w:tcW w:w="3116" w:type="pct"/>
            <w:gridSpan w:val="3"/>
            <w:tcBorders>
              <w:top w:val="outset" w:sz="6" w:space="0" w:color="000000"/>
              <w:left w:val="outset" w:sz="6" w:space="0" w:color="000000"/>
              <w:bottom w:val="outset" w:sz="6" w:space="0" w:color="000000"/>
              <w:right w:val="outset" w:sz="6" w:space="0" w:color="000000"/>
            </w:tcBorders>
          </w:tcPr>
          <w:p w:rsidR="00A67AFC" w:rsidRPr="00281E8A" w:rsidRDefault="00405646" w:rsidP="000C6DAC">
            <w:pPr>
              <w:jc w:val="both"/>
              <w:rPr>
                <w:lang w:val="lv-LV"/>
              </w:rPr>
            </w:pPr>
            <w:r w:rsidRPr="00E85698">
              <w:rPr>
                <w:lang w:val="lv-LV"/>
              </w:rPr>
              <w:t>Eiropas Parlamenta un Padomes 2012.gada 21.novembra Regula (ES) Nr.1151/2012 par lauksaimniecības produktu un pārtikas produktu kvalitātes shēmām</w:t>
            </w:r>
            <w:r w:rsidR="000E0640">
              <w:rPr>
                <w:lang w:val="lv-LV"/>
              </w:rPr>
              <w:t xml:space="preserve"> (turpmāk – Regula Nr.1151/2012).</w:t>
            </w:r>
          </w:p>
        </w:tc>
      </w:tr>
      <w:tr w:rsidR="00A67AFC" w:rsidRPr="00281E8A" w:rsidTr="0099055D">
        <w:trPr>
          <w:gridAfter w:val="1"/>
          <w:wAfter w:w="8" w:type="pct"/>
        </w:trPr>
        <w:tc>
          <w:tcPr>
            <w:tcW w:w="272" w:type="pct"/>
            <w:gridSpan w:val="2"/>
            <w:tcBorders>
              <w:top w:val="outset" w:sz="6" w:space="0" w:color="000000"/>
              <w:left w:val="outset" w:sz="6" w:space="0" w:color="000000"/>
              <w:bottom w:val="outset" w:sz="6" w:space="0" w:color="000000"/>
              <w:right w:val="outset" w:sz="6" w:space="0" w:color="000000"/>
            </w:tcBorders>
          </w:tcPr>
          <w:p w:rsidR="00A67AFC" w:rsidRPr="00281E8A" w:rsidRDefault="00A67AFC" w:rsidP="00D11E85">
            <w:pPr>
              <w:rPr>
                <w:lang w:val="lv-LV"/>
              </w:rPr>
            </w:pPr>
            <w:r w:rsidRPr="00281E8A">
              <w:rPr>
                <w:lang w:val="lv-LV"/>
              </w:rPr>
              <w:t>2.</w:t>
            </w:r>
          </w:p>
        </w:tc>
        <w:tc>
          <w:tcPr>
            <w:tcW w:w="1604" w:type="pct"/>
            <w:gridSpan w:val="2"/>
            <w:tcBorders>
              <w:top w:val="outset" w:sz="6" w:space="0" w:color="000000"/>
              <w:left w:val="outset" w:sz="6" w:space="0" w:color="000000"/>
              <w:bottom w:val="outset" w:sz="6" w:space="0" w:color="000000"/>
              <w:right w:val="outset" w:sz="6" w:space="0" w:color="000000"/>
            </w:tcBorders>
          </w:tcPr>
          <w:p w:rsidR="00A67AFC" w:rsidRPr="00281E8A" w:rsidRDefault="00A67AFC" w:rsidP="00D11E85">
            <w:pPr>
              <w:rPr>
                <w:lang w:val="lv-LV"/>
              </w:rPr>
            </w:pPr>
            <w:r w:rsidRPr="00281E8A">
              <w:rPr>
                <w:lang w:val="lv-LV"/>
              </w:rPr>
              <w:t>Citas starptautiskās saistības</w:t>
            </w:r>
          </w:p>
        </w:tc>
        <w:tc>
          <w:tcPr>
            <w:tcW w:w="3116" w:type="pct"/>
            <w:gridSpan w:val="3"/>
            <w:tcBorders>
              <w:top w:val="outset" w:sz="6" w:space="0" w:color="000000"/>
              <w:left w:val="outset" w:sz="6" w:space="0" w:color="000000"/>
              <w:bottom w:val="outset" w:sz="6" w:space="0" w:color="000000"/>
              <w:right w:val="outset" w:sz="6" w:space="0" w:color="000000"/>
            </w:tcBorders>
          </w:tcPr>
          <w:p w:rsidR="00A67AFC" w:rsidRPr="00281E8A" w:rsidRDefault="00A67AFC" w:rsidP="00D11E85">
            <w:pPr>
              <w:rPr>
                <w:lang w:val="lv-LV"/>
              </w:rPr>
            </w:pPr>
            <w:r w:rsidRPr="00281E8A">
              <w:rPr>
                <w:lang w:val="lv-LV"/>
              </w:rPr>
              <w:t>Projekts šo jomu neskar.</w:t>
            </w:r>
          </w:p>
        </w:tc>
      </w:tr>
      <w:tr w:rsidR="00A67AFC" w:rsidRPr="00281E8A" w:rsidTr="0099055D">
        <w:trPr>
          <w:gridAfter w:val="1"/>
          <w:wAfter w:w="8" w:type="pct"/>
        </w:trPr>
        <w:tc>
          <w:tcPr>
            <w:tcW w:w="272" w:type="pct"/>
            <w:gridSpan w:val="2"/>
            <w:tcBorders>
              <w:top w:val="outset" w:sz="6" w:space="0" w:color="000000"/>
              <w:left w:val="outset" w:sz="6" w:space="0" w:color="000000"/>
              <w:bottom w:val="outset" w:sz="6" w:space="0" w:color="000000"/>
              <w:right w:val="outset" w:sz="6" w:space="0" w:color="000000"/>
            </w:tcBorders>
          </w:tcPr>
          <w:p w:rsidR="00A67AFC" w:rsidRPr="00281E8A" w:rsidRDefault="00A67AFC" w:rsidP="00D11E85">
            <w:pPr>
              <w:rPr>
                <w:lang w:val="lv-LV"/>
              </w:rPr>
            </w:pPr>
            <w:r w:rsidRPr="00281E8A">
              <w:rPr>
                <w:lang w:val="lv-LV"/>
              </w:rPr>
              <w:t>3.</w:t>
            </w:r>
          </w:p>
        </w:tc>
        <w:tc>
          <w:tcPr>
            <w:tcW w:w="1604" w:type="pct"/>
            <w:gridSpan w:val="2"/>
            <w:tcBorders>
              <w:top w:val="outset" w:sz="6" w:space="0" w:color="000000"/>
              <w:left w:val="outset" w:sz="6" w:space="0" w:color="000000"/>
              <w:bottom w:val="outset" w:sz="6" w:space="0" w:color="000000"/>
              <w:right w:val="outset" w:sz="6" w:space="0" w:color="000000"/>
            </w:tcBorders>
          </w:tcPr>
          <w:p w:rsidR="00A67AFC" w:rsidRPr="00281E8A" w:rsidRDefault="00A67AFC" w:rsidP="00D11E85">
            <w:pPr>
              <w:rPr>
                <w:lang w:val="lv-LV"/>
              </w:rPr>
            </w:pPr>
            <w:r w:rsidRPr="00281E8A">
              <w:rPr>
                <w:lang w:val="lv-LV"/>
              </w:rPr>
              <w:t>Cita informācija</w:t>
            </w:r>
          </w:p>
        </w:tc>
        <w:tc>
          <w:tcPr>
            <w:tcW w:w="3116" w:type="pct"/>
            <w:gridSpan w:val="3"/>
            <w:tcBorders>
              <w:top w:val="outset" w:sz="6" w:space="0" w:color="000000"/>
              <w:left w:val="outset" w:sz="6" w:space="0" w:color="000000"/>
              <w:bottom w:val="outset" w:sz="6" w:space="0" w:color="000000"/>
              <w:right w:val="outset" w:sz="6" w:space="0" w:color="000000"/>
            </w:tcBorders>
          </w:tcPr>
          <w:p w:rsidR="00A67AFC" w:rsidRPr="00281E8A" w:rsidRDefault="00A67AFC" w:rsidP="00D11E85">
            <w:pPr>
              <w:rPr>
                <w:lang w:val="lv-LV"/>
              </w:rPr>
            </w:pPr>
            <w:r w:rsidRPr="00281E8A">
              <w:rPr>
                <w:lang w:val="lv-LV"/>
              </w:rPr>
              <w:t>Nav.</w:t>
            </w:r>
          </w:p>
        </w:tc>
      </w:tr>
      <w:tr w:rsidR="00A67AFC" w:rsidRPr="005358F3" w:rsidTr="00075D5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3" w:type="pct"/>
          <w:trHeight w:val="523"/>
          <w:jc w:val="center"/>
        </w:trPr>
        <w:tc>
          <w:tcPr>
            <w:tcW w:w="4997" w:type="pct"/>
            <w:gridSpan w:val="7"/>
            <w:vAlign w:val="center"/>
          </w:tcPr>
          <w:p w:rsidR="00A67AFC" w:rsidRPr="00281E8A" w:rsidRDefault="00A67AFC" w:rsidP="00D11E85">
            <w:pPr>
              <w:pStyle w:val="naisnod"/>
              <w:spacing w:before="0" w:after="0"/>
            </w:pPr>
            <w:r w:rsidRPr="00281E8A">
              <w:t>1.tabula</w:t>
            </w:r>
          </w:p>
          <w:p w:rsidR="00A67AFC" w:rsidRPr="00281E8A" w:rsidRDefault="00A67AFC" w:rsidP="00D11E85">
            <w:pPr>
              <w:pStyle w:val="naisnod"/>
              <w:spacing w:before="0" w:after="0"/>
              <w:rPr>
                <w:i/>
              </w:rPr>
            </w:pPr>
            <w:r w:rsidRPr="00281E8A">
              <w:t>Tiesību akta projekta atbilstība ES tiesību aktiem</w:t>
            </w:r>
          </w:p>
        </w:tc>
      </w:tr>
      <w:tr w:rsidR="00A67AFC" w:rsidRPr="00281E8A" w:rsidTr="00075D5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3" w:type="pct"/>
          <w:trHeight w:val="906"/>
          <w:jc w:val="center"/>
        </w:trPr>
        <w:tc>
          <w:tcPr>
            <w:tcW w:w="1513" w:type="pct"/>
            <w:gridSpan w:val="2"/>
            <w:vAlign w:val="center"/>
          </w:tcPr>
          <w:p w:rsidR="00A67AFC" w:rsidRPr="00281E8A" w:rsidRDefault="00A67AFC" w:rsidP="00D11E85">
            <w:pPr>
              <w:pStyle w:val="naiskr"/>
              <w:spacing w:before="0" w:beforeAutospacing="0" w:after="0" w:afterAutospacing="0"/>
              <w:ind w:hanging="10"/>
              <w:jc w:val="center"/>
            </w:pPr>
            <w:r w:rsidRPr="00281E8A">
              <w:t>Attiecīgā ES tiesību akta datums, numurs un nosaukums</w:t>
            </w:r>
          </w:p>
        </w:tc>
        <w:tc>
          <w:tcPr>
            <w:tcW w:w="3484" w:type="pct"/>
            <w:gridSpan w:val="5"/>
          </w:tcPr>
          <w:p w:rsidR="00A67AFC" w:rsidRPr="00281E8A" w:rsidRDefault="000E0640" w:rsidP="00D11E85">
            <w:pPr>
              <w:pStyle w:val="naiskr"/>
              <w:spacing w:before="0" w:beforeAutospacing="0" w:after="0" w:afterAutospacing="0"/>
              <w:rPr>
                <w:color w:val="000000"/>
              </w:rPr>
            </w:pPr>
            <w:r>
              <w:t>Regula Nr.1151/2012.</w:t>
            </w:r>
          </w:p>
        </w:tc>
      </w:tr>
      <w:tr w:rsidR="00A67AFC" w:rsidRPr="00281E8A" w:rsidTr="0099055D">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3" w:type="pct"/>
          <w:trHeight w:val="165"/>
          <w:jc w:val="center"/>
        </w:trPr>
        <w:tc>
          <w:tcPr>
            <w:tcW w:w="1513" w:type="pct"/>
            <w:gridSpan w:val="2"/>
            <w:vAlign w:val="center"/>
          </w:tcPr>
          <w:p w:rsidR="00A67AFC" w:rsidRPr="00281E8A" w:rsidRDefault="00A67AFC" w:rsidP="00D11E85">
            <w:pPr>
              <w:pStyle w:val="naiskr"/>
              <w:spacing w:before="0" w:beforeAutospacing="0" w:after="0" w:afterAutospacing="0"/>
              <w:jc w:val="center"/>
            </w:pPr>
            <w:r w:rsidRPr="00281E8A">
              <w:t>A</w:t>
            </w:r>
          </w:p>
        </w:tc>
        <w:tc>
          <w:tcPr>
            <w:tcW w:w="1163" w:type="pct"/>
            <w:gridSpan w:val="2"/>
            <w:vAlign w:val="center"/>
          </w:tcPr>
          <w:p w:rsidR="00A67AFC" w:rsidRPr="00281E8A" w:rsidRDefault="00A67AFC" w:rsidP="00D11E85">
            <w:pPr>
              <w:pStyle w:val="naiskr"/>
              <w:spacing w:before="0" w:beforeAutospacing="0" w:after="0" w:afterAutospacing="0"/>
              <w:jc w:val="center"/>
            </w:pPr>
            <w:r w:rsidRPr="00281E8A">
              <w:t>B</w:t>
            </w:r>
          </w:p>
        </w:tc>
        <w:tc>
          <w:tcPr>
            <w:tcW w:w="1084" w:type="pct"/>
            <w:vAlign w:val="center"/>
          </w:tcPr>
          <w:p w:rsidR="00A67AFC" w:rsidRPr="00281E8A" w:rsidRDefault="00A67AFC" w:rsidP="00D11E85">
            <w:pPr>
              <w:pStyle w:val="naiskr"/>
              <w:spacing w:before="0" w:beforeAutospacing="0" w:after="0" w:afterAutospacing="0"/>
              <w:jc w:val="center"/>
            </w:pPr>
            <w:r w:rsidRPr="00281E8A">
              <w:t>C</w:t>
            </w:r>
          </w:p>
        </w:tc>
        <w:tc>
          <w:tcPr>
            <w:tcW w:w="1237" w:type="pct"/>
            <w:gridSpan w:val="2"/>
            <w:vAlign w:val="center"/>
          </w:tcPr>
          <w:p w:rsidR="00A67AFC" w:rsidRPr="00281E8A" w:rsidRDefault="00A67AFC" w:rsidP="00D11E85">
            <w:pPr>
              <w:pStyle w:val="naiskr"/>
              <w:spacing w:before="0" w:beforeAutospacing="0" w:after="0" w:afterAutospacing="0"/>
              <w:jc w:val="center"/>
            </w:pPr>
            <w:r w:rsidRPr="00281E8A">
              <w:t>D</w:t>
            </w:r>
          </w:p>
        </w:tc>
      </w:tr>
      <w:tr w:rsidR="00075D5F" w:rsidRPr="005B26B8" w:rsidTr="0099055D">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3" w:type="pct"/>
          <w:trHeight w:val="165"/>
          <w:jc w:val="center"/>
        </w:trPr>
        <w:tc>
          <w:tcPr>
            <w:tcW w:w="1513" w:type="pct"/>
            <w:gridSpan w:val="2"/>
          </w:tcPr>
          <w:p w:rsidR="00075D5F" w:rsidRPr="009E2709" w:rsidRDefault="00075D5F" w:rsidP="00D11E85">
            <w:pPr>
              <w:pStyle w:val="naiskr"/>
              <w:spacing w:before="0" w:beforeAutospacing="0" w:after="0" w:afterAutospacing="0"/>
              <w:jc w:val="both"/>
            </w:pPr>
            <w:r w:rsidRPr="009E2709">
              <w:t>Attiecīgā ES tiesību akta panta numurs (uzskaitot katru tiesību akta vienību – pantu, daļu, punktu, apakšpunktu)</w:t>
            </w:r>
          </w:p>
        </w:tc>
        <w:tc>
          <w:tcPr>
            <w:tcW w:w="1163" w:type="pct"/>
            <w:gridSpan w:val="2"/>
          </w:tcPr>
          <w:p w:rsidR="00075D5F" w:rsidRPr="009E2709" w:rsidRDefault="00075D5F" w:rsidP="00D11E85">
            <w:pPr>
              <w:pStyle w:val="naiskr"/>
              <w:spacing w:before="0" w:beforeAutospacing="0" w:after="0" w:afterAutospacing="0"/>
              <w:jc w:val="both"/>
            </w:pPr>
            <w:r w:rsidRPr="009E2709">
              <w:t>Projekta vienība, kas pārņem vai ievieš katru šīs tabulas A ailē minēto ES tiesību akta vienību, vai tiesību akts, kur attiecīgā ES tiesību akta vienība pārņemta vai ieviesta</w:t>
            </w:r>
          </w:p>
        </w:tc>
        <w:tc>
          <w:tcPr>
            <w:tcW w:w="1084" w:type="pct"/>
          </w:tcPr>
          <w:p w:rsidR="00075D5F" w:rsidRPr="009E2709" w:rsidRDefault="00075D5F" w:rsidP="00D11E85">
            <w:pPr>
              <w:pStyle w:val="naiskr"/>
              <w:spacing w:before="0" w:beforeAutospacing="0" w:after="0" w:afterAutospacing="0"/>
              <w:jc w:val="both"/>
            </w:pPr>
            <w:r w:rsidRPr="009E2709">
              <w:t>Informācija par to, vai šīs tabulas A ailē minētās ES tiesību akta vienības tiek pārņemtas vai ieviestas pilnībā vai daļēji.</w:t>
            </w:r>
          </w:p>
          <w:p w:rsidR="00075D5F" w:rsidRPr="009E2709" w:rsidRDefault="00075D5F" w:rsidP="00D11E85">
            <w:pPr>
              <w:pStyle w:val="naiskr"/>
              <w:spacing w:before="0" w:beforeAutospacing="0" w:after="0" w:afterAutospacing="0"/>
              <w:jc w:val="both"/>
            </w:pPr>
            <w:r w:rsidRPr="009E2709">
              <w:t>Ja attiecīgā ES tiesību akta vienība tiek pārņemta vai ieviesta daļēji,  sniedz attiecīgu skaidrojumu, kā arī precīzi norāda, kad un kādā veidā ES tiesību akta vienība tiks pārņemta vai ieviesta pilnībā.</w:t>
            </w:r>
          </w:p>
          <w:p w:rsidR="00075D5F" w:rsidRPr="009E2709" w:rsidRDefault="00075D5F" w:rsidP="00D11E85">
            <w:pPr>
              <w:pStyle w:val="naiskr"/>
              <w:spacing w:before="0" w:beforeAutospacing="0" w:after="0" w:afterAutospacing="0"/>
              <w:jc w:val="both"/>
            </w:pPr>
            <w:r w:rsidRPr="009E2709">
              <w:t>Norāda institūciju, kas ir atbildīga par šo saistību izpildi pilnībā</w:t>
            </w:r>
          </w:p>
        </w:tc>
        <w:tc>
          <w:tcPr>
            <w:tcW w:w="1237" w:type="pct"/>
            <w:gridSpan w:val="2"/>
            <w:vAlign w:val="center"/>
          </w:tcPr>
          <w:p w:rsidR="00075D5F" w:rsidRPr="009E2709" w:rsidRDefault="00075D5F" w:rsidP="00D11E85">
            <w:pPr>
              <w:pStyle w:val="naiskr"/>
              <w:spacing w:before="0" w:beforeAutospacing="0" w:after="0" w:afterAutospacing="0"/>
              <w:jc w:val="both"/>
            </w:pPr>
            <w:r w:rsidRPr="009E2709">
              <w:t>Informācija par to, vai šīs tabulas B ailē minētās projekta vienības paredz stingrākas prasības nekā šīs tabulas A ailē minētās ES tiesību akta vienības.</w:t>
            </w:r>
          </w:p>
          <w:p w:rsidR="00075D5F" w:rsidRPr="009E2709" w:rsidRDefault="00075D5F" w:rsidP="00D11E85">
            <w:pPr>
              <w:pStyle w:val="naiskr"/>
              <w:spacing w:before="0" w:beforeAutospacing="0" w:after="0" w:afterAutospacing="0"/>
              <w:jc w:val="both"/>
            </w:pPr>
            <w:r w:rsidRPr="009E2709">
              <w:t>Ja projekts satur stingrākas prasības nekā attiecīgais ES tiesību akts, norāda pamatojumu un samērīgumu.</w:t>
            </w:r>
          </w:p>
          <w:p w:rsidR="00075D5F" w:rsidRPr="009E2709" w:rsidRDefault="00075D5F" w:rsidP="00D11E85">
            <w:pPr>
              <w:pStyle w:val="naiskr"/>
              <w:spacing w:before="0" w:beforeAutospacing="0" w:after="0" w:afterAutospacing="0"/>
              <w:jc w:val="both"/>
            </w:pPr>
            <w:r w:rsidRPr="009E2709">
              <w:t>Norāda iespējamās alternatīvas (t.sk. alternatīvas, kas neparedz tiesiskā regulējuma izstrādi) – kādos gadījumos būtu iespējams izvairīties no stingrāku prasību noteikšanas, nekā paredzēts attiecīgajos ES tiesību aktos</w:t>
            </w:r>
          </w:p>
        </w:tc>
      </w:tr>
      <w:tr w:rsidR="00A67AFC" w:rsidRPr="005A0DAC" w:rsidTr="0099055D">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3" w:type="pct"/>
          <w:trHeight w:val="191"/>
          <w:jc w:val="center"/>
        </w:trPr>
        <w:tc>
          <w:tcPr>
            <w:tcW w:w="1513" w:type="pct"/>
            <w:gridSpan w:val="2"/>
          </w:tcPr>
          <w:p w:rsidR="00A67AFC" w:rsidRPr="00281E8A" w:rsidRDefault="000C6DAC" w:rsidP="000C6DAC">
            <w:pPr>
              <w:jc w:val="both"/>
              <w:rPr>
                <w:color w:val="000000"/>
                <w:lang w:val="lv-LV"/>
              </w:rPr>
            </w:pPr>
            <w:r w:rsidRPr="00E85698">
              <w:rPr>
                <w:lang w:val="lv-LV"/>
              </w:rPr>
              <w:t>Regulas Nr.1151/2012 37.pant</w:t>
            </w:r>
            <w:r w:rsidR="00EB1C1A">
              <w:rPr>
                <w:lang w:val="lv-LV"/>
              </w:rPr>
              <w:t>a 1.punkts</w:t>
            </w:r>
          </w:p>
        </w:tc>
        <w:tc>
          <w:tcPr>
            <w:tcW w:w="1163" w:type="pct"/>
            <w:gridSpan w:val="2"/>
            <w:vAlign w:val="center"/>
          </w:tcPr>
          <w:p w:rsidR="00A67AFC" w:rsidRPr="00281E8A" w:rsidRDefault="00C44509" w:rsidP="00C44509">
            <w:pPr>
              <w:pStyle w:val="naiskr"/>
              <w:spacing w:before="0" w:beforeAutospacing="0" w:after="0" w:afterAutospacing="0"/>
              <w:jc w:val="both"/>
            </w:pPr>
            <w:r>
              <w:t>N</w:t>
            </w:r>
            <w:r w:rsidR="00A67AFC" w:rsidRPr="00281E8A">
              <w:t>oteikumu Nr.</w:t>
            </w:r>
            <w:r w:rsidR="001B7304">
              <w:t>1083</w:t>
            </w:r>
            <w:r w:rsidR="00A67AFC" w:rsidRPr="00281E8A">
              <w:t xml:space="preserve"> 1.pielikum</w:t>
            </w:r>
            <w:r w:rsidR="001B7304">
              <w:t>a VII sadaļa</w:t>
            </w:r>
          </w:p>
        </w:tc>
        <w:tc>
          <w:tcPr>
            <w:tcW w:w="1084" w:type="pct"/>
          </w:tcPr>
          <w:p w:rsidR="00A67AFC" w:rsidRPr="00281E8A" w:rsidRDefault="00A67AFC" w:rsidP="00D11E85">
            <w:pPr>
              <w:pStyle w:val="naiskr"/>
              <w:spacing w:before="0" w:beforeAutospacing="0" w:after="0" w:afterAutospacing="0"/>
              <w:jc w:val="both"/>
            </w:pPr>
            <w:r w:rsidRPr="00281E8A">
              <w:t>ES tiesību akta vienība tiek ieviesta pilnībā.</w:t>
            </w:r>
          </w:p>
        </w:tc>
        <w:tc>
          <w:tcPr>
            <w:tcW w:w="1237" w:type="pct"/>
            <w:gridSpan w:val="2"/>
          </w:tcPr>
          <w:p w:rsidR="00A67AFC" w:rsidRPr="00281E8A" w:rsidRDefault="00A67AFC" w:rsidP="00D11E85">
            <w:pPr>
              <w:pStyle w:val="naiskr"/>
              <w:spacing w:before="0" w:beforeAutospacing="0" w:after="0" w:afterAutospacing="0"/>
              <w:jc w:val="both"/>
            </w:pPr>
            <w:r w:rsidRPr="00281E8A">
              <w:t>Noteikumu projekts neparedz stingrākas prasības.</w:t>
            </w:r>
          </w:p>
        </w:tc>
      </w:tr>
      <w:tr w:rsidR="0099055D" w:rsidRPr="005B26B8" w:rsidTr="00075D5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3" w:type="pct"/>
          <w:trHeight w:val="281"/>
          <w:jc w:val="center"/>
        </w:trPr>
        <w:tc>
          <w:tcPr>
            <w:tcW w:w="1513" w:type="pct"/>
            <w:gridSpan w:val="2"/>
            <w:vAlign w:val="center"/>
          </w:tcPr>
          <w:p w:rsidR="0099055D" w:rsidRPr="009E2709" w:rsidRDefault="0099055D" w:rsidP="00D11E85">
            <w:pPr>
              <w:pStyle w:val="naiskr"/>
              <w:spacing w:before="0" w:beforeAutospacing="0" w:after="0" w:afterAutospacing="0"/>
              <w:jc w:val="both"/>
            </w:pPr>
            <w:r w:rsidRPr="009E2709">
              <w:t>Kā ir izmantota ES tiesību aktā paredzētā rīcības brīvība dalībvalstij pārņemt vai ieviest noteiktas ES tiesību akta normas. Kādēļ?</w:t>
            </w:r>
          </w:p>
        </w:tc>
        <w:tc>
          <w:tcPr>
            <w:tcW w:w="3484" w:type="pct"/>
            <w:gridSpan w:val="5"/>
          </w:tcPr>
          <w:p w:rsidR="0099055D" w:rsidRPr="00281E8A" w:rsidRDefault="00B8481E" w:rsidP="00791379">
            <w:pPr>
              <w:pStyle w:val="naiskr"/>
              <w:spacing w:before="0" w:beforeAutospacing="0" w:after="0" w:afterAutospacing="0"/>
              <w:jc w:val="both"/>
            </w:pPr>
            <w:r>
              <w:t xml:space="preserve">Ir izmantota </w:t>
            </w:r>
            <w:r w:rsidRPr="00E85698">
              <w:t>Regulas Nr.1151/2012 37.pant</w:t>
            </w:r>
            <w:r>
              <w:t xml:space="preserve">a 1.punktā dotā iespēja </w:t>
            </w:r>
            <w:r w:rsidR="00791379">
              <w:t xml:space="preserve">dalībvalstīm </w:t>
            </w:r>
            <w:r>
              <w:t xml:space="preserve">noteikt, ka izmaksas </w:t>
            </w:r>
            <w:r w:rsidRPr="00791379">
              <w:t xml:space="preserve">par produkta </w:t>
            </w:r>
            <w:r w:rsidR="00791379">
              <w:t xml:space="preserve">atbilstības pārbaudi </w:t>
            </w:r>
            <w:r w:rsidR="00F80B27">
              <w:t xml:space="preserve">saistībā ar </w:t>
            </w:r>
            <w:r w:rsidR="00791379">
              <w:t>pārtikas shēm</w:t>
            </w:r>
            <w:r w:rsidR="00F80B27">
              <w:t>ām</w:t>
            </w:r>
            <w:r w:rsidRPr="00791379">
              <w:t xml:space="preserve"> sedz uzņēmēji.</w:t>
            </w:r>
          </w:p>
        </w:tc>
      </w:tr>
      <w:tr w:rsidR="0099055D" w:rsidRPr="005B26B8" w:rsidTr="00075D5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3" w:type="pct"/>
          <w:trHeight w:val="913"/>
          <w:jc w:val="center"/>
        </w:trPr>
        <w:tc>
          <w:tcPr>
            <w:tcW w:w="1513" w:type="pct"/>
            <w:gridSpan w:val="2"/>
            <w:vAlign w:val="center"/>
          </w:tcPr>
          <w:p w:rsidR="0099055D" w:rsidRPr="009E2709" w:rsidRDefault="0099055D" w:rsidP="00D11E85">
            <w:pPr>
              <w:pStyle w:val="naiskr"/>
              <w:spacing w:before="0" w:beforeAutospacing="0" w:after="0" w:afterAutospacing="0"/>
              <w:jc w:val="both"/>
              <w:rPr>
                <w:i/>
              </w:rPr>
            </w:pPr>
            <w:r w:rsidRPr="009E2709">
              <w:lastRenderedPageBreak/>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484" w:type="pct"/>
            <w:gridSpan w:val="5"/>
          </w:tcPr>
          <w:p w:rsidR="0099055D" w:rsidRPr="00281E8A" w:rsidRDefault="0099055D" w:rsidP="00D11E85">
            <w:pPr>
              <w:pStyle w:val="naiskr"/>
              <w:spacing w:before="0" w:beforeAutospacing="0" w:after="0" w:afterAutospacing="0"/>
            </w:pPr>
          </w:p>
        </w:tc>
      </w:tr>
      <w:tr w:rsidR="00A67AFC" w:rsidRPr="00281E8A" w:rsidTr="001613EA">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3" w:type="pct"/>
          <w:trHeight w:val="355"/>
          <w:jc w:val="center"/>
        </w:trPr>
        <w:tc>
          <w:tcPr>
            <w:tcW w:w="1513" w:type="pct"/>
            <w:gridSpan w:val="2"/>
          </w:tcPr>
          <w:p w:rsidR="00A67AFC" w:rsidRPr="00281E8A" w:rsidRDefault="00A67AFC" w:rsidP="00D11E85">
            <w:pPr>
              <w:pStyle w:val="naiskr"/>
              <w:spacing w:before="0" w:beforeAutospacing="0" w:after="0" w:afterAutospacing="0"/>
              <w:jc w:val="both"/>
            </w:pPr>
            <w:r w:rsidRPr="00281E8A">
              <w:t>Cita informācija</w:t>
            </w:r>
          </w:p>
        </w:tc>
        <w:tc>
          <w:tcPr>
            <w:tcW w:w="3484" w:type="pct"/>
            <w:gridSpan w:val="5"/>
          </w:tcPr>
          <w:p w:rsidR="00A67AFC" w:rsidRPr="00281E8A" w:rsidRDefault="001613EA" w:rsidP="00D11E85">
            <w:pPr>
              <w:pStyle w:val="naiskr"/>
              <w:spacing w:before="0" w:beforeAutospacing="0" w:after="0" w:afterAutospacing="0"/>
            </w:pPr>
            <w:r>
              <w:t>Nav</w:t>
            </w:r>
          </w:p>
        </w:tc>
      </w:tr>
    </w:tbl>
    <w:p w:rsidR="00593875" w:rsidRDefault="00593875" w:rsidP="00C21DCA">
      <w:pPr>
        <w:jc w:val="both"/>
        <w:rPr>
          <w:lang w:val="lv-LV"/>
        </w:rPr>
      </w:pPr>
    </w:p>
    <w:p w:rsidR="00A67AFC" w:rsidRPr="00281E8A" w:rsidRDefault="00A67AFC" w:rsidP="00A67AFC">
      <w:pPr>
        <w:rPr>
          <w:i/>
          <w:lang w:val="lv-LV" w:eastAsia="lv-LV"/>
        </w:rPr>
      </w:pPr>
      <w:r w:rsidRPr="00281E8A">
        <w:rPr>
          <w:i/>
          <w:lang w:val="lv-LV" w:eastAsia="lv-LV"/>
        </w:rPr>
        <w:t>Anotācijas V sadaļas 2.tabula – projekts šo jomu neskar.</w:t>
      </w:r>
    </w:p>
    <w:p w:rsidR="00593875" w:rsidRPr="00E00800" w:rsidRDefault="00593875" w:rsidP="00C21DCA">
      <w:pPr>
        <w:jc w:val="both"/>
        <w:rPr>
          <w:sz w:val="22"/>
          <w:lang w:val="lv-LV"/>
        </w:rPr>
      </w:pPr>
    </w:p>
    <w:tbl>
      <w:tblPr>
        <w:tblW w:w="9215" w:type="dxa"/>
        <w:tblInd w:w="29"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568"/>
        <w:gridCol w:w="2834"/>
        <w:gridCol w:w="5813"/>
      </w:tblGrid>
      <w:tr w:rsidR="005D73DE" w:rsidRPr="005B26B8" w:rsidTr="001C5075">
        <w:tc>
          <w:tcPr>
            <w:tcW w:w="9215" w:type="dxa"/>
            <w:gridSpan w:val="3"/>
            <w:tcBorders>
              <w:top w:val="outset" w:sz="6" w:space="0" w:color="000000"/>
              <w:left w:val="outset" w:sz="6" w:space="0" w:color="000000"/>
              <w:bottom w:val="outset" w:sz="6" w:space="0" w:color="000000"/>
              <w:right w:val="outset" w:sz="6" w:space="0" w:color="000000"/>
            </w:tcBorders>
          </w:tcPr>
          <w:p w:rsidR="00E35982" w:rsidRPr="00E00800" w:rsidRDefault="00E35982" w:rsidP="005D73DE">
            <w:pPr>
              <w:jc w:val="center"/>
              <w:rPr>
                <w:b/>
                <w:bCs/>
                <w:sz w:val="22"/>
                <w:lang w:val="lv-LV" w:eastAsia="lv-LV"/>
              </w:rPr>
            </w:pPr>
            <w:r w:rsidRPr="00E00800">
              <w:rPr>
                <w:b/>
                <w:bCs/>
                <w:lang w:val="lv-LV" w:eastAsia="lv-LV"/>
              </w:rPr>
              <w:t xml:space="preserve">VI. Sabiedrības līdzdalība </w:t>
            </w:r>
            <w:r w:rsidR="00AC0691" w:rsidRPr="00E00800">
              <w:rPr>
                <w:b/>
                <w:bCs/>
                <w:lang w:val="lv-LV"/>
              </w:rPr>
              <w:t>un komunikācijas aktivitātes</w:t>
            </w:r>
          </w:p>
        </w:tc>
      </w:tr>
      <w:tr w:rsidR="005D73DE" w:rsidRPr="005B26B8" w:rsidTr="001C50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568" w:type="dxa"/>
          </w:tcPr>
          <w:p w:rsidR="0013088C" w:rsidRPr="00692F5C" w:rsidRDefault="0013088C" w:rsidP="005D73DE">
            <w:pPr>
              <w:pStyle w:val="naiskr"/>
              <w:spacing w:before="0" w:beforeAutospacing="0" w:after="0" w:afterAutospacing="0"/>
            </w:pPr>
            <w:r w:rsidRPr="00692F5C">
              <w:t>1.</w:t>
            </w:r>
          </w:p>
        </w:tc>
        <w:tc>
          <w:tcPr>
            <w:tcW w:w="2834" w:type="dxa"/>
          </w:tcPr>
          <w:p w:rsidR="0013088C" w:rsidRPr="00692F5C" w:rsidRDefault="00A96BC5" w:rsidP="005D73DE">
            <w:pPr>
              <w:pStyle w:val="naiskr"/>
              <w:spacing w:before="0" w:beforeAutospacing="0" w:after="0" w:afterAutospacing="0"/>
              <w:jc w:val="both"/>
            </w:pPr>
            <w:r w:rsidRPr="00692F5C">
              <w:t>Plānotās sabiedrības līdzdalības un komunikācijas aktivitātes saistībā ar projektu</w:t>
            </w:r>
          </w:p>
        </w:tc>
        <w:tc>
          <w:tcPr>
            <w:tcW w:w="5813" w:type="dxa"/>
          </w:tcPr>
          <w:p w:rsidR="00AA1496" w:rsidRPr="00692F5C" w:rsidRDefault="001C5075" w:rsidP="001C5075">
            <w:pPr>
              <w:jc w:val="both"/>
              <w:rPr>
                <w:lang w:val="lv-LV"/>
              </w:rPr>
            </w:pPr>
            <w:r w:rsidRPr="00692F5C">
              <w:rPr>
                <w:lang w:val="lv-LV"/>
              </w:rPr>
              <w:t xml:space="preserve">Noteikumu projekts ievietots Zemkopības ministrijas tīmekļa vietnē </w:t>
            </w:r>
            <w:hyperlink r:id="rId7" w:history="1">
              <w:r w:rsidRPr="003437D3">
                <w:rPr>
                  <w:rStyle w:val="Hipersaite"/>
                  <w:color w:val="auto"/>
                  <w:u w:val="none"/>
                  <w:lang w:val="lv-LV"/>
                </w:rPr>
                <w:t>www.zm.gov.lv</w:t>
              </w:r>
            </w:hyperlink>
            <w:r w:rsidR="004D4EE5" w:rsidRPr="005358F3">
              <w:rPr>
                <w:lang w:val="lv-LV"/>
              </w:rPr>
              <w:t xml:space="preserve"> n</w:t>
            </w:r>
            <w:r w:rsidR="004D4EE5">
              <w:rPr>
                <w:lang w:val="lv-LV"/>
              </w:rPr>
              <w:t>o 2015.gada 6.februāra līdz 12.februārim.</w:t>
            </w:r>
          </w:p>
        </w:tc>
      </w:tr>
      <w:tr w:rsidR="005D73DE" w:rsidRPr="005B26B8" w:rsidTr="001C50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568" w:type="dxa"/>
          </w:tcPr>
          <w:p w:rsidR="0013088C" w:rsidRPr="00692F5C" w:rsidRDefault="0013088C" w:rsidP="005D73DE">
            <w:pPr>
              <w:pStyle w:val="naiskr"/>
              <w:spacing w:before="0" w:beforeAutospacing="0" w:after="0" w:afterAutospacing="0"/>
            </w:pPr>
            <w:r w:rsidRPr="00692F5C">
              <w:t>2.</w:t>
            </w:r>
          </w:p>
        </w:tc>
        <w:tc>
          <w:tcPr>
            <w:tcW w:w="2834" w:type="dxa"/>
          </w:tcPr>
          <w:p w:rsidR="0013088C" w:rsidRPr="00692F5C" w:rsidRDefault="0013088C" w:rsidP="005D73DE">
            <w:pPr>
              <w:pStyle w:val="naiskr"/>
              <w:spacing w:before="0" w:beforeAutospacing="0" w:after="0" w:afterAutospacing="0"/>
              <w:jc w:val="both"/>
            </w:pPr>
            <w:r w:rsidRPr="00692F5C">
              <w:t>Sabiedrības līdzdalība projekta izstrādē</w:t>
            </w:r>
          </w:p>
        </w:tc>
        <w:tc>
          <w:tcPr>
            <w:tcW w:w="5813" w:type="dxa"/>
          </w:tcPr>
          <w:p w:rsidR="0013088C" w:rsidRPr="0025527C" w:rsidRDefault="008B3922" w:rsidP="00FE6570">
            <w:pPr>
              <w:pStyle w:val="naiskr"/>
              <w:spacing w:before="0" w:beforeAutospacing="0" w:after="0" w:afterAutospacing="0"/>
              <w:jc w:val="both"/>
            </w:pPr>
            <w:r w:rsidRPr="0025527C">
              <w:t xml:space="preserve">1. </w:t>
            </w:r>
            <w:r w:rsidR="006B5B32" w:rsidRPr="0025527C">
              <w:t>Noteikumu projekts nosūtīts saskaņošanai biedrīb</w:t>
            </w:r>
            <w:r w:rsidR="00F80B27" w:rsidRPr="0025527C">
              <w:t>ām</w:t>
            </w:r>
            <w:r w:rsidR="006B5B32" w:rsidRPr="0025527C">
              <w:t xml:space="preserve"> „</w:t>
            </w:r>
            <w:r w:rsidR="00EC2D2A" w:rsidRPr="0025527C">
              <w:t>Lauksaimnieku</w:t>
            </w:r>
            <w:r w:rsidR="007A18D4" w:rsidRPr="0025527C">
              <w:t xml:space="preserve"> organizāciju sadarbības padome”, „Zemnieku saeima”</w:t>
            </w:r>
            <w:r w:rsidR="00EC2D2A" w:rsidRPr="0025527C">
              <w:t xml:space="preserve"> un „Pārtikas uzņēmumu federācija”.</w:t>
            </w:r>
          </w:p>
          <w:p w:rsidR="008B3922" w:rsidRPr="0025527C" w:rsidRDefault="008B3922" w:rsidP="00FE6570">
            <w:pPr>
              <w:jc w:val="both"/>
              <w:rPr>
                <w:lang w:val="lv-LV"/>
              </w:rPr>
            </w:pPr>
            <w:r w:rsidRPr="0025527C">
              <w:rPr>
                <w:lang w:val="lv-LV"/>
              </w:rPr>
              <w:t xml:space="preserve">2. </w:t>
            </w:r>
            <w:r w:rsidR="00FE6570" w:rsidRPr="0025527C">
              <w:rPr>
                <w:lang w:val="lv-LV"/>
              </w:rPr>
              <w:t>Latvijas Ostu, tranzīta un loģistikas padomes 2015.gada 15.aprīļa sēdē tika pieņemts lēmums (prot.Nr.3 5.punkts) aicināt Zemkopības ministriju organizēt tikšanos ar ostu pārvaldēm un tranzīta un loģistikas nozares uzņēmēju asociācijām un izskatīt noteikumu projektu.</w:t>
            </w:r>
          </w:p>
          <w:p w:rsidR="008B3922" w:rsidRPr="0025527C" w:rsidRDefault="00B2259A" w:rsidP="004E0EE1">
            <w:pPr>
              <w:jc w:val="both"/>
              <w:rPr>
                <w:lang w:val="lv-LV"/>
              </w:rPr>
            </w:pPr>
            <w:r w:rsidRPr="0025527C">
              <w:rPr>
                <w:bCs/>
                <w:lang w:val="lv-LV"/>
              </w:rPr>
              <w:t xml:space="preserve">2015.gada </w:t>
            </w:r>
            <w:r w:rsidR="008B3922" w:rsidRPr="0025527C">
              <w:rPr>
                <w:bCs/>
                <w:lang w:val="lv-LV"/>
              </w:rPr>
              <w:t>30.aprīlī</w:t>
            </w:r>
            <w:r w:rsidR="008B3922" w:rsidRPr="0025527C">
              <w:rPr>
                <w:lang w:val="lv-LV"/>
              </w:rPr>
              <w:t xml:space="preserve"> </w:t>
            </w:r>
            <w:r w:rsidR="004D1DCF" w:rsidRPr="0025527C">
              <w:rPr>
                <w:lang w:val="lv-LV"/>
              </w:rPr>
              <w:t xml:space="preserve">Zemkopības ministrijā </w:t>
            </w:r>
            <w:r w:rsidRPr="0025527C">
              <w:rPr>
                <w:lang w:val="lv-LV"/>
              </w:rPr>
              <w:t>notika tikšanās ar</w:t>
            </w:r>
            <w:r w:rsidR="008B3922" w:rsidRPr="0025527C">
              <w:rPr>
                <w:lang w:val="lv-LV"/>
              </w:rPr>
              <w:t xml:space="preserve"> Latvij</w:t>
            </w:r>
            <w:r w:rsidRPr="0025527C">
              <w:rPr>
                <w:lang w:val="lv-LV"/>
              </w:rPr>
              <w:t xml:space="preserve">as Tranzīta biznesa asociācijas, </w:t>
            </w:r>
            <w:r w:rsidR="008B3922" w:rsidRPr="0025527C">
              <w:rPr>
                <w:lang w:val="lv-LV"/>
              </w:rPr>
              <w:t xml:space="preserve">Autopārvadātāju asociācijas </w:t>
            </w:r>
            <w:r w:rsidRPr="0025527C">
              <w:rPr>
                <w:lang w:val="lv-LV"/>
              </w:rPr>
              <w:t>„</w:t>
            </w:r>
            <w:r w:rsidR="008B3922" w:rsidRPr="0025527C">
              <w:rPr>
                <w:lang w:val="lv-LV"/>
              </w:rPr>
              <w:t>Latvijas Auto”</w:t>
            </w:r>
            <w:r w:rsidRPr="0025527C">
              <w:rPr>
                <w:lang w:val="lv-LV"/>
              </w:rPr>
              <w:t>,</w:t>
            </w:r>
            <w:r w:rsidR="008B3922" w:rsidRPr="0025527C">
              <w:rPr>
                <w:lang w:val="lv-LV"/>
              </w:rPr>
              <w:t xml:space="preserve"> Latvijas nacionālā</w:t>
            </w:r>
            <w:r w:rsidRPr="0025527C">
              <w:rPr>
                <w:lang w:val="lv-LV"/>
              </w:rPr>
              <w:t>s</w:t>
            </w:r>
            <w:r w:rsidR="008B3922" w:rsidRPr="0025527C">
              <w:rPr>
                <w:lang w:val="lv-LV"/>
              </w:rPr>
              <w:t xml:space="preserve">  kravas eksped</w:t>
            </w:r>
            <w:r w:rsidR="00763168" w:rsidRPr="0025527C">
              <w:rPr>
                <w:lang w:val="lv-LV"/>
              </w:rPr>
              <w:t xml:space="preserve">itoru un loģistikas asociācijas un </w:t>
            </w:r>
            <w:r w:rsidR="00810825" w:rsidRPr="0025527C">
              <w:rPr>
                <w:lang w:val="lv-LV"/>
              </w:rPr>
              <w:t xml:space="preserve">Latvijas </w:t>
            </w:r>
            <w:r w:rsidR="00763168" w:rsidRPr="0025527C">
              <w:rPr>
                <w:lang w:val="lv-LV"/>
              </w:rPr>
              <w:t>Ostu</w:t>
            </w:r>
            <w:r w:rsidR="00810825" w:rsidRPr="0025527C">
              <w:rPr>
                <w:lang w:val="lv-LV"/>
              </w:rPr>
              <w:t>,</w:t>
            </w:r>
            <w:r w:rsidR="00763168" w:rsidRPr="0025527C">
              <w:rPr>
                <w:lang w:val="lv-LV"/>
              </w:rPr>
              <w:t xml:space="preserve"> </w:t>
            </w:r>
            <w:r w:rsidR="00810825" w:rsidRPr="0025527C">
              <w:rPr>
                <w:lang w:val="lv-LV"/>
              </w:rPr>
              <w:t xml:space="preserve">tranzīta un loģistikas </w:t>
            </w:r>
            <w:r w:rsidR="00763168" w:rsidRPr="0025527C">
              <w:rPr>
                <w:lang w:val="lv-LV"/>
              </w:rPr>
              <w:t>padomes sekretariāta pārstāvjiem.</w:t>
            </w:r>
          </w:p>
        </w:tc>
      </w:tr>
      <w:tr w:rsidR="005D73DE" w:rsidRPr="005B26B8" w:rsidTr="001C50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568" w:type="dxa"/>
          </w:tcPr>
          <w:p w:rsidR="0013088C" w:rsidRPr="00692F5C" w:rsidRDefault="0013088C" w:rsidP="005D73DE">
            <w:pPr>
              <w:pStyle w:val="naiskr"/>
              <w:spacing w:before="0" w:beforeAutospacing="0" w:after="0" w:afterAutospacing="0"/>
            </w:pPr>
            <w:r w:rsidRPr="00692F5C">
              <w:t>3.</w:t>
            </w:r>
          </w:p>
        </w:tc>
        <w:tc>
          <w:tcPr>
            <w:tcW w:w="2834" w:type="dxa"/>
          </w:tcPr>
          <w:p w:rsidR="0013088C" w:rsidRPr="00692F5C" w:rsidRDefault="0013088C" w:rsidP="005D73DE">
            <w:pPr>
              <w:pStyle w:val="naiskr"/>
              <w:spacing w:before="0" w:beforeAutospacing="0" w:after="0" w:afterAutospacing="0"/>
              <w:jc w:val="both"/>
            </w:pPr>
            <w:r w:rsidRPr="00692F5C">
              <w:t>Sabiedrības līdzdalības rezultāti</w:t>
            </w:r>
          </w:p>
        </w:tc>
        <w:tc>
          <w:tcPr>
            <w:tcW w:w="5813" w:type="dxa"/>
          </w:tcPr>
          <w:p w:rsidR="00B64F6B" w:rsidRPr="0025527C" w:rsidRDefault="008C4C87" w:rsidP="00D37265">
            <w:pPr>
              <w:pStyle w:val="naiskr"/>
              <w:spacing w:before="0" w:beforeAutospacing="0" w:after="0" w:afterAutospacing="0"/>
              <w:jc w:val="both"/>
              <w:rPr>
                <w:rFonts w:eastAsia="Arial Unicode MS"/>
              </w:rPr>
            </w:pPr>
            <w:r w:rsidRPr="0025527C">
              <w:rPr>
                <w:rFonts w:eastAsia="Arial Unicode MS"/>
              </w:rPr>
              <w:t xml:space="preserve">1. </w:t>
            </w:r>
            <w:r w:rsidR="002F4851" w:rsidRPr="0025527C">
              <w:rPr>
                <w:rFonts w:eastAsia="Arial Unicode MS"/>
              </w:rPr>
              <w:t>No</w:t>
            </w:r>
            <w:r w:rsidR="00B64F6B" w:rsidRPr="0025527C">
              <w:rPr>
                <w:rFonts w:eastAsia="Arial Unicode MS"/>
              </w:rPr>
              <w:t xml:space="preserve"> </w:t>
            </w:r>
            <w:r w:rsidR="00B64F6B" w:rsidRPr="0025527C">
              <w:t>biedrīb</w:t>
            </w:r>
            <w:r w:rsidR="00F80B27" w:rsidRPr="0025527C">
              <w:t>ām</w:t>
            </w:r>
            <w:r w:rsidR="00B64F6B" w:rsidRPr="0025527C">
              <w:t xml:space="preserve"> „Lauksaimnieku organizāciju sadarbības padome”</w:t>
            </w:r>
            <w:r w:rsidR="002F4851" w:rsidRPr="0025527C">
              <w:t xml:space="preserve"> un „Zemnieku saeima” saņemt</w:t>
            </w:r>
            <w:r w:rsidR="00EF66F8" w:rsidRPr="0025527C">
              <w:t>s lūgum</w:t>
            </w:r>
            <w:r w:rsidR="00F80B27" w:rsidRPr="0025527C">
              <w:t>s</w:t>
            </w:r>
            <w:r w:rsidR="00EF66F8" w:rsidRPr="0025527C">
              <w:t xml:space="preserve"> papildus skaidrot nepieciešamību pa</w:t>
            </w:r>
            <w:r w:rsidR="00F80B27" w:rsidRPr="0025527C">
              <w:t>liel</w:t>
            </w:r>
            <w:r w:rsidR="00EF66F8" w:rsidRPr="0025527C">
              <w:t>ināt maksu par inspektoru darba stundu</w:t>
            </w:r>
            <w:r w:rsidR="00030786" w:rsidRPr="0025527C">
              <w:rPr>
                <w:rFonts w:eastAsia="Arial Unicode MS"/>
              </w:rPr>
              <w:t>.</w:t>
            </w:r>
            <w:r w:rsidR="00EF66F8" w:rsidRPr="0025527C">
              <w:rPr>
                <w:rFonts w:eastAsia="Arial Unicode MS"/>
              </w:rPr>
              <w:t xml:space="preserve"> </w:t>
            </w:r>
            <w:r w:rsidR="00CB23B1" w:rsidRPr="0025527C">
              <w:rPr>
                <w:rFonts w:eastAsia="Arial Unicode MS"/>
              </w:rPr>
              <w:t xml:space="preserve">Pēc paskaidrojumu saņemšanas (attiecīgi papildināta anotācija) biedrības saskaņoja noteikumu projekta tālāko virzību. </w:t>
            </w:r>
          </w:p>
          <w:p w:rsidR="008C4C87" w:rsidRPr="0025527C" w:rsidRDefault="008C4C87" w:rsidP="004A070A">
            <w:pPr>
              <w:jc w:val="both"/>
              <w:rPr>
                <w:lang w:val="lv-LV"/>
              </w:rPr>
            </w:pPr>
            <w:r w:rsidRPr="0025527C">
              <w:rPr>
                <w:rFonts w:eastAsia="Arial Unicode MS"/>
                <w:lang w:val="lv-LV"/>
              </w:rPr>
              <w:t xml:space="preserve">2. </w:t>
            </w:r>
            <w:r w:rsidR="003C001C" w:rsidRPr="0025527C">
              <w:rPr>
                <w:rFonts w:eastAsia="Arial Unicode MS"/>
                <w:lang w:val="lv-LV"/>
              </w:rPr>
              <w:t xml:space="preserve">2015.gada 30.aprīļa tikšanās laikā ar </w:t>
            </w:r>
            <w:r w:rsidR="003C001C" w:rsidRPr="0025527C">
              <w:rPr>
                <w:lang w:val="lv-LV"/>
              </w:rPr>
              <w:t xml:space="preserve">tranzīta un loģistikas nozares uzņēmēju asociāciju pārstāvjiem tika sniegti skaidrojumi par noteikumu projektu. Nolemts no noteikumu projekta svītrot plānoto grozījumu par maksas paaugstināšanu par </w:t>
            </w:r>
            <w:r w:rsidR="0041159B" w:rsidRPr="0025527C">
              <w:rPr>
                <w:lang w:val="lv-LV"/>
              </w:rPr>
              <w:t>krav</w:t>
            </w:r>
            <w:r w:rsidR="00E1426B" w:rsidRPr="0025527C">
              <w:rPr>
                <w:lang w:val="lv-LV"/>
              </w:rPr>
              <w:t>u</w:t>
            </w:r>
            <w:r w:rsidR="0041159B" w:rsidRPr="0025527C">
              <w:rPr>
                <w:lang w:val="lv-LV"/>
              </w:rPr>
              <w:t xml:space="preserve"> izkraušanu un iekraušan</w:t>
            </w:r>
            <w:r w:rsidR="00E1426B" w:rsidRPr="0025527C">
              <w:rPr>
                <w:lang w:val="lv-LV"/>
              </w:rPr>
              <w:t>u</w:t>
            </w:r>
            <w:r w:rsidR="0041159B" w:rsidRPr="0025527C">
              <w:rPr>
                <w:lang w:val="lv-LV"/>
              </w:rPr>
              <w:t xml:space="preserve"> </w:t>
            </w:r>
            <w:r w:rsidR="00C961F6" w:rsidRPr="0025527C">
              <w:rPr>
                <w:lang w:val="lv-LV"/>
              </w:rPr>
              <w:t>un jautājumu par robežkontroles punktos</w:t>
            </w:r>
            <w:r w:rsidR="00E1426B" w:rsidRPr="0025527C">
              <w:rPr>
                <w:lang w:val="lv-LV"/>
              </w:rPr>
              <w:t xml:space="preserve"> noteikto apsaimniekošanas maksu pārskatīšanu risināt ar Finanšu ministriju un VAS „Valsts nekustamie īpašumi”, </w:t>
            </w:r>
            <w:r w:rsidR="004A070A">
              <w:rPr>
                <w:lang w:val="lv-LV"/>
              </w:rPr>
              <w:t xml:space="preserve">pēc </w:t>
            </w:r>
            <w:r w:rsidR="00E1426B" w:rsidRPr="0025527C">
              <w:rPr>
                <w:lang w:val="lv-LV"/>
              </w:rPr>
              <w:lastRenderedPageBreak/>
              <w:t xml:space="preserve">nepieciešamības pieaicinot tranzīta nozares asociāciju pārstāvjus. </w:t>
            </w:r>
            <w:r w:rsidR="00E43936" w:rsidRPr="0025527C">
              <w:rPr>
                <w:rFonts w:eastAsia="Arial Unicode MS"/>
                <w:lang w:val="lv-LV"/>
              </w:rPr>
              <w:t>Pēc skaidrojumu saņemšanas</w:t>
            </w:r>
            <w:r w:rsidR="00046D95" w:rsidRPr="0025527C">
              <w:rPr>
                <w:rFonts w:eastAsia="Arial Unicode MS"/>
                <w:lang w:val="lv-LV"/>
              </w:rPr>
              <w:t xml:space="preserve"> par noteikumu projekta normām, kas neskar </w:t>
            </w:r>
            <w:r w:rsidR="00046D95" w:rsidRPr="0025527C">
              <w:rPr>
                <w:lang w:val="lv-LV"/>
              </w:rPr>
              <w:t>tranzīta kravu kustību, kā arī par nepieciešamību pa</w:t>
            </w:r>
            <w:r w:rsidR="004A070A">
              <w:rPr>
                <w:lang w:val="lv-LV"/>
              </w:rPr>
              <w:t>liel</w:t>
            </w:r>
            <w:r w:rsidR="00046D95" w:rsidRPr="0025527C">
              <w:rPr>
                <w:lang w:val="lv-LV"/>
              </w:rPr>
              <w:t>ināt maksu par dienesta inspektoru darbu ārpus normālā darba laika atbilstoši Darba likuma normām</w:t>
            </w:r>
            <w:r w:rsidR="00046D95" w:rsidRPr="0025527C">
              <w:rPr>
                <w:rFonts w:eastAsia="Arial Unicode MS"/>
                <w:lang w:val="lv-LV"/>
              </w:rPr>
              <w:t xml:space="preserve"> </w:t>
            </w:r>
            <w:r w:rsidR="00046D95" w:rsidRPr="0025527C">
              <w:rPr>
                <w:lang w:val="lv-LV"/>
              </w:rPr>
              <w:t xml:space="preserve">uzņēmēju asociāciju pārstāvji </w:t>
            </w:r>
            <w:r w:rsidR="00046D95" w:rsidRPr="0025527C">
              <w:rPr>
                <w:rFonts w:eastAsia="Arial Unicode MS"/>
                <w:lang w:val="lv-LV"/>
              </w:rPr>
              <w:t>neiebilda pret</w:t>
            </w:r>
            <w:r w:rsidR="00E43936" w:rsidRPr="0025527C">
              <w:rPr>
                <w:rFonts w:eastAsia="Arial Unicode MS"/>
                <w:lang w:val="lv-LV"/>
              </w:rPr>
              <w:t xml:space="preserve"> noteikumu projekta tālāko virzību</w:t>
            </w:r>
            <w:r w:rsidR="00046D95" w:rsidRPr="0025527C">
              <w:rPr>
                <w:rFonts w:eastAsia="Arial Unicode MS"/>
                <w:lang w:val="lv-LV"/>
              </w:rPr>
              <w:t>.</w:t>
            </w:r>
          </w:p>
        </w:tc>
      </w:tr>
      <w:tr w:rsidR="005D73DE" w:rsidRPr="00EF66F8" w:rsidTr="001C50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568" w:type="dxa"/>
          </w:tcPr>
          <w:p w:rsidR="0013088C" w:rsidRPr="00692F5C" w:rsidRDefault="00A96BC5" w:rsidP="005D73DE">
            <w:pPr>
              <w:pStyle w:val="naiskr"/>
              <w:spacing w:before="0" w:beforeAutospacing="0" w:after="0" w:afterAutospacing="0"/>
            </w:pPr>
            <w:r w:rsidRPr="00692F5C">
              <w:lastRenderedPageBreak/>
              <w:t>4</w:t>
            </w:r>
            <w:r w:rsidR="0013088C" w:rsidRPr="00692F5C">
              <w:t>.</w:t>
            </w:r>
          </w:p>
        </w:tc>
        <w:tc>
          <w:tcPr>
            <w:tcW w:w="2834" w:type="dxa"/>
          </w:tcPr>
          <w:p w:rsidR="0013088C" w:rsidRPr="00692F5C" w:rsidRDefault="0013088C" w:rsidP="005D73DE">
            <w:pPr>
              <w:pStyle w:val="naiskr"/>
              <w:spacing w:before="0" w:beforeAutospacing="0" w:after="0" w:afterAutospacing="0"/>
              <w:jc w:val="both"/>
            </w:pPr>
            <w:r w:rsidRPr="00692F5C">
              <w:t>Cita informācija</w:t>
            </w:r>
          </w:p>
        </w:tc>
        <w:tc>
          <w:tcPr>
            <w:tcW w:w="5813" w:type="dxa"/>
          </w:tcPr>
          <w:p w:rsidR="0013088C" w:rsidRDefault="00583BFD" w:rsidP="005D73DE">
            <w:pPr>
              <w:pStyle w:val="naisc"/>
              <w:spacing w:before="0" w:beforeAutospacing="0" w:after="0" w:afterAutospacing="0"/>
              <w:jc w:val="left"/>
              <w:rPr>
                <w:sz w:val="24"/>
                <w:szCs w:val="24"/>
                <w:lang w:val="lv-LV"/>
              </w:rPr>
            </w:pPr>
            <w:r w:rsidRPr="00692F5C">
              <w:rPr>
                <w:sz w:val="24"/>
                <w:szCs w:val="24"/>
                <w:lang w:val="lv-LV"/>
              </w:rPr>
              <w:t>Nav</w:t>
            </w:r>
          </w:p>
          <w:p w:rsidR="00173EC9" w:rsidRPr="00692F5C" w:rsidRDefault="00173EC9" w:rsidP="005D73DE">
            <w:pPr>
              <w:pStyle w:val="naisc"/>
              <w:spacing w:before="0" w:beforeAutospacing="0" w:after="0" w:afterAutospacing="0"/>
              <w:jc w:val="left"/>
              <w:rPr>
                <w:sz w:val="24"/>
                <w:szCs w:val="24"/>
                <w:lang w:val="lv-LV"/>
              </w:rPr>
            </w:pPr>
          </w:p>
        </w:tc>
      </w:tr>
      <w:tr w:rsidR="005D73DE" w:rsidRPr="00EF66F8" w:rsidTr="001C5075">
        <w:tc>
          <w:tcPr>
            <w:tcW w:w="9215" w:type="dxa"/>
            <w:gridSpan w:val="3"/>
            <w:tcBorders>
              <w:top w:val="outset" w:sz="6" w:space="0" w:color="000000"/>
              <w:left w:val="outset" w:sz="6" w:space="0" w:color="000000"/>
              <w:bottom w:val="outset" w:sz="6" w:space="0" w:color="000000"/>
              <w:right w:val="outset" w:sz="6" w:space="0" w:color="000000"/>
            </w:tcBorders>
          </w:tcPr>
          <w:p w:rsidR="00A162FE" w:rsidRPr="00536C83" w:rsidRDefault="00A162FE" w:rsidP="005D73DE">
            <w:pPr>
              <w:jc w:val="center"/>
              <w:rPr>
                <w:b/>
                <w:bCs/>
                <w:lang w:val="lv-LV" w:eastAsia="lv-LV"/>
              </w:rPr>
            </w:pPr>
            <w:r w:rsidRPr="00E00800">
              <w:rPr>
                <w:b/>
                <w:bCs/>
                <w:lang w:val="lv-LV" w:eastAsia="lv-LV"/>
              </w:rPr>
              <w:t>VII. Tiesību akta projekta izpildes nodrošināšana un tās ietekme uz institūcijām</w:t>
            </w:r>
          </w:p>
        </w:tc>
      </w:tr>
      <w:tr w:rsidR="00E829A0" w:rsidRPr="00692F5C" w:rsidTr="001C5075">
        <w:tc>
          <w:tcPr>
            <w:tcW w:w="568" w:type="dxa"/>
            <w:tcBorders>
              <w:top w:val="outset" w:sz="6" w:space="0" w:color="000000"/>
              <w:left w:val="outset" w:sz="6" w:space="0" w:color="000000"/>
              <w:bottom w:val="outset" w:sz="6" w:space="0" w:color="000000"/>
              <w:right w:val="outset" w:sz="6" w:space="0" w:color="000000"/>
            </w:tcBorders>
          </w:tcPr>
          <w:p w:rsidR="00E829A0" w:rsidRPr="00692F5C" w:rsidRDefault="00E829A0" w:rsidP="005D73DE">
            <w:pPr>
              <w:rPr>
                <w:lang w:val="lv-LV" w:eastAsia="lv-LV"/>
              </w:rPr>
            </w:pPr>
            <w:r w:rsidRPr="00692F5C">
              <w:rPr>
                <w:lang w:val="lv-LV" w:eastAsia="lv-LV"/>
              </w:rPr>
              <w:t>1.</w:t>
            </w:r>
          </w:p>
        </w:tc>
        <w:tc>
          <w:tcPr>
            <w:tcW w:w="2834" w:type="dxa"/>
            <w:tcBorders>
              <w:top w:val="outset" w:sz="6" w:space="0" w:color="000000"/>
              <w:left w:val="outset" w:sz="6" w:space="0" w:color="000000"/>
              <w:bottom w:val="outset" w:sz="6" w:space="0" w:color="000000"/>
              <w:right w:val="outset" w:sz="6" w:space="0" w:color="000000"/>
            </w:tcBorders>
          </w:tcPr>
          <w:p w:rsidR="00E829A0" w:rsidRPr="00692F5C" w:rsidRDefault="00E829A0" w:rsidP="009E2709">
            <w:pPr>
              <w:jc w:val="both"/>
              <w:rPr>
                <w:lang w:val="lv-LV" w:eastAsia="lv-LV"/>
              </w:rPr>
            </w:pPr>
            <w:r w:rsidRPr="00692F5C">
              <w:rPr>
                <w:lang w:val="lv-LV" w:eastAsia="lv-LV"/>
              </w:rPr>
              <w:t>Projekta izpildē iesaistītās institūcijas</w:t>
            </w:r>
          </w:p>
        </w:tc>
        <w:tc>
          <w:tcPr>
            <w:tcW w:w="5813" w:type="dxa"/>
            <w:tcBorders>
              <w:top w:val="outset" w:sz="6" w:space="0" w:color="000000"/>
              <w:left w:val="outset" w:sz="6" w:space="0" w:color="000000"/>
              <w:bottom w:val="outset" w:sz="6" w:space="0" w:color="000000"/>
              <w:right w:val="outset" w:sz="6" w:space="0" w:color="000000"/>
            </w:tcBorders>
          </w:tcPr>
          <w:p w:rsidR="00E829A0" w:rsidRPr="00692F5C" w:rsidRDefault="00E829A0" w:rsidP="00DF02A2">
            <w:pPr>
              <w:pStyle w:val="Kjene"/>
              <w:tabs>
                <w:tab w:val="clear" w:pos="4153"/>
                <w:tab w:val="clear" w:pos="8306"/>
              </w:tabs>
              <w:snapToGrid/>
              <w:jc w:val="both"/>
              <w:rPr>
                <w:rFonts w:ascii="Times New Roman" w:hAnsi="Times New Roman"/>
                <w:sz w:val="24"/>
                <w:szCs w:val="24"/>
              </w:rPr>
            </w:pPr>
            <w:r w:rsidRPr="00692F5C">
              <w:rPr>
                <w:rFonts w:ascii="Times New Roman" w:hAnsi="Times New Roman"/>
                <w:sz w:val="24"/>
              </w:rPr>
              <w:t>Pārtikas un veterinārais dienests</w:t>
            </w:r>
          </w:p>
        </w:tc>
      </w:tr>
      <w:tr w:rsidR="00E829A0" w:rsidRPr="00692F5C" w:rsidTr="001C5075">
        <w:tc>
          <w:tcPr>
            <w:tcW w:w="568" w:type="dxa"/>
            <w:tcBorders>
              <w:top w:val="outset" w:sz="6" w:space="0" w:color="000000"/>
              <w:left w:val="outset" w:sz="6" w:space="0" w:color="000000"/>
              <w:bottom w:val="outset" w:sz="6" w:space="0" w:color="000000"/>
              <w:right w:val="outset" w:sz="6" w:space="0" w:color="000000"/>
            </w:tcBorders>
          </w:tcPr>
          <w:p w:rsidR="00E829A0" w:rsidRPr="00692F5C" w:rsidRDefault="00E829A0" w:rsidP="005D73DE">
            <w:pPr>
              <w:rPr>
                <w:lang w:val="lv-LV" w:eastAsia="lv-LV"/>
              </w:rPr>
            </w:pPr>
            <w:r w:rsidRPr="00692F5C">
              <w:rPr>
                <w:lang w:val="lv-LV" w:eastAsia="lv-LV"/>
              </w:rPr>
              <w:t>2.</w:t>
            </w:r>
          </w:p>
        </w:tc>
        <w:tc>
          <w:tcPr>
            <w:tcW w:w="2834" w:type="dxa"/>
            <w:tcBorders>
              <w:top w:val="outset" w:sz="6" w:space="0" w:color="000000"/>
              <w:left w:val="outset" w:sz="6" w:space="0" w:color="000000"/>
              <w:bottom w:val="outset" w:sz="6" w:space="0" w:color="000000"/>
              <w:right w:val="outset" w:sz="6" w:space="0" w:color="000000"/>
            </w:tcBorders>
          </w:tcPr>
          <w:p w:rsidR="00E829A0" w:rsidRPr="00692F5C" w:rsidRDefault="00E829A0" w:rsidP="009E2709">
            <w:pPr>
              <w:jc w:val="both"/>
              <w:rPr>
                <w:lang w:val="lv-LV"/>
              </w:rPr>
            </w:pPr>
            <w:r w:rsidRPr="00692F5C">
              <w:rPr>
                <w:lang w:val="lv-LV"/>
              </w:rPr>
              <w:t xml:space="preserve">Projekta izpildes ietekme uz pārvaldes funkcijām un institucionālo struktūru. </w:t>
            </w:r>
          </w:p>
          <w:p w:rsidR="00E829A0" w:rsidRPr="00692F5C" w:rsidRDefault="00E829A0" w:rsidP="009E2709">
            <w:pPr>
              <w:ind w:firstLine="300"/>
              <w:jc w:val="both"/>
              <w:rPr>
                <w:lang w:val="lv-LV"/>
              </w:rPr>
            </w:pPr>
            <w:r w:rsidRPr="00692F5C">
              <w:rPr>
                <w:lang w:val="lv-LV"/>
              </w:rPr>
              <w:t>Jaunu institūciju izveide, esošu institūciju likvidācija vai reorganizācija, to ietekme uz institūcijas cilvēkresursiem</w:t>
            </w:r>
          </w:p>
        </w:tc>
        <w:tc>
          <w:tcPr>
            <w:tcW w:w="5813" w:type="dxa"/>
            <w:tcBorders>
              <w:top w:val="outset" w:sz="6" w:space="0" w:color="000000"/>
              <w:left w:val="outset" w:sz="6" w:space="0" w:color="000000"/>
              <w:bottom w:val="outset" w:sz="6" w:space="0" w:color="000000"/>
              <w:right w:val="outset" w:sz="6" w:space="0" w:color="000000"/>
            </w:tcBorders>
          </w:tcPr>
          <w:p w:rsidR="00E829A0" w:rsidRPr="00692F5C" w:rsidRDefault="00E829A0" w:rsidP="00DF02A2">
            <w:pPr>
              <w:pStyle w:val="naiskr"/>
              <w:spacing w:before="0" w:beforeAutospacing="0" w:after="0" w:afterAutospacing="0"/>
              <w:jc w:val="both"/>
            </w:pPr>
            <w:r w:rsidRPr="00692F5C">
              <w:rPr>
                <w:iCs/>
              </w:rPr>
              <w:t>Projekts šo jomu neskar</w:t>
            </w:r>
            <w:r w:rsidRPr="00692F5C">
              <w:t>.</w:t>
            </w:r>
          </w:p>
        </w:tc>
      </w:tr>
      <w:tr w:rsidR="005D73DE" w:rsidRPr="00692F5C" w:rsidTr="001C5075">
        <w:tc>
          <w:tcPr>
            <w:tcW w:w="568" w:type="dxa"/>
            <w:tcBorders>
              <w:top w:val="outset" w:sz="6" w:space="0" w:color="000000"/>
              <w:left w:val="outset" w:sz="6" w:space="0" w:color="000000"/>
              <w:bottom w:val="outset" w:sz="6" w:space="0" w:color="000000"/>
              <w:right w:val="outset" w:sz="6" w:space="0" w:color="000000"/>
            </w:tcBorders>
          </w:tcPr>
          <w:p w:rsidR="002C46AC" w:rsidRPr="00692F5C" w:rsidRDefault="002C46AC" w:rsidP="005D73DE">
            <w:pPr>
              <w:rPr>
                <w:lang w:val="lv-LV" w:eastAsia="lv-LV"/>
              </w:rPr>
            </w:pPr>
            <w:r w:rsidRPr="00692F5C">
              <w:rPr>
                <w:lang w:val="lv-LV" w:eastAsia="lv-LV"/>
              </w:rPr>
              <w:t>3.</w:t>
            </w:r>
          </w:p>
        </w:tc>
        <w:tc>
          <w:tcPr>
            <w:tcW w:w="2834" w:type="dxa"/>
            <w:tcBorders>
              <w:top w:val="outset" w:sz="6" w:space="0" w:color="000000"/>
              <w:left w:val="outset" w:sz="6" w:space="0" w:color="000000"/>
              <w:bottom w:val="outset" w:sz="6" w:space="0" w:color="000000"/>
              <w:right w:val="outset" w:sz="6" w:space="0" w:color="000000"/>
            </w:tcBorders>
          </w:tcPr>
          <w:p w:rsidR="002C46AC" w:rsidRPr="00692F5C" w:rsidRDefault="00713C15" w:rsidP="005D73DE">
            <w:pPr>
              <w:jc w:val="both"/>
              <w:rPr>
                <w:lang w:val="lv-LV" w:eastAsia="lv-LV"/>
              </w:rPr>
            </w:pPr>
            <w:r w:rsidRPr="00692F5C">
              <w:rPr>
                <w:lang w:val="lv-LV" w:eastAsia="lv-LV"/>
              </w:rPr>
              <w:t>Cita informācija</w:t>
            </w:r>
          </w:p>
        </w:tc>
        <w:tc>
          <w:tcPr>
            <w:tcW w:w="5813" w:type="dxa"/>
            <w:tcBorders>
              <w:top w:val="outset" w:sz="6" w:space="0" w:color="000000"/>
              <w:left w:val="outset" w:sz="6" w:space="0" w:color="000000"/>
              <w:bottom w:val="outset" w:sz="6" w:space="0" w:color="000000"/>
              <w:right w:val="outset" w:sz="6" w:space="0" w:color="000000"/>
            </w:tcBorders>
          </w:tcPr>
          <w:p w:rsidR="002C46AC" w:rsidRPr="00692F5C" w:rsidRDefault="00E829A0" w:rsidP="005D73DE">
            <w:pPr>
              <w:pStyle w:val="Kjene"/>
              <w:tabs>
                <w:tab w:val="clear" w:pos="4153"/>
                <w:tab w:val="clear" w:pos="8306"/>
              </w:tabs>
              <w:snapToGrid/>
              <w:jc w:val="both"/>
              <w:rPr>
                <w:rFonts w:ascii="Times New Roman" w:hAnsi="Times New Roman"/>
                <w:sz w:val="24"/>
                <w:szCs w:val="24"/>
              </w:rPr>
            </w:pPr>
            <w:r w:rsidRPr="00692F5C">
              <w:rPr>
                <w:rFonts w:ascii="Times New Roman" w:hAnsi="Times New Roman"/>
                <w:sz w:val="24"/>
                <w:szCs w:val="24"/>
              </w:rPr>
              <w:t>Nav</w:t>
            </w:r>
          </w:p>
        </w:tc>
      </w:tr>
    </w:tbl>
    <w:p w:rsidR="00F83BA3" w:rsidRPr="00692F5C" w:rsidRDefault="00F83BA3" w:rsidP="005D73DE">
      <w:pPr>
        <w:pStyle w:val="naisf"/>
        <w:spacing w:before="0" w:beforeAutospacing="0" w:after="0" w:afterAutospacing="0"/>
        <w:rPr>
          <w:sz w:val="28"/>
          <w:lang w:val="lv-LV"/>
        </w:rPr>
      </w:pPr>
    </w:p>
    <w:p w:rsidR="00D17103" w:rsidRDefault="009E2709" w:rsidP="00E66CD0">
      <w:pPr>
        <w:pStyle w:val="naisf"/>
        <w:spacing w:before="0" w:beforeAutospacing="0" w:after="0" w:afterAutospacing="0"/>
        <w:rPr>
          <w:sz w:val="28"/>
          <w:lang w:val="lv-LV"/>
        </w:rPr>
      </w:pPr>
      <w:r w:rsidRPr="00692F5C">
        <w:rPr>
          <w:sz w:val="28"/>
          <w:lang w:val="lv-LV"/>
        </w:rPr>
        <w:tab/>
      </w:r>
    </w:p>
    <w:p w:rsidR="00D17103" w:rsidRPr="00536C83" w:rsidRDefault="00D17103" w:rsidP="00D17103">
      <w:pPr>
        <w:pStyle w:val="Virsraksts1"/>
        <w:keepNext w:val="0"/>
        <w:widowControl w:val="0"/>
        <w:jc w:val="left"/>
        <w:rPr>
          <w:b w:val="0"/>
          <w:sz w:val="24"/>
        </w:rPr>
      </w:pPr>
    </w:p>
    <w:p w:rsidR="00A13CED" w:rsidRPr="00E00800" w:rsidRDefault="00A13CED" w:rsidP="00A13CED">
      <w:pPr>
        <w:jc w:val="both"/>
        <w:rPr>
          <w:szCs w:val="28"/>
          <w:lang w:val="lv-LV"/>
        </w:rPr>
      </w:pPr>
      <w:r w:rsidRPr="00E00800">
        <w:rPr>
          <w:szCs w:val="28"/>
          <w:lang w:val="lv-LV"/>
        </w:rPr>
        <w:t xml:space="preserve">Zemkopības ministra </w:t>
      </w:r>
      <w:r w:rsidR="00E00800">
        <w:rPr>
          <w:szCs w:val="28"/>
          <w:lang w:val="lv-LV"/>
        </w:rPr>
        <w:t>p.i.</w:t>
      </w:r>
      <w:r w:rsidRPr="00E00800">
        <w:rPr>
          <w:szCs w:val="28"/>
          <w:lang w:val="lv-LV"/>
        </w:rPr>
        <w:t xml:space="preserve"> –</w:t>
      </w:r>
    </w:p>
    <w:p w:rsidR="00A13CED" w:rsidRPr="00E00800" w:rsidRDefault="00C852D1" w:rsidP="00A13CED">
      <w:pPr>
        <w:jc w:val="both"/>
        <w:rPr>
          <w:sz w:val="28"/>
          <w:szCs w:val="28"/>
          <w:lang w:val="lv-LV"/>
        </w:rPr>
      </w:pPr>
      <w:r w:rsidRPr="00E00800">
        <w:rPr>
          <w:lang w:val="lv-LV"/>
        </w:rPr>
        <w:t>aizsardzības ministrs</w:t>
      </w:r>
      <w:r w:rsidRPr="00E00800">
        <w:rPr>
          <w:lang w:val="lv-LV"/>
        </w:rPr>
        <w:tab/>
      </w:r>
      <w:r w:rsidRPr="00E00800">
        <w:rPr>
          <w:lang w:val="lv-LV"/>
        </w:rPr>
        <w:tab/>
      </w:r>
      <w:r w:rsidRPr="00E00800">
        <w:rPr>
          <w:lang w:val="lv-LV"/>
        </w:rPr>
        <w:tab/>
      </w:r>
      <w:r w:rsidRPr="00E00800">
        <w:rPr>
          <w:lang w:val="lv-LV"/>
        </w:rPr>
        <w:tab/>
      </w:r>
      <w:r w:rsidRPr="00E00800">
        <w:rPr>
          <w:lang w:val="lv-LV"/>
        </w:rPr>
        <w:tab/>
      </w:r>
      <w:r w:rsidRPr="00E00800">
        <w:rPr>
          <w:lang w:val="lv-LV"/>
        </w:rPr>
        <w:tab/>
      </w:r>
      <w:r w:rsidRPr="00E00800">
        <w:rPr>
          <w:lang w:val="lv-LV"/>
        </w:rPr>
        <w:tab/>
      </w:r>
      <w:r w:rsidR="00E00800">
        <w:rPr>
          <w:lang w:val="lv-LV"/>
        </w:rPr>
        <w:tab/>
      </w:r>
      <w:r w:rsidRPr="00E00800">
        <w:rPr>
          <w:lang w:val="lv-LV"/>
        </w:rPr>
        <w:t>R. Bergmanis</w:t>
      </w:r>
    </w:p>
    <w:p w:rsidR="002B24A9" w:rsidRPr="00692F5C" w:rsidRDefault="002B24A9" w:rsidP="005D73DE">
      <w:pPr>
        <w:rPr>
          <w:lang w:val="lv-LV"/>
        </w:rPr>
      </w:pPr>
    </w:p>
    <w:p w:rsidR="001C09FC" w:rsidRDefault="001C09FC" w:rsidP="005D73DE">
      <w:pPr>
        <w:jc w:val="both"/>
        <w:rPr>
          <w:lang w:val="lv-LV"/>
        </w:rPr>
      </w:pPr>
    </w:p>
    <w:p w:rsidR="00173EC9" w:rsidRDefault="00173EC9" w:rsidP="005D73DE">
      <w:pPr>
        <w:jc w:val="both"/>
        <w:rPr>
          <w:lang w:val="lv-LV"/>
        </w:rPr>
      </w:pPr>
    </w:p>
    <w:p w:rsidR="00173EC9" w:rsidRDefault="00173EC9" w:rsidP="005D73DE">
      <w:pPr>
        <w:jc w:val="both"/>
        <w:rPr>
          <w:lang w:val="lv-LV"/>
        </w:rPr>
      </w:pPr>
    </w:p>
    <w:p w:rsidR="00173EC9" w:rsidRDefault="00173EC9" w:rsidP="005D73DE">
      <w:pPr>
        <w:jc w:val="both"/>
        <w:rPr>
          <w:lang w:val="lv-LV"/>
        </w:rPr>
      </w:pPr>
    </w:p>
    <w:p w:rsidR="002E10EB" w:rsidRDefault="002E10EB" w:rsidP="005D73DE">
      <w:pPr>
        <w:jc w:val="both"/>
        <w:rPr>
          <w:lang w:val="lv-LV"/>
        </w:rPr>
      </w:pPr>
    </w:p>
    <w:p w:rsidR="002E10EB" w:rsidRDefault="002E10EB" w:rsidP="005D73DE">
      <w:pPr>
        <w:jc w:val="both"/>
        <w:rPr>
          <w:lang w:val="lv-LV"/>
        </w:rPr>
      </w:pPr>
    </w:p>
    <w:p w:rsidR="002E10EB" w:rsidRDefault="002E10EB" w:rsidP="005D73DE">
      <w:pPr>
        <w:jc w:val="both"/>
        <w:rPr>
          <w:lang w:val="lv-LV"/>
        </w:rPr>
      </w:pPr>
    </w:p>
    <w:p w:rsidR="002E10EB" w:rsidRDefault="002E10EB" w:rsidP="005D73DE">
      <w:pPr>
        <w:jc w:val="both"/>
        <w:rPr>
          <w:lang w:val="lv-LV"/>
        </w:rPr>
      </w:pPr>
    </w:p>
    <w:p w:rsidR="003437D3" w:rsidRDefault="003437D3" w:rsidP="005D73DE">
      <w:pPr>
        <w:jc w:val="both"/>
        <w:rPr>
          <w:lang w:val="lv-LV"/>
        </w:rPr>
      </w:pPr>
    </w:p>
    <w:p w:rsidR="003437D3" w:rsidRDefault="003437D3" w:rsidP="005D73DE">
      <w:pPr>
        <w:jc w:val="both"/>
        <w:rPr>
          <w:lang w:val="lv-LV"/>
        </w:rPr>
      </w:pPr>
    </w:p>
    <w:p w:rsidR="00173EC9" w:rsidRPr="00692F5C" w:rsidRDefault="00173EC9" w:rsidP="005D73DE">
      <w:pPr>
        <w:jc w:val="both"/>
        <w:rPr>
          <w:lang w:val="lv-LV"/>
        </w:rPr>
      </w:pPr>
    </w:p>
    <w:p w:rsidR="005B26B8" w:rsidRDefault="005B26B8" w:rsidP="00D85B39">
      <w:pPr>
        <w:jc w:val="both"/>
        <w:rPr>
          <w:sz w:val="20"/>
          <w:szCs w:val="20"/>
          <w:lang w:val="lv-LV"/>
        </w:rPr>
      </w:pPr>
      <w:r>
        <w:rPr>
          <w:sz w:val="20"/>
          <w:szCs w:val="20"/>
          <w:lang w:val="lv-LV"/>
        </w:rPr>
        <w:t>14.08.2015. 9:32</w:t>
      </w:r>
    </w:p>
    <w:p w:rsidR="005B26B8" w:rsidRDefault="005B26B8" w:rsidP="00D85B39">
      <w:pPr>
        <w:jc w:val="both"/>
        <w:rPr>
          <w:sz w:val="20"/>
          <w:szCs w:val="20"/>
          <w:lang w:val="lv-LV"/>
        </w:rPr>
      </w:pPr>
      <w:r>
        <w:rPr>
          <w:sz w:val="20"/>
          <w:szCs w:val="20"/>
          <w:lang w:val="lv-LV"/>
        </w:rPr>
        <w:fldChar w:fldCharType="begin"/>
      </w:r>
      <w:r>
        <w:rPr>
          <w:sz w:val="20"/>
          <w:szCs w:val="20"/>
          <w:lang w:val="lv-LV"/>
        </w:rPr>
        <w:instrText xml:space="preserve"> NUMWORDS   \* MERGEFORMAT </w:instrText>
      </w:r>
      <w:r>
        <w:rPr>
          <w:sz w:val="20"/>
          <w:szCs w:val="20"/>
          <w:lang w:val="lv-LV"/>
        </w:rPr>
        <w:fldChar w:fldCharType="separate"/>
      </w:r>
      <w:r>
        <w:rPr>
          <w:noProof/>
          <w:sz w:val="20"/>
          <w:szCs w:val="20"/>
          <w:lang w:val="lv-LV"/>
        </w:rPr>
        <w:t>2730</w:t>
      </w:r>
      <w:r>
        <w:rPr>
          <w:sz w:val="20"/>
          <w:szCs w:val="20"/>
          <w:lang w:val="lv-LV"/>
        </w:rPr>
        <w:fldChar w:fldCharType="end"/>
      </w:r>
    </w:p>
    <w:p w:rsidR="00D85B39" w:rsidRPr="00692F5C" w:rsidRDefault="00D85B39" w:rsidP="00D85B39">
      <w:pPr>
        <w:jc w:val="both"/>
        <w:rPr>
          <w:sz w:val="20"/>
          <w:szCs w:val="20"/>
          <w:lang w:val="lv-LV"/>
        </w:rPr>
      </w:pPr>
      <w:bookmarkStart w:id="2" w:name="_GoBack"/>
      <w:bookmarkEnd w:id="2"/>
      <w:r w:rsidRPr="00692F5C">
        <w:rPr>
          <w:sz w:val="20"/>
          <w:szCs w:val="20"/>
          <w:lang w:val="lv-LV"/>
        </w:rPr>
        <w:t>L.Gurecka</w:t>
      </w:r>
    </w:p>
    <w:p w:rsidR="00C20792" w:rsidRPr="00E66CD0" w:rsidRDefault="00D85B39" w:rsidP="00D85B39">
      <w:pPr>
        <w:jc w:val="both"/>
        <w:rPr>
          <w:sz w:val="20"/>
          <w:szCs w:val="20"/>
          <w:lang w:val="lv-LV"/>
        </w:rPr>
      </w:pPr>
      <w:r w:rsidRPr="00692F5C">
        <w:rPr>
          <w:sz w:val="20"/>
          <w:szCs w:val="20"/>
          <w:lang w:val="lv-LV"/>
        </w:rPr>
        <w:t>67027063, Linda.Gurecka@zm.gov.lv</w:t>
      </w:r>
    </w:p>
    <w:sectPr w:rsidR="00C20792" w:rsidRPr="00E66CD0" w:rsidSect="00766002">
      <w:headerReference w:type="even" r:id="rId8"/>
      <w:headerReference w:type="default" r:id="rId9"/>
      <w:footerReference w:type="default" r:id="rId10"/>
      <w:footerReference w:type="first" r:id="rId11"/>
      <w:pgSz w:w="11906" w:h="16838" w:code="9"/>
      <w:pgMar w:top="1418" w:right="1134" w:bottom="1134"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4524" w:rsidRDefault="00D84524">
      <w:r>
        <w:separator/>
      </w:r>
    </w:p>
  </w:endnote>
  <w:endnote w:type="continuationSeparator" w:id="0">
    <w:p w:rsidR="00D84524" w:rsidRDefault="00D84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RimTimes">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490" w:rsidRPr="005B26B8" w:rsidRDefault="005B26B8" w:rsidP="005B26B8">
    <w:pPr>
      <w:widowControl w:val="0"/>
      <w:autoSpaceDE w:val="0"/>
      <w:autoSpaceDN w:val="0"/>
      <w:adjustRightInd w:val="0"/>
      <w:jc w:val="both"/>
      <w:rPr>
        <w:sz w:val="20"/>
        <w:szCs w:val="20"/>
        <w:lang w:val="lv-LV"/>
      </w:rPr>
    </w:pPr>
    <w:r w:rsidRPr="005B26B8">
      <w:rPr>
        <w:sz w:val="20"/>
        <w:szCs w:val="20"/>
        <w:lang w:val="lv-LV"/>
      </w:rPr>
      <w:t>ZManot_100815_PVDcenr</w:t>
    </w:r>
    <w:r>
      <w:rPr>
        <w:sz w:val="20"/>
        <w:szCs w:val="20"/>
        <w:lang w:val="lv-LV"/>
      </w:rPr>
      <w:t xml:space="preserve">; Ministru kabineta noteikumu projekta </w:t>
    </w:r>
    <w:r w:rsidRPr="00FA28CA">
      <w:rPr>
        <w:sz w:val="20"/>
        <w:szCs w:val="20"/>
        <w:lang w:val="lv-LV"/>
      </w:rPr>
      <w:t>„</w:t>
    </w:r>
    <w:r w:rsidRPr="00E95CED">
      <w:rPr>
        <w:bCs/>
        <w:sz w:val="20"/>
        <w:lang w:val="lv-LV"/>
      </w:rPr>
      <w:t xml:space="preserve">Grozījumi Ministru kabineta 2013.gada </w:t>
    </w:r>
    <w:r w:rsidRPr="00E95CED">
      <w:rPr>
        <w:sz w:val="20"/>
        <w:szCs w:val="28"/>
        <w:lang w:val="lv-LV"/>
      </w:rPr>
      <w:t>8.oktobra noteikumos Nr.1083</w:t>
    </w:r>
    <w:r w:rsidRPr="00E95CED">
      <w:rPr>
        <w:bCs/>
        <w:sz w:val="20"/>
        <w:lang w:val="lv-LV"/>
      </w:rPr>
      <w:t xml:space="preserve"> „Kārtība, kādā veicama samaksa </w:t>
    </w:r>
    <w:r w:rsidRPr="00E95CED">
      <w:rPr>
        <w:bCs/>
        <w:sz w:val="20"/>
        <w:szCs w:val="28"/>
        <w:lang w:val="lv-LV"/>
      </w:rPr>
      <w:t>par Pārtikas un veterinārā dienesta valsts uzraudzības un kontroles darbībām un maksas pakalpojumiem</w:t>
    </w:r>
    <w:r w:rsidRPr="00FA28CA">
      <w:rPr>
        <w:sz w:val="20"/>
        <w:szCs w:val="20"/>
        <w:lang w:val="lv-LV"/>
      </w:rPr>
      <w:t>”</w:t>
    </w:r>
    <w:r>
      <w:rPr>
        <w:sz w:val="20"/>
        <w:szCs w:val="20"/>
        <w:lang w:val="lv-LV"/>
      </w:rPr>
      <w:t xml:space="preserve"> </w:t>
    </w:r>
    <w:r w:rsidRPr="00FA28CA">
      <w:rPr>
        <w:sz w:val="20"/>
        <w:szCs w:val="20"/>
        <w:lang w:val="lv-LV"/>
      </w:rPr>
      <w:t>sākotnējās ietekmes novērtējuma ziņojums</w:t>
    </w:r>
    <w:r w:rsidRPr="00FA28CA">
      <w:rPr>
        <w:bCs/>
        <w:sz w:val="20"/>
        <w:szCs w:val="20"/>
        <w:lang w:val="lv-LV"/>
      </w:rPr>
      <w:t xml:space="preserve">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490" w:rsidRPr="00FA28CA" w:rsidRDefault="005B26B8" w:rsidP="00FA28CA">
    <w:pPr>
      <w:widowControl w:val="0"/>
      <w:autoSpaceDE w:val="0"/>
      <w:autoSpaceDN w:val="0"/>
      <w:adjustRightInd w:val="0"/>
      <w:jc w:val="both"/>
      <w:rPr>
        <w:sz w:val="20"/>
        <w:szCs w:val="20"/>
        <w:lang w:val="lv-LV"/>
      </w:rPr>
    </w:pPr>
    <w:r w:rsidRPr="005B26B8">
      <w:rPr>
        <w:sz w:val="20"/>
        <w:szCs w:val="20"/>
        <w:lang w:val="lv-LV"/>
      </w:rPr>
      <w:t>ZManot_100815_PVDcenr</w:t>
    </w:r>
    <w:r w:rsidR="009D1490">
      <w:rPr>
        <w:sz w:val="20"/>
        <w:szCs w:val="20"/>
        <w:lang w:val="lv-LV"/>
      </w:rPr>
      <w:t xml:space="preserve">; Ministru kabineta noteikumu projekta </w:t>
    </w:r>
    <w:r w:rsidR="009D1490" w:rsidRPr="00FA28CA">
      <w:rPr>
        <w:sz w:val="20"/>
        <w:szCs w:val="20"/>
        <w:lang w:val="lv-LV"/>
      </w:rPr>
      <w:t>„</w:t>
    </w:r>
    <w:r w:rsidR="009D1490" w:rsidRPr="00E95CED">
      <w:rPr>
        <w:bCs/>
        <w:sz w:val="20"/>
        <w:lang w:val="lv-LV"/>
      </w:rPr>
      <w:t xml:space="preserve">Grozījumi Ministru kabineta 2013.gada </w:t>
    </w:r>
    <w:r w:rsidR="009D1490" w:rsidRPr="00E95CED">
      <w:rPr>
        <w:sz w:val="20"/>
        <w:szCs w:val="28"/>
        <w:lang w:val="lv-LV"/>
      </w:rPr>
      <w:t>8.oktobra noteikumos Nr.1083</w:t>
    </w:r>
    <w:r w:rsidR="009D1490" w:rsidRPr="00E95CED">
      <w:rPr>
        <w:bCs/>
        <w:sz w:val="20"/>
        <w:lang w:val="lv-LV"/>
      </w:rPr>
      <w:t xml:space="preserve"> „Kārtība, kādā veicama samaksa </w:t>
    </w:r>
    <w:r w:rsidR="009D1490" w:rsidRPr="00E95CED">
      <w:rPr>
        <w:bCs/>
        <w:sz w:val="20"/>
        <w:szCs w:val="28"/>
        <w:lang w:val="lv-LV"/>
      </w:rPr>
      <w:t>par Pārtikas un veterinārā dienesta valsts uzraudzības un kontroles darbībām un maksas pakalpojumiem</w:t>
    </w:r>
    <w:r w:rsidR="009D1490" w:rsidRPr="00FA28CA">
      <w:rPr>
        <w:sz w:val="20"/>
        <w:szCs w:val="20"/>
        <w:lang w:val="lv-LV"/>
      </w:rPr>
      <w:t>”</w:t>
    </w:r>
    <w:r w:rsidR="009D1490">
      <w:rPr>
        <w:sz w:val="20"/>
        <w:szCs w:val="20"/>
        <w:lang w:val="lv-LV"/>
      </w:rPr>
      <w:t xml:space="preserve"> </w:t>
    </w:r>
    <w:r w:rsidR="009D1490" w:rsidRPr="00FA28CA">
      <w:rPr>
        <w:sz w:val="20"/>
        <w:szCs w:val="20"/>
        <w:lang w:val="lv-LV"/>
      </w:rPr>
      <w:t>sākotnējās ietekmes novērtējuma ziņojums</w:t>
    </w:r>
    <w:r w:rsidR="009D1490" w:rsidRPr="00FA28CA">
      <w:rPr>
        <w:bCs/>
        <w:sz w:val="20"/>
        <w:szCs w:val="20"/>
        <w:lang w:val="lv-LV"/>
      </w:rPr>
      <w:t xml:space="preserve">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4524" w:rsidRDefault="00D84524">
      <w:r>
        <w:separator/>
      </w:r>
    </w:p>
  </w:footnote>
  <w:footnote w:type="continuationSeparator" w:id="0">
    <w:p w:rsidR="00D84524" w:rsidRDefault="00D845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490" w:rsidRDefault="009D1490">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9D1490" w:rsidRDefault="009D1490">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490" w:rsidRDefault="009D1490">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5B26B8">
      <w:rPr>
        <w:rStyle w:val="Lappusesnumurs"/>
        <w:noProof/>
      </w:rPr>
      <w:t>11</w:t>
    </w:r>
    <w:r>
      <w:rPr>
        <w:rStyle w:val="Lappusesnumurs"/>
      </w:rPr>
      <w:fldChar w:fldCharType="end"/>
    </w:r>
  </w:p>
  <w:p w:rsidR="009D1490" w:rsidRDefault="009D1490">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D119B"/>
    <w:multiLevelType w:val="hybridMultilevel"/>
    <w:tmpl w:val="D890C192"/>
    <w:lvl w:ilvl="0" w:tplc="8E2A5972">
      <w:start w:val="4"/>
      <w:numFmt w:val="bullet"/>
      <w:lvlText w:val="-"/>
      <w:lvlJc w:val="left"/>
      <w:pPr>
        <w:tabs>
          <w:tab w:val="num" w:pos="930"/>
        </w:tabs>
        <w:ind w:left="930" w:hanging="57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26B7147"/>
    <w:multiLevelType w:val="hybridMultilevel"/>
    <w:tmpl w:val="F5127214"/>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15:restartNumberingAfterBreak="0">
    <w:nsid w:val="52055420"/>
    <w:multiLevelType w:val="hybridMultilevel"/>
    <w:tmpl w:val="18C0F7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250055E"/>
    <w:multiLevelType w:val="hybridMultilevel"/>
    <w:tmpl w:val="7A0A5EE8"/>
    <w:lvl w:ilvl="0" w:tplc="6C626DB6">
      <w:start w:val="1"/>
      <w:numFmt w:val="decimal"/>
      <w:lvlText w:val="%1)"/>
      <w:lvlJc w:val="left"/>
      <w:pPr>
        <w:tabs>
          <w:tab w:val="num" w:pos="735"/>
        </w:tabs>
        <w:ind w:left="735" w:hanging="375"/>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15:restartNumberingAfterBreak="0">
    <w:nsid w:val="564732CE"/>
    <w:multiLevelType w:val="hybridMultilevel"/>
    <w:tmpl w:val="6C0ED526"/>
    <w:lvl w:ilvl="0" w:tplc="0426000F">
      <w:start w:val="1"/>
      <w:numFmt w:val="decimal"/>
      <w:lvlText w:val="%1."/>
      <w:lvlJc w:val="left"/>
      <w:pPr>
        <w:tabs>
          <w:tab w:val="num" w:pos="600"/>
        </w:tabs>
        <w:ind w:left="600" w:hanging="360"/>
      </w:pPr>
      <w:rPr>
        <w:rFonts w:hint="default"/>
      </w:rPr>
    </w:lvl>
    <w:lvl w:ilvl="1" w:tplc="04260019" w:tentative="1">
      <w:start w:val="1"/>
      <w:numFmt w:val="lowerLetter"/>
      <w:lvlText w:val="%2."/>
      <w:lvlJc w:val="left"/>
      <w:pPr>
        <w:tabs>
          <w:tab w:val="num" w:pos="1320"/>
        </w:tabs>
        <w:ind w:left="1320" w:hanging="360"/>
      </w:pPr>
    </w:lvl>
    <w:lvl w:ilvl="2" w:tplc="0426001B" w:tentative="1">
      <w:start w:val="1"/>
      <w:numFmt w:val="lowerRoman"/>
      <w:lvlText w:val="%3."/>
      <w:lvlJc w:val="right"/>
      <w:pPr>
        <w:tabs>
          <w:tab w:val="num" w:pos="2040"/>
        </w:tabs>
        <w:ind w:left="2040" w:hanging="180"/>
      </w:pPr>
    </w:lvl>
    <w:lvl w:ilvl="3" w:tplc="0426000F" w:tentative="1">
      <w:start w:val="1"/>
      <w:numFmt w:val="decimal"/>
      <w:lvlText w:val="%4."/>
      <w:lvlJc w:val="left"/>
      <w:pPr>
        <w:tabs>
          <w:tab w:val="num" w:pos="2760"/>
        </w:tabs>
        <w:ind w:left="2760" w:hanging="360"/>
      </w:pPr>
    </w:lvl>
    <w:lvl w:ilvl="4" w:tplc="04260019" w:tentative="1">
      <w:start w:val="1"/>
      <w:numFmt w:val="lowerLetter"/>
      <w:lvlText w:val="%5."/>
      <w:lvlJc w:val="left"/>
      <w:pPr>
        <w:tabs>
          <w:tab w:val="num" w:pos="3480"/>
        </w:tabs>
        <w:ind w:left="3480" w:hanging="360"/>
      </w:pPr>
    </w:lvl>
    <w:lvl w:ilvl="5" w:tplc="0426001B" w:tentative="1">
      <w:start w:val="1"/>
      <w:numFmt w:val="lowerRoman"/>
      <w:lvlText w:val="%6."/>
      <w:lvlJc w:val="right"/>
      <w:pPr>
        <w:tabs>
          <w:tab w:val="num" w:pos="4200"/>
        </w:tabs>
        <w:ind w:left="4200" w:hanging="180"/>
      </w:pPr>
    </w:lvl>
    <w:lvl w:ilvl="6" w:tplc="0426000F" w:tentative="1">
      <w:start w:val="1"/>
      <w:numFmt w:val="decimal"/>
      <w:lvlText w:val="%7."/>
      <w:lvlJc w:val="left"/>
      <w:pPr>
        <w:tabs>
          <w:tab w:val="num" w:pos="4920"/>
        </w:tabs>
        <w:ind w:left="4920" w:hanging="360"/>
      </w:pPr>
    </w:lvl>
    <w:lvl w:ilvl="7" w:tplc="04260019" w:tentative="1">
      <w:start w:val="1"/>
      <w:numFmt w:val="lowerLetter"/>
      <w:lvlText w:val="%8."/>
      <w:lvlJc w:val="left"/>
      <w:pPr>
        <w:tabs>
          <w:tab w:val="num" w:pos="5640"/>
        </w:tabs>
        <w:ind w:left="5640" w:hanging="360"/>
      </w:pPr>
    </w:lvl>
    <w:lvl w:ilvl="8" w:tplc="0426001B" w:tentative="1">
      <w:start w:val="1"/>
      <w:numFmt w:val="lowerRoman"/>
      <w:lvlText w:val="%9."/>
      <w:lvlJc w:val="right"/>
      <w:pPr>
        <w:tabs>
          <w:tab w:val="num" w:pos="6360"/>
        </w:tabs>
        <w:ind w:left="6360" w:hanging="180"/>
      </w:pPr>
    </w:lvl>
  </w:abstractNum>
  <w:abstractNum w:abstractNumId="5" w15:restartNumberingAfterBreak="0">
    <w:nsid w:val="5B691A42"/>
    <w:multiLevelType w:val="hybridMultilevel"/>
    <w:tmpl w:val="4A66829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BF46BAC"/>
    <w:multiLevelType w:val="multilevel"/>
    <w:tmpl w:val="E48A3E18"/>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32B3CBB"/>
    <w:multiLevelType w:val="hybridMultilevel"/>
    <w:tmpl w:val="28B658F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EE80610"/>
    <w:multiLevelType w:val="hybridMultilevel"/>
    <w:tmpl w:val="80E6581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7"/>
  </w:num>
  <w:num w:numId="3">
    <w:abstractNumId w:val="8"/>
  </w:num>
  <w:num w:numId="4">
    <w:abstractNumId w:val="5"/>
  </w:num>
  <w:num w:numId="5">
    <w:abstractNumId w:val="2"/>
  </w:num>
  <w:num w:numId="6">
    <w:abstractNumId w:val="1"/>
  </w:num>
  <w:num w:numId="7">
    <w:abstractNumId w:val="4"/>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F8D"/>
    <w:rsid w:val="00000DC6"/>
    <w:rsid w:val="000017B6"/>
    <w:rsid w:val="00001CFA"/>
    <w:rsid w:val="000030F6"/>
    <w:rsid w:val="00003470"/>
    <w:rsid w:val="00004B99"/>
    <w:rsid w:val="00011500"/>
    <w:rsid w:val="0001274B"/>
    <w:rsid w:val="00013D49"/>
    <w:rsid w:val="000168B7"/>
    <w:rsid w:val="00021385"/>
    <w:rsid w:val="0002330F"/>
    <w:rsid w:val="0002456C"/>
    <w:rsid w:val="000257EE"/>
    <w:rsid w:val="00025AEF"/>
    <w:rsid w:val="00026213"/>
    <w:rsid w:val="00026803"/>
    <w:rsid w:val="00026D31"/>
    <w:rsid w:val="00030786"/>
    <w:rsid w:val="0003130D"/>
    <w:rsid w:val="000323C9"/>
    <w:rsid w:val="00032DD1"/>
    <w:rsid w:val="0003309C"/>
    <w:rsid w:val="00034F8D"/>
    <w:rsid w:val="00035AEC"/>
    <w:rsid w:val="00037C03"/>
    <w:rsid w:val="00040105"/>
    <w:rsid w:val="00042AF6"/>
    <w:rsid w:val="00042DEB"/>
    <w:rsid w:val="00043915"/>
    <w:rsid w:val="000463AC"/>
    <w:rsid w:val="00046D95"/>
    <w:rsid w:val="00050441"/>
    <w:rsid w:val="000524A9"/>
    <w:rsid w:val="00054536"/>
    <w:rsid w:val="00056869"/>
    <w:rsid w:val="00056991"/>
    <w:rsid w:val="00057FBC"/>
    <w:rsid w:val="00061FE0"/>
    <w:rsid w:val="00062DB3"/>
    <w:rsid w:val="00064D47"/>
    <w:rsid w:val="00066C64"/>
    <w:rsid w:val="0006719B"/>
    <w:rsid w:val="0007255F"/>
    <w:rsid w:val="00072622"/>
    <w:rsid w:val="00074423"/>
    <w:rsid w:val="00074D2A"/>
    <w:rsid w:val="00074E43"/>
    <w:rsid w:val="0007562F"/>
    <w:rsid w:val="00075C44"/>
    <w:rsid w:val="00075D5F"/>
    <w:rsid w:val="0007746D"/>
    <w:rsid w:val="00077705"/>
    <w:rsid w:val="00077EA4"/>
    <w:rsid w:val="00081283"/>
    <w:rsid w:val="000817A3"/>
    <w:rsid w:val="000827FB"/>
    <w:rsid w:val="000828B5"/>
    <w:rsid w:val="0008293B"/>
    <w:rsid w:val="00082B53"/>
    <w:rsid w:val="00082F5C"/>
    <w:rsid w:val="00083281"/>
    <w:rsid w:val="00083CAC"/>
    <w:rsid w:val="00084B5A"/>
    <w:rsid w:val="00084F22"/>
    <w:rsid w:val="0008664A"/>
    <w:rsid w:val="00087AD3"/>
    <w:rsid w:val="0009142B"/>
    <w:rsid w:val="000919A8"/>
    <w:rsid w:val="00092D56"/>
    <w:rsid w:val="00092FBC"/>
    <w:rsid w:val="00093E3F"/>
    <w:rsid w:val="00095AC3"/>
    <w:rsid w:val="00095D8C"/>
    <w:rsid w:val="00096D79"/>
    <w:rsid w:val="000A19E2"/>
    <w:rsid w:val="000A1D16"/>
    <w:rsid w:val="000A2AA7"/>
    <w:rsid w:val="000A2CED"/>
    <w:rsid w:val="000A2F90"/>
    <w:rsid w:val="000A3AF0"/>
    <w:rsid w:val="000A5652"/>
    <w:rsid w:val="000A67CD"/>
    <w:rsid w:val="000B0089"/>
    <w:rsid w:val="000B076F"/>
    <w:rsid w:val="000B2C7C"/>
    <w:rsid w:val="000B32EF"/>
    <w:rsid w:val="000B33A4"/>
    <w:rsid w:val="000B3CC3"/>
    <w:rsid w:val="000B3D3E"/>
    <w:rsid w:val="000B5EAD"/>
    <w:rsid w:val="000B77B7"/>
    <w:rsid w:val="000B7AB8"/>
    <w:rsid w:val="000C0FA7"/>
    <w:rsid w:val="000C1E85"/>
    <w:rsid w:val="000C5D0D"/>
    <w:rsid w:val="000C6682"/>
    <w:rsid w:val="000C6DAC"/>
    <w:rsid w:val="000D0329"/>
    <w:rsid w:val="000D0616"/>
    <w:rsid w:val="000D1B13"/>
    <w:rsid w:val="000D3B4D"/>
    <w:rsid w:val="000D51C7"/>
    <w:rsid w:val="000D57DA"/>
    <w:rsid w:val="000E0640"/>
    <w:rsid w:val="000E3DB2"/>
    <w:rsid w:val="000E4067"/>
    <w:rsid w:val="000E47D5"/>
    <w:rsid w:val="000E5F80"/>
    <w:rsid w:val="000E6933"/>
    <w:rsid w:val="000E75D1"/>
    <w:rsid w:val="000E7918"/>
    <w:rsid w:val="000F01FC"/>
    <w:rsid w:val="000F0966"/>
    <w:rsid w:val="000F0E7C"/>
    <w:rsid w:val="000F2EB4"/>
    <w:rsid w:val="000F32C8"/>
    <w:rsid w:val="000F736E"/>
    <w:rsid w:val="00100B1F"/>
    <w:rsid w:val="00100FE3"/>
    <w:rsid w:val="001017AD"/>
    <w:rsid w:val="00101DE0"/>
    <w:rsid w:val="00101E0B"/>
    <w:rsid w:val="00103AD7"/>
    <w:rsid w:val="00103D1B"/>
    <w:rsid w:val="00104349"/>
    <w:rsid w:val="00105AE2"/>
    <w:rsid w:val="00105DD3"/>
    <w:rsid w:val="0010612F"/>
    <w:rsid w:val="00106E4A"/>
    <w:rsid w:val="00107BB6"/>
    <w:rsid w:val="0011310D"/>
    <w:rsid w:val="00114D64"/>
    <w:rsid w:val="00116784"/>
    <w:rsid w:val="001177FE"/>
    <w:rsid w:val="001178E3"/>
    <w:rsid w:val="001200D5"/>
    <w:rsid w:val="00121515"/>
    <w:rsid w:val="001266FD"/>
    <w:rsid w:val="001304F1"/>
    <w:rsid w:val="0013088C"/>
    <w:rsid w:val="00131D05"/>
    <w:rsid w:val="00132004"/>
    <w:rsid w:val="001324A4"/>
    <w:rsid w:val="001345CB"/>
    <w:rsid w:val="001347E9"/>
    <w:rsid w:val="00136C98"/>
    <w:rsid w:val="00136EAA"/>
    <w:rsid w:val="001370BB"/>
    <w:rsid w:val="00137B2C"/>
    <w:rsid w:val="00137BA1"/>
    <w:rsid w:val="00140B4C"/>
    <w:rsid w:val="0014129D"/>
    <w:rsid w:val="0014319C"/>
    <w:rsid w:val="00145433"/>
    <w:rsid w:val="001466B6"/>
    <w:rsid w:val="00150011"/>
    <w:rsid w:val="0015254E"/>
    <w:rsid w:val="00153C68"/>
    <w:rsid w:val="00154954"/>
    <w:rsid w:val="00154AAD"/>
    <w:rsid w:val="00154F4B"/>
    <w:rsid w:val="0015551E"/>
    <w:rsid w:val="00155B89"/>
    <w:rsid w:val="001608F4"/>
    <w:rsid w:val="0016095C"/>
    <w:rsid w:val="001613EA"/>
    <w:rsid w:val="00162137"/>
    <w:rsid w:val="0016266C"/>
    <w:rsid w:val="00162B9D"/>
    <w:rsid w:val="00162E14"/>
    <w:rsid w:val="00164B42"/>
    <w:rsid w:val="00164C6B"/>
    <w:rsid w:val="00164E84"/>
    <w:rsid w:val="001663CF"/>
    <w:rsid w:val="001665DD"/>
    <w:rsid w:val="00166CD1"/>
    <w:rsid w:val="00171315"/>
    <w:rsid w:val="00171BA0"/>
    <w:rsid w:val="00173786"/>
    <w:rsid w:val="001739AD"/>
    <w:rsid w:val="00173EC9"/>
    <w:rsid w:val="001751F5"/>
    <w:rsid w:val="00176E50"/>
    <w:rsid w:val="00177B40"/>
    <w:rsid w:val="00177C18"/>
    <w:rsid w:val="00181D84"/>
    <w:rsid w:val="00182A5C"/>
    <w:rsid w:val="00182C1E"/>
    <w:rsid w:val="00183241"/>
    <w:rsid w:val="00186473"/>
    <w:rsid w:val="001919A5"/>
    <w:rsid w:val="00191D33"/>
    <w:rsid w:val="001942B7"/>
    <w:rsid w:val="00195A01"/>
    <w:rsid w:val="0019798B"/>
    <w:rsid w:val="001A10EA"/>
    <w:rsid w:val="001A1D98"/>
    <w:rsid w:val="001A3B92"/>
    <w:rsid w:val="001A3FFF"/>
    <w:rsid w:val="001A4443"/>
    <w:rsid w:val="001A6148"/>
    <w:rsid w:val="001A7C43"/>
    <w:rsid w:val="001B2F73"/>
    <w:rsid w:val="001B3B95"/>
    <w:rsid w:val="001B4882"/>
    <w:rsid w:val="001B7304"/>
    <w:rsid w:val="001C09FC"/>
    <w:rsid w:val="001C0DC0"/>
    <w:rsid w:val="001C2A17"/>
    <w:rsid w:val="001C4904"/>
    <w:rsid w:val="001C5075"/>
    <w:rsid w:val="001C5F46"/>
    <w:rsid w:val="001C7CA2"/>
    <w:rsid w:val="001D06A3"/>
    <w:rsid w:val="001D180D"/>
    <w:rsid w:val="001D3B7F"/>
    <w:rsid w:val="001D5DAF"/>
    <w:rsid w:val="001D77D5"/>
    <w:rsid w:val="001E0339"/>
    <w:rsid w:val="001E14E1"/>
    <w:rsid w:val="001E264B"/>
    <w:rsid w:val="001E40A1"/>
    <w:rsid w:val="001E7670"/>
    <w:rsid w:val="001F1642"/>
    <w:rsid w:val="001F373B"/>
    <w:rsid w:val="001F5256"/>
    <w:rsid w:val="001F5C16"/>
    <w:rsid w:val="00201249"/>
    <w:rsid w:val="002027AF"/>
    <w:rsid w:val="00203134"/>
    <w:rsid w:val="002043DB"/>
    <w:rsid w:val="00205C1E"/>
    <w:rsid w:val="0020639A"/>
    <w:rsid w:val="00210E44"/>
    <w:rsid w:val="0021306B"/>
    <w:rsid w:val="00213415"/>
    <w:rsid w:val="0021364F"/>
    <w:rsid w:val="002234A1"/>
    <w:rsid w:val="00224654"/>
    <w:rsid w:val="00224CE4"/>
    <w:rsid w:val="00230D6B"/>
    <w:rsid w:val="00231888"/>
    <w:rsid w:val="0023257C"/>
    <w:rsid w:val="0023303C"/>
    <w:rsid w:val="00234BAA"/>
    <w:rsid w:val="00240395"/>
    <w:rsid w:val="00243178"/>
    <w:rsid w:val="00243F66"/>
    <w:rsid w:val="0024492F"/>
    <w:rsid w:val="002465D1"/>
    <w:rsid w:val="00247350"/>
    <w:rsid w:val="00247ADA"/>
    <w:rsid w:val="00247BF7"/>
    <w:rsid w:val="00247C5B"/>
    <w:rsid w:val="00247D93"/>
    <w:rsid w:val="002509B6"/>
    <w:rsid w:val="00252CBC"/>
    <w:rsid w:val="00253178"/>
    <w:rsid w:val="0025527C"/>
    <w:rsid w:val="00260328"/>
    <w:rsid w:val="002606D3"/>
    <w:rsid w:val="00262617"/>
    <w:rsid w:val="0026607D"/>
    <w:rsid w:val="002669C3"/>
    <w:rsid w:val="00266FF5"/>
    <w:rsid w:val="00267A04"/>
    <w:rsid w:val="00270E29"/>
    <w:rsid w:val="00271270"/>
    <w:rsid w:val="00271A7F"/>
    <w:rsid w:val="00272625"/>
    <w:rsid w:val="002740B7"/>
    <w:rsid w:val="00274350"/>
    <w:rsid w:val="00274907"/>
    <w:rsid w:val="00276098"/>
    <w:rsid w:val="002766EE"/>
    <w:rsid w:val="00281011"/>
    <w:rsid w:val="00281E8A"/>
    <w:rsid w:val="00282F68"/>
    <w:rsid w:val="00283573"/>
    <w:rsid w:val="002849D1"/>
    <w:rsid w:val="00286469"/>
    <w:rsid w:val="00286A5B"/>
    <w:rsid w:val="002876F4"/>
    <w:rsid w:val="00290E2F"/>
    <w:rsid w:val="002915A2"/>
    <w:rsid w:val="00291615"/>
    <w:rsid w:val="00294063"/>
    <w:rsid w:val="0029410D"/>
    <w:rsid w:val="00294367"/>
    <w:rsid w:val="0029700C"/>
    <w:rsid w:val="00297244"/>
    <w:rsid w:val="002A096C"/>
    <w:rsid w:val="002A16EB"/>
    <w:rsid w:val="002A1A23"/>
    <w:rsid w:val="002A227F"/>
    <w:rsid w:val="002A46BA"/>
    <w:rsid w:val="002A4E10"/>
    <w:rsid w:val="002A61D0"/>
    <w:rsid w:val="002A7CB6"/>
    <w:rsid w:val="002A7DD8"/>
    <w:rsid w:val="002B1905"/>
    <w:rsid w:val="002B24A9"/>
    <w:rsid w:val="002B3D70"/>
    <w:rsid w:val="002B4F76"/>
    <w:rsid w:val="002B592C"/>
    <w:rsid w:val="002B67EE"/>
    <w:rsid w:val="002B7F1D"/>
    <w:rsid w:val="002C0839"/>
    <w:rsid w:val="002C11B3"/>
    <w:rsid w:val="002C2235"/>
    <w:rsid w:val="002C45E2"/>
    <w:rsid w:val="002C46AC"/>
    <w:rsid w:val="002C59C1"/>
    <w:rsid w:val="002C72FB"/>
    <w:rsid w:val="002D06D5"/>
    <w:rsid w:val="002D17E9"/>
    <w:rsid w:val="002D1A3D"/>
    <w:rsid w:val="002D1D38"/>
    <w:rsid w:val="002D4981"/>
    <w:rsid w:val="002D6F84"/>
    <w:rsid w:val="002E10EB"/>
    <w:rsid w:val="002E1E2F"/>
    <w:rsid w:val="002E284E"/>
    <w:rsid w:val="002E3FFA"/>
    <w:rsid w:val="002E5D12"/>
    <w:rsid w:val="002F01BA"/>
    <w:rsid w:val="002F0751"/>
    <w:rsid w:val="002F0C7E"/>
    <w:rsid w:val="002F10A4"/>
    <w:rsid w:val="002F10C7"/>
    <w:rsid w:val="002F19B5"/>
    <w:rsid w:val="002F248E"/>
    <w:rsid w:val="002F3142"/>
    <w:rsid w:val="002F35FD"/>
    <w:rsid w:val="002F3AD3"/>
    <w:rsid w:val="002F4716"/>
    <w:rsid w:val="002F4851"/>
    <w:rsid w:val="002F48D2"/>
    <w:rsid w:val="002F49A3"/>
    <w:rsid w:val="002F5003"/>
    <w:rsid w:val="002F5119"/>
    <w:rsid w:val="002F77F1"/>
    <w:rsid w:val="00301A9F"/>
    <w:rsid w:val="003025C8"/>
    <w:rsid w:val="00303999"/>
    <w:rsid w:val="003078B5"/>
    <w:rsid w:val="003078BF"/>
    <w:rsid w:val="00307BAB"/>
    <w:rsid w:val="00312474"/>
    <w:rsid w:val="003124EE"/>
    <w:rsid w:val="003136A2"/>
    <w:rsid w:val="00315C3F"/>
    <w:rsid w:val="0031720E"/>
    <w:rsid w:val="003174AF"/>
    <w:rsid w:val="0032141D"/>
    <w:rsid w:val="00325DD6"/>
    <w:rsid w:val="00326D8C"/>
    <w:rsid w:val="003309B4"/>
    <w:rsid w:val="00331C7A"/>
    <w:rsid w:val="0033350D"/>
    <w:rsid w:val="00333737"/>
    <w:rsid w:val="003353AA"/>
    <w:rsid w:val="00336645"/>
    <w:rsid w:val="00336EF7"/>
    <w:rsid w:val="003420C9"/>
    <w:rsid w:val="00342541"/>
    <w:rsid w:val="003431FA"/>
    <w:rsid w:val="003436A4"/>
    <w:rsid w:val="003437D3"/>
    <w:rsid w:val="00343E77"/>
    <w:rsid w:val="00344162"/>
    <w:rsid w:val="00346536"/>
    <w:rsid w:val="00347FD4"/>
    <w:rsid w:val="00353D62"/>
    <w:rsid w:val="003552B9"/>
    <w:rsid w:val="003559CE"/>
    <w:rsid w:val="00356DA0"/>
    <w:rsid w:val="00356E2C"/>
    <w:rsid w:val="0036198C"/>
    <w:rsid w:val="00362B76"/>
    <w:rsid w:val="00363ADB"/>
    <w:rsid w:val="00366623"/>
    <w:rsid w:val="00366C0D"/>
    <w:rsid w:val="00366E84"/>
    <w:rsid w:val="0037053D"/>
    <w:rsid w:val="00370ED5"/>
    <w:rsid w:val="00370F96"/>
    <w:rsid w:val="00371C48"/>
    <w:rsid w:val="00373652"/>
    <w:rsid w:val="003750BF"/>
    <w:rsid w:val="003769E4"/>
    <w:rsid w:val="00376BBB"/>
    <w:rsid w:val="0038045D"/>
    <w:rsid w:val="00381A6C"/>
    <w:rsid w:val="00382167"/>
    <w:rsid w:val="00384564"/>
    <w:rsid w:val="00386887"/>
    <w:rsid w:val="0038793B"/>
    <w:rsid w:val="00390386"/>
    <w:rsid w:val="00390C21"/>
    <w:rsid w:val="00394F91"/>
    <w:rsid w:val="00396612"/>
    <w:rsid w:val="00396735"/>
    <w:rsid w:val="003970C8"/>
    <w:rsid w:val="003A4522"/>
    <w:rsid w:val="003A4AAD"/>
    <w:rsid w:val="003A58B9"/>
    <w:rsid w:val="003A5A85"/>
    <w:rsid w:val="003B4687"/>
    <w:rsid w:val="003B6C47"/>
    <w:rsid w:val="003C001C"/>
    <w:rsid w:val="003C0D1B"/>
    <w:rsid w:val="003C2517"/>
    <w:rsid w:val="003C2B26"/>
    <w:rsid w:val="003C2C1B"/>
    <w:rsid w:val="003C40EB"/>
    <w:rsid w:val="003C4AC2"/>
    <w:rsid w:val="003C4FAD"/>
    <w:rsid w:val="003C55AD"/>
    <w:rsid w:val="003C7F18"/>
    <w:rsid w:val="003D0D4F"/>
    <w:rsid w:val="003D1F11"/>
    <w:rsid w:val="003D34D9"/>
    <w:rsid w:val="003D62B2"/>
    <w:rsid w:val="003D676D"/>
    <w:rsid w:val="003E1930"/>
    <w:rsid w:val="003E1A05"/>
    <w:rsid w:val="003E36E3"/>
    <w:rsid w:val="003E5755"/>
    <w:rsid w:val="003E5B15"/>
    <w:rsid w:val="003E745F"/>
    <w:rsid w:val="003F02D7"/>
    <w:rsid w:val="003F1B23"/>
    <w:rsid w:val="003F29A1"/>
    <w:rsid w:val="003F2F3C"/>
    <w:rsid w:val="003F3E77"/>
    <w:rsid w:val="003F3FBE"/>
    <w:rsid w:val="003F4446"/>
    <w:rsid w:val="003F4C77"/>
    <w:rsid w:val="0040262E"/>
    <w:rsid w:val="00402AE9"/>
    <w:rsid w:val="00405646"/>
    <w:rsid w:val="0040578E"/>
    <w:rsid w:val="0040663B"/>
    <w:rsid w:val="004067FF"/>
    <w:rsid w:val="004071C3"/>
    <w:rsid w:val="0041029E"/>
    <w:rsid w:val="00410684"/>
    <w:rsid w:val="0041159B"/>
    <w:rsid w:val="00411A5B"/>
    <w:rsid w:val="00412458"/>
    <w:rsid w:val="00413A82"/>
    <w:rsid w:val="00414016"/>
    <w:rsid w:val="00415584"/>
    <w:rsid w:val="004160DB"/>
    <w:rsid w:val="0041773E"/>
    <w:rsid w:val="00420471"/>
    <w:rsid w:val="004208C4"/>
    <w:rsid w:val="00421F53"/>
    <w:rsid w:val="00423F4E"/>
    <w:rsid w:val="004249A6"/>
    <w:rsid w:val="00424AE1"/>
    <w:rsid w:val="0042741C"/>
    <w:rsid w:val="00427A0C"/>
    <w:rsid w:val="00430B69"/>
    <w:rsid w:val="004311F3"/>
    <w:rsid w:val="00431C7D"/>
    <w:rsid w:val="004326DF"/>
    <w:rsid w:val="00433382"/>
    <w:rsid w:val="00433524"/>
    <w:rsid w:val="004364EB"/>
    <w:rsid w:val="00437C04"/>
    <w:rsid w:val="004412D9"/>
    <w:rsid w:val="00443182"/>
    <w:rsid w:val="0044545F"/>
    <w:rsid w:val="00445AE4"/>
    <w:rsid w:val="00445CE5"/>
    <w:rsid w:val="004477F4"/>
    <w:rsid w:val="0045210E"/>
    <w:rsid w:val="00453031"/>
    <w:rsid w:val="00454E19"/>
    <w:rsid w:val="00456600"/>
    <w:rsid w:val="00456C1C"/>
    <w:rsid w:val="00457FF3"/>
    <w:rsid w:val="00460952"/>
    <w:rsid w:val="004618A2"/>
    <w:rsid w:val="0046268C"/>
    <w:rsid w:val="0046446B"/>
    <w:rsid w:val="004645B8"/>
    <w:rsid w:val="00467FF3"/>
    <w:rsid w:val="0047033E"/>
    <w:rsid w:val="004706C4"/>
    <w:rsid w:val="004727CF"/>
    <w:rsid w:val="00472E85"/>
    <w:rsid w:val="00473AB2"/>
    <w:rsid w:val="00473DBB"/>
    <w:rsid w:val="00474501"/>
    <w:rsid w:val="00474A28"/>
    <w:rsid w:val="00480136"/>
    <w:rsid w:val="0048030D"/>
    <w:rsid w:val="00480D9E"/>
    <w:rsid w:val="00481203"/>
    <w:rsid w:val="004813EF"/>
    <w:rsid w:val="0048533B"/>
    <w:rsid w:val="0048641E"/>
    <w:rsid w:val="00486E70"/>
    <w:rsid w:val="00486F47"/>
    <w:rsid w:val="004878C7"/>
    <w:rsid w:val="00487CE5"/>
    <w:rsid w:val="00490A06"/>
    <w:rsid w:val="00490E75"/>
    <w:rsid w:val="0049221B"/>
    <w:rsid w:val="0049284E"/>
    <w:rsid w:val="0049485B"/>
    <w:rsid w:val="00497E35"/>
    <w:rsid w:val="004A070A"/>
    <w:rsid w:val="004A19ED"/>
    <w:rsid w:val="004A2158"/>
    <w:rsid w:val="004A4BC4"/>
    <w:rsid w:val="004A54FF"/>
    <w:rsid w:val="004A62E4"/>
    <w:rsid w:val="004A6D44"/>
    <w:rsid w:val="004A7293"/>
    <w:rsid w:val="004B0C51"/>
    <w:rsid w:val="004B3171"/>
    <w:rsid w:val="004B6F89"/>
    <w:rsid w:val="004B7338"/>
    <w:rsid w:val="004C07F8"/>
    <w:rsid w:val="004C1820"/>
    <w:rsid w:val="004C277C"/>
    <w:rsid w:val="004C4BAD"/>
    <w:rsid w:val="004C4FC3"/>
    <w:rsid w:val="004C5C71"/>
    <w:rsid w:val="004D0202"/>
    <w:rsid w:val="004D0365"/>
    <w:rsid w:val="004D093A"/>
    <w:rsid w:val="004D0DB9"/>
    <w:rsid w:val="004D120C"/>
    <w:rsid w:val="004D1DCF"/>
    <w:rsid w:val="004D283F"/>
    <w:rsid w:val="004D29AD"/>
    <w:rsid w:val="004D2FD5"/>
    <w:rsid w:val="004D3559"/>
    <w:rsid w:val="004D414B"/>
    <w:rsid w:val="004D4B60"/>
    <w:rsid w:val="004D4EE5"/>
    <w:rsid w:val="004D4FEF"/>
    <w:rsid w:val="004E083A"/>
    <w:rsid w:val="004E0EE1"/>
    <w:rsid w:val="004E0F9E"/>
    <w:rsid w:val="004E202E"/>
    <w:rsid w:val="004E29EF"/>
    <w:rsid w:val="004E6C4F"/>
    <w:rsid w:val="004E78C9"/>
    <w:rsid w:val="004E7E2B"/>
    <w:rsid w:val="004F158A"/>
    <w:rsid w:val="004F1BDB"/>
    <w:rsid w:val="004F2EFC"/>
    <w:rsid w:val="004F407F"/>
    <w:rsid w:val="004F6188"/>
    <w:rsid w:val="004F7459"/>
    <w:rsid w:val="005038E6"/>
    <w:rsid w:val="005046AC"/>
    <w:rsid w:val="005048A0"/>
    <w:rsid w:val="00504D62"/>
    <w:rsid w:val="00505064"/>
    <w:rsid w:val="0050582A"/>
    <w:rsid w:val="00506458"/>
    <w:rsid w:val="005077CF"/>
    <w:rsid w:val="00507A3B"/>
    <w:rsid w:val="00507E40"/>
    <w:rsid w:val="0051051E"/>
    <w:rsid w:val="00512A7E"/>
    <w:rsid w:val="0051661B"/>
    <w:rsid w:val="00517314"/>
    <w:rsid w:val="00517EC0"/>
    <w:rsid w:val="005206CF"/>
    <w:rsid w:val="00521C50"/>
    <w:rsid w:val="00526F5F"/>
    <w:rsid w:val="00533980"/>
    <w:rsid w:val="00533D91"/>
    <w:rsid w:val="005358F3"/>
    <w:rsid w:val="0053651B"/>
    <w:rsid w:val="00536C83"/>
    <w:rsid w:val="00537316"/>
    <w:rsid w:val="005402D9"/>
    <w:rsid w:val="005403CF"/>
    <w:rsid w:val="005416E3"/>
    <w:rsid w:val="00541ED4"/>
    <w:rsid w:val="00542321"/>
    <w:rsid w:val="005433EB"/>
    <w:rsid w:val="005434A2"/>
    <w:rsid w:val="00544675"/>
    <w:rsid w:val="005448AB"/>
    <w:rsid w:val="00545BDE"/>
    <w:rsid w:val="00550CD0"/>
    <w:rsid w:val="00551DD5"/>
    <w:rsid w:val="00552C28"/>
    <w:rsid w:val="00556FB2"/>
    <w:rsid w:val="00557CE1"/>
    <w:rsid w:val="005601FE"/>
    <w:rsid w:val="00563687"/>
    <w:rsid w:val="00567B70"/>
    <w:rsid w:val="00571E48"/>
    <w:rsid w:val="00572BC9"/>
    <w:rsid w:val="0057449E"/>
    <w:rsid w:val="00575B15"/>
    <w:rsid w:val="00581A16"/>
    <w:rsid w:val="005820CE"/>
    <w:rsid w:val="00583BFD"/>
    <w:rsid w:val="00584C4B"/>
    <w:rsid w:val="005857AF"/>
    <w:rsid w:val="005858F2"/>
    <w:rsid w:val="00585BD7"/>
    <w:rsid w:val="00585EF5"/>
    <w:rsid w:val="00591B88"/>
    <w:rsid w:val="00593875"/>
    <w:rsid w:val="00594AD8"/>
    <w:rsid w:val="005A0465"/>
    <w:rsid w:val="005A061F"/>
    <w:rsid w:val="005A0978"/>
    <w:rsid w:val="005A0DAC"/>
    <w:rsid w:val="005A3B29"/>
    <w:rsid w:val="005A6628"/>
    <w:rsid w:val="005A6AF8"/>
    <w:rsid w:val="005A6BED"/>
    <w:rsid w:val="005A71C2"/>
    <w:rsid w:val="005A7D0E"/>
    <w:rsid w:val="005B0543"/>
    <w:rsid w:val="005B16AE"/>
    <w:rsid w:val="005B1741"/>
    <w:rsid w:val="005B1B7C"/>
    <w:rsid w:val="005B26B8"/>
    <w:rsid w:val="005B34A4"/>
    <w:rsid w:val="005B413F"/>
    <w:rsid w:val="005B4287"/>
    <w:rsid w:val="005B6F87"/>
    <w:rsid w:val="005B7245"/>
    <w:rsid w:val="005B772E"/>
    <w:rsid w:val="005C7AAB"/>
    <w:rsid w:val="005D2108"/>
    <w:rsid w:val="005D29F6"/>
    <w:rsid w:val="005D619A"/>
    <w:rsid w:val="005D6ED8"/>
    <w:rsid w:val="005D73DE"/>
    <w:rsid w:val="005E14A7"/>
    <w:rsid w:val="005E2038"/>
    <w:rsid w:val="005E3C44"/>
    <w:rsid w:val="005E5056"/>
    <w:rsid w:val="005E61B9"/>
    <w:rsid w:val="005F1986"/>
    <w:rsid w:val="005F548A"/>
    <w:rsid w:val="00602628"/>
    <w:rsid w:val="006047E6"/>
    <w:rsid w:val="00604DA3"/>
    <w:rsid w:val="00613168"/>
    <w:rsid w:val="00614287"/>
    <w:rsid w:val="0061691D"/>
    <w:rsid w:val="00616F2F"/>
    <w:rsid w:val="00616FA0"/>
    <w:rsid w:val="00620830"/>
    <w:rsid w:val="006208EC"/>
    <w:rsid w:val="00620FF4"/>
    <w:rsid w:val="0062238B"/>
    <w:rsid w:val="00624CFE"/>
    <w:rsid w:val="00624E81"/>
    <w:rsid w:val="006310BB"/>
    <w:rsid w:val="00631891"/>
    <w:rsid w:val="00633C24"/>
    <w:rsid w:val="00634084"/>
    <w:rsid w:val="006342C4"/>
    <w:rsid w:val="00634701"/>
    <w:rsid w:val="00636F05"/>
    <w:rsid w:val="00637747"/>
    <w:rsid w:val="00637B6E"/>
    <w:rsid w:val="00637D61"/>
    <w:rsid w:val="006409CE"/>
    <w:rsid w:val="00642218"/>
    <w:rsid w:val="006449B6"/>
    <w:rsid w:val="00645761"/>
    <w:rsid w:val="0064756A"/>
    <w:rsid w:val="00651925"/>
    <w:rsid w:val="0065367A"/>
    <w:rsid w:val="00653C1C"/>
    <w:rsid w:val="00654A1F"/>
    <w:rsid w:val="00655815"/>
    <w:rsid w:val="00655ACE"/>
    <w:rsid w:val="00655EBB"/>
    <w:rsid w:val="00656C23"/>
    <w:rsid w:val="00657962"/>
    <w:rsid w:val="00660CB0"/>
    <w:rsid w:val="0066452D"/>
    <w:rsid w:val="006662B5"/>
    <w:rsid w:val="006725F0"/>
    <w:rsid w:val="00672814"/>
    <w:rsid w:val="0067321A"/>
    <w:rsid w:val="00673642"/>
    <w:rsid w:val="00674A6F"/>
    <w:rsid w:val="00674D4F"/>
    <w:rsid w:val="00674D5D"/>
    <w:rsid w:val="00675331"/>
    <w:rsid w:val="0067536D"/>
    <w:rsid w:val="0067597C"/>
    <w:rsid w:val="00677712"/>
    <w:rsid w:val="00680B20"/>
    <w:rsid w:val="00680E5A"/>
    <w:rsid w:val="0068171E"/>
    <w:rsid w:val="00681AA8"/>
    <w:rsid w:val="00681F32"/>
    <w:rsid w:val="00683A17"/>
    <w:rsid w:val="00684DF8"/>
    <w:rsid w:val="0069022D"/>
    <w:rsid w:val="0069043D"/>
    <w:rsid w:val="00691BD9"/>
    <w:rsid w:val="00691CB0"/>
    <w:rsid w:val="00692411"/>
    <w:rsid w:val="006924BF"/>
    <w:rsid w:val="00692D16"/>
    <w:rsid w:val="00692F5C"/>
    <w:rsid w:val="006947F1"/>
    <w:rsid w:val="00694E67"/>
    <w:rsid w:val="0069612C"/>
    <w:rsid w:val="00696562"/>
    <w:rsid w:val="006A073E"/>
    <w:rsid w:val="006A1F3F"/>
    <w:rsid w:val="006A3CD4"/>
    <w:rsid w:val="006A592A"/>
    <w:rsid w:val="006A5D14"/>
    <w:rsid w:val="006A699B"/>
    <w:rsid w:val="006A729F"/>
    <w:rsid w:val="006B07C9"/>
    <w:rsid w:val="006B08AF"/>
    <w:rsid w:val="006B0A0D"/>
    <w:rsid w:val="006B0AC4"/>
    <w:rsid w:val="006B0D5C"/>
    <w:rsid w:val="006B1642"/>
    <w:rsid w:val="006B3F60"/>
    <w:rsid w:val="006B581B"/>
    <w:rsid w:val="006B5B32"/>
    <w:rsid w:val="006B6730"/>
    <w:rsid w:val="006B7B67"/>
    <w:rsid w:val="006B7EA9"/>
    <w:rsid w:val="006C0014"/>
    <w:rsid w:val="006C046B"/>
    <w:rsid w:val="006C0A3A"/>
    <w:rsid w:val="006C172A"/>
    <w:rsid w:val="006C21FF"/>
    <w:rsid w:val="006C6551"/>
    <w:rsid w:val="006D42DC"/>
    <w:rsid w:val="006D43D2"/>
    <w:rsid w:val="006D4AD9"/>
    <w:rsid w:val="006D5174"/>
    <w:rsid w:val="006E0585"/>
    <w:rsid w:val="006E3915"/>
    <w:rsid w:val="006E4A20"/>
    <w:rsid w:val="006E63AB"/>
    <w:rsid w:val="006E6F98"/>
    <w:rsid w:val="006F049B"/>
    <w:rsid w:val="006F4812"/>
    <w:rsid w:val="006F630C"/>
    <w:rsid w:val="006F7C24"/>
    <w:rsid w:val="00701EAF"/>
    <w:rsid w:val="00702195"/>
    <w:rsid w:val="00703C2C"/>
    <w:rsid w:val="0070501C"/>
    <w:rsid w:val="007053F2"/>
    <w:rsid w:val="00705B9B"/>
    <w:rsid w:val="0070665A"/>
    <w:rsid w:val="00707308"/>
    <w:rsid w:val="00707F0C"/>
    <w:rsid w:val="00710403"/>
    <w:rsid w:val="00710984"/>
    <w:rsid w:val="0071112B"/>
    <w:rsid w:val="007119A1"/>
    <w:rsid w:val="00711B91"/>
    <w:rsid w:val="00711FA0"/>
    <w:rsid w:val="00712168"/>
    <w:rsid w:val="00712B0E"/>
    <w:rsid w:val="007136BC"/>
    <w:rsid w:val="007136FA"/>
    <w:rsid w:val="00713C15"/>
    <w:rsid w:val="00713D3B"/>
    <w:rsid w:val="0071439A"/>
    <w:rsid w:val="007144EE"/>
    <w:rsid w:val="00714A46"/>
    <w:rsid w:val="007231F3"/>
    <w:rsid w:val="00723EB9"/>
    <w:rsid w:val="007242DF"/>
    <w:rsid w:val="007247AE"/>
    <w:rsid w:val="00724D06"/>
    <w:rsid w:val="00725D38"/>
    <w:rsid w:val="007264EF"/>
    <w:rsid w:val="00726C07"/>
    <w:rsid w:val="00727092"/>
    <w:rsid w:val="007270D1"/>
    <w:rsid w:val="00731A44"/>
    <w:rsid w:val="00733FEB"/>
    <w:rsid w:val="007343C9"/>
    <w:rsid w:val="007358F1"/>
    <w:rsid w:val="0073720E"/>
    <w:rsid w:val="00740C49"/>
    <w:rsid w:val="007410CE"/>
    <w:rsid w:val="00741C8B"/>
    <w:rsid w:val="007428FC"/>
    <w:rsid w:val="00742F49"/>
    <w:rsid w:val="007443E2"/>
    <w:rsid w:val="00744CBE"/>
    <w:rsid w:val="00744E91"/>
    <w:rsid w:val="007473F9"/>
    <w:rsid w:val="00750AF4"/>
    <w:rsid w:val="00751995"/>
    <w:rsid w:val="00751C2C"/>
    <w:rsid w:val="00752674"/>
    <w:rsid w:val="007565EA"/>
    <w:rsid w:val="00756A79"/>
    <w:rsid w:val="00757B05"/>
    <w:rsid w:val="00761B27"/>
    <w:rsid w:val="00763168"/>
    <w:rsid w:val="007650D7"/>
    <w:rsid w:val="007652EA"/>
    <w:rsid w:val="00766002"/>
    <w:rsid w:val="00766A72"/>
    <w:rsid w:val="007671F2"/>
    <w:rsid w:val="0076750E"/>
    <w:rsid w:val="007677EC"/>
    <w:rsid w:val="00770130"/>
    <w:rsid w:val="00770D17"/>
    <w:rsid w:val="00773867"/>
    <w:rsid w:val="00773A0C"/>
    <w:rsid w:val="007744FF"/>
    <w:rsid w:val="00774566"/>
    <w:rsid w:val="00775249"/>
    <w:rsid w:val="00775801"/>
    <w:rsid w:val="00775F62"/>
    <w:rsid w:val="007762A2"/>
    <w:rsid w:val="00777CDC"/>
    <w:rsid w:val="00780F76"/>
    <w:rsid w:val="0078183B"/>
    <w:rsid w:val="00782D80"/>
    <w:rsid w:val="00784E48"/>
    <w:rsid w:val="00785231"/>
    <w:rsid w:val="00790F3B"/>
    <w:rsid w:val="007911B6"/>
    <w:rsid w:val="00791379"/>
    <w:rsid w:val="007920FA"/>
    <w:rsid w:val="007924FC"/>
    <w:rsid w:val="00792AE6"/>
    <w:rsid w:val="0079657E"/>
    <w:rsid w:val="007A0796"/>
    <w:rsid w:val="007A1125"/>
    <w:rsid w:val="007A18D4"/>
    <w:rsid w:val="007A2810"/>
    <w:rsid w:val="007A3791"/>
    <w:rsid w:val="007A3B9F"/>
    <w:rsid w:val="007A514C"/>
    <w:rsid w:val="007A5B59"/>
    <w:rsid w:val="007A6FA0"/>
    <w:rsid w:val="007B27A8"/>
    <w:rsid w:val="007B3584"/>
    <w:rsid w:val="007B4D27"/>
    <w:rsid w:val="007B5392"/>
    <w:rsid w:val="007B665B"/>
    <w:rsid w:val="007C1935"/>
    <w:rsid w:val="007C1BEA"/>
    <w:rsid w:val="007C3E31"/>
    <w:rsid w:val="007C46BA"/>
    <w:rsid w:val="007C4B74"/>
    <w:rsid w:val="007C77C6"/>
    <w:rsid w:val="007D0664"/>
    <w:rsid w:val="007D188D"/>
    <w:rsid w:val="007D3421"/>
    <w:rsid w:val="007D4B35"/>
    <w:rsid w:val="007D4BDE"/>
    <w:rsid w:val="007D62BD"/>
    <w:rsid w:val="007D677C"/>
    <w:rsid w:val="007D6FDC"/>
    <w:rsid w:val="007D7C06"/>
    <w:rsid w:val="007E0E3C"/>
    <w:rsid w:val="007E234A"/>
    <w:rsid w:val="007E2F36"/>
    <w:rsid w:val="007E321E"/>
    <w:rsid w:val="007E515D"/>
    <w:rsid w:val="007E6A41"/>
    <w:rsid w:val="007E6C81"/>
    <w:rsid w:val="007E6EAF"/>
    <w:rsid w:val="007E6FC7"/>
    <w:rsid w:val="007F0F6C"/>
    <w:rsid w:val="007F11E2"/>
    <w:rsid w:val="007F4B4B"/>
    <w:rsid w:val="007F63F5"/>
    <w:rsid w:val="007F7D05"/>
    <w:rsid w:val="00801836"/>
    <w:rsid w:val="00804310"/>
    <w:rsid w:val="00805453"/>
    <w:rsid w:val="00805F8C"/>
    <w:rsid w:val="008071B2"/>
    <w:rsid w:val="00807460"/>
    <w:rsid w:val="00810825"/>
    <w:rsid w:val="00810D6E"/>
    <w:rsid w:val="00811084"/>
    <w:rsid w:val="00811825"/>
    <w:rsid w:val="0081203D"/>
    <w:rsid w:val="00813764"/>
    <w:rsid w:val="00813C57"/>
    <w:rsid w:val="0081417E"/>
    <w:rsid w:val="00814C6A"/>
    <w:rsid w:val="00815553"/>
    <w:rsid w:val="008173F0"/>
    <w:rsid w:val="00817D0D"/>
    <w:rsid w:val="008202C5"/>
    <w:rsid w:val="008208D0"/>
    <w:rsid w:val="008220EA"/>
    <w:rsid w:val="0082265D"/>
    <w:rsid w:val="00822F01"/>
    <w:rsid w:val="008231FE"/>
    <w:rsid w:val="00833431"/>
    <w:rsid w:val="00835193"/>
    <w:rsid w:val="00836F29"/>
    <w:rsid w:val="00843128"/>
    <w:rsid w:val="00843A64"/>
    <w:rsid w:val="00843DF3"/>
    <w:rsid w:val="00843FD1"/>
    <w:rsid w:val="0084563D"/>
    <w:rsid w:val="00846711"/>
    <w:rsid w:val="00846F1D"/>
    <w:rsid w:val="00847AE8"/>
    <w:rsid w:val="00851123"/>
    <w:rsid w:val="00853873"/>
    <w:rsid w:val="00854598"/>
    <w:rsid w:val="00855C15"/>
    <w:rsid w:val="00856738"/>
    <w:rsid w:val="00856DA5"/>
    <w:rsid w:val="00861950"/>
    <w:rsid w:val="00863961"/>
    <w:rsid w:val="0086556F"/>
    <w:rsid w:val="008665A4"/>
    <w:rsid w:val="0086732B"/>
    <w:rsid w:val="0087012A"/>
    <w:rsid w:val="008711B1"/>
    <w:rsid w:val="00872599"/>
    <w:rsid w:val="00872E8D"/>
    <w:rsid w:val="00875E5C"/>
    <w:rsid w:val="008762A7"/>
    <w:rsid w:val="00877AFB"/>
    <w:rsid w:val="00880407"/>
    <w:rsid w:val="008812A5"/>
    <w:rsid w:val="00881F41"/>
    <w:rsid w:val="00881F47"/>
    <w:rsid w:val="008823DF"/>
    <w:rsid w:val="00882550"/>
    <w:rsid w:val="00882845"/>
    <w:rsid w:val="008828B3"/>
    <w:rsid w:val="00883A11"/>
    <w:rsid w:val="00883BFB"/>
    <w:rsid w:val="008849BC"/>
    <w:rsid w:val="008872B7"/>
    <w:rsid w:val="0088733F"/>
    <w:rsid w:val="00887C72"/>
    <w:rsid w:val="0089170D"/>
    <w:rsid w:val="00892DFD"/>
    <w:rsid w:val="00892F79"/>
    <w:rsid w:val="00895210"/>
    <w:rsid w:val="0089539C"/>
    <w:rsid w:val="008962F5"/>
    <w:rsid w:val="008A4B6E"/>
    <w:rsid w:val="008A54A5"/>
    <w:rsid w:val="008A5E23"/>
    <w:rsid w:val="008B0F1E"/>
    <w:rsid w:val="008B248C"/>
    <w:rsid w:val="008B3922"/>
    <w:rsid w:val="008B43B4"/>
    <w:rsid w:val="008C16A5"/>
    <w:rsid w:val="008C33A0"/>
    <w:rsid w:val="008C4C87"/>
    <w:rsid w:val="008C4EAD"/>
    <w:rsid w:val="008C66DE"/>
    <w:rsid w:val="008C6F66"/>
    <w:rsid w:val="008D05D4"/>
    <w:rsid w:val="008D28CB"/>
    <w:rsid w:val="008D336F"/>
    <w:rsid w:val="008D3438"/>
    <w:rsid w:val="008D47BA"/>
    <w:rsid w:val="008D5DC0"/>
    <w:rsid w:val="008D7205"/>
    <w:rsid w:val="008D7832"/>
    <w:rsid w:val="008D7C17"/>
    <w:rsid w:val="008D7CB8"/>
    <w:rsid w:val="008D7E12"/>
    <w:rsid w:val="008E0C51"/>
    <w:rsid w:val="008E1329"/>
    <w:rsid w:val="008E28DC"/>
    <w:rsid w:val="008E384F"/>
    <w:rsid w:val="008E3B6E"/>
    <w:rsid w:val="008E4991"/>
    <w:rsid w:val="008E4D21"/>
    <w:rsid w:val="008E6DCD"/>
    <w:rsid w:val="008E76CE"/>
    <w:rsid w:val="008E7C94"/>
    <w:rsid w:val="008F0DDD"/>
    <w:rsid w:val="008F239E"/>
    <w:rsid w:val="008F2C3C"/>
    <w:rsid w:val="008F3459"/>
    <w:rsid w:val="008F3942"/>
    <w:rsid w:val="008F4D6C"/>
    <w:rsid w:val="008F7098"/>
    <w:rsid w:val="009003B8"/>
    <w:rsid w:val="00910114"/>
    <w:rsid w:val="0091356D"/>
    <w:rsid w:val="00914514"/>
    <w:rsid w:val="0091499A"/>
    <w:rsid w:val="0091545F"/>
    <w:rsid w:val="0091570B"/>
    <w:rsid w:val="00915777"/>
    <w:rsid w:val="00916AA9"/>
    <w:rsid w:val="00922501"/>
    <w:rsid w:val="00922CC9"/>
    <w:rsid w:val="0092335B"/>
    <w:rsid w:val="009278E8"/>
    <w:rsid w:val="00930331"/>
    <w:rsid w:val="0093042D"/>
    <w:rsid w:val="00930777"/>
    <w:rsid w:val="00933742"/>
    <w:rsid w:val="009340A8"/>
    <w:rsid w:val="00937C89"/>
    <w:rsid w:val="009402E4"/>
    <w:rsid w:val="00942028"/>
    <w:rsid w:val="009456AA"/>
    <w:rsid w:val="0094583B"/>
    <w:rsid w:val="00945AD3"/>
    <w:rsid w:val="00946A18"/>
    <w:rsid w:val="0095029E"/>
    <w:rsid w:val="00951A15"/>
    <w:rsid w:val="00952E78"/>
    <w:rsid w:val="00953D50"/>
    <w:rsid w:val="00953DCC"/>
    <w:rsid w:val="0095687C"/>
    <w:rsid w:val="00957931"/>
    <w:rsid w:val="0096030D"/>
    <w:rsid w:val="0096052A"/>
    <w:rsid w:val="009611E2"/>
    <w:rsid w:val="00962D0E"/>
    <w:rsid w:val="00962D51"/>
    <w:rsid w:val="00964050"/>
    <w:rsid w:val="00964D36"/>
    <w:rsid w:val="00965105"/>
    <w:rsid w:val="00965921"/>
    <w:rsid w:val="00965F99"/>
    <w:rsid w:val="00966184"/>
    <w:rsid w:val="00967B46"/>
    <w:rsid w:val="00970789"/>
    <w:rsid w:val="0097195C"/>
    <w:rsid w:val="00975D4C"/>
    <w:rsid w:val="00976D02"/>
    <w:rsid w:val="009816F5"/>
    <w:rsid w:val="00981B57"/>
    <w:rsid w:val="0098228C"/>
    <w:rsid w:val="0098399E"/>
    <w:rsid w:val="0099055D"/>
    <w:rsid w:val="0099066A"/>
    <w:rsid w:val="0099390A"/>
    <w:rsid w:val="00996A3D"/>
    <w:rsid w:val="009A1282"/>
    <w:rsid w:val="009A24CA"/>
    <w:rsid w:val="009A3482"/>
    <w:rsid w:val="009A49E1"/>
    <w:rsid w:val="009A4B89"/>
    <w:rsid w:val="009A678E"/>
    <w:rsid w:val="009A7AFC"/>
    <w:rsid w:val="009B3779"/>
    <w:rsid w:val="009B3D43"/>
    <w:rsid w:val="009B4377"/>
    <w:rsid w:val="009B4F7D"/>
    <w:rsid w:val="009B7FF9"/>
    <w:rsid w:val="009C06BC"/>
    <w:rsid w:val="009C19D3"/>
    <w:rsid w:val="009C2A21"/>
    <w:rsid w:val="009C3A42"/>
    <w:rsid w:val="009C6B02"/>
    <w:rsid w:val="009C7611"/>
    <w:rsid w:val="009C7745"/>
    <w:rsid w:val="009D0D27"/>
    <w:rsid w:val="009D1490"/>
    <w:rsid w:val="009D2A06"/>
    <w:rsid w:val="009D379B"/>
    <w:rsid w:val="009D3A54"/>
    <w:rsid w:val="009D6967"/>
    <w:rsid w:val="009E04D3"/>
    <w:rsid w:val="009E1934"/>
    <w:rsid w:val="009E1A9A"/>
    <w:rsid w:val="009E2709"/>
    <w:rsid w:val="009E3692"/>
    <w:rsid w:val="009E76E9"/>
    <w:rsid w:val="009F211B"/>
    <w:rsid w:val="009F3D1F"/>
    <w:rsid w:val="009F4C7E"/>
    <w:rsid w:val="009F56C0"/>
    <w:rsid w:val="009F5B68"/>
    <w:rsid w:val="00A01405"/>
    <w:rsid w:val="00A02244"/>
    <w:rsid w:val="00A02454"/>
    <w:rsid w:val="00A06C99"/>
    <w:rsid w:val="00A07DDC"/>
    <w:rsid w:val="00A113CA"/>
    <w:rsid w:val="00A11955"/>
    <w:rsid w:val="00A122C9"/>
    <w:rsid w:val="00A13CED"/>
    <w:rsid w:val="00A14303"/>
    <w:rsid w:val="00A162FE"/>
    <w:rsid w:val="00A1776A"/>
    <w:rsid w:val="00A17941"/>
    <w:rsid w:val="00A17DD9"/>
    <w:rsid w:val="00A2013F"/>
    <w:rsid w:val="00A203E6"/>
    <w:rsid w:val="00A20B75"/>
    <w:rsid w:val="00A220DD"/>
    <w:rsid w:val="00A22819"/>
    <w:rsid w:val="00A2455F"/>
    <w:rsid w:val="00A262F2"/>
    <w:rsid w:val="00A26A95"/>
    <w:rsid w:val="00A26D42"/>
    <w:rsid w:val="00A26DEF"/>
    <w:rsid w:val="00A32976"/>
    <w:rsid w:val="00A3317E"/>
    <w:rsid w:val="00A37939"/>
    <w:rsid w:val="00A40717"/>
    <w:rsid w:val="00A43061"/>
    <w:rsid w:val="00A44457"/>
    <w:rsid w:val="00A44EA9"/>
    <w:rsid w:val="00A469A7"/>
    <w:rsid w:val="00A50A60"/>
    <w:rsid w:val="00A50BAE"/>
    <w:rsid w:val="00A604F2"/>
    <w:rsid w:val="00A613E2"/>
    <w:rsid w:val="00A618F6"/>
    <w:rsid w:val="00A6353D"/>
    <w:rsid w:val="00A67AFC"/>
    <w:rsid w:val="00A700F5"/>
    <w:rsid w:val="00A7096E"/>
    <w:rsid w:val="00A7445D"/>
    <w:rsid w:val="00A74861"/>
    <w:rsid w:val="00A74DE3"/>
    <w:rsid w:val="00A75531"/>
    <w:rsid w:val="00A75833"/>
    <w:rsid w:val="00A7681E"/>
    <w:rsid w:val="00A8008A"/>
    <w:rsid w:val="00A82758"/>
    <w:rsid w:val="00A82960"/>
    <w:rsid w:val="00A83040"/>
    <w:rsid w:val="00A83A70"/>
    <w:rsid w:val="00A8466D"/>
    <w:rsid w:val="00A84A94"/>
    <w:rsid w:val="00A853C9"/>
    <w:rsid w:val="00A856EA"/>
    <w:rsid w:val="00A867C0"/>
    <w:rsid w:val="00A87BC5"/>
    <w:rsid w:val="00A90B4D"/>
    <w:rsid w:val="00A92A68"/>
    <w:rsid w:val="00A92FD6"/>
    <w:rsid w:val="00A95A1F"/>
    <w:rsid w:val="00A95BDF"/>
    <w:rsid w:val="00A96BC5"/>
    <w:rsid w:val="00A97C2F"/>
    <w:rsid w:val="00AA1496"/>
    <w:rsid w:val="00AA4615"/>
    <w:rsid w:val="00AA50DE"/>
    <w:rsid w:val="00AA5FBC"/>
    <w:rsid w:val="00AB3E2D"/>
    <w:rsid w:val="00AB5A60"/>
    <w:rsid w:val="00AB7490"/>
    <w:rsid w:val="00AC0691"/>
    <w:rsid w:val="00AC2439"/>
    <w:rsid w:val="00AC7264"/>
    <w:rsid w:val="00AC73C7"/>
    <w:rsid w:val="00AD3618"/>
    <w:rsid w:val="00AD3AF0"/>
    <w:rsid w:val="00AD3FDA"/>
    <w:rsid w:val="00AE02A3"/>
    <w:rsid w:val="00AE16BD"/>
    <w:rsid w:val="00AE30FC"/>
    <w:rsid w:val="00AE3ECB"/>
    <w:rsid w:val="00AE500B"/>
    <w:rsid w:val="00AF0813"/>
    <w:rsid w:val="00AF1735"/>
    <w:rsid w:val="00AF4543"/>
    <w:rsid w:val="00AF4E55"/>
    <w:rsid w:val="00AF66A5"/>
    <w:rsid w:val="00B00ADB"/>
    <w:rsid w:val="00B01566"/>
    <w:rsid w:val="00B02802"/>
    <w:rsid w:val="00B02ED1"/>
    <w:rsid w:val="00B03835"/>
    <w:rsid w:val="00B04412"/>
    <w:rsid w:val="00B05949"/>
    <w:rsid w:val="00B14407"/>
    <w:rsid w:val="00B15754"/>
    <w:rsid w:val="00B158D4"/>
    <w:rsid w:val="00B2259A"/>
    <w:rsid w:val="00B226E6"/>
    <w:rsid w:val="00B23671"/>
    <w:rsid w:val="00B24147"/>
    <w:rsid w:val="00B24B83"/>
    <w:rsid w:val="00B2516E"/>
    <w:rsid w:val="00B25718"/>
    <w:rsid w:val="00B25C20"/>
    <w:rsid w:val="00B30A8C"/>
    <w:rsid w:val="00B3133E"/>
    <w:rsid w:val="00B323B8"/>
    <w:rsid w:val="00B32C1D"/>
    <w:rsid w:val="00B3698C"/>
    <w:rsid w:val="00B36DAD"/>
    <w:rsid w:val="00B40B98"/>
    <w:rsid w:val="00B42144"/>
    <w:rsid w:val="00B47275"/>
    <w:rsid w:val="00B47B5C"/>
    <w:rsid w:val="00B501C3"/>
    <w:rsid w:val="00B50388"/>
    <w:rsid w:val="00B50FB0"/>
    <w:rsid w:val="00B51624"/>
    <w:rsid w:val="00B5488C"/>
    <w:rsid w:val="00B54FFB"/>
    <w:rsid w:val="00B55EA8"/>
    <w:rsid w:val="00B5642C"/>
    <w:rsid w:val="00B56D80"/>
    <w:rsid w:val="00B6023B"/>
    <w:rsid w:val="00B63B5F"/>
    <w:rsid w:val="00B64EEF"/>
    <w:rsid w:val="00B64F6B"/>
    <w:rsid w:val="00B65FEE"/>
    <w:rsid w:val="00B66D04"/>
    <w:rsid w:val="00B67002"/>
    <w:rsid w:val="00B6728E"/>
    <w:rsid w:val="00B67566"/>
    <w:rsid w:val="00B71D8C"/>
    <w:rsid w:val="00B736F5"/>
    <w:rsid w:val="00B749AB"/>
    <w:rsid w:val="00B75342"/>
    <w:rsid w:val="00B75F5C"/>
    <w:rsid w:val="00B77BE8"/>
    <w:rsid w:val="00B82F71"/>
    <w:rsid w:val="00B8481E"/>
    <w:rsid w:val="00B84E28"/>
    <w:rsid w:val="00B85613"/>
    <w:rsid w:val="00B85F3C"/>
    <w:rsid w:val="00B87389"/>
    <w:rsid w:val="00B90FB8"/>
    <w:rsid w:val="00B9264A"/>
    <w:rsid w:val="00B935D8"/>
    <w:rsid w:val="00B9449B"/>
    <w:rsid w:val="00B970DC"/>
    <w:rsid w:val="00BA299F"/>
    <w:rsid w:val="00BA2FEA"/>
    <w:rsid w:val="00BA32DE"/>
    <w:rsid w:val="00BA33B1"/>
    <w:rsid w:val="00BA3C5D"/>
    <w:rsid w:val="00BA3E1C"/>
    <w:rsid w:val="00BA3F73"/>
    <w:rsid w:val="00BA41FC"/>
    <w:rsid w:val="00BA61BA"/>
    <w:rsid w:val="00BA6631"/>
    <w:rsid w:val="00BA7758"/>
    <w:rsid w:val="00BB1C4D"/>
    <w:rsid w:val="00BB2A87"/>
    <w:rsid w:val="00BB2CA5"/>
    <w:rsid w:val="00BB30B8"/>
    <w:rsid w:val="00BB4490"/>
    <w:rsid w:val="00BB4D9B"/>
    <w:rsid w:val="00BB5197"/>
    <w:rsid w:val="00BC0D6B"/>
    <w:rsid w:val="00BC15F0"/>
    <w:rsid w:val="00BC1700"/>
    <w:rsid w:val="00BC33D0"/>
    <w:rsid w:val="00BC34B6"/>
    <w:rsid w:val="00BC7BCD"/>
    <w:rsid w:val="00BD03CE"/>
    <w:rsid w:val="00BD44C9"/>
    <w:rsid w:val="00BD452D"/>
    <w:rsid w:val="00BD5018"/>
    <w:rsid w:val="00BD6039"/>
    <w:rsid w:val="00BD6E6E"/>
    <w:rsid w:val="00BD7395"/>
    <w:rsid w:val="00BE26B5"/>
    <w:rsid w:val="00BE2EDE"/>
    <w:rsid w:val="00BE4408"/>
    <w:rsid w:val="00BE594B"/>
    <w:rsid w:val="00BE5D93"/>
    <w:rsid w:val="00BE7E71"/>
    <w:rsid w:val="00BF08DE"/>
    <w:rsid w:val="00BF0AB8"/>
    <w:rsid w:val="00BF407A"/>
    <w:rsid w:val="00BF431E"/>
    <w:rsid w:val="00BF49C9"/>
    <w:rsid w:val="00C018B4"/>
    <w:rsid w:val="00C01D97"/>
    <w:rsid w:val="00C020B4"/>
    <w:rsid w:val="00C0292C"/>
    <w:rsid w:val="00C07263"/>
    <w:rsid w:val="00C11917"/>
    <w:rsid w:val="00C11C1B"/>
    <w:rsid w:val="00C11CE8"/>
    <w:rsid w:val="00C11E8B"/>
    <w:rsid w:val="00C124C7"/>
    <w:rsid w:val="00C135BF"/>
    <w:rsid w:val="00C14693"/>
    <w:rsid w:val="00C146DA"/>
    <w:rsid w:val="00C14814"/>
    <w:rsid w:val="00C155EA"/>
    <w:rsid w:val="00C157DB"/>
    <w:rsid w:val="00C2033C"/>
    <w:rsid w:val="00C20792"/>
    <w:rsid w:val="00C21A02"/>
    <w:rsid w:val="00C21DCA"/>
    <w:rsid w:val="00C22A36"/>
    <w:rsid w:val="00C22FAC"/>
    <w:rsid w:val="00C23008"/>
    <w:rsid w:val="00C24FF0"/>
    <w:rsid w:val="00C25B5A"/>
    <w:rsid w:val="00C30D24"/>
    <w:rsid w:val="00C31253"/>
    <w:rsid w:val="00C313BE"/>
    <w:rsid w:val="00C31B18"/>
    <w:rsid w:val="00C32AD6"/>
    <w:rsid w:val="00C32D09"/>
    <w:rsid w:val="00C33C92"/>
    <w:rsid w:val="00C41D53"/>
    <w:rsid w:val="00C44509"/>
    <w:rsid w:val="00C445FD"/>
    <w:rsid w:val="00C4477E"/>
    <w:rsid w:val="00C44D18"/>
    <w:rsid w:val="00C44D1B"/>
    <w:rsid w:val="00C467D3"/>
    <w:rsid w:val="00C47F77"/>
    <w:rsid w:val="00C50C7E"/>
    <w:rsid w:val="00C510E2"/>
    <w:rsid w:val="00C53289"/>
    <w:rsid w:val="00C5388E"/>
    <w:rsid w:val="00C546BB"/>
    <w:rsid w:val="00C55582"/>
    <w:rsid w:val="00C55D2E"/>
    <w:rsid w:val="00C60365"/>
    <w:rsid w:val="00C61538"/>
    <w:rsid w:val="00C61A54"/>
    <w:rsid w:val="00C61E61"/>
    <w:rsid w:val="00C62561"/>
    <w:rsid w:val="00C63C55"/>
    <w:rsid w:val="00C71547"/>
    <w:rsid w:val="00C715FC"/>
    <w:rsid w:val="00C7191B"/>
    <w:rsid w:val="00C727B6"/>
    <w:rsid w:val="00C76CD0"/>
    <w:rsid w:val="00C77515"/>
    <w:rsid w:val="00C82172"/>
    <w:rsid w:val="00C82307"/>
    <w:rsid w:val="00C852D1"/>
    <w:rsid w:val="00C85AF2"/>
    <w:rsid w:val="00C86BD2"/>
    <w:rsid w:val="00C8717F"/>
    <w:rsid w:val="00C87AFB"/>
    <w:rsid w:val="00C87B21"/>
    <w:rsid w:val="00C9138E"/>
    <w:rsid w:val="00C913D8"/>
    <w:rsid w:val="00C92446"/>
    <w:rsid w:val="00C9293F"/>
    <w:rsid w:val="00C9386D"/>
    <w:rsid w:val="00C93C7D"/>
    <w:rsid w:val="00C95CB0"/>
    <w:rsid w:val="00C961F6"/>
    <w:rsid w:val="00C96A52"/>
    <w:rsid w:val="00C96B76"/>
    <w:rsid w:val="00C96CDC"/>
    <w:rsid w:val="00CA0ADB"/>
    <w:rsid w:val="00CA1F22"/>
    <w:rsid w:val="00CA3554"/>
    <w:rsid w:val="00CA4571"/>
    <w:rsid w:val="00CB0289"/>
    <w:rsid w:val="00CB1453"/>
    <w:rsid w:val="00CB2125"/>
    <w:rsid w:val="00CB23B1"/>
    <w:rsid w:val="00CB2E57"/>
    <w:rsid w:val="00CB3495"/>
    <w:rsid w:val="00CB3C4A"/>
    <w:rsid w:val="00CB4237"/>
    <w:rsid w:val="00CB55C2"/>
    <w:rsid w:val="00CB575A"/>
    <w:rsid w:val="00CB6193"/>
    <w:rsid w:val="00CB6F1D"/>
    <w:rsid w:val="00CC005F"/>
    <w:rsid w:val="00CC26BC"/>
    <w:rsid w:val="00CC55EC"/>
    <w:rsid w:val="00CC5A4B"/>
    <w:rsid w:val="00CC6D1C"/>
    <w:rsid w:val="00CC709B"/>
    <w:rsid w:val="00CD02E8"/>
    <w:rsid w:val="00CD2FB9"/>
    <w:rsid w:val="00CD3C3D"/>
    <w:rsid w:val="00CD4E19"/>
    <w:rsid w:val="00CD5AA6"/>
    <w:rsid w:val="00CD5C37"/>
    <w:rsid w:val="00CE1685"/>
    <w:rsid w:val="00CE1C82"/>
    <w:rsid w:val="00CE1E71"/>
    <w:rsid w:val="00CE2A89"/>
    <w:rsid w:val="00CE3027"/>
    <w:rsid w:val="00CE5B0F"/>
    <w:rsid w:val="00CE6072"/>
    <w:rsid w:val="00CE6EB4"/>
    <w:rsid w:val="00CE6F05"/>
    <w:rsid w:val="00CF2337"/>
    <w:rsid w:val="00CF32C2"/>
    <w:rsid w:val="00CF5F92"/>
    <w:rsid w:val="00CF6123"/>
    <w:rsid w:val="00CF748E"/>
    <w:rsid w:val="00CF77C2"/>
    <w:rsid w:val="00D005C1"/>
    <w:rsid w:val="00D0116A"/>
    <w:rsid w:val="00D016CE"/>
    <w:rsid w:val="00D03D95"/>
    <w:rsid w:val="00D04281"/>
    <w:rsid w:val="00D042D0"/>
    <w:rsid w:val="00D06584"/>
    <w:rsid w:val="00D069FC"/>
    <w:rsid w:val="00D1050C"/>
    <w:rsid w:val="00D10BAF"/>
    <w:rsid w:val="00D11E85"/>
    <w:rsid w:val="00D12371"/>
    <w:rsid w:val="00D12966"/>
    <w:rsid w:val="00D133F1"/>
    <w:rsid w:val="00D1432E"/>
    <w:rsid w:val="00D17103"/>
    <w:rsid w:val="00D17E16"/>
    <w:rsid w:val="00D17F4D"/>
    <w:rsid w:val="00D20510"/>
    <w:rsid w:val="00D21018"/>
    <w:rsid w:val="00D2546F"/>
    <w:rsid w:val="00D25A3E"/>
    <w:rsid w:val="00D26A1D"/>
    <w:rsid w:val="00D26D45"/>
    <w:rsid w:val="00D27E52"/>
    <w:rsid w:val="00D31091"/>
    <w:rsid w:val="00D31E5B"/>
    <w:rsid w:val="00D34862"/>
    <w:rsid w:val="00D37265"/>
    <w:rsid w:val="00D412A3"/>
    <w:rsid w:val="00D4441D"/>
    <w:rsid w:val="00D45515"/>
    <w:rsid w:val="00D509B4"/>
    <w:rsid w:val="00D52BBF"/>
    <w:rsid w:val="00D533EA"/>
    <w:rsid w:val="00D54624"/>
    <w:rsid w:val="00D54A09"/>
    <w:rsid w:val="00D54AA4"/>
    <w:rsid w:val="00D57613"/>
    <w:rsid w:val="00D57816"/>
    <w:rsid w:val="00D601DC"/>
    <w:rsid w:val="00D60B64"/>
    <w:rsid w:val="00D622A6"/>
    <w:rsid w:val="00D62B78"/>
    <w:rsid w:val="00D63049"/>
    <w:rsid w:val="00D63CF0"/>
    <w:rsid w:val="00D6499C"/>
    <w:rsid w:val="00D65147"/>
    <w:rsid w:val="00D671BC"/>
    <w:rsid w:val="00D708D3"/>
    <w:rsid w:val="00D70937"/>
    <w:rsid w:val="00D70B5F"/>
    <w:rsid w:val="00D730D2"/>
    <w:rsid w:val="00D749A7"/>
    <w:rsid w:val="00D74DA3"/>
    <w:rsid w:val="00D7509A"/>
    <w:rsid w:val="00D75468"/>
    <w:rsid w:val="00D757FB"/>
    <w:rsid w:val="00D76273"/>
    <w:rsid w:val="00D778DF"/>
    <w:rsid w:val="00D832DE"/>
    <w:rsid w:val="00D84524"/>
    <w:rsid w:val="00D850E8"/>
    <w:rsid w:val="00D85B39"/>
    <w:rsid w:val="00D85F84"/>
    <w:rsid w:val="00D861C7"/>
    <w:rsid w:val="00D86FF2"/>
    <w:rsid w:val="00D87C45"/>
    <w:rsid w:val="00D91817"/>
    <w:rsid w:val="00D92523"/>
    <w:rsid w:val="00D9475E"/>
    <w:rsid w:val="00D96580"/>
    <w:rsid w:val="00D97434"/>
    <w:rsid w:val="00DA138A"/>
    <w:rsid w:val="00DA4A27"/>
    <w:rsid w:val="00DB023D"/>
    <w:rsid w:val="00DB57D4"/>
    <w:rsid w:val="00DB6521"/>
    <w:rsid w:val="00DB6661"/>
    <w:rsid w:val="00DB6892"/>
    <w:rsid w:val="00DB6E53"/>
    <w:rsid w:val="00DC1E01"/>
    <w:rsid w:val="00DC5DA0"/>
    <w:rsid w:val="00DC5E91"/>
    <w:rsid w:val="00DC707E"/>
    <w:rsid w:val="00DD06EE"/>
    <w:rsid w:val="00DD0C44"/>
    <w:rsid w:val="00DD1D3A"/>
    <w:rsid w:val="00DD4605"/>
    <w:rsid w:val="00DD4BEF"/>
    <w:rsid w:val="00DD4DBC"/>
    <w:rsid w:val="00DD60C1"/>
    <w:rsid w:val="00DE180C"/>
    <w:rsid w:val="00DE295E"/>
    <w:rsid w:val="00DE36D3"/>
    <w:rsid w:val="00DE5976"/>
    <w:rsid w:val="00DE5FE6"/>
    <w:rsid w:val="00DE6046"/>
    <w:rsid w:val="00DE74D3"/>
    <w:rsid w:val="00DF02A2"/>
    <w:rsid w:val="00DF07CF"/>
    <w:rsid w:val="00DF1481"/>
    <w:rsid w:val="00DF162F"/>
    <w:rsid w:val="00DF2CB4"/>
    <w:rsid w:val="00DF330D"/>
    <w:rsid w:val="00DF3406"/>
    <w:rsid w:val="00DF34C1"/>
    <w:rsid w:val="00DF3C7F"/>
    <w:rsid w:val="00DF4D99"/>
    <w:rsid w:val="00DF7713"/>
    <w:rsid w:val="00DF7C16"/>
    <w:rsid w:val="00E00800"/>
    <w:rsid w:val="00E00CF7"/>
    <w:rsid w:val="00E01B29"/>
    <w:rsid w:val="00E028BD"/>
    <w:rsid w:val="00E029E7"/>
    <w:rsid w:val="00E06F9B"/>
    <w:rsid w:val="00E1426B"/>
    <w:rsid w:val="00E14CDF"/>
    <w:rsid w:val="00E161F7"/>
    <w:rsid w:val="00E16B46"/>
    <w:rsid w:val="00E2125C"/>
    <w:rsid w:val="00E2273F"/>
    <w:rsid w:val="00E22EFF"/>
    <w:rsid w:val="00E2318E"/>
    <w:rsid w:val="00E34C56"/>
    <w:rsid w:val="00E34D2F"/>
    <w:rsid w:val="00E34F56"/>
    <w:rsid w:val="00E351EE"/>
    <w:rsid w:val="00E35982"/>
    <w:rsid w:val="00E35ACA"/>
    <w:rsid w:val="00E36952"/>
    <w:rsid w:val="00E36E68"/>
    <w:rsid w:val="00E37FE3"/>
    <w:rsid w:val="00E4002B"/>
    <w:rsid w:val="00E40BD9"/>
    <w:rsid w:val="00E423CE"/>
    <w:rsid w:val="00E437B8"/>
    <w:rsid w:val="00E43936"/>
    <w:rsid w:val="00E43B91"/>
    <w:rsid w:val="00E46A87"/>
    <w:rsid w:val="00E4715A"/>
    <w:rsid w:val="00E473FE"/>
    <w:rsid w:val="00E52158"/>
    <w:rsid w:val="00E545F1"/>
    <w:rsid w:val="00E56B01"/>
    <w:rsid w:val="00E57F7B"/>
    <w:rsid w:val="00E61540"/>
    <w:rsid w:val="00E61AD5"/>
    <w:rsid w:val="00E63114"/>
    <w:rsid w:val="00E63175"/>
    <w:rsid w:val="00E63439"/>
    <w:rsid w:val="00E65EDE"/>
    <w:rsid w:val="00E664C7"/>
    <w:rsid w:val="00E66CD0"/>
    <w:rsid w:val="00E73750"/>
    <w:rsid w:val="00E800E6"/>
    <w:rsid w:val="00E80231"/>
    <w:rsid w:val="00E81221"/>
    <w:rsid w:val="00E82721"/>
    <w:rsid w:val="00E82751"/>
    <w:rsid w:val="00E82880"/>
    <w:rsid w:val="00E829A0"/>
    <w:rsid w:val="00E850A5"/>
    <w:rsid w:val="00E85136"/>
    <w:rsid w:val="00E85698"/>
    <w:rsid w:val="00E8584F"/>
    <w:rsid w:val="00E90845"/>
    <w:rsid w:val="00E92415"/>
    <w:rsid w:val="00E94076"/>
    <w:rsid w:val="00E94440"/>
    <w:rsid w:val="00E94E94"/>
    <w:rsid w:val="00E952E0"/>
    <w:rsid w:val="00E95CED"/>
    <w:rsid w:val="00E96623"/>
    <w:rsid w:val="00E96929"/>
    <w:rsid w:val="00E9758A"/>
    <w:rsid w:val="00E975A7"/>
    <w:rsid w:val="00EA2490"/>
    <w:rsid w:val="00EA2C74"/>
    <w:rsid w:val="00EA4AD5"/>
    <w:rsid w:val="00EA5D29"/>
    <w:rsid w:val="00EA665F"/>
    <w:rsid w:val="00EA6817"/>
    <w:rsid w:val="00EA7637"/>
    <w:rsid w:val="00EA77E3"/>
    <w:rsid w:val="00EA7FA1"/>
    <w:rsid w:val="00EB078B"/>
    <w:rsid w:val="00EB1C1A"/>
    <w:rsid w:val="00EB346F"/>
    <w:rsid w:val="00EB395A"/>
    <w:rsid w:val="00EB4DFC"/>
    <w:rsid w:val="00EB59AA"/>
    <w:rsid w:val="00EB64BA"/>
    <w:rsid w:val="00EB6920"/>
    <w:rsid w:val="00EB69A1"/>
    <w:rsid w:val="00EB6A46"/>
    <w:rsid w:val="00EB722D"/>
    <w:rsid w:val="00EB73E8"/>
    <w:rsid w:val="00EC155B"/>
    <w:rsid w:val="00EC2D2A"/>
    <w:rsid w:val="00EC39D3"/>
    <w:rsid w:val="00EC4276"/>
    <w:rsid w:val="00EC48B8"/>
    <w:rsid w:val="00EC4C20"/>
    <w:rsid w:val="00EC60D4"/>
    <w:rsid w:val="00EC74AC"/>
    <w:rsid w:val="00ED6F2A"/>
    <w:rsid w:val="00ED7BD7"/>
    <w:rsid w:val="00EE023F"/>
    <w:rsid w:val="00EE0E6E"/>
    <w:rsid w:val="00EE0FD8"/>
    <w:rsid w:val="00EE296B"/>
    <w:rsid w:val="00EE34B2"/>
    <w:rsid w:val="00EE5A45"/>
    <w:rsid w:val="00EE5B15"/>
    <w:rsid w:val="00EE5B1D"/>
    <w:rsid w:val="00EE6AA3"/>
    <w:rsid w:val="00EF16FB"/>
    <w:rsid w:val="00EF22FA"/>
    <w:rsid w:val="00EF3C41"/>
    <w:rsid w:val="00EF5244"/>
    <w:rsid w:val="00EF66F8"/>
    <w:rsid w:val="00F01AFC"/>
    <w:rsid w:val="00F040F5"/>
    <w:rsid w:val="00F0454C"/>
    <w:rsid w:val="00F046FA"/>
    <w:rsid w:val="00F07E7C"/>
    <w:rsid w:val="00F10386"/>
    <w:rsid w:val="00F10CA9"/>
    <w:rsid w:val="00F11CC5"/>
    <w:rsid w:val="00F13546"/>
    <w:rsid w:val="00F15953"/>
    <w:rsid w:val="00F15B4A"/>
    <w:rsid w:val="00F1629C"/>
    <w:rsid w:val="00F20FEC"/>
    <w:rsid w:val="00F21D44"/>
    <w:rsid w:val="00F23068"/>
    <w:rsid w:val="00F238D5"/>
    <w:rsid w:val="00F27286"/>
    <w:rsid w:val="00F2763C"/>
    <w:rsid w:val="00F30358"/>
    <w:rsid w:val="00F31BD0"/>
    <w:rsid w:val="00F32B1E"/>
    <w:rsid w:val="00F336E2"/>
    <w:rsid w:val="00F34B64"/>
    <w:rsid w:val="00F363E9"/>
    <w:rsid w:val="00F4158F"/>
    <w:rsid w:val="00F431E3"/>
    <w:rsid w:val="00F43267"/>
    <w:rsid w:val="00F44AA9"/>
    <w:rsid w:val="00F517A7"/>
    <w:rsid w:val="00F53357"/>
    <w:rsid w:val="00F53ADF"/>
    <w:rsid w:val="00F57AC9"/>
    <w:rsid w:val="00F57B84"/>
    <w:rsid w:val="00F629B9"/>
    <w:rsid w:val="00F6312D"/>
    <w:rsid w:val="00F63643"/>
    <w:rsid w:val="00F639BB"/>
    <w:rsid w:val="00F64F2F"/>
    <w:rsid w:val="00F67876"/>
    <w:rsid w:val="00F67FA1"/>
    <w:rsid w:val="00F72274"/>
    <w:rsid w:val="00F776DA"/>
    <w:rsid w:val="00F80B27"/>
    <w:rsid w:val="00F80D92"/>
    <w:rsid w:val="00F83BA3"/>
    <w:rsid w:val="00F8738D"/>
    <w:rsid w:val="00F87437"/>
    <w:rsid w:val="00F902F6"/>
    <w:rsid w:val="00F9180B"/>
    <w:rsid w:val="00F924E2"/>
    <w:rsid w:val="00F9556A"/>
    <w:rsid w:val="00F959A2"/>
    <w:rsid w:val="00F95C7C"/>
    <w:rsid w:val="00F966CC"/>
    <w:rsid w:val="00F968F6"/>
    <w:rsid w:val="00F96A27"/>
    <w:rsid w:val="00F973B4"/>
    <w:rsid w:val="00FA020C"/>
    <w:rsid w:val="00FA02B3"/>
    <w:rsid w:val="00FA08DA"/>
    <w:rsid w:val="00FA28CA"/>
    <w:rsid w:val="00FA2FBB"/>
    <w:rsid w:val="00FA3D0A"/>
    <w:rsid w:val="00FA53DE"/>
    <w:rsid w:val="00FA5411"/>
    <w:rsid w:val="00FA59D5"/>
    <w:rsid w:val="00FA6BDD"/>
    <w:rsid w:val="00FB0DFB"/>
    <w:rsid w:val="00FB12AC"/>
    <w:rsid w:val="00FB20CF"/>
    <w:rsid w:val="00FB3B0F"/>
    <w:rsid w:val="00FB4839"/>
    <w:rsid w:val="00FB692B"/>
    <w:rsid w:val="00FB6B3F"/>
    <w:rsid w:val="00FB7A12"/>
    <w:rsid w:val="00FC1248"/>
    <w:rsid w:val="00FC13D5"/>
    <w:rsid w:val="00FC1AAF"/>
    <w:rsid w:val="00FC25E0"/>
    <w:rsid w:val="00FC2652"/>
    <w:rsid w:val="00FC34D9"/>
    <w:rsid w:val="00FC43A2"/>
    <w:rsid w:val="00FC57DF"/>
    <w:rsid w:val="00FC58EA"/>
    <w:rsid w:val="00FC674E"/>
    <w:rsid w:val="00FC73F6"/>
    <w:rsid w:val="00FD0941"/>
    <w:rsid w:val="00FD1137"/>
    <w:rsid w:val="00FD194D"/>
    <w:rsid w:val="00FD1AE2"/>
    <w:rsid w:val="00FD1D47"/>
    <w:rsid w:val="00FD247B"/>
    <w:rsid w:val="00FD2630"/>
    <w:rsid w:val="00FD27DC"/>
    <w:rsid w:val="00FD3CB9"/>
    <w:rsid w:val="00FD51CF"/>
    <w:rsid w:val="00FD61A0"/>
    <w:rsid w:val="00FE10B2"/>
    <w:rsid w:val="00FE13C3"/>
    <w:rsid w:val="00FE2455"/>
    <w:rsid w:val="00FE2D06"/>
    <w:rsid w:val="00FE3BBD"/>
    <w:rsid w:val="00FE59D8"/>
    <w:rsid w:val="00FE6202"/>
    <w:rsid w:val="00FE6570"/>
    <w:rsid w:val="00FE72BC"/>
    <w:rsid w:val="00FF1788"/>
    <w:rsid w:val="00FF2716"/>
    <w:rsid w:val="00FF3355"/>
    <w:rsid w:val="00FF4F28"/>
    <w:rsid w:val="00FF568C"/>
    <w:rsid w:val="00FF6B27"/>
    <w:rsid w:val="00FF730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DB6A9E3-2CF0-4E6B-B999-634DEF424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C30D24"/>
    <w:rPr>
      <w:sz w:val="24"/>
      <w:szCs w:val="24"/>
      <w:lang w:val="en-GB" w:eastAsia="en-US"/>
    </w:rPr>
  </w:style>
  <w:style w:type="paragraph" w:styleId="Virsraksts1">
    <w:name w:val="heading 1"/>
    <w:basedOn w:val="Parasts"/>
    <w:next w:val="Parasts"/>
    <w:qFormat/>
    <w:rsid w:val="002C2235"/>
    <w:pPr>
      <w:keepNext/>
      <w:jc w:val="center"/>
      <w:outlineLvl w:val="0"/>
    </w:pPr>
    <w:rPr>
      <w:b/>
      <w:bCs/>
      <w:sz w:val="28"/>
      <w:lang w:val="lv-LV"/>
    </w:rPr>
  </w:style>
  <w:style w:type="paragraph" w:styleId="Virsraksts2">
    <w:name w:val="heading 2"/>
    <w:basedOn w:val="Parasts"/>
    <w:next w:val="Parasts"/>
    <w:qFormat/>
    <w:rsid w:val="002C2235"/>
    <w:pPr>
      <w:keepNext/>
      <w:outlineLvl w:val="1"/>
    </w:pPr>
    <w:rPr>
      <w:sz w:val="28"/>
      <w:lang w:val="lv-LV"/>
    </w:rPr>
  </w:style>
  <w:style w:type="paragraph" w:styleId="Virsraksts3">
    <w:name w:val="heading 3"/>
    <w:basedOn w:val="Parasts"/>
    <w:next w:val="Parasts"/>
    <w:qFormat/>
    <w:rsid w:val="002C2235"/>
    <w:pPr>
      <w:keepNext/>
      <w:jc w:val="center"/>
      <w:outlineLvl w:val="2"/>
    </w:pPr>
    <w:rPr>
      <w:sz w:val="28"/>
      <w:lang w:val="lv-LV"/>
    </w:rPr>
  </w:style>
  <w:style w:type="paragraph" w:styleId="Virsraksts4">
    <w:name w:val="heading 4"/>
    <w:basedOn w:val="Parasts"/>
    <w:next w:val="Parasts"/>
    <w:qFormat/>
    <w:rsid w:val="002C2235"/>
    <w:pPr>
      <w:keepNext/>
      <w:tabs>
        <w:tab w:val="center" w:pos="586"/>
      </w:tabs>
      <w:ind w:left="-348" w:hanging="600"/>
      <w:outlineLvl w:val="3"/>
    </w:pPr>
    <w:rPr>
      <w:sz w:val="28"/>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aratkpi">
    <w:name w:val="Body Text Indent"/>
    <w:basedOn w:val="Parasts"/>
    <w:rsid w:val="002C2235"/>
    <w:pPr>
      <w:ind w:left="7"/>
    </w:pPr>
    <w:rPr>
      <w:sz w:val="28"/>
      <w:lang w:val="lv-LV"/>
    </w:rPr>
  </w:style>
  <w:style w:type="paragraph" w:customStyle="1" w:styleId="naisc">
    <w:name w:val="naisc"/>
    <w:basedOn w:val="Parasts"/>
    <w:rsid w:val="002C2235"/>
    <w:pPr>
      <w:spacing w:before="100" w:beforeAutospacing="1" w:after="100" w:afterAutospacing="1"/>
      <w:jc w:val="center"/>
    </w:pPr>
    <w:rPr>
      <w:rFonts w:eastAsia="Arial Unicode MS"/>
      <w:sz w:val="26"/>
      <w:szCs w:val="26"/>
    </w:rPr>
  </w:style>
  <w:style w:type="paragraph" w:customStyle="1" w:styleId="naisf">
    <w:name w:val="naisf"/>
    <w:basedOn w:val="Parasts"/>
    <w:rsid w:val="002C2235"/>
    <w:pPr>
      <w:spacing w:before="100" w:beforeAutospacing="1" w:after="100" w:afterAutospacing="1"/>
      <w:jc w:val="both"/>
    </w:pPr>
    <w:rPr>
      <w:rFonts w:eastAsia="Arial Unicode MS"/>
    </w:rPr>
  </w:style>
  <w:style w:type="paragraph" w:styleId="Paraststmeklis">
    <w:name w:val="Normal (Web)"/>
    <w:basedOn w:val="Parasts"/>
    <w:rsid w:val="002C2235"/>
    <w:pPr>
      <w:spacing w:before="100" w:beforeAutospacing="1" w:after="100" w:afterAutospacing="1"/>
    </w:pPr>
    <w:rPr>
      <w:rFonts w:eastAsia="Arial Unicode MS"/>
    </w:rPr>
  </w:style>
  <w:style w:type="paragraph" w:styleId="Kjene">
    <w:name w:val="footer"/>
    <w:basedOn w:val="Parasts"/>
    <w:link w:val="KjeneRakstz"/>
    <w:rsid w:val="002C2235"/>
    <w:pPr>
      <w:tabs>
        <w:tab w:val="center" w:pos="4153"/>
        <w:tab w:val="right" w:pos="8306"/>
      </w:tabs>
      <w:snapToGrid w:val="0"/>
    </w:pPr>
    <w:rPr>
      <w:rFonts w:ascii="RimTimes" w:hAnsi="RimTimes"/>
      <w:sz w:val="28"/>
      <w:szCs w:val="20"/>
      <w:lang w:val="lv-LV"/>
    </w:rPr>
  </w:style>
  <w:style w:type="character" w:styleId="Komentraatsauce">
    <w:name w:val="annotation reference"/>
    <w:basedOn w:val="Noklusjumarindkopasfonts"/>
    <w:semiHidden/>
    <w:rsid w:val="002C2235"/>
    <w:rPr>
      <w:sz w:val="16"/>
      <w:szCs w:val="16"/>
    </w:rPr>
  </w:style>
  <w:style w:type="paragraph" w:customStyle="1" w:styleId="naislab">
    <w:name w:val="naislab"/>
    <w:basedOn w:val="Parasts"/>
    <w:rsid w:val="002C2235"/>
    <w:pPr>
      <w:spacing w:before="100" w:beforeAutospacing="1" w:after="100" w:afterAutospacing="1"/>
      <w:jc w:val="right"/>
    </w:pPr>
    <w:rPr>
      <w:rFonts w:eastAsia="Arial Unicode MS"/>
    </w:rPr>
  </w:style>
  <w:style w:type="paragraph" w:styleId="Galvene">
    <w:name w:val="header"/>
    <w:basedOn w:val="Parasts"/>
    <w:rsid w:val="002C2235"/>
    <w:pPr>
      <w:tabs>
        <w:tab w:val="center" w:pos="4153"/>
        <w:tab w:val="right" w:pos="8306"/>
      </w:tabs>
    </w:pPr>
  </w:style>
  <w:style w:type="character" w:styleId="Lappusesnumurs">
    <w:name w:val="page number"/>
    <w:basedOn w:val="Noklusjumarindkopasfonts"/>
    <w:rsid w:val="002C2235"/>
  </w:style>
  <w:style w:type="paragraph" w:styleId="Komentrateksts">
    <w:name w:val="annotation text"/>
    <w:basedOn w:val="Parasts"/>
    <w:link w:val="KomentratekstsRakstz"/>
    <w:rsid w:val="002C2235"/>
    <w:rPr>
      <w:sz w:val="20"/>
      <w:szCs w:val="20"/>
    </w:rPr>
  </w:style>
  <w:style w:type="paragraph" w:customStyle="1" w:styleId="naiskr">
    <w:name w:val="naiskr"/>
    <w:basedOn w:val="Parasts"/>
    <w:rsid w:val="00B40B98"/>
    <w:pPr>
      <w:spacing w:before="100" w:beforeAutospacing="1" w:after="100" w:afterAutospacing="1"/>
    </w:pPr>
    <w:rPr>
      <w:lang w:val="lv-LV" w:eastAsia="lv-LV"/>
    </w:rPr>
  </w:style>
  <w:style w:type="paragraph" w:styleId="Balonteksts">
    <w:name w:val="Balloon Text"/>
    <w:basedOn w:val="Parasts"/>
    <w:semiHidden/>
    <w:rsid w:val="003F2F3C"/>
    <w:rPr>
      <w:rFonts w:ascii="Tahoma" w:hAnsi="Tahoma" w:cs="Tahoma"/>
      <w:sz w:val="16"/>
      <w:szCs w:val="16"/>
    </w:rPr>
  </w:style>
  <w:style w:type="paragraph" w:customStyle="1" w:styleId="CharChar">
    <w:name w:val="Char Char"/>
    <w:basedOn w:val="Parasts"/>
    <w:rsid w:val="001347E9"/>
    <w:rPr>
      <w:lang w:val="pl-PL" w:eastAsia="pl-PL"/>
    </w:rPr>
  </w:style>
  <w:style w:type="paragraph" w:customStyle="1" w:styleId="RakstzRakstzRakstzCharCharRakstzRakstzCharChar">
    <w:name w:val="Rakstz. Rakstz. Rakstz. Char Char Rakstz. Rakstz. Char Char"/>
    <w:basedOn w:val="Parasts"/>
    <w:rsid w:val="004071C3"/>
    <w:pPr>
      <w:spacing w:before="40"/>
    </w:pPr>
    <w:rPr>
      <w:lang w:val="pl-PL" w:eastAsia="pl-PL"/>
    </w:rPr>
  </w:style>
  <w:style w:type="paragraph" w:styleId="Pamatteksts2">
    <w:name w:val="Body Text 2"/>
    <w:basedOn w:val="Parasts"/>
    <w:rsid w:val="00D730D2"/>
    <w:pPr>
      <w:spacing w:after="120" w:line="480" w:lineRule="auto"/>
    </w:pPr>
    <w:rPr>
      <w:sz w:val="28"/>
      <w:szCs w:val="20"/>
      <w:lang w:val="lv-LV" w:eastAsia="lv-LV"/>
    </w:rPr>
  </w:style>
  <w:style w:type="paragraph" w:styleId="Komentratma">
    <w:name w:val="annotation subject"/>
    <w:basedOn w:val="Komentrateksts"/>
    <w:next w:val="Komentrateksts"/>
    <w:semiHidden/>
    <w:rsid w:val="00CC26BC"/>
    <w:rPr>
      <w:b/>
      <w:bCs/>
    </w:rPr>
  </w:style>
  <w:style w:type="character" w:styleId="Hipersaite">
    <w:name w:val="Hyperlink"/>
    <w:basedOn w:val="Noklusjumarindkopasfonts"/>
    <w:rsid w:val="009402E4"/>
    <w:rPr>
      <w:color w:val="0000FF"/>
      <w:u w:val="single"/>
    </w:rPr>
  </w:style>
  <w:style w:type="paragraph" w:styleId="Nosaukums">
    <w:name w:val="Title"/>
    <w:basedOn w:val="Parasts"/>
    <w:qFormat/>
    <w:rsid w:val="00EB6920"/>
    <w:pPr>
      <w:jc w:val="center"/>
    </w:pPr>
    <w:rPr>
      <w:b/>
      <w:sz w:val="28"/>
      <w:szCs w:val="20"/>
      <w:lang w:val="lv-LV"/>
    </w:rPr>
  </w:style>
  <w:style w:type="paragraph" w:styleId="Bezatstarpm">
    <w:name w:val="No Spacing"/>
    <w:qFormat/>
    <w:rsid w:val="00B55EA8"/>
    <w:rPr>
      <w:rFonts w:ascii="Calibri" w:eastAsia="Calibri" w:hAnsi="Calibri"/>
      <w:sz w:val="22"/>
      <w:szCs w:val="22"/>
      <w:lang w:eastAsia="en-US"/>
    </w:rPr>
  </w:style>
  <w:style w:type="character" w:customStyle="1" w:styleId="KjeneRakstz">
    <w:name w:val="Kājene Rakstz."/>
    <w:basedOn w:val="Noklusjumarindkopasfonts"/>
    <w:link w:val="Kjene"/>
    <w:rsid w:val="0091356D"/>
    <w:rPr>
      <w:rFonts w:ascii="RimTimes" w:hAnsi="RimTimes"/>
      <w:sz w:val="28"/>
      <w:lang w:eastAsia="en-US"/>
    </w:rPr>
  </w:style>
  <w:style w:type="paragraph" w:customStyle="1" w:styleId="naisnod">
    <w:name w:val="naisnod"/>
    <w:basedOn w:val="Parasts"/>
    <w:rsid w:val="00585BD7"/>
    <w:pPr>
      <w:spacing w:before="150" w:after="150"/>
      <w:jc w:val="center"/>
    </w:pPr>
    <w:rPr>
      <w:b/>
      <w:bCs/>
      <w:lang w:val="lv-LV" w:eastAsia="lv-LV"/>
    </w:rPr>
  </w:style>
  <w:style w:type="character" w:styleId="Izteiksmgs">
    <w:name w:val="Strong"/>
    <w:basedOn w:val="Noklusjumarindkopasfonts"/>
    <w:uiPriority w:val="22"/>
    <w:qFormat/>
    <w:rsid w:val="00FD247B"/>
    <w:rPr>
      <w:b/>
      <w:bCs/>
    </w:rPr>
  </w:style>
  <w:style w:type="character" w:customStyle="1" w:styleId="KomentratekstsRakstz">
    <w:name w:val="Komentāra teksts Rakstz."/>
    <w:basedOn w:val="Noklusjumarindkopasfonts"/>
    <w:link w:val="Komentrateksts"/>
    <w:rsid w:val="00A856EA"/>
    <w:rPr>
      <w:lang w:val="en-GB" w:eastAsia="en-US"/>
    </w:rPr>
  </w:style>
  <w:style w:type="paragraph" w:styleId="Sarakstarindkopa">
    <w:name w:val="List Paragraph"/>
    <w:basedOn w:val="Parasts"/>
    <w:uiPriority w:val="34"/>
    <w:qFormat/>
    <w:rsid w:val="00634084"/>
    <w:pPr>
      <w:ind w:left="720"/>
      <w:contextualSpacing/>
    </w:pPr>
  </w:style>
  <w:style w:type="paragraph" w:customStyle="1" w:styleId="basetext">
    <w:name w:val="base text"/>
    <w:rsid w:val="00FB20CF"/>
    <w:pPr>
      <w:widowControl w:val="0"/>
      <w:tabs>
        <w:tab w:val="left" w:pos="357"/>
        <w:tab w:val="left" w:pos="1304"/>
        <w:tab w:val="left" w:pos="2608"/>
        <w:tab w:val="left" w:pos="3912"/>
        <w:tab w:val="left" w:pos="5216"/>
        <w:tab w:val="right" w:pos="7655"/>
      </w:tabs>
      <w:overflowPunct w:val="0"/>
      <w:autoSpaceDE w:val="0"/>
      <w:autoSpaceDN w:val="0"/>
      <w:adjustRightInd w:val="0"/>
      <w:spacing w:before="240"/>
      <w:jc w:val="both"/>
      <w:textAlignment w:val="baseline"/>
    </w:pPr>
    <w:rPr>
      <w:sz w:val="24"/>
      <w:lang w:val="en-US" w:eastAsia="en-US"/>
    </w:rPr>
  </w:style>
  <w:style w:type="character" w:customStyle="1" w:styleId="spelle">
    <w:name w:val="spelle"/>
    <w:basedOn w:val="Noklusjumarindkopasfonts"/>
    <w:rsid w:val="007920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807202">
      <w:bodyDiv w:val="1"/>
      <w:marLeft w:val="0"/>
      <w:marRight w:val="0"/>
      <w:marTop w:val="0"/>
      <w:marBottom w:val="0"/>
      <w:divBdr>
        <w:top w:val="none" w:sz="0" w:space="0" w:color="auto"/>
        <w:left w:val="none" w:sz="0" w:space="0" w:color="auto"/>
        <w:bottom w:val="none" w:sz="0" w:space="0" w:color="auto"/>
        <w:right w:val="none" w:sz="0" w:space="0" w:color="auto"/>
      </w:divBdr>
    </w:div>
    <w:div w:id="145441731">
      <w:bodyDiv w:val="1"/>
      <w:marLeft w:val="0"/>
      <w:marRight w:val="0"/>
      <w:marTop w:val="0"/>
      <w:marBottom w:val="0"/>
      <w:divBdr>
        <w:top w:val="none" w:sz="0" w:space="0" w:color="auto"/>
        <w:left w:val="none" w:sz="0" w:space="0" w:color="auto"/>
        <w:bottom w:val="none" w:sz="0" w:space="0" w:color="auto"/>
        <w:right w:val="none" w:sz="0" w:space="0" w:color="auto"/>
      </w:divBdr>
    </w:div>
    <w:div w:id="507990461">
      <w:bodyDiv w:val="1"/>
      <w:marLeft w:val="45"/>
      <w:marRight w:val="45"/>
      <w:marTop w:val="90"/>
      <w:marBottom w:val="90"/>
      <w:divBdr>
        <w:top w:val="none" w:sz="0" w:space="0" w:color="auto"/>
        <w:left w:val="none" w:sz="0" w:space="0" w:color="auto"/>
        <w:bottom w:val="none" w:sz="0" w:space="0" w:color="auto"/>
        <w:right w:val="none" w:sz="0" w:space="0" w:color="auto"/>
      </w:divBdr>
      <w:divsChild>
        <w:div w:id="28067796">
          <w:marLeft w:val="0"/>
          <w:marRight w:val="0"/>
          <w:marTop w:val="0"/>
          <w:marBottom w:val="567"/>
          <w:divBdr>
            <w:top w:val="none" w:sz="0" w:space="0" w:color="auto"/>
            <w:left w:val="none" w:sz="0" w:space="0" w:color="auto"/>
            <w:bottom w:val="none" w:sz="0" w:space="0" w:color="auto"/>
            <w:right w:val="none" w:sz="0" w:space="0" w:color="auto"/>
          </w:divBdr>
        </w:div>
        <w:div w:id="1581208722">
          <w:marLeft w:val="0"/>
          <w:marRight w:val="0"/>
          <w:marTop w:val="480"/>
          <w:marBottom w:val="240"/>
          <w:divBdr>
            <w:top w:val="none" w:sz="0" w:space="0" w:color="auto"/>
            <w:left w:val="none" w:sz="0" w:space="0" w:color="auto"/>
            <w:bottom w:val="none" w:sz="0" w:space="0" w:color="auto"/>
            <w:right w:val="none" w:sz="0" w:space="0" w:color="auto"/>
          </w:divBdr>
        </w:div>
      </w:divsChild>
    </w:div>
    <w:div w:id="910113976">
      <w:bodyDiv w:val="1"/>
      <w:marLeft w:val="0"/>
      <w:marRight w:val="0"/>
      <w:marTop w:val="0"/>
      <w:marBottom w:val="0"/>
      <w:divBdr>
        <w:top w:val="none" w:sz="0" w:space="0" w:color="auto"/>
        <w:left w:val="none" w:sz="0" w:space="0" w:color="auto"/>
        <w:bottom w:val="none" w:sz="0" w:space="0" w:color="auto"/>
        <w:right w:val="none" w:sz="0" w:space="0" w:color="auto"/>
      </w:divBdr>
    </w:div>
    <w:div w:id="928538381">
      <w:bodyDiv w:val="1"/>
      <w:marLeft w:val="0"/>
      <w:marRight w:val="0"/>
      <w:marTop w:val="0"/>
      <w:marBottom w:val="0"/>
      <w:divBdr>
        <w:top w:val="none" w:sz="0" w:space="0" w:color="auto"/>
        <w:left w:val="none" w:sz="0" w:space="0" w:color="auto"/>
        <w:bottom w:val="none" w:sz="0" w:space="0" w:color="auto"/>
        <w:right w:val="none" w:sz="0" w:space="0" w:color="auto"/>
      </w:divBdr>
    </w:div>
    <w:div w:id="940912194">
      <w:bodyDiv w:val="1"/>
      <w:marLeft w:val="0"/>
      <w:marRight w:val="0"/>
      <w:marTop w:val="0"/>
      <w:marBottom w:val="0"/>
      <w:divBdr>
        <w:top w:val="none" w:sz="0" w:space="0" w:color="auto"/>
        <w:left w:val="none" w:sz="0" w:space="0" w:color="auto"/>
        <w:bottom w:val="none" w:sz="0" w:space="0" w:color="auto"/>
        <w:right w:val="none" w:sz="0" w:space="0" w:color="auto"/>
      </w:divBdr>
      <w:divsChild>
        <w:div w:id="951015021">
          <w:marLeft w:val="0"/>
          <w:marRight w:val="0"/>
          <w:marTop w:val="0"/>
          <w:marBottom w:val="0"/>
          <w:divBdr>
            <w:top w:val="none" w:sz="0" w:space="0" w:color="auto"/>
            <w:left w:val="none" w:sz="0" w:space="0" w:color="auto"/>
            <w:bottom w:val="none" w:sz="0" w:space="0" w:color="auto"/>
            <w:right w:val="none" w:sz="0" w:space="0" w:color="auto"/>
          </w:divBdr>
          <w:divsChild>
            <w:div w:id="736904849">
              <w:marLeft w:val="0"/>
              <w:marRight w:val="0"/>
              <w:marTop w:val="0"/>
              <w:marBottom w:val="0"/>
              <w:divBdr>
                <w:top w:val="none" w:sz="0" w:space="0" w:color="auto"/>
                <w:left w:val="none" w:sz="0" w:space="0" w:color="auto"/>
                <w:bottom w:val="none" w:sz="0" w:space="0" w:color="auto"/>
                <w:right w:val="none" w:sz="0" w:space="0" w:color="auto"/>
              </w:divBdr>
              <w:divsChild>
                <w:div w:id="90396452">
                  <w:marLeft w:val="0"/>
                  <w:marRight w:val="0"/>
                  <w:marTop w:val="0"/>
                  <w:marBottom w:val="0"/>
                  <w:divBdr>
                    <w:top w:val="none" w:sz="0" w:space="0" w:color="auto"/>
                    <w:left w:val="none" w:sz="0" w:space="0" w:color="auto"/>
                    <w:bottom w:val="none" w:sz="0" w:space="0" w:color="auto"/>
                    <w:right w:val="none" w:sz="0" w:space="0" w:color="auto"/>
                  </w:divBdr>
                  <w:divsChild>
                    <w:div w:id="160825521">
                      <w:marLeft w:val="0"/>
                      <w:marRight w:val="0"/>
                      <w:marTop w:val="0"/>
                      <w:marBottom w:val="0"/>
                      <w:divBdr>
                        <w:top w:val="none" w:sz="0" w:space="0" w:color="auto"/>
                        <w:left w:val="none" w:sz="0" w:space="0" w:color="auto"/>
                        <w:bottom w:val="none" w:sz="0" w:space="0" w:color="auto"/>
                        <w:right w:val="none" w:sz="0" w:space="0" w:color="auto"/>
                      </w:divBdr>
                      <w:divsChild>
                        <w:div w:id="152650296">
                          <w:marLeft w:val="0"/>
                          <w:marRight w:val="0"/>
                          <w:marTop w:val="0"/>
                          <w:marBottom w:val="0"/>
                          <w:divBdr>
                            <w:top w:val="none" w:sz="0" w:space="0" w:color="auto"/>
                            <w:left w:val="none" w:sz="0" w:space="0" w:color="auto"/>
                            <w:bottom w:val="none" w:sz="0" w:space="0" w:color="auto"/>
                            <w:right w:val="none" w:sz="0" w:space="0" w:color="auto"/>
                          </w:divBdr>
                          <w:divsChild>
                            <w:div w:id="653294457">
                              <w:marLeft w:val="0"/>
                              <w:marRight w:val="0"/>
                              <w:marTop w:val="0"/>
                              <w:marBottom w:val="0"/>
                              <w:divBdr>
                                <w:top w:val="none" w:sz="0" w:space="0" w:color="auto"/>
                                <w:left w:val="none" w:sz="0" w:space="0" w:color="auto"/>
                                <w:bottom w:val="none" w:sz="0" w:space="0" w:color="auto"/>
                                <w:right w:val="none" w:sz="0" w:space="0" w:color="auto"/>
                              </w:divBdr>
                              <w:divsChild>
                                <w:div w:id="1632975070">
                                  <w:marLeft w:val="0"/>
                                  <w:marRight w:val="0"/>
                                  <w:marTop w:val="0"/>
                                  <w:marBottom w:val="0"/>
                                  <w:divBdr>
                                    <w:top w:val="none" w:sz="0" w:space="0" w:color="auto"/>
                                    <w:left w:val="none" w:sz="0" w:space="0" w:color="auto"/>
                                    <w:bottom w:val="none" w:sz="0" w:space="0" w:color="auto"/>
                                    <w:right w:val="none" w:sz="0" w:space="0" w:color="auto"/>
                                  </w:divBdr>
                                  <w:divsChild>
                                    <w:div w:id="1092777391">
                                      <w:marLeft w:val="0"/>
                                      <w:marRight w:val="0"/>
                                      <w:marTop w:val="0"/>
                                      <w:marBottom w:val="0"/>
                                      <w:divBdr>
                                        <w:top w:val="none" w:sz="0" w:space="0" w:color="auto"/>
                                        <w:left w:val="none" w:sz="0" w:space="0" w:color="auto"/>
                                        <w:bottom w:val="none" w:sz="0" w:space="0" w:color="auto"/>
                                        <w:right w:val="none" w:sz="0" w:space="0" w:color="auto"/>
                                      </w:divBdr>
                                      <w:divsChild>
                                        <w:div w:id="1251281268">
                                          <w:marLeft w:val="0"/>
                                          <w:marRight w:val="0"/>
                                          <w:marTop w:val="0"/>
                                          <w:marBottom w:val="0"/>
                                          <w:divBdr>
                                            <w:top w:val="none" w:sz="0" w:space="0" w:color="auto"/>
                                            <w:left w:val="none" w:sz="0" w:space="0" w:color="auto"/>
                                            <w:bottom w:val="none" w:sz="0" w:space="0" w:color="auto"/>
                                            <w:right w:val="none" w:sz="0" w:space="0" w:color="auto"/>
                                          </w:divBdr>
                                          <w:divsChild>
                                            <w:div w:id="1119449898">
                                              <w:marLeft w:val="0"/>
                                              <w:marRight w:val="0"/>
                                              <w:marTop w:val="0"/>
                                              <w:marBottom w:val="0"/>
                                              <w:divBdr>
                                                <w:top w:val="none" w:sz="0" w:space="0" w:color="auto"/>
                                                <w:left w:val="none" w:sz="0" w:space="0" w:color="auto"/>
                                                <w:bottom w:val="none" w:sz="0" w:space="0" w:color="auto"/>
                                                <w:right w:val="none" w:sz="0" w:space="0" w:color="auto"/>
                                              </w:divBdr>
                                              <w:divsChild>
                                                <w:div w:id="706874177">
                                                  <w:marLeft w:val="0"/>
                                                  <w:marRight w:val="0"/>
                                                  <w:marTop w:val="0"/>
                                                  <w:marBottom w:val="0"/>
                                                  <w:divBdr>
                                                    <w:top w:val="none" w:sz="0" w:space="0" w:color="auto"/>
                                                    <w:left w:val="none" w:sz="0" w:space="0" w:color="auto"/>
                                                    <w:bottom w:val="none" w:sz="0" w:space="0" w:color="auto"/>
                                                    <w:right w:val="none" w:sz="0" w:space="0" w:color="auto"/>
                                                  </w:divBdr>
                                                  <w:divsChild>
                                                    <w:div w:id="531773054">
                                                      <w:marLeft w:val="0"/>
                                                      <w:marRight w:val="0"/>
                                                      <w:marTop w:val="0"/>
                                                      <w:marBottom w:val="0"/>
                                                      <w:divBdr>
                                                        <w:top w:val="none" w:sz="0" w:space="0" w:color="auto"/>
                                                        <w:left w:val="none" w:sz="0" w:space="0" w:color="auto"/>
                                                        <w:bottom w:val="none" w:sz="0" w:space="0" w:color="auto"/>
                                                        <w:right w:val="none" w:sz="0" w:space="0" w:color="auto"/>
                                                      </w:divBdr>
                                                      <w:divsChild>
                                                        <w:div w:id="1939672045">
                                                          <w:marLeft w:val="0"/>
                                                          <w:marRight w:val="0"/>
                                                          <w:marTop w:val="0"/>
                                                          <w:marBottom w:val="0"/>
                                                          <w:divBdr>
                                                            <w:top w:val="none" w:sz="0" w:space="0" w:color="auto"/>
                                                            <w:left w:val="none" w:sz="0" w:space="0" w:color="auto"/>
                                                            <w:bottom w:val="none" w:sz="0" w:space="0" w:color="auto"/>
                                                            <w:right w:val="none" w:sz="0" w:space="0" w:color="auto"/>
                                                          </w:divBdr>
                                                          <w:divsChild>
                                                            <w:div w:id="737368026">
                                                              <w:marLeft w:val="0"/>
                                                              <w:marRight w:val="0"/>
                                                              <w:marTop w:val="0"/>
                                                              <w:marBottom w:val="0"/>
                                                              <w:divBdr>
                                                                <w:top w:val="none" w:sz="0" w:space="0" w:color="auto"/>
                                                                <w:left w:val="none" w:sz="0" w:space="0" w:color="auto"/>
                                                                <w:bottom w:val="none" w:sz="0" w:space="0" w:color="auto"/>
                                                                <w:right w:val="none" w:sz="0" w:space="0" w:color="auto"/>
                                                              </w:divBdr>
                                                              <w:divsChild>
                                                                <w:div w:id="1630236180">
                                                                  <w:marLeft w:val="0"/>
                                                                  <w:marRight w:val="0"/>
                                                                  <w:marTop w:val="0"/>
                                                                  <w:marBottom w:val="0"/>
                                                                  <w:divBdr>
                                                                    <w:top w:val="none" w:sz="0" w:space="0" w:color="auto"/>
                                                                    <w:left w:val="none" w:sz="0" w:space="0" w:color="auto"/>
                                                                    <w:bottom w:val="none" w:sz="0" w:space="0" w:color="auto"/>
                                                                    <w:right w:val="none" w:sz="0" w:space="0" w:color="auto"/>
                                                                  </w:divBdr>
                                                                  <w:divsChild>
                                                                    <w:div w:id="863707991">
                                                                      <w:marLeft w:val="0"/>
                                                                      <w:marRight w:val="0"/>
                                                                      <w:marTop w:val="0"/>
                                                                      <w:marBottom w:val="0"/>
                                                                      <w:divBdr>
                                                                        <w:top w:val="none" w:sz="0" w:space="0" w:color="auto"/>
                                                                        <w:left w:val="none" w:sz="0" w:space="0" w:color="auto"/>
                                                                        <w:bottom w:val="none" w:sz="0" w:space="0" w:color="auto"/>
                                                                        <w:right w:val="none" w:sz="0" w:space="0" w:color="auto"/>
                                                                      </w:divBdr>
                                                                      <w:divsChild>
                                                                        <w:div w:id="545483251">
                                                                          <w:marLeft w:val="0"/>
                                                                          <w:marRight w:val="0"/>
                                                                          <w:marTop w:val="0"/>
                                                                          <w:marBottom w:val="0"/>
                                                                          <w:divBdr>
                                                                            <w:top w:val="none" w:sz="0" w:space="0" w:color="auto"/>
                                                                            <w:left w:val="none" w:sz="0" w:space="0" w:color="auto"/>
                                                                            <w:bottom w:val="none" w:sz="0" w:space="0" w:color="auto"/>
                                                                            <w:right w:val="none" w:sz="0" w:space="0" w:color="auto"/>
                                                                          </w:divBdr>
                                                                          <w:divsChild>
                                                                            <w:div w:id="1567453393">
                                                                              <w:marLeft w:val="0"/>
                                                                              <w:marRight w:val="0"/>
                                                                              <w:marTop w:val="0"/>
                                                                              <w:marBottom w:val="0"/>
                                                                              <w:divBdr>
                                                                                <w:top w:val="none" w:sz="0" w:space="0" w:color="auto"/>
                                                                                <w:left w:val="none" w:sz="0" w:space="0" w:color="auto"/>
                                                                                <w:bottom w:val="none" w:sz="0" w:space="0" w:color="auto"/>
                                                                                <w:right w:val="none" w:sz="0" w:space="0" w:color="auto"/>
                                                                              </w:divBdr>
                                                                              <w:divsChild>
                                                                                <w:div w:id="977954212">
                                                                                  <w:marLeft w:val="0"/>
                                                                                  <w:marRight w:val="0"/>
                                                                                  <w:marTop w:val="0"/>
                                                                                  <w:marBottom w:val="0"/>
                                                                                  <w:divBdr>
                                                                                    <w:top w:val="none" w:sz="0" w:space="0" w:color="auto"/>
                                                                                    <w:left w:val="none" w:sz="0" w:space="0" w:color="auto"/>
                                                                                    <w:bottom w:val="none" w:sz="0" w:space="0" w:color="auto"/>
                                                                                    <w:right w:val="none" w:sz="0" w:space="0" w:color="auto"/>
                                                                                  </w:divBdr>
                                                                                  <w:divsChild>
                                                                                    <w:div w:id="2091347605">
                                                                                      <w:marLeft w:val="0"/>
                                                                                      <w:marRight w:val="0"/>
                                                                                      <w:marTop w:val="0"/>
                                                                                      <w:marBottom w:val="60"/>
                                                                                      <w:divBdr>
                                                                                        <w:top w:val="none" w:sz="0" w:space="0" w:color="auto"/>
                                                                                        <w:left w:val="none" w:sz="0" w:space="0" w:color="auto"/>
                                                                                        <w:bottom w:val="none" w:sz="0" w:space="0" w:color="auto"/>
                                                                                        <w:right w:val="none" w:sz="0" w:space="0" w:color="auto"/>
                                                                                      </w:divBdr>
                                                                                    </w:div>
                                                                                    <w:div w:id="2069330081">
                                                                                      <w:marLeft w:val="0"/>
                                                                                      <w:marRight w:val="0"/>
                                                                                      <w:marTop w:val="0"/>
                                                                                      <w:marBottom w:val="60"/>
                                                                                      <w:divBdr>
                                                                                        <w:top w:val="none" w:sz="0" w:space="0" w:color="auto"/>
                                                                                        <w:left w:val="none" w:sz="0" w:space="0" w:color="auto"/>
                                                                                        <w:bottom w:val="none" w:sz="0" w:space="0" w:color="auto"/>
                                                                                        <w:right w:val="none" w:sz="0" w:space="0" w:color="auto"/>
                                                                                      </w:divBdr>
                                                                                    </w:div>
                                                                                    <w:div w:id="1644962944">
                                                                                      <w:marLeft w:val="0"/>
                                                                                      <w:marRight w:val="0"/>
                                                                                      <w:marTop w:val="0"/>
                                                                                      <w:marBottom w:val="60"/>
                                                                                      <w:divBdr>
                                                                                        <w:top w:val="none" w:sz="0" w:space="0" w:color="auto"/>
                                                                                        <w:left w:val="none" w:sz="0" w:space="0" w:color="auto"/>
                                                                                        <w:bottom w:val="none" w:sz="0" w:space="0" w:color="auto"/>
                                                                                        <w:right w:val="none" w:sz="0" w:space="0" w:color="auto"/>
                                                                                      </w:divBdr>
                                                                                    </w:div>
                                                                                    <w:div w:id="1368602415">
                                                                                      <w:marLeft w:val="0"/>
                                                                                      <w:marRight w:val="0"/>
                                                                                      <w:marTop w:val="0"/>
                                                                                      <w:marBottom w:val="60"/>
                                                                                      <w:divBdr>
                                                                                        <w:top w:val="none" w:sz="0" w:space="0" w:color="auto"/>
                                                                                        <w:left w:val="none" w:sz="0" w:space="0" w:color="auto"/>
                                                                                        <w:bottom w:val="none" w:sz="0" w:space="0" w:color="auto"/>
                                                                                        <w:right w:val="none" w:sz="0" w:space="0" w:color="auto"/>
                                                                                      </w:divBdr>
                                                                                    </w:div>
                                                                                    <w:div w:id="460465816">
                                                                                      <w:marLeft w:val="0"/>
                                                                                      <w:marRight w:val="0"/>
                                                                                      <w:marTop w:val="0"/>
                                                                                      <w:marBottom w:val="60"/>
                                                                                      <w:divBdr>
                                                                                        <w:top w:val="none" w:sz="0" w:space="0" w:color="auto"/>
                                                                                        <w:left w:val="none" w:sz="0" w:space="0" w:color="auto"/>
                                                                                        <w:bottom w:val="none" w:sz="0" w:space="0" w:color="auto"/>
                                                                                        <w:right w:val="none" w:sz="0" w:space="0" w:color="auto"/>
                                                                                      </w:divBdr>
                                                                                    </w:div>
                                                                                    <w:div w:id="375200608">
                                                                                      <w:marLeft w:val="0"/>
                                                                                      <w:marRight w:val="0"/>
                                                                                      <w:marTop w:val="0"/>
                                                                                      <w:marBottom w:val="60"/>
                                                                                      <w:divBdr>
                                                                                        <w:top w:val="none" w:sz="0" w:space="0" w:color="auto"/>
                                                                                        <w:left w:val="none" w:sz="0" w:space="0" w:color="auto"/>
                                                                                        <w:bottom w:val="none" w:sz="0" w:space="0" w:color="auto"/>
                                                                                        <w:right w:val="none" w:sz="0" w:space="0" w:color="auto"/>
                                                                                      </w:divBdr>
                                                                                    </w:div>
                                                                                    <w:div w:id="1422262800">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6264152">
      <w:bodyDiv w:val="1"/>
      <w:marLeft w:val="0"/>
      <w:marRight w:val="0"/>
      <w:marTop w:val="0"/>
      <w:marBottom w:val="0"/>
      <w:divBdr>
        <w:top w:val="none" w:sz="0" w:space="0" w:color="auto"/>
        <w:left w:val="none" w:sz="0" w:space="0" w:color="auto"/>
        <w:bottom w:val="none" w:sz="0" w:space="0" w:color="auto"/>
        <w:right w:val="none" w:sz="0" w:space="0" w:color="auto"/>
      </w:divBdr>
    </w:div>
    <w:div w:id="1220047558">
      <w:bodyDiv w:val="1"/>
      <w:marLeft w:val="0"/>
      <w:marRight w:val="0"/>
      <w:marTop w:val="0"/>
      <w:marBottom w:val="0"/>
      <w:divBdr>
        <w:top w:val="none" w:sz="0" w:space="0" w:color="auto"/>
        <w:left w:val="none" w:sz="0" w:space="0" w:color="auto"/>
        <w:bottom w:val="none" w:sz="0" w:space="0" w:color="auto"/>
        <w:right w:val="none" w:sz="0" w:space="0" w:color="auto"/>
      </w:divBdr>
    </w:div>
    <w:div w:id="1259605493">
      <w:bodyDiv w:val="1"/>
      <w:marLeft w:val="0"/>
      <w:marRight w:val="0"/>
      <w:marTop w:val="0"/>
      <w:marBottom w:val="0"/>
      <w:divBdr>
        <w:top w:val="none" w:sz="0" w:space="0" w:color="auto"/>
        <w:left w:val="none" w:sz="0" w:space="0" w:color="auto"/>
        <w:bottom w:val="none" w:sz="0" w:space="0" w:color="auto"/>
        <w:right w:val="none" w:sz="0" w:space="0" w:color="auto"/>
      </w:divBdr>
      <w:divsChild>
        <w:div w:id="112335335">
          <w:marLeft w:val="0"/>
          <w:marRight w:val="0"/>
          <w:marTop w:val="0"/>
          <w:marBottom w:val="0"/>
          <w:divBdr>
            <w:top w:val="none" w:sz="0" w:space="0" w:color="auto"/>
            <w:left w:val="none" w:sz="0" w:space="0" w:color="auto"/>
            <w:bottom w:val="none" w:sz="0" w:space="0" w:color="auto"/>
            <w:right w:val="none" w:sz="0" w:space="0" w:color="auto"/>
          </w:divBdr>
          <w:divsChild>
            <w:div w:id="527329574">
              <w:marLeft w:val="0"/>
              <w:marRight w:val="0"/>
              <w:marTop w:val="0"/>
              <w:marBottom w:val="0"/>
              <w:divBdr>
                <w:top w:val="none" w:sz="0" w:space="0" w:color="auto"/>
                <w:left w:val="none" w:sz="0" w:space="0" w:color="auto"/>
                <w:bottom w:val="none" w:sz="0" w:space="0" w:color="auto"/>
                <w:right w:val="none" w:sz="0" w:space="0" w:color="auto"/>
              </w:divBdr>
              <w:divsChild>
                <w:div w:id="1437169500">
                  <w:marLeft w:val="0"/>
                  <w:marRight w:val="0"/>
                  <w:marTop w:val="0"/>
                  <w:marBottom w:val="0"/>
                  <w:divBdr>
                    <w:top w:val="none" w:sz="0" w:space="0" w:color="auto"/>
                    <w:left w:val="none" w:sz="0" w:space="0" w:color="auto"/>
                    <w:bottom w:val="none" w:sz="0" w:space="0" w:color="auto"/>
                    <w:right w:val="none" w:sz="0" w:space="0" w:color="auto"/>
                  </w:divBdr>
                  <w:divsChild>
                    <w:div w:id="2114284767">
                      <w:marLeft w:val="0"/>
                      <w:marRight w:val="0"/>
                      <w:marTop w:val="0"/>
                      <w:marBottom w:val="0"/>
                      <w:divBdr>
                        <w:top w:val="none" w:sz="0" w:space="0" w:color="auto"/>
                        <w:left w:val="none" w:sz="0" w:space="0" w:color="auto"/>
                        <w:bottom w:val="none" w:sz="0" w:space="0" w:color="auto"/>
                        <w:right w:val="none" w:sz="0" w:space="0" w:color="auto"/>
                      </w:divBdr>
                      <w:divsChild>
                        <w:div w:id="1583104471">
                          <w:marLeft w:val="0"/>
                          <w:marRight w:val="0"/>
                          <w:marTop w:val="0"/>
                          <w:marBottom w:val="0"/>
                          <w:divBdr>
                            <w:top w:val="none" w:sz="0" w:space="0" w:color="auto"/>
                            <w:left w:val="none" w:sz="0" w:space="0" w:color="auto"/>
                            <w:bottom w:val="none" w:sz="0" w:space="0" w:color="auto"/>
                            <w:right w:val="none" w:sz="0" w:space="0" w:color="auto"/>
                          </w:divBdr>
                          <w:divsChild>
                            <w:div w:id="688215152">
                              <w:marLeft w:val="0"/>
                              <w:marRight w:val="0"/>
                              <w:marTop w:val="0"/>
                              <w:marBottom w:val="0"/>
                              <w:divBdr>
                                <w:top w:val="none" w:sz="0" w:space="0" w:color="auto"/>
                                <w:left w:val="none" w:sz="0" w:space="0" w:color="auto"/>
                                <w:bottom w:val="none" w:sz="0" w:space="0" w:color="auto"/>
                                <w:right w:val="none" w:sz="0" w:space="0" w:color="auto"/>
                              </w:divBdr>
                              <w:divsChild>
                                <w:div w:id="874854989">
                                  <w:marLeft w:val="0"/>
                                  <w:marRight w:val="0"/>
                                  <w:marTop w:val="0"/>
                                  <w:marBottom w:val="0"/>
                                  <w:divBdr>
                                    <w:top w:val="none" w:sz="0" w:space="0" w:color="auto"/>
                                    <w:left w:val="none" w:sz="0" w:space="0" w:color="auto"/>
                                    <w:bottom w:val="none" w:sz="0" w:space="0" w:color="auto"/>
                                    <w:right w:val="none" w:sz="0" w:space="0" w:color="auto"/>
                                  </w:divBdr>
                                  <w:divsChild>
                                    <w:div w:id="950354646">
                                      <w:marLeft w:val="0"/>
                                      <w:marRight w:val="0"/>
                                      <w:marTop w:val="0"/>
                                      <w:marBottom w:val="0"/>
                                      <w:divBdr>
                                        <w:top w:val="none" w:sz="0" w:space="0" w:color="auto"/>
                                        <w:left w:val="none" w:sz="0" w:space="0" w:color="auto"/>
                                        <w:bottom w:val="none" w:sz="0" w:space="0" w:color="auto"/>
                                        <w:right w:val="none" w:sz="0" w:space="0" w:color="auto"/>
                                      </w:divBdr>
                                      <w:divsChild>
                                        <w:div w:id="564754835">
                                          <w:marLeft w:val="0"/>
                                          <w:marRight w:val="0"/>
                                          <w:marTop w:val="0"/>
                                          <w:marBottom w:val="0"/>
                                          <w:divBdr>
                                            <w:top w:val="none" w:sz="0" w:space="0" w:color="auto"/>
                                            <w:left w:val="none" w:sz="0" w:space="0" w:color="auto"/>
                                            <w:bottom w:val="none" w:sz="0" w:space="0" w:color="auto"/>
                                            <w:right w:val="none" w:sz="0" w:space="0" w:color="auto"/>
                                          </w:divBdr>
                                          <w:divsChild>
                                            <w:div w:id="928974519">
                                              <w:marLeft w:val="0"/>
                                              <w:marRight w:val="0"/>
                                              <w:marTop w:val="0"/>
                                              <w:marBottom w:val="0"/>
                                              <w:divBdr>
                                                <w:top w:val="none" w:sz="0" w:space="0" w:color="auto"/>
                                                <w:left w:val="none" w:sz="0" w:space="0" w:color="auto"/>
                                                <w:bottom w:val="none" w:sz="0" w:space="0" w:color="auto"/>
                                                <w:right w:val="none" w:sz="0" w:space="0" w:color="auto"/>
                                              </w:divBdr>
                                              <w:divsChild>
                                                <w:div w:id="1234703186">
                                                  <w:marLeft w:val="0"/>
                                                  <w:marRight w:val="0"/>
                                                  <w:marTop w:val="0"/>
                                                  <w:marBottom w:val="0"/>
                                                  <w:divBdr>
                                                    <w:top w:val="none" w:sz="0" w:space="0" w:color="auto"/>
                                                    <w:left w:val="none" w:sz="0" w:space="0" w:color="auto"/>
                                                    <w:bottom w:val="none" w:sz="0" w:space="0" w:color="auto"/>
                                                    <w:right w:val="none" w:sz="0" w:space="0" w:color="auto"/>
                                                  </w:divBdr>
                                                  <w:divsChild>
                                                    <w:div w:id="2131169179">
                                                      <w:marLeft w:val="0"/>
                                                      <w:marRight w:val="0"/>
                                                      <w:marTop w:val="0"/>
                                                      <w:marBottom w:val="0"/>
                                                      <w:divBdr>
                                                        <w:top w:val="none" w:sz="0" w:space="0" w:color="auto"/>
                                                        <w:left w:val="none" w:sz="0" w:space="0" w:color="auto"/>
                                                        <w:bottom w:val="none" w:sz="0" w:space="0" w:color="auto"/>
                                                        <w:right w:val="none" w:sz="0" w:space="0" w:color="auto"/>
                                                      </w:divBdr>
                                                      <w:divsChild>
                                                        <w:div w:id="232199009">
                                                          <w:marLeft w:val="0"/>
                                                          <w:marRight w:val="0"/>
                                                          <w:marTop w:val="0"/>
                                                          <w:marBottom w:val="0"/>
                                                          <w:divBdr>
                                                            <w:top w:val="none" w:sz="0" w:space="0" w:color="auto"/>
                                                            <w:left w:val="none" w:sz="0" w:space="0" w:color="auto"/>
                                                            <w:bottom w:val="none" w:sz="0" w:space="0" w:color="auto"/>
                                                            <w:right w:val="none" w:sz="0" w:space="0" w:color="auto"/>
                                                          </w:divBdr>
                                                          <w:divsChild>
                                                            <w:div w:id="216093916">
                                                              <w:marLeft w:val="0"/>
                                                              <w:marRight w:val="0"/>
                                                              <w:marTop w:val="0"/>
                                                              <w:marBottom w:val="0"/>
                                                              <w:divBdr>
                                                                <w:top w:val="none" w:sz="0" w:space="0" w:color="auto"/>
                                                                <w:left w:val="none" w:sz="0" w:space="0" w:color="auto"/>
                                                                <w:bottom w:val="none" w:sz="0" w:space="0" w:color="auto"/>
                                                                <w:right w:val="none" w:sz="0" w:space="0" w:color="auto"/>
                                                              </w:divBdr>
                                                              <w:divsChild>
                                                                <w:div w:id="1875116733">
                                                                  <w:marLeft w:val="0"/>
                                                                  <w:marRight w:val="0"/>
                                                                  <w:marTop w:val="0"/>
                                                                  <w:marBottom w:val="0"/>
                                                                  <w:divBdr>
                                                                    <w:top w:val="none" w:sz="0" w:space="0" w:color="auto"/>
                                                                    <w:left w:val="none" w:sz="0" w:space="0" w:color="auto"/>
                                                                    <w:bottom w:val="none" w:sz="0" w:space="0" w:color="auto"/>
                                                                    <w:right w:val="none" w:sz="0" w:space="0" w:color="auto"/>
                                                                  </w:divBdr>
                                                                  <w:divsChild>
                                                                    <w:div w:id="1040014689">
                                                                      <w:marLeft w:val="0"/>
                                                                      <w:marRight w:val="0"/>
                                                                      <w:marTop w:val="0"/>
                                                                      <w:marBottom w:val="0"/>
                                                                      <w:divBdr>
                                                                        <w:top w:val="none" w:sz="0" w:space="0" w:color="auto"/>
                                                                        <w:left w:val="none" w:sz="0" w:space="0" w:color="auto"/>
                                                                        <w:bottom w:val="none" w:sz="0" w:space="0" w:color="auto"/>
                                                                        <w:right w:val="none" w:sz="0" w:space="0" w:color="auto"/>
                                                                      </w:divBdr>
                                                                      <w:divsChild>
                                                                        <w:div w:id="986402820">
                                                                          <w:marLeft w:val="0"/>
                                                                          <w:marRight w:val="0"/>
                                                                          <w:marTop w:val="0"/>
                                                                          <w:marBottom w:val="0"/>
                                                                          <w:divBdr>
                                                                            <w:top w:val="none" w:sz="0" w:space="0" w:color="auto"/>
                                                                            <w:left w:val="none" w:sz="0" w:space="0" w:color="auto"/>
                                                                            <w:bottom w:val="none" w:sz="0" w:space="0" w:color="auto"/>
                                                                            <w:right w:val="none" w:sz="0" w:space="0" w:color="auto"/>
                                                                          </w:divBdr>
                                                                          <w:divsChild>
                                                                            <w:div w:id="1666737090">
                                                                              <w:marLeft w:val="0"/>
                                                                              <w:marRight w:val="0"/>
                                                                              <w:marTop w:val="0"/>
                                                                              <w:marBottom w:val="0"/>
                                                                              <w:divBdr>
                                                                                <w:top w:val="none" w:sz="0" w:space="0" w:color="auto"/>
                                                                                <w:left w:val="none" w:sz="0" w:space="0" w:color="auto"/>
                                                                                <w:bottom w:val="none" w:sz="0" w:space="0" w:color="auto"/>
                                                                                <w:right w:val="none" w:sz="0" w:space="0" w:color="auto"/>
                                                                              </w:divBdr>
                                                                              <w:divsChild>
                                                                                <w:div w:id="955260285">
                                                                                  <w:marLeft w:val="0"/>
                                                                                  <w:marRight w:val="0"/>
                                                                                  <w:marTop w:val="0"/>
                                                                                  <w:marBottom w:val="0"/>
                                                                                  <w:divBdr>
                                                                                    <w:top w:val="none" w:sz="0" w:space="0" w:color="auto"/>
                                                                                    <w:left w:val="none" w:sz="0" w:space="0" w:color="auto"/>
                                                                                    <w:bottom w:val="none" w:sz="0" w:space="0" w:color="auto"/>
                                                                                    <w:right w:val="none" w:sz="0" w:space="0" w:color="auto"/>
                                                                                  </w:divBdr>
                                                                                  <w:divsChild>
                                                                                    <w:div w:id="1724132467">
                                                                                      <w:marLeft w:val="0"/>
                                                                                      <w:marRight w:val="0"/>
                                                                                      <w:marTop w:val="0"/>
                                                                                      <w:marBottom w:val="60"/>
                                                                                      <w:divBdr>
                                                                                        <w:top w:val="none" w:sz="0" w:space="0" w:color="auto"/>
                                                                                        <w:left w:val="none" w:sz="0" w:space="0" w:color="auto"/>
                                                                                        <w:bottom w:val="none" w:sz="0" w:space="0" w:color="auto"/>
                                                                                        <w:right w:val="none" w:sz="0" w:space="0" w:color="auto"/>
                                                                                      </w:divBdr>
                                                                                    </w:div>
                                                                                    <w:div w:id="1228875728">
                                                                                      <w:marLeft w:val="0"/>
                                                                                      <w:marRight w:val="0"/>
                                                                                      <w:marTop w:val="0"/>
                                                                                      <w:marBottom w:val="60"/>
                                                                                      <w:divBdr>
                                                                                        <w:top w:val="none" w:sz="0" w:space="0" w:color="auto"/>
                                                                                        <w:left w:val="none" w:sz="0" w:space="0" w:color="auto"/>
                                                                                        <w:bottom w:val="none" w:sz="0" w:space="0" w:color="auto"/>
                                                                                        <w:right w:val="none" w:sz="0" w:space="0" w:color="auto"/>
                                                                                      </w:divBdr>
                                                                                    </w:div>
                                                                                    <w:div w:id="2034914687">
                                                                                      <w:marLeft w:val="0"/>
                                                                                      <w:marRight w:val="0"/>
                                                                                      <w:marTop w:val="0"/>
                                                                                      <w:marBottom w:val="60"/>
                                                                                      <w:divBdr>
                                                                                        <w:top w:val="none" w:sz="0" w:space="0" w:color="auto"/>
                                                                                        <w:left w:val="none" w:sz="0" w:space="0" w:color="auto"/>
                                                                                        <w:bottom w:val="none" w:sz="0" w:space="0" w:color="auto"/>
                                                                                        <w:right w:val="none" w:sz="0" w:space="0" w:color="auto"/>
                                                                                      </w:divBdr>
                                                                                    </w:div>
                                                                                    <w:div w:id="351541927">
                                                                                      <w:marLeft w:val="0"/>
                                                                                      <w:marRight w:val="0"/>
                                                                                      <w:marTop w:val="0"/>
                                                                                      <w:marBottom w:val="60"/>
                                                                                      <w:divBdr>
                                                                                        <w:top w:val="none" w:sz="0" w:space="0" w:color="auto"/>
                                                                                        <w:left w:val="none" w:sz="0" w:space="0" w:color="auto"/>
                                                                                        <w:bottom w:val="none" w:sz="0" w:space="0" w:color="auto"/>
                                                                                        <w:right w:val="none" w:sz="0" w:space="0" w:color="auto"/>
                                                                                      </w:divBdr>
                                                                                    </w:div>
                                                                                    <w:div w:id="143008034">
                                                                                      <w:marLeft w:val="0"/>
                                                                                      <w:marRight w:val="0"/>
                                                                                      <w:marTop w:val="0"/>
                                                                                      <w:marBottom w:val="60"/>
                                                                                      <w:divBdr>
                                                                                        <w:top w:val="none" w:sz="0" w:space="0" w:color="auto"/>
                                                                                        <w:left w:val="none" w:sz="0" w:space="0" w:color="auto"/>
                                                                                        <w:bottom w:val="none" w:sz="0" w:space="0" w:color="auto"/>
                                                                                        <w:right w:val="none" w:sz="0" w:space="0" w:color="auto"/>
                                                                                      </w:divBdr>
                                                                                    </w:div>
                                                                                    <w:div w:id="581917219">
                                                                                      <w:marLeft w:val="0"/>
                                                                                      <w:marRight w:val="0"/>
                                                                                      <w:marTop w:val="0"/>
                                                                                      <w:marBottom w:val="60"/>
                                                                                      <w:divBdr>
                                                                                        <w:top w:val="none" w:sz="0" w:space="0" w:color="auto"/>
                                                                                        <w:left w:val="none" w:sz="0" w:space="0" w:color="auto"/>
                                                                                        <w:bottom w:val="none" w:sz="0" w:space="0" w:color="auto"/>
                                                                                        <w:right w:val="none" w:sz="0" w:space="0" w:color="auto"/>
                                                                                      </w:divBdr>
                                                                                    </w:div>
                                                                                    <w:div w:id="101413931">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6913327">
      <w:bodyDiv w:val="1"/>
      <w:marLeft w:val="0"/>
      <w:marRight w:val="0"/>
      <w:marTop w:val="0"/>
      <w:marBottom w:val="0"/>
      <w:divBdr>
        <w:top w:val="none" w:sz="0" w:space="0" w:color="auto"/>
        <w:left w:val="none" w:sz="0" w:space="0" w:color="auto"/>
        <w:bottom w:val="none" w:sz="0" w:space="0" w:color="auto"/>
        <w:right w:val="none" w:sz="0" w:space="0" w:color="auto"/>
      </w:divBdr>
    </w:div>
    <w:div w:id="1331525521">
      <w:bodyDiv w:val="1"/>
      <w:marLeft w:val="0"/>
      <w:marRight w:val="0"/>
      <w:marTop w:val="0"/>
      <w:marBottom w:val="0"/>
      <w:divBdr>
        <w:top w:val="none" w:sz="0" w:space="0" w:color="auto"/>
        <w:left w:val="none" w:sz="0" w:space="0" w:color="auto"/>
        <w:bottom w:val="none" w:sz="0" w:space="0" w:color="auto"/>
        <w:right w:val="none" w:sz="0" w:space="0" w:color="auto"/>
      </w:divBdr>
    </w:div>
    <w:div w:id="1437016468">
      <w:bodyDiv w:val="1"/>
      <w:marLeft w:val="0"/>
      <w:marRight w:val="0"/>
      <w:marTop w:val="0"/>
      <w:marBottom w:val="0"/>
      <w:divBdr>
        <w:top w:val="none" w:sz="0" w:space="0" w:color="auto"/>
        <w:left w:val="none" w:sz="0" w:space="0" w:color="auto"/>
        <w:bottom w:val="none" w:sz="0" w:space="0" w:color="auto"/>
        <w:right w:val="none" w:sz="0" w:space="0" w:color="auto"/>
      </w:divBdr>
    </w:div>
    <w:div w:id="1512139171">
      <w:bodyDiv w:val="1"/>
      <w:marLeft w:val="0"/>
      <w:marRight w:val="0"/>
      <w:marTop w:val="0"/>
      <w:marBottom w:val="0"/>
      <w:divBdr>
        <w:top w:val="none" w:sz="0" w:space="0" w:color="auto"/>
        <w:left w:val="none" w:sz="0" w:space="0" w:color="auto"/>
        <w:bottom w:val="none" w:sz="0" w:space="0" w:color="auto"/>
        <w:right w:val="none" w:sz="0" w:space="0" w:color="auto"/>
      </w:divBdr>
    </w:div>
    <w:div w:id="1598903180">
      <w:bodyDiv w:val="1"/>
      <w:marLeft w:val="0"/>
      <w:marRight w:val="0"/>
      <w:marTop w:val="0"/>
      <w:marBottom w:val="0"/>
      <w:divBdr>
        <w:top w:val="none" w:sz="0" w:space="0" w:color="auto"/>
        <w:left w:val="none" w:sz="0" w:space="0" w:color="auto"/>
        <w:bottom w:val="none" w:sz="0" w:space="0" w:color="auto"/>
        <w:right w:val="none" w:sz="0" w:space="0" w:color="auto"/>
      </w:divBdr>
    </w:div>
    <w:div w:id="1612318189">
      <w:bodyDiv w:val="1"/>
      <w:marLeft w:val="0"/>
      <w:marRight w:val="0"/>
      <w:marTop w:val="0"/>
      <w:marBottom w:val="0"/>
      <w:divBdr>
        <w:top w:val="none" w:sz="0" w:space="0" w:color="auto"/>
        <w:left w:val="none" w:sz="0" w:space="0" w:color="auto"/>
        <w:bottom w:val="none" w:sz="0" w:space="0" w:color="auto"/>
        <w:right w:val="none" w:sz="0" w:space="0" w:color="auto"/>
      </w:divBdr>
    </w:div>
    <w:div w:id="1646426927">
      <w:bodyDiv w:val="1"/>
      <w:marLeft w:val="0"/>
      <w:marRight w:val="0"/>
      <w:marTop w:val="0"/>
      <w:marBottom w:val="0"/>
      <w:divBdr>
        <w:top w:val="none" w:sz="0" w:space="0" w:color="auto"/>
        <w:left w:val="none" w:sz="0" w:space="0" w:color="auto"/>
        <w:bottom w:val="none" w:sz="0" w:space="0" w:color="auto"/>
        <w:right w:val="none" w:sz="0" w:space="0" w:color="auto"/>
      </w:divBdr>
    </w:div>
    <w:div w:id="1708674549">
      <w:bodyDiv w:val="1"/>
      <w:marLeft w:val="0"/>
      <w:marRight w:val="0"/>
      <w:marTop w:val="0"/>
      <w:marBottom w:val="0"/>
      <w:divBdr>
        <w:top w:val="none" w:sz="0" w:space="0" w:color="auto"/>
        <w:left w:val="none" w:sz="0" w:space="0" w:color="auto"/>
        <w:bottom w:val="none" w:sz="0" w:space="0" w:color="auto"/>
        <w:right w:val="none" w:sz="0" w:space="0" w:color="auto"/>
      </w:divBdr>
    </w:div>
    <w:div w:id="1739553900">
      <w:bodyDiv w:val="1"/>
      <w:marLeft w:val="0"/>
      <w:marRight w:val="0"/>
      <w:marTop w:val="0"/>
      <w:marBottom w:val="0"/>
      <w:divBdr>
        <w:top w:val="none" w:sz="0" w:space="0" w:color="auto"/>
        <w:left w:val="none" w:sz="0" w:space="0" w:color="auto"/>
        <w:bottom w:val="none" w:sz="0" w:space="0" w:color="auto"/>
        <w:right w:val="none" w:sz="0" w:space="0" w:color="auto"/>
      </w:divBdr>
    </w:div>
    <w:div w:id="1756894766">
      <w:bodyDiv w:val="1"/>
      <w:marLeft w:val="0"/>
      <w:marRight w:val="0"/>
      <w:marTop w:val="0"/>
      <w:marBottom w:val="0"/>
      <w:divBdr>
        <w:top w:val="none" w:sz="0" w:space="0" w:color="auto"/>
        <w:left w:val="none" w:sz="0" w:space="0" w:color="auto"/>
        <w:bottom w:val="none" w:sz="0" w:space="0" w:color="auto"/>
        <w:right w:val="none" w:sz="0" w:space="0" w:color="auto"/>
      </w:divBdr>
    </w:div>
    <w:div w:id="1851095565">
      <w:bodyDiv w:val="1"/>
      <w:marLeft w:val="0"/>
      <w:marRight w:val="0"/>
      <w:marTop w:val="0"/>
      <w:marBottom w:val="0"/>
      <w:divBdr>
        <w:top w:val="none" w:sz="0" w:space="0" w:color="auto"/>
        <w:left w:val="none" w:sz="0" w:space="0" w:color="auto"/>
        <w:bottom w:val="none" w:sz="0" w:space="0" w:color="auto"/>
        <w:right w:val="none" w:sz="0" w:space="0" w:color="auto"/>
      </w:divBdr>
      <w:divsChild>
        <w:div w:id="1522664898">
          <w:marLeft w:val="0"/>
          <w:marRight w:val="0"/>
          <w:marTop w:val="0"/>
          <w:marBottom w:val="0"/>
          <w:divBdr>
            <w:top w:val="none" w:sz="0" w:space="0" w:color="auto"/>
            <w:left w:val="none" w:sz="0" w:space="0" w:color="auto"/>
            <w:bottom w:val="none" w:sz="0" w:space="0" w:color="auto"/>
            <w:right w:val="none" w:sz="0" w:space="0" w:color="auto"/>
          </w:divBdr>
          <w:divsChild>
            <w:div w:id="2108308186">
              <w:marLeft w:val="0"/>
              <w:marRight w:val="0"/>
              <w:marTop w:val="0"/>
              <w:marBottom w:val="0"/>
              <w:divBdr>
                <w:top w:val="none" w:sz="0" w:space="0" w:color="auto"/>
                <w:left w:val="none" w:sz="0" w:space="0" w:color="auto"/>
                <w:bottom w:val="none" w:sz="0" w:space="0" w:color="auto"/>
                <w:right w:val="none" w:sz="0" w:space="0" w:color="auto"/>
              </w:divBdr>
              <w:divsChild>
                <w:div w:id="2010867435">
                  <w:marLeft w:val="0"/>
                  <w:marRight w:val="0"/>
                  <w:marTop w:val="0"/>
                  <w:marBottom w:val="0"/>
                  <w:divBdr>
                    <w:top w:val="none" w:sz="0" w:space="0" w:color="auto"/>
                    <w:left w:val="none" w:sz="0" w:space="0" w:color="auto"/>
                    <w:bottom w:val="none" w:sz="0" w:space="0" w:color="auto"/>
                    <w:right w:val="none" w:sz="0" w:space="0" w:color="auto"/>
                  </w:divBdr>
                  <w:divsChild>
                    <w:div w:id="1957327363">
                      <w:marLeft w:val="0"/>
                      <w:marRight w:val="0"/>
                      <w:marTop w:val="0"/>
                      <w:marBottom w:val="0"/>
                      <w:divBdr>
                        <w:top w:val="none" w:sz="0" w:space="0" w:color="auto"/>
                        <w:left w:val="none" w:sz="0" w:space="0" w:color="auto"/>
                        <w:bottom w:val="none" w:sz="0" w:space="0" w:color="auto"/>
                        <w:right w:val="none" w:sz="0" w:space="0" w:color="auto"/>
                      </w:divBdr>
                      <w:divsChild>
                        <w:div w:id="1081298388">
                          <w:marLeft w:val="0"/>
                          <w:marRight w:val="0"/>
                          <w:marTop w:val="0"/>
                          <w:marBottom w:val="0"/>
                          <w:divBdr>
                            <w:top w:val="none" w:sz="0" w:space="0" w:color="auto"/>
                            <w:left w:val="none" w:sz="0" w:space="0" w:color="auto"/>
                            <w:bottom w:val="none" w:sz="0" w:space="0" w:color="auto"/>
                            <w:right w:val="none" w:sz="0" w:space="0" w:color="auto"/>
                          </w:divBdr>
                          <w:divsChild>
                            <w:div w:id="600066934">
                              <w:marLeft w:val="0"/>
                              <w:marRight w:val="0"/>
                              <w:marTop w:val="480"/>
                              <w:marBottom w:val="240"/>
                              <w:divBdr>
                                <w:top w:val="none" w:sz="0" w:space="0" w:color="auto"/>
                                <w:left w:val="none" w:sz="0" w:space="0" w:color="auto"/>
                                <w:bottom w:val="none" w:sz="0" w:space="0" w:color="auto"/>
                                <w:right w:val="none" w:sz="0" w:space="0" w:color="auto"/>
                              </w:divBdr>
                            </w:div>
                            <w:div w:id="139198736">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2393439">
      <w:bodyDiv w:val="1"/>
      <w:marLeft w:val="0"/>
      <w:marRight w:val="0"/>
      <w:marTop w:val="0"/>
      <w:marBottom w:val="0"/>
      <w:divBdr>
        <w:top w:val="none" w:sz="0" w:space="0" w:color="auto"/>
        <w:left w:val="none" w:sz="0" w:space="0" w:color="auto"/>
        <w:bottom w:val="none" w:sz="0" w:space="0" w:color="auto"/>
        <w:right w:val="none" w:sz="0" w:space="0" w:color="auto"/>
      </w:divBdr>
    </w:div>
    <w:div w:id="2000378097">
      <w:bodyDiv w:val="1"/>
      <w:marLeft w:val="45"/>
      <w:marRight w:val="45"/>
      <w:marTop w:val="90"/>
      <w:marBottom w:val="90"/>
      <w:divBdr>
        <w:top w:val="none" w:sz="0" w:space="0" w:color="auto"/>
        <w:left w:val="none" w:sz="0" w:space="0" w:color="auto"/>
        <w:bottom w:val="none" w:sz="0" w:space="0" w:color="auto"/>
        <w:right w:val="none" w:sz="0" w:space="0" w:color="auto"/>
      </w:divBdr>
      <w:divsChild>
        <w:div w:id="602416422">
          <w:marLeft w:val="0"/>
          <w:marRight w:val="0"/>
          <w:marTop w:val="480"/>
          <w:marBottom w:val="240"/>
          <w:divBdr>
            <w:top w:val="none" w:sz="0" w:space="0" w:color="auto"/>
            <w:left w:val="none" w:sz="0" w:space="0" w:color="auto"/>
            <w:bottom w:val="none" w:sz="0" w:space="0" w:color="auto"/>
            <w:right w:val="none" w:sz="0" w:space="0" w:color="auto"/>
          </w:divBdr>
        </w:div>
        <w:div w:id="1099377800">
          <w:marLeft w:val="0"/>
          <w:marRight w:val="0"/>
          <w:marTop w:val="0"/>
          <w:marBottom w:val="567"/>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zm.gov.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11</Pages>
  <Words>2769</Words>
  <Characters>18500</Characters>
  <Application>Microsoft Office Word</Application>
  <DocSecurity>0</DocSecurity>
  <Lines>840</Lines>
  <Paragraphs>327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Grozījumi MK 08.10.2013. noteikumos Nr.1083</vt:lpstr>
      <vt:lpstr>Grozījumi MK 08.10.2013. noteikumos Nr.1083</vt:lpstr>
    </vt:vector>
  </TitlesOfParts>
  <Company>Zemkopības ministrija</Company>
  <LinksUpToDate>false</LinksUpToDate>
  <CharactersWithSpaces>20942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MK 08.10.2013. noteikumos Nr.1083</dc:title>
  <dc:subject>MK noteikumu projekta anotācija</dc:subject>
  <dc:creator>Linda Gurecka</dc:creator>
  <dc:description>Linda.Gurecka@zm.gov.lv
t.67027063</dc:description>
  <cp:lastModifiedBy>Alise Apalupa</cp:lastModifiedBy>
  <cp:revision>23</cp:revision>
  <cp:lastPrinted>2010-10-15T13:18:00Z</cp:lastPrinted>
  <dcterms:created xsi:type="dcterms:W3CDTF">2015-07-24T11:37:00Z</dcterms:created>
  <dcterms:modified xsi:type="dcterms:W3CDTF">2015-08-14T06:32:00Z</dcterms:modified>
</cp:coreProperties>
</file>