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D98E" w14:textId="0E19616B" w:rsidR="00B2389A" w:rsidRPr="00B85D0E" w:rsidRDefault="00C86ED5" w:rsidP="00503935">
      <w:pPr>
        <w:ind w:left="57" w:right="57"/>
        <w:jc w:val="center"/>
        <w:rPr>
          <w:b/>
        </w:rPr>
      </w:pPr>
      <w:r>
        <w:rPr>
          <w:b/>
        </w:rPr>
        <w:t>Ministru kabineta r</w:t>
      </w:r>
      <w:r w:rsidR="008616AE">
        <w:rPr>
          <w:b/>
        </w:rPr>
        <w:t>īkojuma projekta “</w:t>
      </w:r>
      <w:r w:rsidR="00A40A31" w:rsidRPr="00B85D0E">
        <w:rPr>
          <w:b/>
        </w:rPr>
        <w:t>Par jaunās politikas iniciatīvai “Rīga – Eiropas Kultūras galvaspilsēta 2014.gadā” pie</w:t>
      </w:r>
      <w:r>
        <w:rPr>
          <w:b/>
        </w:rPr>
        <w:t xml:space="preserve">šķirtā finansējuma novirzīšanu Latvijas kā </w:t>
      </w:r>
      <w:r w:rsidR="00A40A31" w:rsidRPr="00B85D0E">
        <w:rPr>
          <w:b/>
        </w:rPr>
        <w:t>tūrisma galamērķa atpazīstamības veicināšanai</w:t>
      </w:r>
      <w:r w:rsidR="006D40F0" w:rsidRPr="00B85D0E">
        <w:rPr>
          <w:b/>
        </w:rPr>
        <w:t xml:space="preserve">” </w:t>
      </w:r>
      <w:r w:rsidR="00BF0CCA" w:rsidRPr="00B85D0E">
        <w:rPr>
          <w:b/>
        </w:rPr>
        <w:t xml:space="preserve">sākotnējās ietekmes </w:t>
      </w:r>
      <w:r w:rsidR="00B2389A" w:rsidRPr="00B85D0E">
        <w:rPr>
          <w:b/>
        </w:rPr>
        <w:t>novērtējuma ziņojums (anotācija)</w:t>
      </w:r>
    </w:p>
    <w:p w14:paraId="73430D33" w14:textId="77777777" w:rsidR="00F7296D" w:rsidRPr="00B85D0E" w:rsidRDefault="00F7296D" w:rsidP="00B2389A">
      <w:pPr>
        <w:pStyle w:val="naislab"/>
        <w:spacing w:before="0" w:after="0"/>
        <w:outlineLvl w:val="0"/>
        <w:rPr>
          <w:b/>
        </w:rPr>
      </w:pPr>
    </w:p>
    <w:tbl>
      <w:tblPr>
        <w:tblW w:w="5000" w:type="pct"/>
        <w:tblBorders>
          <w:top w:val="outset" w:sz="6" w:space="0" w:color="000000"/>
          <w:left w:val="outset" w:sz="6" w:space="0" w:color="000000"/>
          <w:bottom w:val="outset" w:sz="6" w:space="0" w:color="000000"/>
          <w:right w:val="outset" w:sz="6" w:space="0" w:color="000000"/>
        </w:tblBorders>
        <w:tblCellMar>
          <w:top w:w="113" w:type="dxa"/>
          <w:left w:w="113" w:type="dxa"/>
          <w:bottom w:w="113" w:type="dxa"/>
          <w:right w:w="113" w:type="dxa"/>
        </w:tblCellMar>
        <w:tblLook w:val="04A0" w:firstRow="1" w:lastRow="0" w:firstColumn="1" w:lastColumn="0" w:noHBand="0" w:noVBand="1"/>
      </w:tblPr>
      <w:tblGrid>
        <w:gridCol w:w="411"/>
        <w:gridCol w:w="1972"/>
        <w:gridCol w:w="6672"/>
      </w:tblGrid>
      <w:tr w:rsidR="00F7296D" w:rsidRPr="00B85D0E" w14:paraId="3547405E" w14:textId="77777777" w:rsidTr="00ED39CF">
        <w:tc>
          <w:tcPr>
            <w:tcW w:w="0" w:type="auto"/>
            <w:gridSpan w:val="3"/>
            <w:tcBorders>
              <w:top w:val="single" w:sz="6" w:space="0" w:color="auto"/>
              <w:left w:val="single" w:sz="6" w:space="0" w:color="auto"/>
              <w:bottom w:val="outset" w:sz="6" w:space="0" w:color="000000"/>
              <w:right w:val="single" w:sz="6" w:space="0" w:color="auto"/>
            </w:tcBorders>
            <w:vAlign w:val="center"/>
            <w:hideMark/>
          </w:tcPr>
          <w:p w14:paraId="6E5E5DF4" w14:textId="77777777" w:rsidR="00F7296D" w:rsidRPr="00B85D0E" w:rsidRDefault="00F7296D" w:rsidP="00ED39CF">
            <w:pPr>
              <w:jc w:val="center"/>
              <w:rPr>
                <w:b/>
                <w:bCs/>
              </w:rPr>
            </w:pPr>
            <w:r w:rsidRPr="00B85D0E">
              <w:rPr>
                <w:b/>
                <w:bCs/>
              </w:rPr>
              <w:t>I. Tiesību akta projekta izstrādes nepieciešamība</w:t>
            </w:r>
          </w:p>
        </w:tc>
      </w:tr>
      <w:tr w:rsidR="00F7296D" w:rsidRPr="00B85D0E" w14:paraId="76D95CCD" w14:textId="77777777" w:rsidTr="00ED39CF">
        <w:tc>
          <w:tcPr>
            <w:tcW w:w="227" w:type="pct"/>
            <w:tcBorders>
              <w:top w:val="outset" w:sz="6" w:space="0" w:color="000000"/>
              <w:left w:val="outset" w:sz="6" w:space="0" w:color="000000"/>
              <w:bottom w:val="outset" w:sz="6" w:space="0" w:color="000000"/>
              <w:right w:val="outset" w:sz="6" w:space="0" w:color="000000"/>
            </w:tcBorders>
            <w:hideMark/>
          </w:tcPr>
          <w:p w14:paraId="097D3131" w14:textId="77777777" w:rsidR="00F7296D" w:rsidRPr="00B85D0E" w:rsidRDefault="00F7296D" w:rsidP="00ED39CF">
            <w:r w:rsidRPr="00B85D0E">
              <w:t>1.</w:t>
            </w:r>
          </w:p>
        </w:tc>
        <w:tc>
          <w:tcPr>
            <w:tcW w:w="1089" w:type="pct"/>
            <w:tcBorders>
              <w:top w:val="outset" w:sz="6" w:space="0" w:color="000000"/>
              <w:left w:val="outset" w:sz="6" w:space="0" w:color="000000"/>
              <w:bottom w:val="outset" w:sz="6" w:space="0" w:color="000000"/>
              <w:right w:val="outset" w:sz="6" w:space="0" w:color="000000"/>
            </w:tcBorders>
            <w:hideMark/>
          </w:tcPr>
          <w:p w14:paraId="22D4CC84" w14:textId="77777777" w:rsidR="00F7296D" w:rsidRPr="00B85D0E" w:rsidRDefault="00F7296D" w:rsidP="00ED39CF">
            <w:r w:rsidRPr="00B85D0E">
              <w:t>Pamatojums</w:t>
            </w:r>
          </w:p>
        </w:tc>
        <w:tc>
          <w:tcPr>
            <w:tcW w:w="3684" w:type="pct"/>
            <w:tcBorders>
              <w:top w:val="outset" w:sz="6" w:space="0" w:color="000000"/>
              <w:left w:val="outset" w:sz="6" w:space="0" w:color="000000"/>
              <w:bottom w:val="outset" w:sz="6" w:space="0" w:color="000000"/>
              <w:right w:val="outset" w:sz="6" w:space="0" w:color="000000"/>
            </w:tcBorders>
            <w:hideMark/>
          </w:tcPr>
          <w:p w14:paraId="58B6A1C5" w14:textId="1052C5D0" w:rsidR="00BF0CCA" w:rsidRPr="00B85D0E" w:rsidRDefault="00BF0CCA" w:rsidP="006F1037">
            <w:pPr>
              <w:pStyle w:val="NormalWeb"/>
              <w:spacing w:before="0" w:beforeAutospacing="0" w:after="40" w:afterAutospacing="0"/>
              <w:jc w:val="both"/>
              <w:rPr>
                <w:rFonts w:ascii="Times New Roman" w:hAnsi="Times New Roman"/>
                <w:iCs/>
                <w:sz w:val="24"/>
                <w:szCs w:val="24"/>
                <w:u w:val="single"/>
                <w:lang w:val="lv-LV"/>
              </w:rPr>
            </w:pPr>
            <w:r w:rsidRPr="00B85D0E">
              <w:rPr>
                <w:rFonts w:ascii="Times New Roman" w:hAnsi="Times New Roman"/>
                <w:iCs/>
                <w:sz w:val="24"/>
                <w:szCs w:val="24"/>
                <w:lang w:val="lv-LV"/>
              </w:rPr>
              <w:t>Ar Ministru kabineta 2011.g</w:t>
            </w:r>
            <w:r w:rsidR="00AF05D0" w:rsidRPr="00B85D0E">
              <w:rPr>
                <w:rFonts w:ascii="Times New Roman" w:hAnsi="Times New Roman"/>
                <w:iCs/>
                <w:sz w:val="24"/>
                <w:szCs w:val="24"/>
                <w:lang w:val="lv-LV"/>
              </w:rPr>
              <w:t>ada 24.augusta rīkojumu Nr.400 “</w:t>
            </w:r>
            <w:r w:rsidRPr="00B85D0E">
              <w:rPr>
                <w:rFonts w:ascii="Times New Roman" w:hAnsi="Times New Roman"/>
                <w:iCs/>
                <w:sz w:val="24"/>
                <w:szCs w:val="24"/>
                <w:lang w:val="lv-LV"/>
              </w:rPr>
              <w:t xml:space="preserve">Par valsts </w:t>
            </w:r>
            <w:r w:rsidR="00EB056C" w:rsidRPr="00B85D0E">
              <w:rPr>
                <w:rFonts w:ascii="Times New Roman" w:hAnsi="Times New Roman"/>
                <w:iCs/>
                <w:sz w:val="24"/>
                <w:szCs w:val="24"/>
                <w:lang w:val="lv-LV"/>
              </w:rPr>
              <w:t>līdzdalības programmu projektā “</w:t>
            </w:r>
            <w:r w:rsidRPr="00B85D0E">
              <w:rPr>
                <w:rFonts w:ascii="Times New Roman" w:hAnsi="Times New Roman"/>
                <w:iCs/>
                <w:sz w:val="24"/>
                <w:szCs w:val="24"/>
                <w:lang w:val="lv-LV"/>
              </w:rPr>
              <w:t xml:space="preserve">Rīga </w:t>
            </w:r>
            <w:r w:rsidR="00AF05D0" w:rsidRPr="00B85D0E">
              <w:rPr>
                <w:rFonts w:ascii="Times New Roman" w:hAnsi="Times New Roman"/>
                <w:iCs/>
                <w:sz w:val="24"/>
                <w:szCs w:val="24"/>
                <w:lang w:val="lv-LV"/>
              </w:rPr>
              <w:t>–</w:t>
            </w:r>
            <w:r w:rsidRPr="00B85D0E">
              <w:rPr>
                <w:rFonts w:ascii="Times New Roman" w:hAnsi="Times New Roman"/>
                <w:iCs/>
                <w:sz w:val="24"/>
                <w:szCs w:val="24"/>
                <w:lang w:val="lv-LV"/>
              </w:rPr>
              <w:t xml:space="preserve"> Eiropas Kultūras galvaspilsēta 2014.gadā”” (turpmāk – Rīkojums</w:t>
            </w:r>
            <w:r w:rsidR="00C86ED5">
              <w:rPr>
                <w:rFonts w:ascii="Times New Roman" w:hAnsi="Times New Roman"/>
                <w:iCs/>
                <w:sz w:val="24"/>
                <w:szCs w:val="24"/>
                <w:lang w:val="lv-LV"/>
              </w:rPr>
              <w:t xml:space="preserve"> Nr.400</w:t>
            </w:r>
            <w:r w:rsidRPr="00B85D0E">
              <w:rPr>
                <w:rFonts w:ascii="Times New Roman" w:hAnsi="Times New Roman"/>
                <w:iCs/>
                <w:sz w:val="24"/>
                <w:szCs w:val="24"/>
                <w:lang w:val="lv-LV"/>
              </w:rPr>
              <w:t xml:space="preserve">) tika paredzēts valsts līdzfinansējums </w:t>
            </w:r>
            <w:r w:rsidR="00EB056C" w:rsidRPr="00B85D0E">
              <w:rPr>
                <w:rFonts w:ascii="Times New Roman" w:hAnsi="Times New Roman"/>
                <w:iCs/>
                <w:sz w:val="24"/>
                <w:szCs w:val="24"/>
                <w:lang w:val="lv-LV"/>
              </w:rPr>
              <w:t>konkrētiem pasākumiem projekta “</w:t>
            </w:r>
            <w:r w:rsidRPr="00B85D0E">
              <w:rPr>
                <w:rFonts w:ascii="Times New Roman" w:hAnsi="Times New Roman"/>
                <w:iCs/>
                <w:sz w:val="24"/>
                <w:szCs w:val="24"/>
                <w:lang w:val="lv-LV"/>
              </w:rPr>
              <w:t>Rīga − Eiropas ku</w:t>
            </w:r>
            <w:r w:rsidR="00C007E9" w:rsidRPr="00B85D0E">
              <w:rPr>
                <w:rFonts w:ascii="Times New Roman" w:hAnsi="Times New Roman"/>
                <w:iCs/>
                <w:sz w:val="24"/>
                <w:szCs w:val="24"/>
                <w:lang w:val="lv-LV"/>
              </w:rPr>
              <w:t>ltūras galvaspilsēta 2014.gadā”</w:t>
            </w:r>
            <w:r w:rsidRPr="00B85D0E">
              <w:rPr>
                <w:rFonts w:ascii="Times New Roman" w:hAnsi="Times New Roman"/>
                <w:iCs/>
                <w:sz w:val="24"/>
                <w:szCs w:val="24"/>
                <w:lang w:val="lv-LV"/>
              </w:rPr>
              <w:t xml:space="preserve"> ietvaros, tai skaitā līdzfinansējums starptautisko kultūras konferenču organizēšanas izdevumiem. </w:t>
            </w:r>
            <w:r w:rsidRPr="00B85D0E">
              <w:rPr>
                <w:rFonts w:ascii="Times New Roman" w:hAnsi="Times New Roman"/>
                <w:iCs/>
                <w:sz w:val="24"/>
                <w:szCs w:val="24"/>
                <w:u w:val="single"/>
                <w:lang w:val="lv-LV"/>
              </w:rPr>
              <w:t xml:space="preserve">Finansējums šim projektam tika piešķirts kā jaunajai politikas iniciatīvai likumā </w:t>
            </w:r>
            <w:r w:rsidR="00B77396" w:rsidRPr="00B85D0E">
              <w:rPr>
                <w:rFonts w:ascii="Times New Roman" w:hAnsi="Times New Roman"/>
                <w:iCs/>
                <w:sz w:val="24"/>
                <w:szCs w:val="24"/>
                <w:u w:val="single"/>
                <w:lang w:val="lv-LV"/>
              </w:rPr>
              <w:t xml:space="preserve">“Par valsts budžetu 2013.gadam” un paredzēts likumā </w:t>
            </w:r>
            <w:r w:rsidR="00BB5D14" w:rsidRPr="00B85D0E">
              <w:rPr>
                <w:rFonts w:ascii="Times New Roman" w:hAnsi="Times New Roman"/>
                <w:iCs/>
                <w:sz w:val="24"/>
                <w:szCs w:val="24"/>
                <w:u w:val="single"/>
                <w:lang w:val="lv-LV"/>
              </w:rPr>
              <w:t>“</w:t>
            </w:r>
            <w:r w:rsidRPr="00B85D0E">
              <w:rPr>
                <w:rFonts w:ascii="Times New Roman" w:hAnsi="Times New Roman"/>
                <w:iCs/>
                <w:sz w:val="24"/>
                <w:szCs w:val="24"/>
                <w:u w:val="single"/>
                <w:lang w:val="lv-LV"/>
              </w:rPr>
              <w:t>Par vidējā term</w:t>
            </w:r>
            <w:bookmarkStart w:id="0" w:name="_GoBack"/>
            <w:bookmarkEnd w:id="0"/>
            <w:r w:rsidRPr="00B85D0E">
              <w:rPr>
                <w:rFonts w:ascii="Times New Roman" w:hAnsi="Times New Roman"/>
                <w:iCs/>
                <w:sz w:val="24"/>
                <w:szCs w:val="24"/>
                <w:u w:val="single"/>
                <w:lang w:val="lv-LV"/>
              </w:rPr>
              <w:t xml:space="preserve">iņa budžeta ietvaru 2013.,2014.un 2015.gadam”. </w:t>
            </w:r>
          </w:p>
          <w:p w14:paraId="7168D6C8" w14:textId="527B6DB7" w:rsidR="00B2389A" w:rsidRPr="00B85D0E" w:rsidRDefault="00BF0CCA" w:rsidP="006F1037">
            <w:pPr>
              <w:pStyle w:val="NormalWeb"/>
              <w:spacing w:before="0" w:beforeAutospacing="0" w:after="40" w:afterAutospacing="0"/>
              <w:jc w:val="both"/>
              <w:rPr>
                <w:rFonts w:ascii="Times New Roman" w:hAnsi="Times New Roman"/>
                <w:iCs/>
                <w:sz w:val="24"/>
                <w:szCs w:val="24"/>
                <w:lang w:val="lv-LV"/>
              </w:rPr>
            </w:pPr>
            <w:r w:rsidRPr="00B85D0E">
              <w:rPr>
                <w:rFonts w:ascii="Times New Roman" w:hAnsi="Times New Roman"/>
                <w:iCs/>
                <w:sz w:val="24"/>
                <w:szCs w:val="24"/>
                <w:lang w:val="lv-LV"/>
              </w:rPr>
              <w:t xml:space="preserve">Saskaņā ar Rīkojumu </w:t>
            </w:r>
            <w:r w:rsidR="00C86ED5">
              <w:rPr>
                <w:rFonts w:ascii="Times New Roman" w:hAnsi="Times New Roman"/>
                <w:iCs/>
                <w:sz w:val="24"/>
                <w:szCs w:val="24"/>
                <w:lang w:val="lv-LV"/>
              </w:rPr>
              <w:t xml:space="preserve">Nr.400 </w:t>
            </w:r>
            <w:r w:rsidRPr="00B85D0E">
              <w:rPr>
                <w:rFonts w:ascii="Times New Roman" w:hAnsi="Times New Roman"/>
                <w:iCs/>
                <w:sz w:val="24"/>
                <w:szCs w:val="24"/>
                <w:lang w:val="lv-LV"/>
              </w:rPr>
              <w:t xml:space="preserve">Ekonomikas ministrijai piešķirtais finansējums atbalsta sniegšanai starptautisku kultūras konferenču </w:t>
            </w:r>
            <w:r w:rsidR="00BB5D14" w:rsidRPr="00B85D0E">
              <w:rPr>
                <w:rFonts w:ascii="Times New Roman" w:hAnsi="Times New Roman"/>
                <w:iCs/>
                <w:sz w:val="24"/>
                <w:szCs w:val="24"/>
                <w:lang w:val="lv-LV"/>
              </w:rPr>
              <w:t>organizēšanai Latvijā projekta “</w:t>
            </w:r>
            <w:r w:rsidRPr="00B85D0E">
              <w:rPr>
                <w:rFonts w:ascii="Times New Roman" w:hAnsi="Times New Roman"/>
                <w:iCs/>
                <w:sz w:val="24"/>
                <w:szCs w:val="24"/>
                <w:lang w:val="lv-LV"/>
              </w:rPr>
              <w:t>Rīga – Eiropas Kultūras galvaspilsēta 2014.gadā” ietvaros 2015.gadam ir 73 086 EUR, kurš 2015.gadā netiek apgūts, jo nodibinājums “Rīga 2014” beidz</w:t>
            </w:r>
            <w:r w:rsidR="00C86ED5">
              <w:rPr>
                <w:rFonts w:ascii="Times New Roman" w:hAnsi="Times New Roman"/>
                <w:iCs/>
                <w:sz w:val="24"/>
                <w:szCs w:val="24"/>
                <w:lang w:val="lv-LV"/>
              </w:rPr>
              <w:t>a</w:t>
            </w:r>
            <w:r w:rsidRPr="00B85D0E">
              <w:rPr>
                <w:rFonts w:ascii="Times New Roman" w:hAnsi="Times New Roman"/>
                <w:iCs/>
                <w:sz w:val="24"/>
                <w:szCs w:val="24"/>
                <w:lang w:val="lv-LV"/>
              </w:rPr>
              <w:t xml:space="preserve"> savu pastāvēšanu 2015.gada 1.septembrī, kā arī 2015.gadā nav ticis noslēgts neviens līgums par 2015.gadam paredzētajiem budžeta līdzekļiem.</w:t>
            </w:r>
          </w:p>
          <w:p w14:paraId="5E04BD27" w14:textId="6DE6338A" w:rsidR="00F7296D" w:rsidRPr="00B85D0E" w:rsidRDefault="00B2389A" w:rsidP="006F1037">
            <w:pPr>
              <w:pStyle w:val="NormalWeb"/>
              <w:spacing w:before="0" w:beforeAutospacing="0" w:after="40" w:afterAutospacing="0"/>
              <w:jc w:val="both"/>
              <w:rPr>
                <w:rFonts w:ascii="Times New Roman" w:hAnsi="Times New Roman"/>
                <w:iCs/>
                <w:sz w:val="24"/>
                <w:szCs w:val="24"/>
                <w:lang w:val="lv-LV"/>
              </w:rPr>
            </w:pPr>
            <w:r w:rsidRPr="00B85D0E">
              <w:rPr>
                <w:rFonts w:ascii="Times New Roman" w:hAnsi="Times New Roman"/>
                <w:iCs/>
                <w:sz w:val="24"/>
                <w:szCs w:val="24"/>
                <w:lang w:val="lv-LV"/>
              </w:rPr>
              <w:t xml:space="preserve">Ar </w:t>
            </w:r>
            <w:r w:rsidR="00C86ED5" w:rsidRPr="00C86ED5">
              <w:rPr>
                <w:rFonts w:ascii="Times New Roman" w:hAnsi="Times New Roman"/>
                <w:iCs/>
                <w:sz w:val="24"/>
                <w:szCs w:val="24"/>
                <w:lang w:val="lv-LV"/>
              </w:rPr>
              <w:t xml:space="preserve">Ministru kabineta rīkojuma projekta “Par jaunās politikas iniciatīvai “Rīga – Eiropas Kultūras galvaspilsēta 2014.gadā” piešķirtā finansējuma novirzīšanu Latvijas kā tūrisma galamērķa atpazīstamības veicināšanai” (turpmāk – MK rīkojuma projekts) </w:t>
            </w:r>
            <w:r w:rsidRPr="00B85D0E">
              <w:rPr>
                <w:rFonts w:ascii="Times New Roman" w:hAnsi="Times New Roman"/>
                <w:iCs/>
                <w:sz w:val="24"/>
                <w:szCs w:val="24"/>
                <w:lang w:val="lv-LV"/>
              </w:rPr>
              <w:t xml:space="preserve"> </w:t>
            </w:r>
            <w:r w:rsidR="00BF0CCA" w:rsidRPr="00B85D0E">
              <w:rPr>
                <w:rFonts w:ascii="Times New Roman" w:hAnsi="Times New Roman"/>
                <w:iCs/>
                <w:sz w:val="24"/>
                <w:szCs w:val="24"/>
                <w:lang w:val="lv-LV"/>
              </w:rPr>
              <w:t>Ekonomikas ministrija paredz neapgūto finansējumu 73 086 EUR apmērā novirzīt citam mērķim – Latvijas kā tūrisma galamērķa atpazīstamības veicināšanai. Atbilstoši likuma “Par valsts budžetu 2015.gadam” 31.panta 4.punktam, lai varētu veikt apropriācijas pārdali no jaunām politikas iniciatīvām piešķirtā finansējuma citam mērķim, nepieciešams Ministru kabineta lēmums un Saeimas Budžeta un finanšu (nodokļu) komisijas piekrišana.</w:t>
            </w:r>
          </w:p>
        </w:tc>
      </w:tr>
      <w:tr w:rsidR="00F7296D" w:rsidRPr="00B85D0E" w14:paraId="64E2A9EF" w14:textId="77777777" w:rsidTr="00ED39CF">
        <w:trPr>
          <w:trHeight w:val="596"/>
        </w:trPr>
        <w:tc>
          <w:tcPr>
            <w:tcW w:w="227" w:type="pct"/>
            <w:tcBorders>
              <w:top w:val="outset" w:sz="6" w:space="0" w:color="000000"/>
              <w:left w:val="outset" w:sz="6" w:space="0" w:color="000000"/>
              <w:bottom w:val="outset" w:sz="6" w:space="0" w:color="000000"/>
              <w:right w:val="outset" w:sz="6" w:space="0" w:color="000000"/>
            </w:tcBorders>
            <w:hideMark/>
          </w:tcPr>
          <w:p w14:paraId="0BCA2A4C" w14:textId="77777777" w:rsidR="00F7296D" w:rsidRPr="00B85D0E" w:rsidRDefault="00F7296D" w:rsidP="00ED39CF">
            <w:r w:rsidRPr="00B85D0E">
              <w:t>2.</w:t>
            </w:r>
          </w:p>
        </w:tc>
        <w:tc>
          <w:tcPr>
            <w:tcW w:w="1089" w:type="pct"/>
            <w:tcBorders>
              <w:top w:val="outset" w:sz="6" w:space="0" w:color="000000"/>
              <w:left w:val="outset" w:sz="6" w:space="0" w:color="000000"/>
              <w:bottom w:val="outset" w:sz="6" w:space="0" w:color="000000"/>
              <w:right w:val="outset" w:sz="6" w:space="0" w:color="000000"/>
            </w:tcBorders>
            <w:hideMark/>
          </w:tcPr>
          <w:p w14:paraId="65C568F8" w14:textId="77777777" w:rsidR="00CB423E" w:rsidRPr="00B85D0E" w:rsidRDefault="00F7296D" w:rsidP="00ED39CF">
            <w:r w:rsidRPr="00B85D0E">
              <w:t>Pašreizējā situācija un problēmas, kuru risināšanai tiesību akta projekts izstrādāts, tiesiskā regulējuma mērķis un būtība</w:t>
            </w:r>
          </w:p>
          <w:p w14:paraId="6158D73F" w14:textId="77777777" w:rsidR="00CB423E" w:rsidRPr="00B85D0E" w:rsidRDefault="00CB423E" w:rsidP="00CB423E"/>
          <w:p w14:paraId="28466DF8" w14:textId="77777777" w:rsidR="00CB423E" w:rsidRPr="00B85D0E" w:rsidRDefault="00CB423E" w:rsidP="00CB423E"/>
          <w:p w14:paraId="30F59404" w14:textId="77777777" w:rsidR="00CB423E" w:rsidRPr="00B85D0E" w:rsidRDefault="00CB423E" w:rsidP="00CB423E"/>
          <w:p w14:paraId="583C3DE2" w14:textId="77777777" w:rsidR="00CB423E" w:rsidRPr="00B85D0E" w:rsidRDefault="00CB423E" w:rsidP="00CB423E"/>
          <w:p w14:paraId="1A1EFE8A" w14:textId="77777777" w:rsidR="00CB423E" w:rsidRPr="00B85D0E" w:rsidRDefault="00CB423E" w:rsidP="00CB423E"/>
          <w:p w14:paraId="3217BC24" w14:textId="77777777" w:rsidR="00CB423E" w:rsidRPr="00B85D0E" w:rsidRDefault="00CB423E" w:rsidP="00CB423E"/>
          <w:p w14:paraId="539979E8" w14:textId="77777777" w:rsidR="00F7296D" w:rsidRPr="00B85D0E" w:rsidRDefault="00F7296D" w:rsidP="00CB423E">
            <w:pPr>
              <w:ind w:firstLine="720"/>
            </w:pPr>
          </w:p>
        </w:tc>
        <w:tc>
          <w:tcPr>
            <w:tcW w:w="3684" w:type="pct"/>
            <w:tcBorders>
              <w:top w:val="outset" w:sz="6" w:space="0" w:color="000000"/>
              <w:left w:val="outset" w:sz="6" w:space="0" w:color="000000"/>
              <w:bottom w:val="outset" w:sz="6" w:space="0" w:color="000000"/>
              <w:right w:val="outset" w:sz="6" w:space="0" w:color="000000"/>
            </w:tcBorders>
            <w:hideMark/>
          </w:tcPr>
          <w:p w14:paraId="41E6A866" w14:textId="0C0F3734" w:rsidR="00BF0CCA" w:rsidRPr="00B85D0E" w:rsidRDefault="00B2389A" w:rsidP="006F1037">
            <w:pPr>
              <w:spacing w:afterLines="40" w:after="96"/>
              <w:jc w:val="both"/>
              <w:rPr>
                <w:iCs/>
              </w:rPr>
            </w:pPr>
            <w:r w:rsidRPr="00B85D0E">
              <w:rPr>
                <w:iCs/>
              </w:rPr>
              <w:lastRenderedPageBreak/>
              <w:t>Atbilstoši Rīkojuma</w:t>
            </w:r>
            <w:r w:rsidR="00723C5A">
              <w:rPr>
                <w:iCs/>
              </w:rPr>
              <w:t xml:space="preserve"> Nr.400 pielikumam Nr.2 </w:t>
            </w:r>
            <w:r w:rsidRPr="00B85D0E">
              <w:rPr>
                <w:iCs/>
              </w:rPr>
              <w:t>Ekonomikas ministrija tika noteikta kā atbildīgā iestāde par valsts līdzfinansējuma piešķiršanu, uzraudzību un kontroli starptautisko kultūras konferenču atbalsta programmas īstenošanai.</w:t>
            </w:r>
            <w:r w:rsidR="00EB056C" w:rsidRPr="00B85D0E">
              <w:rPr>
                <w:iCs/>
              </w:rPr>
              <w:t xml:space="preserve"> Ņemot vērā to, ka projekta “</w:t>
            </w:r>
            <w:r w:rsidR="00BF0CCA" w:rsidRPr="00B85D0E">
              <w:rPr>
                <w:iCs/>
              </w:rPr>
              <w:t xml:space="preserve">Rīga – Eiropas Kultūras galvaspilsēta 2014.gadā” ietvaros netiek </w:t>
            </w:r>
            <w:r w:rsidR="00EB056C" w:rsidRPr="00B85D0E">
              <w:rPr>
                <w:iCs/>
              </w:rPr>
              <w:t>apgūts 2015.gada finansējums 73 </w:t>
            </w:r>
            <w:r w:rsidR="00BF0CCA" w:rsidRPr="00B85D0E">
              <w:rPr>
                <w:iCs/>
              </w:rPr>
              <w:t>086 EUR apmērā, Ekonomikas ministrija ierosina Ekonomikas ministrijas budžeta programmas 30.00.00 “Tūrisma politikas ieviešana” ietvaros pārdalīt valsts līdzdalības programmas projekta “Rīga – Eiropas Kultūras galvaspi</w:t>
            </w:r>
            <w:r w:rsidR="00EB056C" w:rsidRPr="00B85D0E">
              <w:rPr>
                <w:iCs/>
              </w:rPr>
              <w:t>lsēta 2014.gadā” finansējumu 73 </w:t>
            </w:r>
            <w:r w:rsidR="00BF0CCA" w:rsidRPr="00B85D0E">
              <w:rPr>
                <w:iCs/>
              </w:rPr>
              <w:t xml:space="preserve">086 EUR apmērā </w:t>
            </w:r>
            <w:r w:rsidR="00AF05D0" w:rsidRPr="00B85D0E">
              <w:rPr>
                <w:iCs/>
              </w:rPr>
              <w:t xml:space="preserve">pasākumiem </w:t>
            </w:r>
            <w:r w:rsidR="00BF0CCA" w:rsidRPr="00B85D0E">
              <w:rPr>
                <w:iCs/>
              </w:rPr>
              <w:t>Latvijas kā tūrisma galamērķa atpazīstamības veicināšanai.</w:t>
            </w:r>
            <w:r w:rsidR="001B5EE8" w:rsidRPr="00B85D0E">
              <w:rPr>
                <w:iCs/>
              </w:rPr>
              <w:t xml:space="preserve"> </w:t>
            </w:r>
          </w:p>
          <w:p w14:paraId="48D73934" w14:textId="77777777" w:rsidR="009F2FB7" w:rsidRPr="00B85D0E" w:rsidRDefault="009F2FB7" w:rsidP="006F1037">
            <w:pPr>
              <w:pStyle w:val="naiskr"/>
              <w:spacing w:before="0" w:afterLines="40" w:after="96"/>
              <w:jc w:val="both"/>
              <w:rPr>
                <w:b/>
                <w:iCs/>
              </w:rPr>
            </w:pPr>
            <w:r w:rsidRPr="00B85D0E">
              <w:rPr>
                <w:b/>
                <w:iCs/>
              </w:rPr>
              <w:lastRenderedPageBreak/>
              <w:t xml:space="preserve">1. </w:t>
            </w:r>
            <w:r w:rsidR="0095079C" w:rsidRPr="00B85D0E">
              <w:rPr>
                <w:b/>
                <w:iCs/>
              </w:rPr>
              <w:t>Dalības</w:t>
            </w:r>
            <w:r w:rsidR="005657F2" w:rsidRPr="00B85D0E">
              <w:rPr>
                <w:b/>
                <w:iCs/>
              </w:rPr>
              <w:t xml:space="preserve"> maksa</w:t>
            </w:r>
            <w:r w:rsidRPr="00B85D0E">
              <w:rPr>
                <w:b/>
                <w:iCs/>
              </w:rPr>
              <w:t xml:space="preserve"> </w:t>
            </w:r>
            <w:r w:rsidR="0095079C" w:rsidRPr="00B85D0E">
              <w:rPr>
                <w:b/>
                <w:iCs/>
              </w:rPr>
              <w:t>un</w:t>
            </w:r>
            <w:r w:rsidRPr="00B85D0E">
              <w:rPr>
                <w:b/>
                <w:iCs/>
              </w:rPr>
              <w:t xml:space="preserve"> reklāmas laukumu </w:t>
            </w:r>
            <w:r w:rsidR="0095079C" w:rsidRPr="00B85D0E">
              <w:rPr>
                <w:b/>
                <w:iCs/>
              </w:rPr>
              <w:t xml:space="preserve">pirkums </w:t>
            </w:r>
            <w:r w:rsidRPr="00B85D0E">
              <w:rPr>
                <w:b/>
                <w:iCs/>
              </w:rPr>
              <w:t>Latvijas nacionālo stendu izvietošanai starptautiskās tūrisma izstādēs</w:t>
            </w:r>
          </w:p>
          <w:p w14:paraId="03BA6C2A" w14:textId="77777777" w:rsidR="005657F2" w:rsidRPr="00B85D0E" w:rsidRDefault="00BF0CCA" w:rsidP="006F1037">
            <w:pPr>
              <w:pStyle w:val="naiskr"/>
              <w:spacing w:before="0" w:afterLines="40" w:after="96"/>
              <w:jc w:val="both"/>
              <w:rPr>
                <w:iCs/>
              </w:rPr>
            </w:pPr>
            <w:r w:rsidRPr="00B85D0E">
              <w:rPr>
                <w:iCs/>
              </w:rPr>
              <w:t xml:space="preserve">Kā viens no efektīviem Latvijas kā tūrisma galamērķa atpazīstamības veicināšanas pasākumiem ir Latvijas pārstāvēšana starptautiskās tūrisma izstādēs, prezentējot Latviju ar nacionālo stendu. 2011.-2015.gadā Tūrisma attīstības valsts aģentūra (turpmāk – TAVA) ar nacionālo stendu piedalījās starptautiskajās tūrisma izstādēs ERAF projekta ietvaros. 2011.-2014.gadā stendu dalībnieku skaits sasniedza 450 dalībniekus, pavisam tika organizēti 42 stendu apmeklētāju piesaistes pasākumi, tika nodibināti 13,5 tūkstoši biznesa kontakti un noslēgti 463 līgumi. Tūrisma nozares uzņēmumi augstu novērtē iespēju popularizēt savus tūrisma produktus tūrisma izstādēs un tiem ir liela interese par dalību izstādēs arī 2016.gadā. </w:t>
            </w:r>
          </w:p>
          <w:p w14:paraId="21D44CCB" w14:textId="7EC4CF18" w:rsidR="00AD435C" w:rsidRPr="00B85D0E" w:rsidRDefault="00BF0CCA" w:rsidP="006F1037">
            <w:pPr>
              <w:pStyle w:val="naiskr"/>
              <w:spacing w:before="0" w:afterLines="40" w:after="96"/>
              <w:jc w:val="both"/>
              <w:rPr>
                <w:iCs/>
              </w:rPr>
            </w:pPr>
            <w:r w:rsidRPr="00B85D0E">
              <w:rPr>
                <w:iCs/>
              </w:rPr>
              <w:t xml:space="preserve">Izstādes notiks 2016.gada pavasarī, bet dalības </w:t>
            </w:r>
            <w:r w:rsidR="00DB4418" w:rsidRPr="00B85D0E">
              <w:rPr>
                <w:iCs/>
              </w:rPr>
              <w:t xml:space="preserve">maksa </w:t>
            </w:r>
            <w:r w:rsidRPr="00B85D0E">
              <w:rPr>
                <w:iCs/>
              </w:rPr>
              <w:t xml:space="preserve">un stenda </w:t>
            </w:r>
            <w:r w:rsidR="005657F2" w:rsidRPr="00B85D0E">
              <w:rPr>
                <w:iCs/>
              </w:rPr>
              <w:t xml:space="preserve">laukuma </w:t>
            </w:r>
            <w:r w:rsidR="00340FE1" w:rsidRPr="00B85D0E">
              <w:rPr>
                <w:iCs/>
              </w:rPr>
              <w:t>pirkums</w:t>
            </w:r>
            <w:r w:rsidRPr="00B85D0E">
              <w:rPr>
                <w:iCs/>
              </w:rPr>
              <w:t xml:space="preserve"> jāveic </w:t>
            </w:r>
            <w:r w:rsidR="004762BC" w:rsidRPr="00B85D0E">
              <w:rPr>
                <w:iCs/>
              </w:rPr>
              <w:t xml:space="preserve">līdz </w:t>
            </w:r>
            <w:r w:rsidR="002C6794" w:rsidRPr="00B85D0E">
              <w:rPr>
                <w:iCs/>
              </w:rPr>
              <w:t xml:space="preserve">2015.gada </w:t>
            </w:r>
            <w:r w:rsidR="004762BC" w:rsidRPr="00B85D0E">
              <w:rPr>
                <w:iCs/>
              </w:rPr>
              <w:t>1.oktobrim</w:t>
            </w:r>
            <w:r w:rsidR="004F3A8E">
              <w:rPr>
                <w:iCs/>
              </w:rPr>
              <w:t>. L</w:t>
            </w:r>
            <w:r w:rsidRPr="00B85D0E">
              <w:rPr>
                <w:iCs/>
              </w:rPr>
              <w:t xml:space="preserve">ai turpinātu veiksmīgu dalību tūrisma izstādēs, Ekonomikas ministrija ar apropriācijas pārdali paredz nepieciešamo finansējumu </w:t>
            </w:r>
            <w:r w:rsidR="00340FE1" w:rsidRPr="00B85D0E">
              <w:rPr>
                <w:iCs/>
              </w:rPr>
              <w:t xml:space="preserve">starptautisko izstāžu dalības maksai un laukuma pirkumam </w:t>
            </w:r>
            <w:r w:rsidRPr="00B85D0E">
              <w:rPr>
                <w:iCs/>
              </w:rPr>
              <w:t>n</w:t>
            </w:r>
            <w:r w:rsidR="00EB056C" w:rsidRPr="00B85D0E">
              <w:rPr>
                <w:iCs/>
              </w:rPr>
              <w:t>ovirzīt 40 000 EUR no projekta “</w:t>
            </w:r>
            <w:r w:rsidRPr="00B85D0E">
              <w:rPr>
                <w:iCs/>
              </w:rPr>
              <w:t>Rīga − Eiropas kultūras galvaspilsēta 2014.gadā” neapgūtā finansējuma.</w:t>
            </w:r>
          </w:p>
          <w:p w14:paraId="6892D0CD" w14:textId="77777777" w:rsidR="009F2FB7" w:rsidRPr="00B85D0E" w:rsidRDefault="009F2FB7" w:rsidP="006F1037">
            <w:pPr>
              <w:pStyle w:val="naiskr"/>
              <w:spacing w:before="0" w:afterLines="40" w:after="96"/>
              <w:jc w:val="both"/>
              <w:rPr>
                <w:b/>
                <w:iCs/>
              </w:rPr>
            </w:pPr>
            <w:r w:rsidRPr="00B85D0E">
              <w:rPr>
                <w:b/>
                <w:iCs/>
              </w:rPr>
              <w:t xml:space="preserve">2. Reklāmas kampaņas īstenošana </w:t>
            </w:r>
            <w:r w:rsidR="00377A0A" w:rsidRPr="00B85D0E">
              <w:rPr>
                <w:b/>
                <w:iCs/>
              </w:rPr>
              <w:t xml:space="preserve">kamaniņu sporta pasākumu laikā </w:t>
            </w:r>
            <w:r w:rsidRPr="00B85D0E">
              <w:rPr>
                <w:b/>
                <w:iCs/>
              </w:rPr>
              <w:t>Latvijā</w:t>
            </w:r>
          </w:p>
          <w:p w14:paraId="63612622" w14:textId="0AC6E863" w:rsidR="00CF2B90" w:rsidRPr="00B85D0E" w:rsidRDefault="00BF0CCA" w:rsidP="006F1037">
            <w:pPr>
              <w:pStyle w:val="naiskr"/>
              <w:spacing w:before="0" w:afterLines="40" w:after="96"/>
              <w:jc w:val="both"/>
              <w:rPr>
                <w:iCs/>
              </w:rPr>
            </w:pPr>
            <w:r w:rsidRPr="00B85D0E">
              <w:rPr>
                <w:iCs/>
              </w:rPr>
              <w:t xml:space="preserve">Kā otru pasākumu mērķa īstenošanai Ekonomikas ministrija plāno atbalstīt reklāmas kampaņas īstenošanu kamaniņu sporta </w:t>
            </w:r>
            <w:r w:rsidR="00CF2B90" w:rsidRPr="00B85D0E">
              <w:rPr>
                <w:iCs/>
              </w:rPr>
              <w:t xml:space="preserve">pasākumu laikā 2015./2016.gadā. </w:t>
            </w:r>
            <w:r w:rsidR="009F2FB7" w:rsidRPr="00B85D0E">
              <w:rPr>
                <w:iCs/>
              </w:rPr>
              <w:t>Izvērt</w:t>
            </w:r>
            <w:r w:rsidR="00CF2B90" w:rsidRPr="00B85D0E">
              <w:rPr>
                <w:iCs/>
              </w:rPr>
              <w:t>ējot starpta</w:t>
            </w:r>
            <w:r w:rsidR="009F2FB7" w:rsidRPr="00B85D0E">
              <w:rPr>
                <w:iCs/>
              </w:rPr>
              <w:t>u</w:t>
            </w:r>
            <w:r w:rsidR="00CF2B90" w:rsidRPr="00B85D0E">
              <w:rPr>
                <w:iCs/>
              </w:rPr>
              <w:t>t</w:t>
            </w:r>
            <w:r w:rsidR="009F2FB7" w:rsidRPr="00B85D0E">
              <w:rPr>
                <w:iCs/>
              </w:rPr>
              <w:t xml:space="preserve">isko sacensību kalendāru Latvijā </w:t>
            </w:r>
            <w:r w:rsidR="00723C5A">
              <w:rPr>
                <w:iCs/>
              </w:rPr>
              <w:t>atkarībā</w:t>
            </w:r>
            <w:r w:rsidR="009F2FB7" w:rsidRPr="00B85D0E">
              <w:rPr>
                <w:iCs/>
              </w:rPr>
              <w:t xml:space="preserve"> </w:t>
            </w:r>
            <w:r w:rsidR="00CF2B90" w:rsidRPr="00B85D0E">
              <w:rPr>
                <w:iCs/>
              </w:rPr>
              <w:t>no</w:t>
            </w:r>
            <w:r w:rsidR="009F2FB7" w:rsidRPr="00B85D0E">
              <w:rPr>
                <w:iCs/>
              </w:rPr>
              <w:t xml:space="preserve"> Latvijas tūrisma prioritātēm </w:t>
            </w:r>
            <w:r w:rsidR="00CF2B90" w:rsidRPr="00B85D0E">
              <w:rPr>
                <w:iCs/>
              </w:rPr>
              <w:t xml:space="preserve">(mērķa </w:t>
            </w:r>
            <w:r w:rsidR="009F2FB7" w:rsidRPr="00B85D0E">
              <w:rPr>
                <w:iCs/>
              </w:rPr>
              <w:t xml:space="preserve">tirgus un </w:t>
            </w:r>
            <w:r w:rsidR="00CF2B90" w:rsidRPr="00B85D0E">
              <w:rPr>
                <w:iCs/>
              </w:rPr>
              <w:t>sasnied</w:t>
            </w:r>
            <w:r w:rsidR="00430937" w:rsidRPr="00B85D0E">
              <w:rPr>
                <w:iCs/>
              </w:rPr>
              <w:t>zamā auditorija)</w:t>
            </w:r>
            <w:r w:rsidR="00723C5A">
              <w:rPr>
                <w:iCs/>
              </w:rPr>
              <w:t>,</w:t>
            </w:r>
            <w:r w:rsidR="00430937" w:rsidRPr="00B85D0E">
              <w:rPr>
                <w:iCs/>
              </w:rPr>
              <w:t xml:space="preserve"> TAVA ir izvērtē</w:t>
            </w:r>
            <w:r w:rsidR="00CF2B90" w:rsidRPr="00B85D0E">
              <w:rPr>
                <w:iCs/>
              </w:rPr>
              <w:t xml:space="preserve">jusi </w:t>
            </w:r>
            <w:r w:rsidR="00723C5A">
              <w:rPr>
                <w:iCs/>
              </w:rPr>
              <w:t>biedrības “</w:t>
            </w:r>
            <w:r w:rsidR="00CF2B90" w:rsidRPr="00B85D0E">
              <w:rPr>
                <w:iCs/>
              </w:rPr>
              <w:t>Latv</w:t>
            </w:r>
            <w:r w:rsidR="00723C5A">
              <w:rPr>
                <w:iCs/>
              </w:rPr>
              <w:t>ijas Kamaniņu Sporta federācija”</w:t>
            </w:r>
            <w:r w:rsidR="00CF2B90" w:rsidRPr="00B85D0E">
              <w:rPr>
                <w:iCs/>
              </w:rPr>
              <w:t xml:space="preserve"> </w:t>
            </w:r>
            <w:r w:rsidR="00B5147E" w:rsidRPr="00B85D0E">
              <w:rPr>
                <w:iCs/>
              </w:rPr>
              <w:t>(turpmāk – LKSF)</w:t>
            </w:r>
            <w:r w:rsidR="005C584C">
              <w:rPr>
                <w:iCs/>
              </w:rPr>
              <w:t xml:space="preserve"> </w:t>
            </w:r>
            <w:r w:rsidRPr="00B85D0E">
              <w:rPr>
                <w:iCs/>
              </w:rPr>
              <w:t xml:space="preserve">priekšlikumu turpināt līdzšinējo sadarbību </w:t>
            </w:r>
            <w:r w:rsidR="00CF2B90" w:rsidRPr="00B85D0E">
              <w:rPr>
                <w:iCs/>
              </w:rPr>
              <w:t xml:space="preserve">un </w:t>
            </w:r>
            <w:r w:rsidRPr="00B85D0E">
              <w:rPr>
                <w:iCs/>
              </w:rPr>
              <w:t xml:space="preserve">īstenot Latvijas tūrisma reklāmas aktivitātes starptautisko </w:t>
            </w:r>
            <w:r w:rsidR="00CF2B90" w:rsidRPr="00B85D0E">
              <w:rPr>
                <w:iCs/>
              </w:rPr>
              <w:t xml:space="preserve">kamaniņu sporta pasākumu laikā </w:t>
            </w:r>
            <w:r w:rsidR="00430937" w:rsidRPr="00B85D0E">
              <w:rPr>
                <w:iCs/>
              </w:rPr>
              <w:t xml:space="preserve">un atzinusi </w:t>
            </w:r>
            <w:r w:rsidR="00723C5A">
              <w:rPr>
                <w:iCs/>
              </w:rPr>
              <w:t xml:space="preserve">to </w:t>
            </w:r>
            <w:r w:rsidR="00CF2B90" w:rsidRPr="00B85D0E">
              <w:rPr>
                <w:iCs/>
              </w:rPr>
              <w:t>kā visatbilstošāko.</w:t>
            </w:r>
          </w:p>
          <w:p w14:paraId="2100C224" w14:textId="4972AAC4" w:rsidR="009F2FB7" w:rsidRPr="00B85D0E" w:rsidRDefault="00CF2B90" w:rsidP="006F1037">
            <w:pPr>
              <w:pStyle w:val="naiskr"/>
              <w:spacing w:before="0" w:afterLines="40" w:after="96"/>
              <w:jc w:val="both"/>
              <w:rPr>
                <w:iCs/>
              </w:rPr>
            </w:pPr>
            <w:r w:rsidRPr="00B85D0E">
              <w:rPr>
                <w:iCs/>
              </w:rPr>
              <w:t xml:space="preserve">TAVA plāno izvietot reklāmu </w:t>
            </w:r>
            <w:r w:rsidR="00B5147E" w:rsidRPr="00B85D0E">
              <w:rPr>
                <w:iCs/>
              </w:rPr>
              <w:t>LKSF</w:t>
            </w:r>
            <w:r w:rsidRPr="00B85D0E">
              <w:rPr>
                <w:iCs/>
              </w:rPr>
              <w:t xml:space="preserve"> rīkotos starptautiskos pasākumos Siguldā: Junior</w:t>
            </w:r>
            <w:r w:rsidR="008209E5" w:rsidRPr="00B85D0E">
              <w:rPr>
                <w:iCs/>
              </w:rPr>
              <w:t xml:space="preserve">u Pasaules kausa II posma laikā </w:t>
            </w:r>
            <w:r w:rsidR="00EB056C" w:rsidRPr="00B85D0E">
              <w:rPr>
                <w:iCs/>
              </w:rPr>
              <w:t>2015.gada 23.-28.</w:t>
            </w:r>
            <w:r w:rsidRPr="00B85D0E">
              <w:rPr>
                <w:iCs/>
              </w:rPr>
              <w:t xml:space="preserve">novembrī, kā arī </w:t>
            </w:r>
            <w:proofErr w:type="spellStart"/>
            <w:r w:rsidRPr="00B85D0E">
              <w:rPr>
                <w:iCs/>
              </w:rPr>
              <w:t>V</w:t>
            </w:r>
            <w:r w:rsidR="00EB056C" w:rsidRPr="00B85D0E">
              <w:rPr>
                <w:iCs/>
              </w:rPr>
              <w:t>iessmann</w:t>
            </w:r>
            <w:proofErr w:type="spellEnd"/>
            <w:r w:rsidR="00EB056C" w:rsidRPr="00B85D0E">
              <w:rPr>
                <w:iCs/>
              </w:rPr>
              <w:t xml:space="preserve"> Pasaules kausa 5.</w:t>
            </w:r>
            <w:r w:rsidR="008209E5" w:rsidRPr="00B85D0E">
              <w:rPr>
                <w:iCs/>
              </w:rPr>
              <w:t xml:space="preserve">posma laikā 2016.gada </w:t>
            </w:r>
            <w:r w:rsidRPr="00B85D0E">
              <w:rPr>
                <w:iCs/>
              </w:rPr>
              <w:t>4.-10.janvārī, lai popularizētu Latviju kā tūrisma galamērķi un veicinātu tā atpazīstamību, uzrunājot potenciālo mērķauditoriju Rietumeiropā (īpaši Vācijā) un Skandināvijā. Saskaņā ar TAVA Tūrisma mārketinga str</w:t>
            </w:r>
            <w:r w:rsidR="00EB056C" w:rsidRPr="00B85D0E">
              <w:rPr>
                <w:iCs/>
              </w:rPr>
              <w:t>atēģijas 2010.-2015.gadam 7.3.</w:t>
            </w:r>
            <w:r w:rsidRPr="00B85D0E">
              <w:rPr>
                <w:iCs/>
              </w:rPr>
              <w:t xml:space="preserve">punktu </w:t>
            </w:r>
            <w:r w:rsidR="00EB056C" w:rsidRPr="00B85D0E">
              <w:rPr>
                <w:iCs/>
              </w:rPr>
              <w:t>–</w:t>
            </w:r>
            <w:r w:rsidRPr="00B85D0E">
              <w:rPr>
                <w:iCs/>
              </w:rPr>
              <w:t xml:space="preserve"> Latvijas stratēģiskie tūrisma produkti un produkti ar augstu pievienoto vērtību, sporta pasākumi un infrastruktūra ir noteikti kā resurss tūrisma attīstībai, ko nepieciešams izmantot, piesaistot lielu sporta pasākumu, čempionātu organizatorus un izmantojot šos pasākumus Latvijas tūrisma iespēju popularizēšanai. Izmantojot iespēju, ka </w:t>
            </w:r>
            <w:r w:rsidR="00B5147E" w:rsidRPr="00B85D0E">
              <w:rPr>
                <w:iCs/>
              </w:rPr>
              <w:t>LKSF</w:t>
            </w:r>
            <w:r w:rsidRPr="00B85D0E">
              <w:rPr>
                <w:iCs/>
              </w:rPr>
              <w:t xml:space="preserve"> sadarbībā ar Starptautisko kamaniņu sporta federāciju rīko šādas starptautiskas sacensības Latvijā, Siguldā, TAVA ir iespēja izvietot </w:t>
            </w:r>
            <w:r w:rsidRPr="00B85D0E">
              <w:rPr>
                <w:iCs/>
              </w:rPr>
              <w:lastRenderedPageBreak/>
              <w:t>reklāmu sacensību norises vietās un ar šo pasākumu palīdzību popularizēt Latviju plašai skatītāju auditorijai.</w:t>
            </w:r>
          </w:p>
          <w:p w14:paraId="3524A61C" w14:textId="17C0A7FB" w:rsidR="009F2FB7" w:rsidRPr="00B85D0E" w:rsidRDefault="00EB056C" w:rsidP="006F1037">
            <w:pPr>
              <w:pStyle w:val="naiskr"/>
              <w:spacing w:before="0" w:afterLines="40" w:after="96"/>
              <w:jc w:val="both"/>
              <w:rPr>
                <w:iCs/>
              </w:rPr>
            </w:pPr>
            <w:r w:rsidRPr="00B85D0E">
              <w:rPr>
                <w:iCs/>
              </w:rPr>
              <w:t>Izvērtējot 2015.</w:t>
            </w:r>
            <w:r w:rsidR="009F2FB7" w:rsidRPr="00B85D0E">
              <w:rPr>
                <w:iCs/>
              </w:rPr>
              <w:t>gada Latvijas Sporta federāciju padomes veidoto pasākumu plānu, tika apskatītas arī citas iespējas</w:t>
            </w:r>
            <w:r w:rsidR="00723C5A">
              <w:rPr>
                <w:iCs/>
              </w:rPr>
              <w:t>,</w:t>
            </w:r>
            <w:r w:rsidR="009F2FB7" w:rsidRPr="00B85D0E">
              <w:rPr>
                <w:iCs/>
              </w:rPr>
              <w:t xml:space="preserve"> kā caur liela mēroga sporta pasākumiem veicināt Latvijas kā galamērķa atpazīstamību. Kā viena no atbilstošām iespējām tika izskatīta reklāmas izvietošana Eiropas čempionāta basketbolā 2015 (</w:t>
            </w:r>
            <w:proofErr w:type="spellStart"/>
            <w:r w:rsidR="009F2FB7" w:rsidRPr="00B85D0E">
              <w:rPr>
                <w:iCs/>
              </w:rPr>
              <w:t>EuroBasket</w:t>
            </w:r>
            <w:proofErr w:type="spellEnd"/>
            <w:r w:rsidR="009F2FB7" w:rsidRPr="00B85D0E">
              <w:rPr>
                <w:iCs/>
              </w:rPr>
              <w:t xml:space="preserve"> 2015) laikā, kas norisināsies Latvijā, Horvātijā, Vāc</w:t>
            </w:r>
            <w:r w:rsidRPr="00B85D0E">
              <w:rPr>
                <w:iCs/>
              </w:rPr>
              <w:t>ijā un Francijā 2015.gada 5.-10.</w:t>
            </w:r>
            <w:r w:rsidR="009F2FB7" w:rsidRPr="00B85D0E">
              <w:rPr>
                <w:iCs/>
              </w:rPr>
              <w:t>septembr</w:t>
            </w:r>
            <w:r w:rsidRPr="00B85D0E">
              <w:rPr>
                <w:iCs/>
              </w:rPr>
              <w:t>ī</w:t>
            </w:r>
            <w:r w:rsidR="009F2FB7" w:rsidRPr="00B85D0E">
              <w:rPr>
                <w:iCs/>
              </w:rPr>
              <w:t>. Latvijā norisināsies spēles starp sekojošu valstu komandām – Latvija, Lietuva, Igaunija, Čehija, Ukraina, Beļģija. Oficiālie trans</w:t>
            </w:r>
            <w:r w:rsidR="006A45D9" w:rsidRPr="00B85D0E">
              <w:rPr>
                <w:iCs/>
              </w:rPr>
              <w:t>lācijas pārstāvji būs</w:t>
            </w:r>
            <w:r w:rsidR="009F2FB7" w:rsidRPr="00B85D0E">
              <w:rPr>
                <w:iCs/>
              </w:rPr>
              <w:t xml:space="preserve"> MTG (VIASAT SPORT, LNT, TV3). Ņemot vērā Latvijā spēlējošo valstu komandas un valstis, kurās spēles tiks translētas TV, arī potenciālā ieinteresētā auditorija būs no šīm valstīm. Tā kā minētās valstis (izņemot Lietuvu un Igauniju) nav augsti prioritārie vai prioritārie tirgi saskaņā ar TAVA Tūrisma attīstības </w:t>
            </w:r>
            <w:r w:rsidR="00690C61" w:rsidRPr="00B85D0E">
              <w:rPr>
                <w:iCs/>
              </w:rPr>
              <w:t>stratēģiju 2010.-2015.</w:t>
            </w:r>
            <w:r w:rsidR="009F2FB7" w:rsidRPr="00B85D0E">
              <w:rPr>
                <w:iCs/>
              </w:rPr>
              <w:t xml:space="preserve">gadam, kā arī reklāmas izmaksas šajā </w:t>
            </w:r>
            <w:r w:rsidR="002A7AAB" w:rsidRPr="00B85D0E">
              <w:rPr>
                <w:iCs/>
              </w:rPr>
              <w:t>pasākumā ir lielākas (vismaz 50 </w:t>
            </w:r>
            <w:r w:rsidR="009F2FB7" w:rsidRPr="00B85D0E">
              <w:rPr>
                <w:iCs/>
              </w:rPr>
              <w:t>000</w:t>
            </w:r>
            <w:r w:rsidR="00690C61" w:rsidRPr="00B85D0E">
              <w:rPr>
                <w:iCs/>
              </w:rPr>
              <w:t> </w:t>
            </w:r>
            <w:r w:rsidR="009F2FB7" w:rsidRPr="00B85D0E">
              <w:rPr>
                <w:iCs/>
              </w:rPr>
              <w:t>EUR)</w:t>
            </w:r>
            <w:r w:rsidR="002A7AAB" w:rsidRPr="00B85D0E">
              <w:rPr>
                <w:iCs/>
              </w:rPr>
              <w:t>,</w:t>
            </w:r>
            <w:r w:rsidR="00B5147E" w:rsidRPr="00B85D0E">
              <w:rPr>
                <w:iCs/>
              </w:rPr>
              <w:t xml:space="preserve"> salīdzinot ar k</w:t>
            </w:r>
            <w:r w:rsidR="009F2FB7" w:rsidRPr="00B85D0E">
              <w:rPr>
                <w:iCs/>
              </w:rPr>
              <w:t xml:space="preserve">amaniņu sporta sacensībām, tad tika nolemts šajā pasākumā reklāmu neizvietot. </w:t>
            </w:r>
          </w:p>
          <w:p w14:paraId="5A056181" w14:textId="7F3146D9" w:rsidR="00CF2B90" w:rsidRPr="00B85D0E" w:rsidRDefault="009F2FB7" w:rsidP="006F1037">
            <w:pPr>
              <w:pStyle w:val="naiskr"/>
              <w:spacing w:before="0" w:afterLines="40" w:after="96"/>
              <w:jc w:val="both"/>
              <w:rPr>
                <w:iCs/>
              </w:rPr>
            </w:pPr>
            <w:r w:rsidRPr="00B85D0E">
              <w:rPr>
                <w:iCs/>
              </w:rPr>
              <w:t xml:space="preserve">Izvērtējot iepriekšējās </w:t>
            </w:r>
            <w:r w:rsidR="00FA57F5" w:rsidRPr="00B85D0E">
              <w:rPr>
                <w:iCs/>
              </w:rPr>
              <w:t>LKSF</w:t>
            </w:r>
            <w:r w:rsidRPr="00B85D0E">
              <w:rPr>
                <w:iCs/>
              </w:rPr>
              <w:t xml:space="preserve"> rīkotās sacensības un to translācijas reitingus, tika pi</w:t>
            </w:r>
            <w:r w:rsidR="00B5147E" w:rsidRPr="00B85D0E">
              <w:rPr>
                <w:iCs/>
              </w:rPr>
              <w:t>eņemt</w:t>
            </w:r>
            <w:r w:rsidR="00723C5A">
              <w:rPr>
                <w:iCs/>
              </w:rPr>
              <w:t>s</w:t>
            </w:r>
            <w:r w:rsidR="00B5147E" w:rsidRPr="00B85D0E">
              <w:rPr>
                <w:iCs/>
              </w:rPr>
              <w:t xml:space="preserve"> lēmums par reklāmu tieši k</w:t>
            </w:r>
            <w:r w:rsidRPr="00B85D0E">
              <w:rPr>
                <w:iCs/>
              </w:rPr>
              <w:t xml:space="preserve">amaniņu sporta sacensībās, jo tas arī ir vienīgais sporta veids no ziemas sporta veidiem, kas var piedāvāt šāda līmeņa starptautiskās translācijas TV kanālos. </w:t>
            </w:r>
            <w:r w:rsidR="00CF2B90" w:rsidRPr="00B85D0E">
              <w:rPr>
                <w:iCs/>
              </w:rPr>
              <w:t xml:space="preserve">Reklāmas mērķauditorija ir televīziju tiešraižu skatītāji ārvalstīs. </w:t>
            </w:r>
            <w:r w:rsidR="00FA57F5" w:rsidRPr="00B85D0E">
              <w:rPr>
                <w:iCs/>
              </w:rPr>
              <w:t>Sask</w:t>
            </w:r>
            <w:r w:rsidR="00EC7D6A">
              <w:rPr>
                <w:iCs/>
              </w:rPr>
              <w:t>a</w:t>
            </w:r>
            <w:r w:rsidR="00FA57F5" w:rsidRPr="00B85D0E">
              <w:rPr>
                <w:iCs/>
              </w:rPr>
              <w:t xml:space="preserve">ņā ar LKSF apkopotajiem </w:t>
            </w:r>
            <w:r w:rsidRPr="00B85D0E">
              <w:rPr>
                <w:iCs/>
              </w:rPr>
              <w:t>dat</w:t>
            </w:r>
            <w:r w:rsidR="00FA57F5" w:rsidRPr="00B85D0E">
              <w:rPr>
                <w:iCs/>
              </w:rPr>
              <w:t>iem</w:t>
            </w:r>
            <w:r w:rsidRPr="00B85D0E">
              <w:rPr>
                <w:iCs/>
              </w:rPr>
              <w:t xml:space="preserve"> 2014./2015.gada Pasaules čempionāts Siguldā ir sasniedzis jaunus TV reitingu rekordus. Komandu stafeti ir noskatījusies 3,74 miljonu auditorija. K</w:t>
            </w:r>
            <w:r w:rsidR="00FA57F5" w:rsidRPr="00B85D0E">
              <w:rPr>
                <w:iCs/>
              </w:rPr>
              <w:t>opējā Siguldas Pasaules čempionāta</w:t>
            </w:r>
            <w:r w:rsidR="00690C61" w:rsidRPr="00B85D0E">
              <w:rPr>
                <w:iCs/>
              </w:rPr>
              <w:t xml:space="preserve"> auditorija </w:t>
            </w:r>
            <w:r w:rsidR="00FA57F5" w:rsidRPr="00B85D0E">
              <w:rPr>
                <w:iCs/>
              </w:rPr>
              <w:t xml:space="preserve">ir </w:t>
            </w:r>
            <w:r w:rsidR="00690C61" w:rsidRPr="00B85D0E">
              <w:rPr>
                <w:iCs/>
              </w:rPr>
              <w:t>51</w:t>
            </w:r>
            <w:r w:rsidR="00FA57F5" w:rsidRPr="00B85D0E">
              <w:rPr>
                <w:iCs/>
              </w:rPr>
              <w:t> </w:t>
            </w:r>
            <w:r w:rsidR="00CF2B90" w:rsidRPr="00B85D0E">
              <w:rPr>
                <w:iCs/>
              </w:rPr>
              <w:t>243</w:t>
            </w:r>
            <w:r w:rsidR="00FA57F5" w:rsidRPr="00B85D0E">
              <w:rPr>
                <w:iCs/>
              </w:rPr>
              <w:t> </w:t>
            </w:r>
            <w:r w:rsidR="00251E88">
              <w:rPr>
                <w:iCs/>
              </w:rPr>
              <w:t>000 skatītāju. Izvērtējot</w:t>
            </w:r>
            <w:r w:rsidRPr="00B85D0E">
              <w:rPr>
                <w:iCs/>
              </w:rPr>
              <w:t xml:space="preserve"> visas sezonas sacensības, Sigulda ir otrajā vietā pēc TV reitingiem (pirmajā vietā ir </w:t>
            </w:r>
            <w:proofErr w:type="spellStart"/>
            <w:r w:rsidRPr="00B85D0E">
              <w:rPr>
                <w:iCs/>
              </w:rPr>
              <w:t>K</w:t>
            </w:r>
            <w:r w:rsidR="00251E88">
              <w:rPr>
                <w:iCs/>
              </w:rPr>
              <w:t>önigssee</w:t>
            </w:r>
            <w:proofErr w:type="spellEnd"/>
            <w:r w:rsidR="00251E88">
              <w:rPr>
                <w:iCs/>
              </w:rPr>
              <w:t xml:space="preserve"> Vācijā</w:t>
            </w:r>
            <w:r w:rsidRPr="00B85D0E">
              <w:rPr>
                <w:iCs/>
              </w:rPr>
              <w:t xml:space="preserve">). </w:t>
            </w:r>
          </w:p>
          <w:p w14:paraId="1B7A69D5" w14:textId="6104B813" w:rsidR="00CF2B90" w:rsidRPr="00B85D0E" w:rsidRDefault="00CF2B90" w:rsidP="006F1037">
            <w:pPr>
              <w:pStyle w:val="naiskr"/>
              <w:spacing w:before="0" w:afterLines="40" w:after="96"/>
              <w:jc w:val="both"/>
              <w:rPr>
                <w:iCs/>
              </w:rPr>
            </w:pPr>
            <w:r w:rsidRPr="00B85D0E">
              <w:rPr>
                <w:iCs/>
              </w:rPr>
              <w:t>Ņemot vērā to, ka šīs reklāmas aktivitātes tiek īstenotas uz vietas Latvijā, nav iespējams saņemt finansējumu no E</w:t>
            </w:r>
            <w:r w:rsidR="00A54CFB" w:rsidRPr="00B85D0E">
              <w:rPr>
                <w:iCs/>
              </w:rPr>
              <w:t>iropas Savienības</w:t>
            </w:r>
            <w:r w:rsidRPr="00B85D0E">
              <w:rPr>
                <w:iCs/>
              </w:rPr>
              <w:t xml:space="preserve"> fondiem. Tā kā p</w:t>
            </w:r>
            <w:r w:rsidR="00690C61" w:rsidRPr="00B85D0E">
              <w:rPr>
                <w:iCs/>
              </w:rPr>
              <w:t>lānotās sacensības notiek 2015.gada nogalē un 2016.</w:t>
            </w:r>
            <w:r w:rsidRPr="00B85D0E">
              <w:rPr>
                <w:iCs/>
              </w:rPr>
              <w:t xml:space="preserve">gada janvāra sākumā, visiem vizuālajiem un reklāmas materiāliem, kas tiks izmantoti </w:t>
            </w:r>
            <w:r w:rsidR="00340FE1" w:rsidRPr="00B85D0E">
              <w:rPr>
                <w:iCs/>
              </w:rPr>
              <w:t>sacensību laikā un translācijās</w:t>
            </w:r>
            <w:r w:rsidR="00A54CFB" w:rsidRPr="00B85D0E">
              <w:rPr>
                <w:iCs/>
              </w:rPr>
              <w:t>,</w:t>
            </w:r>
            <w:r w:rsidRPr="00B85D0E">
              <w:rPr>
                <w:iCs/>
              </w:rPr>
              <w:t xml:space="preserve"> ir jābūt sagatavotiem jau savlaicīgi</w:t>
            </w:r>
            <w:r w:rsidR="00A54CFB" w:rsidRPr="00B85D0E">
              <w:rPr>
                <w:iCs/>
              </w:rPr>
              <w:t>. T</w:t>
            </w:r>
            <w:r w:rsidRPr="00B85D0E">
              <w:rPr>
                <w:iCs/>
              </w:rPr>
              <w:t xml:space="preserve">ādēļ iepirkums jāveic </w:t>
            </w:r>
            <w:r w:rsidR="00340FE1" w:rsidRPr="00B85D0E">
              <w:rPr>
                <w:iCs/>
              </w:rPr>
              <w:t xml:space="preserve">un līgums jānoslēdz </w:t>
            </w:r>
            <w:r w:rsidRPr="00B85D0E">
              <w:rPr>
                <w:iCs/>
              </w:rPr>
              <w:t>jau 201</w:t>
            </w:r>
            <w:r w:rsidR="00CC388C" w:rsidRPr="00B85D0E">
              <w:rPr>
                <w:iCs/>
              </w:rPr>
              <w:t>5</w:t>
            </w:r>
            <w:r w:rsidRPr="00B85D0E">
              <w:rPr>
                <w:iCs/>
              </w:rPr>
              <w:t xml:space="preserve">.gada 4.ceturksnī. </w:t>
            </w:r>
            <w:r w:rsidR="00A54CFB" w:rsidRPr="00B85D0E">
              <w:rPr>
                <w:iCs/>
              </w:rPr>
              <w:t>L</w:t>
            </w:r>
            <w:r w:rsidRPr="00B85D0E">
              <w:rPr>
                <w:iCs/>
              </w:rPr>
              <w:t>ai varētu reklamēt Latvijas tūrisma iespējas 2015./2016.gada sezonā, Ekonomikas ministrija paredz nepieciešamo maksāju</w:t>
            </w:r>
            <w:r w:rsidR="00A54CFB" w:rsidRPr="00B85D0E">
              <w:rPr>
                <w:iCs/>
              </w:rPr>
              <w:t>mu reklāmas izmaksu segšanai 33 </w:t>
            </w:r>
            <w:r w:rsidRPr="00B85D0E">
              <w:rPr>
                <w:iCs/>
              </w:rPr>
              <w:t>086 E</w:t>
            </w:r>
            <w:r w:rsidR="00690C61" w:rsidRPr="00B85D0E">
              <w:rPr>
                <w:iCs/>
              </w:rPr>
              <w:t>UR apmērā novirzīt no projekta “</w:t>
            </w:r>
            <w:r w:rsidRPr="00B85D0E">
              <w:rPr>
                <w:iCs/>
              </w:rPr>
              <w:t>Rīga − Eiropas kultūras galvaspilsēta 2014.gadā” neapgūtā finansējuma.</w:t>
            </w:r>
          </w:p>
          <w:p w14:paraId="423ACD4C" w14:textId="28398742" w:rsidR="00B1096A" w:rsidRPr="00B85D0E" w:rsidRDefault="00B1096A" w:rsidP="00251E88">
            <w:pPr>
              <w:pStyle w:val="naiskr"/>
              <w:spacing w:before="0" w:afterLines="40" w:after="96"/>
              <w:jc w:val="both"/>
              <w:rPr>
                <w:iCs/>
              </w:rPr>
            </w:pPr>
            <w:r>
              <w:rPr>
                <w:iCs/>
              </w:rPr>
              <w:t>Plānotā iepirkumu metode ir s</w:t>
            </w:r>
            <w:r w:rsidRPr="009F2FB7">
              <w:rPr>
                <w:iCs/>
              </w:rPr>
              <w:t>arunu procedūra Publisko iepirkumu likuma 8.</w:t>
            </w:r>
            <w:r w:rsidRPr="005657F2">
              <w:rPr>
                <w:iCs/>
                <w:vertAlign w:val="superscript"/>
              </w:rPr>
              <w:t>2</w:t>
            </w:r>
            <w:r w:rsidRPr="009F2FB7">
              <w:rPr>
                <w:iCs/>
              </w:rPr>
              <w:t xml:space="preserve"> p</w:t>
            </w:r>
            <w:r w:rsidR="004F3A8E">
              <w:rPr>
                <w:iCs/>
              </w:rPr>
              <w:t xml:space="preserve">anta sešpadsmitās </w:t>
            </w:r>
            <w:r w:rsidR="00251E88">
              <w:rPr>
                <w:iCs/>
              </w:rPr>
              <w:t>daļas 2.punkta kārtībā.</w:t>
            </w:r>
            <w:r w:rsidRPr="009F2FB7">
              <w:rPr>
                <w:iCs/>
              </w:rPr>
              <w:t xml:space="preserve"> </w:t>
            </w:r>
            <w:r>
              <w:rPr>
                <w:iCs/>
              </w:rPr>
              <w:t xml:space="preserve">Ar </w:t>
            </w:r>
            <w:r w:rsidR="00251E88">
              <w:rPr>
                <w:iCs/>
              </w:rPr>
              <w:t>LKSF</w:t>
            </w:r>
            <w:r>
              <w:rPr>
                <w:iCs/>
              </w:rPr>
              <w:t xml:space="preserve"> tiek slēgts līgums par noteiktiem reklāmu veidiem un to izvietošanu noteiktās vietās. Iepirkumu process tiek kontrolēts atbilstoši līgumā noteiktajiem nosacījumiem. Iepirkuma procesa beigās biedrība iesniedz detalizētu atskaiti par iepirkuma procesā sasniegto mērķauditoriju.</w:t>
            </w:r>
          </w:p>
        </w:tc>
      </w:tr>
      <w:tr w:rsidR="00F7296D" w:rsidRPr="00B85D0E" w14:paraId="31C708F7" w14:textId="77777777" w:rsidTr="006E1182">
        <w:trPr>
          <w:trHeight w:val="920"/>
        </w:trPr>
        <w:tc>
          <w:tcPr>
            <w:tcW w:w="227" w:type="pct"/>
            <w:tcBorders>
              <w:top w:val="outset" w:sz="6" w:space="0" w:color="000000"/>
              <w:left w:val="outset" w:sz="6" w:space="0" w:color="000000"/>
              <w:bottom w:val="outset" w:sz="6" w:space="0" w:color="000000"/>
              <w:right w:val="outset" w:sz="6" w:space="0" w:color="000000"/>
            </w:tcBorders>
            <w:hideMark/>
          </w:tcPr>
          <w:p w14:paraId="669E210B" w14:textId="77777777" w:rsidR="00F7296D" w:rsidRPr="00B85D0E" w:rsidRDefault="00F7296D" w:rsidP="00ED39CF">
            <w:r w:rsidRPr="00B85D0E">
              <w:lastRenderedPageBreak/>
              <w:t>3.</w:t>
            </w:r>
          </w:p>
        </w:tc>
        <w:tc>
          <w:tcPr>
            <w:tcW w:w="1089" w:type="pct"/>
            <w:tcBorders>
              <w:top w:val="outset" w:sz="6" w:space="0" w:color="000000"/>
              <w:left w:val="outset" w:sz="6" w:space="0" w:color="000000"/>
              <w:bottom w:val="outset" w:sz="6" w:space="0" w:color="000000"/>
              <w:right w:val="outset" w:sz="6" w:space="0" w:color="000000"/>
            </w:tcBorders>
            <w:hideMark/>
          </w:tcPr>
          <w:p w14:paraId="5B66A06D" w14:textId="77777777" w:rsidR="00F7296D" w:rsidRPr="00B85D0E" w:rsidRDefault="00F7296D" w:rsidP="00ED39CF">
            <w:r w:rsidRPr="00B85D0E">
              <w:t>Projekta izstrādē iesaistītās institūcijas</w:t>
            </w:r>
          </w:p>
        </w:tc>
        <w:tc>
          <w:tcPr>
            <w:tcW w:w="3684" w:type="pct"/>
            <w:tcBorders>
              <w:top w:val="outset" w:sz="6" w:space="0" w:color="000000"/>
              <w:left w:val="outset" w:sz="6" w:space="0" w:color="000000"/>
              <w:bottom w:val="outset" w:sz="6" w:space="0" w:color="000000"/>
              <w:right w:val="outset" w:sz="6" w:space="0" w:color="000000"/>
            </w:tcBorders>
            <w:hideMark/>
          </w:tcPr>
          <w:p w14:paraId="0B2551FD" w14:textId="77777777" w:rsidR="00F15442" w:rsidRPr="00B85D0E" w:rsidRDefault="00F15442" w:rsidP="00B2389A">
            <w:pPr>
              <w:pStyle w:val="naiskr"/>
              <w:spacing w:before="0" w:after="0"/>
            </w:pPr>
            <w:r w:rsidRPr="00B85D0E">
              <w:t>Tūrisma attīstības valsts aģentūra</w:t>
            </w:r>
          </w:p>
        </w:tc>
      </w:tr>
      <w:tr w:rsidR="00F7296D" w:rsidRPr="00B85D0E" w14:paraId="20F1A283" w14:textId="77777777" w:rsidTr="00ED39CF">
        <w:trPr>
          <w:trHeight w:val="110"/>
        </w:trPr>
        <w:tc>
          <w:tcPr>
            <w:tcW w:w="227" w:type="pct"/>
            <w:tcBorders>
              <w:top w:val="outset" w:sz="6" w:space="0" w:color="000000"/>
              <w:left w:val="outset" w:sz="6" w:space="0" w:color="000000"/>
              <w:bottom w:val="outset" w:sz="6" w:space="0" w:color="000000"/>
              <w:right w:val="outset" w:sz="6" w:space="0" w:color="000000"/>
            </w:tcBorders>
            <w:hideMark/>
          </w:tcPr>
          <w:p w14:paraId="3BAFAC18" w14:textId="77777777" w:rsidR="00F7296D" w:rsidRPr="00B85D0E" w:rsidRDefault="00F7296D" w:rsidP="00ED39CF">
            <w:r w:rsidRPr="00B85D0E">
              <w:t>4.</w:t>
            </w:r>
          </w:p>
        </w:tc>
        <w:tc>
          <w:tcPr>
            <w:tcW w:w="1089" w:type="pct"/>
            <w:tcBorders>
              <w:top w:val="outset" w:sz="6" w:space="0" w:color="000000"/>
              <w:left w:val="outset" w:sz="6" w:space="0" w:color="000000"/>
              <w:bottom w:val="outset" w:sz="6" w:space="0" w:color="000000"/>
              <w:right w:val="outset" w:sz="6" w:space="0" w:color="000000"/>
            </w:tcBorders>
            <w:hideMark/>
          </w:tcPr>
          <w:p w14:paraId="5D69EFAE" w14:textId="77777777" w:rsidR="00F7296D" w:rsidRPr="00B85D0E" w:rsidRDefault="00F7296D" w:rsidP="00ED39CF">
            <w:r w:rsidRPr="00B85D0E">
              <w:t>Cita informācija</w:t>
            </w:r>
          </w:p>
        </w:tc>
        <w:tc>
          <w:tcPr>
            <w:tcW w:w="3684" w:type="pct"/>
            <w:tcBorders>
              <w:top w:val="outset" w:sz="6" w:space="0" w:color="000000"/>
              <w:left w:val="outset" w:sz="6" w:space="0" w:color="000000"/>
              <w:bottom w:val="outset" w:sz="6" w:space="0" w:color="000000"/>
              <w:right w:val="outset" w:sz="6" w:space="0" w:color="000000"/>
            </w:tcBorders>
            <w:hideMark/>
          </w:tcPr>
          <w:p w14:paraId="441CD3AE" w14:textId="77777777" w:rsidR="00F7296D" w:rsidRPr="00B85D0E" w:rsidRDefault="00F7296D" w:rsidP="00ED39CF">
            <w:pPr>
              <w:jc w:val="both"/>
            </w:pPr>
            <w:r w:rsidRPr="00B85D0E">
              <w:t>Nav</w:t>
            </w:r>
          </w:p>
        </w:tc>
      </w:tr>
    </w:tbl>
    <w:p w14:paraId="679838FA" w14:textId="50F1C29D" w:rsidR="00BD64FD" w:rsidRPr="00B85D0E" w:rsidRDefault="00F7296D" w:rsidP="00F7296D">
      <w:r w:rsidRPr="00B85D0E">
        <w:t> </w:t>
      </w:r>
    </w:p>
    <w:tbl>
      <w:tblPr>
        <w:tblW w:w="5000" w:type="pct"/>
        <w:tblBorders>
          <w:top w:val="outset" w:sz="6" w:space="0" w:color="000000"/>
          <w:left w:val="outset" w:sz="6" w:space="0" w:color="000000"/>
          <w:bottom w:val="outset" w:sz="6" w:space="0" w:color="000000"/>
          <w:right w:val="outset" w:sz="6" w:space="0" w:color="000000"/>
        </w:tblBorders>
        <w:tblLayout w:type="fixed"/>
        <w:tblCellMar>
          <w:top w:w="113" w:type="dxa"/>
          <w:left w:w="113" w:type="dxa"/>
          <w:bottom w:w="113" w:type="dxa"/>
          <w:right w:w="113" w:type="dxa"/>
        </w:tblCellMar>
        <w:tblLook w:val="04A0" w:firstRow="1" w:lastRow="0" w:firstColumn="1" w:lastColumn="0" w:noHBand="0" w:noVBand="1"/>
      </w:tblPr>
      <w:tblGrid>
        <w:gridCol w:w="437"/>
        <w:gridCol w:w="1980"/>
        <w:gridCol w:w="6638"/>
      </w:tblGrid>
      <w:tr w:rsidR="00F7296D" w:rsidRPr="00B85D0E" w14:paraId="77878644" w14:textId="77777777" w:rsidTr="00251E88">
        <w:tc>
          <w:tcPr>
            <w:tcW w:w="9064" w:type="dxa"/>
            <w:gridSpan w:val="3"/>
            <w:tcBorders>
              <w:top w:val="single" w:sz="6" w:space="0" w:color="auto"/>
              <w:left w:val="single" w:sz="6" w:space="0" w:color="auto"/>
              <w:bottom w:val="outset" w:sz="6" w:space="0" w:color="000000"/>
              <w:right w:val="single" w:sz="6" w:space="0" w:color="auto"/>
            </w:tcBorders>
            <w:vAlign w:val="center"/>
            <w:hideMark/>
          </w:tcPr>
          <w:p w14:paraId="55CEBF23" w14:textId="77777777" w:rsidR="00F7296D" w:rsidRPr="00B85D0E" w:rsidRDefault="00F7296D" w:rsidP="00ED39CF">
            <w:pPr>
              <w:jc w:val="center"/>
              <w:rPr>
                <w:b/>
                <w:bCs/>
              </w:rPr>
            </w:pPr>
            <w:r w:rsidRPr="00B85D0E">
              <w:rPr>
                <w:b/>
                <w:bCs/>
              </w:rPr>
              <w:t>II. Tiesību akta projekta ietekme uz sabiedrību</w:t>
            </w:r>
            <w:r w:rsidR="0014294F" w:rsidRPr="00B85D0E">
              <w:rPr>
                <w:b/>
                <w:bCs/>
              </w:rPr>
              <w:t>, tautsaimniecības attīstību un administratīvo slogu</w:t>
            </w:r>
          </w:p>
        </w:tc>
      </w:tr>
      <w:tr w:rsidR="00F7296D" w:rsidRPr="00B85D0E" w14:paraId="01754F4B" w14:textId="77777777" w:rsidTr="00251E88">
        <w:tc>
          <w:tcPr>
            <w:tcW w:w="437" w:type="dxa"/>
            <w:tcBorders>
              <w:top w:val="outset" w:sz="6" w:space="0" w:color="000000"/>
              <w:left w:val="outset" w:sz="6" w:space="0" w:color="000000"/>
              <w:bottom w:val="outset" w:sz="6" w:space="0" w:color="000000"/>
              <w:right w:val="outset" w:sz="6" w:space="0" w:color="000000"/>
            </w:tcBorders>
            <w:hideMark/>
          </w:tcPr>
          <w:p w14:paraId="2536D5C4" w14:textId="77777777" w:rsidR="00F7296D" w:rsidRPr="00B85D0E" w:rsidRDefault="00F7296D" w:rsidP="00ED39CF">
            <w:r w:rsidRPr="00B85D0E">
              <w:t>1.</w:t>
            </w:r>
          </w:p>
        </w:tc>
        <w:tc>
          <w:tcPr>
            <w:tcW w:w="1982" w:type="dxa"/>
            <w:tcBorders>
              <w:top w:val="outset" w:sz="6" w:space="0" w:color="000000"/>
              <w:left w:val="outset" w:sz="6" w:space="0" w:color="000000"/>
              <w:bottom w:val="outset" w:sz="6" w:space="0" w:color="000000"/>
              <w:right w:val="outset" w:sz="6" w:space="0" w:color="000000"/>
            </w:tcBorders>
            <w:hideMark/>
          </w:tcPr>
          <w:p w14:paraId="43B38BCE" w14:textId="77777777" w:rsidR="00F7296D" w:rsidRPr="00B85D0E" w:rsidRDefault="00F7296D" w:rsidP="00ED39CF">
            <w:r w:rsidRPr="00B85D0E">
              <w:t xml:space="preserve">Sabiedrības </w:t>
            </w:r>
            <w:proofErr w:type="spellStart"/>
            <w:r w:rsidRPr="00B85D0E">
              <w:t>mērķgrupa</w:t>
            </w:r>
            <w:proofErr w:type="spellEnd"/>
            <w:r w:rsidRPr="00B85D0E">
              <w:t>, kuras tiesiskais regulējums ietekmē vai varētu ietekmēt</w:t>
            </w:r>
          </w:p>
        </w:tc>
        <w:tc>
          <w:tcPr>
            <w:tcW w:w="6645" w:type="dxa"/>
            <w:tcBorders>
              <w:top w:val="outset" w:sz="6" w:space="0" w:color="000000"/>
              <w:left w:val="outset" w:sz="6" w:space="0" w:color="000000"/>
              <w:bottom w:val="outset" w:sz="6" w:space="0" w:color="000000"/>
              <w:right w:val="outset" w:sz="6" w:space="0" w:color="000000"/>
            </w:tcBorders>
          </w:tcPr>
          <w:p w14:paraId="5A07423D" w14:textId="77777777" w:rsidR="00B527E7" w:rsidRPr="00B85D0E" w:rsidRDefault="003B5454" w:rsidP="00107678">
            <w:pPr>
              <w:pStyle w:val="naiskr"/>
              <w:spacing w:before="0" w:after="120"/>
              <w:ind w:left="12" w:right="57"/>
              <w:jc w:val="both"/>
              <w:rPr>
                <w:iCs/>
              </w:rPr>
            </w:pPr>
            <w:r w:rsidRPr="00B85D0E">
              <w:t>Tūrisma nozares pakalpojumu sniedzēji</w:t>
            </w:r>
            <w:r w:rsidR="004B300B" w:rsidRPr="00B85D0E">
              <w:t xml:space="preserve"> (publiskais un privātais sektors)</w:t>
            </w:r>
            <w:r w:rsidRPr="00B85D0E">
              <w:t xml:space="preserve">, darba ņēmēji un darba devēji, </w:t>
            </w:r>
            <w:r w:rsidR="004B300B" w:rsidRPr="00B85D0E">
              <w:t xml:space="preserve">tūrisma galamērķi, tai skaitā vietējie iedzīvotāji un viesi. </w:t>
            </w:r>
          </w:p>
          <w:p w14:paraId="63850748" w14:textId="77777777" w:rsidR="003B5454" w:rsidRPr="00B85D0E" w:rsidRDefault="003B5454" w:rsidP="00B527E7">
            <w:pPr>
              <w:pStyle w:val="naiskr"/>
              <w:spacing w:before="0" w:after="120"/>
              <w:ind w:left="57" w:right="57"/>
              <w:jc w:val="both"/>
              <w:rPr>
                <w:iCs/>
              </w:rPr>
            </w:pPr>
          </w:p>
        </w:tc>
      </w:tr>
      <w:tr w:rsidR="00F7296D" w:rsidRPr="00B85D0E" w14:paraId="7910DDF8" w14:textId="77777777" w:rsidTr="00251E88">
        <w:trPr>
          <w:trHeight w:val="596"/>
        </w:trPr>
        <w:tc>
          <w:tcPr>
            <w:tcW w:w="437" w:type="dxa"/>
            <w:tcBorders>
              <w:top w:val="outset" w:sz="6" w:space="0" w:color="000000"/>
              <w:left w:val="outset" w:sz="6" w:space="0" w:color="000000"/>
              <w:bottom w:val="outset" w:sz="6" w:space="0" w:color="000000"/>
              <w:right w:val="outset" w:sz="6" w:space="0" w:color="000000"/>
            </w:tcBorders>
            <w:hideMark/>
          </w:tcPr>
          <w:p w14:paraId="0C6FA693" w14:textId="77777777" w:rsidR="00F7296D" w:rsidRPr="00B85D0E" w:rsidRDefault="00F7296D" w:rsidP="00ED39CF">
            <w:r w:rsidRPr="00B85D0E">
              <w:t>2.</w:t>
            </w:r>
          </w:p>
        </w:tc>
        <w:tc>
          <w:tcPr>
            <w:tcW w:w="1982" w:type="dxa"/>
            <w:tcBorders>
              <w:top w:val="outset" w:sz="6" w:space="0" w:color="000000"/>
              <w:left w:val="outset" w:sz="6" w:space="0" w:color="000000"/>
              <w:bottom w:val="outset" w:sz="6" w:space="0" w:color="000000"/>
              <w:right w:val="outset" w:sz="6" w:space="0" w:color="000000"/>
            </w:tcBorders>
            <w:hideMark/>
          </w:tcPr>
          <w:p w14:paraId="3255FCF8" w14:textId="77777777" w:rsidR="00F7296D" w:rsidRPr="00B85D0E" w:rsidRDefault="00F7296D" w:rsidP="0014294F">
            <w:r w:rsidRPr="00B85D0E">
              <w:t>Tiesiskā regulējuma ietekme uz tautsaimniecību un administratīvo slogu</w:t>
            </w:r>
          </w:p>
        </w:tc>
        <w:tc>
          <w:tcPr>
            <w:tcW w:w="6645" w:type="dxa"/>
            <w:tcBorders>
              <w:top w:val="outset" w:sz="6" w:space="0" w:color="000000"/>
              <w:left w:val="outset" w:sz="6" w:space="0" w:color="000000"/>
              <w:bottom w:val="outset" w:sz="6" w:space="0" w:color="000000"/>
              <w:right w:val="outset" w:sz="6" w:space="0" w:color="000000"/>
            </w:tcBorders>
            <w:hideMark/>
          </w:tcPr>
          <w:p w14:paraId="27D6717A" w14:textId="78EADF20" w:rsidR="00D76B7E" w:rsidRPr="00B85D0E" w:rsidRDefault="00251E88" w:rsidP="00AC0DD8">
            <w:pPr>
              <w:jc w:val="both"/>
            </w:pPr>
            <w:r>
              <w:t>MK rīkojuma p</w:t>
            </w:r>
            <w:r w:rsidR="00D76B7E" w:rsidRPr="00B85D0E">
              <w:t xml:space="preserve">rojekts radīs labvēlīgākus apstākļus Latvijas tūrisma produktu un pakalpojumu attīstībai, veicinās Latvijas kā tūristu galamērķa nostiprināšanos un konkurētspējas palielināšanos, kā arī veicinās Latvijas atpazīstamību starptautiskajā vidē. </w:t>
            </w:r>
          </w:p>
          <w:p w14:paraId="68CC1A11" w14:textId="29C094A3" w:rsidR="00F7296D" w:rsidRPr="00B85D0E" w:rsidRDefault="00251E88" w:rsidP="00AC0DD8">
            <w:pPr>
              <w:jc w:val="both"/>
            </w:pPr>
            <w:r>
              <w:t>MK rīkojuma projekta</w:t>
            </w:r>
            <w:r w:rsidR="00D76B7E" w:rsidRPr="00B85D0E">
              <w:t xml:space="preserve"> tiesiskais regulējums nemaina sabiedrības grupu un institūciju tiesības, pienākumus un </w:t>
            </w:r>
            <w:proofErr w:type="spellStart"/>
            <w:r w:rsidR="00D76B7E" w:rsidRPr="00B85D0E">
              <w:t>administrativo</w:t>
            </w:r>
            <w:proofErr w:type="spellEnd"/>
            <w:r w:rsidR="00D76B7E" w:rsidRPr="00B85D0E">
              <w:t xml:space="preserve"> slogu.</w:t>
            </w:r>
          </w:p>
        </w:tc>
      </w:tr>
      <w:tr w:rsidR="00F7296D" w:rsidRPr="00B85D0E" w14:paraId="26611375" w14:textId="77777777" w:rsidTr="00251E88">
        <w:trPr>
          <w:trHeight w:val="716"/>
        </w:trPr>
        <w:tc>
          <w:tcPr>
            <w:tcW w:w="437" w:type="dxa"/>
            <w:tcBorders>
              <w:top w:val="outset" w:sz="6" w:space="0" w:color="000000"/>
              <w:left w:val="outset" w:sz="6" w:space="0" w:color="000000"/>
              <w:bottom w:val="outset" w:sz="6" w:space="0" w:color="000000"/>
              <w:right w:val="outset" w:sz="6" w:space="0" w:color="000000"/>
            </w:tcBorders>
            <w:hideMark/>
          </w:tcPr>
          <w:p w14:paraId="172068E2" w14:textId="77777777" w:rsidR="00F7296D" w:rsidRPr="00B85D0E" w:rsidRDefault="00F7296D" w:rsidP="00ED39CF">
            <w:r w:rsidRPr="00B85D0E">
              <w:t>3.</w:t>
            </w:r>
          </w:p>
        </w:tc>
        <w:tc>
          <w:tcPr>
            <w:tcW w:w="1982" w:type="dxa"/>
            <w:tcBorders>
              <w:top w:val="outset" w:sz="6" w:space="0" w:color="000000"/>
              <w:left w:val="outset" w:sz="6" w:space="0" w:color="000000"/>
              <w:bottom w:val="outset" w:sz="6" w:space="0" w:color="000000"/>
              <w:right w:val="outset" w:sz="6" w:space="0" w:color="000000"/>
            </w:tcBorders>
            <w:hideMark/>
          </w:tcPr>
          <w:p w14:paraId="51646E42" w14:textId="77777777" w:rsidR="00F7296D" w:rsidRPr="00B85D0E" w:rsidRDefault="00F7296D" w:rsidP="00ED39CF">
            <w:r w:rsidRPr="00B85D0E">
              <w:t>Administratīvo izmaksu monetārs novērtējums</w:t>
            </w:r>
          </w:p>
        </w:tc>
        <w:tc>
          <w:tcPr>
            <w:tcW w:w="6645" w:type="dxa"/>
            <w:tcBorders>
              <w:top w:val="outset" w:sz="6" w:space="0" w:color="000000"/>
              <w:left w:val="outset" w:sz="6" w:space="0" w:color="000000"/>
              <w:bottom w:val="outset" w:sz="6" w:space="0" w:color="000000"/>
              <w:right w:val="outset" w:sz="6" w:space="0" w:color="000000"/>
            </w:tcBorders>
            <w:hideMark/>
          </w:tcPr>
          <w:p w14:paraId="71174FE6" w14:textId="756A26CA" w:rsidR="00F7296D" w:rsidRPr="00B85D0E" w:rsidRDefault="00251E88" w:rsidP="007514A9">
            <w:r>
              <w:t>MK rīkojuma p</w:t>
            </w:r>
            <w:r w:rsidRPr="00B85D0E">
              <w:t xml:space="preserve">rojekts </w:t>
            </w:r>
            <w:r>
              <w:t>šo jomu neskar.</w:t>
            </w:r>
          </w:p>
        </w:tc>
      </w:tr>
      <w:tr w:rsidR="00F7296D" w:rsidRPr="00B85D0E" w14:paraId="69BC6123" w14:textId="77777777" w:rsidTr="00251E88">
        <w:trPr>
          <w:trHeight w:val="277"/>
        </w:trPr>
        <w:tc>
          <w:tcPr>
            <w:tcW w:w="437" w:type="dxa"/>
            <w:tcBorders>
              <w:top w:val="outset" w:sz="6" w:space="0" w:color="000000"/>
              <w:left w:val="outset" w:sz="6" w:space="0" w:color="000000"/>
              <w:bottom w:val="outset" w:sz="6" w:space="0" w:color="000000"/>
              <w:right w:val="outset" w:sz="6" w:space="0" w:color="000000"/>
            </w:tcBorders>
            <w:hideMark/>
          </w:tcPr>
          <w:p w14:paraId="75342E5E" w14:textId="77777777" w:rsidR="00F7296D" w:rsidRPr="00B85D0E" w:rsidRDefault="00F7296D" w:rsidP="00ED39CF">
            <w:r w:rsidRPr="00B85D0E">
              <w:t>4.</w:t>
            </w:r>
          </w:p>
        </w:tc>
        <w:tc>
          <w:tcPr>
            <w:tcW w:w="1982" w:type="dxa"/>
            <w:tcBorders>
              <w:top w:val="outset" w:sz="6" w:space="0" w:color="000000"/>
              <w:left w:val="outset" w:sz="6" w:space="0" w:color="000000"/>
              <w:bottom w:val="outset" w:sz="6" w:space="0" w:color="000000"/>
              <w:right w:val="outset" w:sz="6" w:space="0" w:color="000000"/>
            </w:tcBorders>
            <w:hideMark/>
          </w:tcPr>
          <w:p w14:paraId="6DE3B532" w14:textId="77777777" w:rsidR="00F7296D" w:rsidRPr="00B85D0E" w:rsidRDefault="00F7296D" w:rsidP="00ED39CF">
            <w:r w:rsidRPr="00B85D0E">
              <w:t>Cita informācija</w:t>
            </w:r>
          </w:p>
        </w:tc>
        <w:tc>
          <w:tcPr>
            <w:tcW w:w="6645" w:type="dxa"/>
            <w:tcBorders>
              <w:top w:val="outset" w:sz="6" w:space="0" w:color="000000"/>
              <w:left w:val="outset" w:sz="6" w:space="0" w:color="000000"/>
              <w:bottom w:val="outset" w:sz="6" w:space="0" w:color="000000"/>
              <w:right w:val="outset" w:sz="6" w:space="0" w:color="000000"/>
            </w:tcBorders>
            <w:hideMark/>
          </w:tcPr>
          <w:p w14:paraId="53AB327A" w14:textId="77777777" w:rsidR="00F7296D" w:rsidRPr="00B85D0E" w:rsidRDefault="00F7296D" w:rsidP="00ED39CF">
            <w:r w:rsidRPr="00B85D0E">
              <w:rPr>
                <w:bCs/>
              </w:rPr>
              <w:t>Nav</w:t>
            </w:r>
          </w:p>
        </w:tc>
      </w:tr>
    </w:tbl>
    <w:p w14:paraId="1B816F74" w14:textId="77777777" w:rsidR="00BD64FD" w:rsidRPr="00B85D0E" w:rsidRDefault="00BD64F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417"/>
        <w:gridCol w:w="1276"/>
        <w:gridCol w:w="1276"/>
        <w:gridCol w:w="1269"/>
      </w:tblGrid>
      <w:tr w:rsidR="00BE66B0" w:rsidRPr="00B85D0E" w14:paraId="67416A5C" w14:textId="77777777" w:rsidTr="00251E88">
        <w:trPr>
          <w:trHeight w:val="403"/>
          <w:jc w:val="center"/>
        </w:trPr>
        <w:tc>
          <w:tcPr>
            <w:tcW w:w="9061" w:type="dxa"/>
            <w:gridSpan w:val="6"/>
            <w:vAlign w:val="center"/>
          </w:tcPr>
          <w:p w14:paraId="4F9D7940" w14:textId="77777777" w:rsidR="00BE66B0" w:rsidRPr="00B85D0E" w:rsidRDefault="00BE66B0" w:rsidP="00E92F96">
            <w:pPr>
              <w:ind w:left="57" w:right="57"/>
              <w:jc w:val="center"/>
              <w:rPr>
                <w:b/>
                <w:bCs/>
                <w:i/>
              </w:rPr>
            </w:pPr>
            <w:r w:rsidRPr="00B85D0E">
              <w:rPr>
                <w:b/>
                <w:bCs/>
              </w:rPr>
              <w:br w:type="page"/>
              <w:t>III. Tiesību akta projekta ietekme uz valsts budžetu un pašvaldību budžetiem</w:t>
            </w:r>
          </w:p>
        </w:tc>
      </w:tr>
      <w:tr w:rsidR="00BE66B0" w:rsidRPr="00B85D0E" w14:paraId="2CFBDC82" w14:textId="77777777" w:rsidTr="00B4518A">
        <w:trPr>
          <w:jc w:val="center"/>
        </w:trPr>
        <w:tc>
          <w:tcPr>
            <w:tcW w:w="2547" w:type="dxa"/>
            <w:vMerge w:val="restart"/>
            <w:vAlign w:val="center"/>
          </w:tcPr>
          <w:p w14:paraId="539A2AA8" w14:textId="77777777" w:rsidR="00BE66B0" w:rsidRPr="00B85D0E" w:rsidRDefault="00BE66B0" w:rsidP="00E92F96">
            <w:pPr>
              <w:ind w:left="57" w:right="57"/>
              <w:jc w:val="center"/>
              <w:rPr>
                <w:b/>
              </w:rPr>
            </w:pPr>
            <w:r w:rsidRPr="00B85D0E">
              <w:rPr>
                <w:b/>
              </w:rPr>
              <w:t>Rādītāji</w:t>
            </w:r>
          </w:p>
        </w:tc>
        <w:tc>
          <w:tcPr>
            <w:tcW w:w="2693" w:type="dxa"/>
            <w:gridSpan w:val="2"/>
            <w:vMerge w:val="restart"/>
            <w:vAlign w:val="center"/>
          </w:tcPr>
          <w:p w14:paraId="5C6343B3" w14:textId="77777777" w:rsidR="00BE66B0" w:rsidRPr="00B85D0E" w:rsidRDefault="00BE66B0" w:rsidP="00BE66B0">
            <w:pPr>
              <w:ind w:left="57" w:right="57"/>
              <w:jc w:val="center"/>
              <w:rPr>
                <w:b/>
              </w:rPr>
            </w:pPr>
            <w:r w:rsidRPr="00B85D0E">
              <w:rPr>
                <w:b/>
              </w:rPr>
              <w:t>2015.gads</w:t>
            </w:r>
          </w:p>
        </w:tc>
        <w:tc>
          <w:tcPr>
            <w:tcW w:w="3821" w:type="dxa"/>
            <w:gridSpan w:val="3"/>
            <w:vAlign w:val="center"/>
          </w:tcPr>
          <w:p w14:paraId="67290D9B" w14:textId="77777777" w:rsidR="00BE66B0" w:rsidRPr="00B85D0E" w:rsidRDefault="00BE66B0" w:rsidP="003261EF">
            <w:pPr>
              <w:ind w:left="57" w:right="57"/>
              <w:jc w:val="center"/>
              <w:rPr>
                <w:b/>
                <w:i/>
              </w:rPr>
            </w:pPr>
            <w:r w:rsidRPr="00B85D0E">
              <w:t>Turpmākie trīs gadi (</w:t>
            </w:r>
            <w:r w:rsidR="00B527E7" w:rsidRPr="00B85D0E">
              <w:t>EUR</w:t>
            </w:r>
            <w:r w:rsidRPr="00B85D0E">
              <w:t>)</w:t>
            </w:r>
          </w:p>
        </w:tc>
      </w:tr>
      <w:tr w:rsidR="00BE66B0" w:rsidRPr="00B85D0E" w14:paraId="1374D0A0" w14:textId="77777777" w:rsidTr="00B4518A">
        <w:trPr>
          <w:jc w:val="center"/>
        </w:trPr>
        <w:tc>
          <w:tcPr>
            <w:tcW w:w="2547" w:type="dxa"/>
            <w:vMerge/>
            <w:vAlign w:val="center"/>
          </w:tcPr>
          <w:p w14:paraId="554741F7" w14:textId="77777777" w:rsidR="00BE66B0" w:rsidRPr="00B85D0E" w:rsidRDefault="00BE66B0" w:rsidP="00E92F96">
            <w:pPr>
              <w:ind w:left="57" w:right="57"/>
              <w:jc w:val="center"/>
              <w:rPr>
                <w:b/>
                <w:i/>
              </w:rPr>
            </w:pPr>
          </w:p>
        </w:tc>
        <w:tc>
          <w:tcPr>
            <w:tcW w:w="2693" w:type="dxa"/>
            <w:gridSpan w:val="2"/>
            <w:vMerge/>
            <w:vAlign w:val="center"/>
          </w:tcPr>
          <w:p w14:paraId="29BA794C" w14:textId="77777777" w:rsidR="00BE66B0" w:rsidRPr="00B85D0E" w:rsidRDefault="00BE66B0" w:rsidP="00E92F96">
            <w:pPr>
              <w:ind w:left="57" w:right="57"/>
              <w:jc w:val="center"/>
              <w:rPr>
                <w:b/>
                <w:i/>
              </w:rPr>
            </w:pPr>
          </w:p>
        </w:tc>
        <w:tc>
          <w:tcPr>
            <w:tcW w:w="1276" w:type="dxa"/>
            <w:vAlign w:val="center"/>
          </w:tcPr>
          <w:p w14:paraId="71CC26E8" w14:textId="3E821188" w:rsidR="00BE66B0" w:rsidRPr="00B85D0E" w:rsidRDefault="00690C61" w:rsidP="00690C61">
            <w:pPr>
              <w:ind w:left="-17" w:right="-142"/>
              <w:jc w:val="center"/>
              <w:rPr>
                <w:b/>
                <w:i/>
              </w:rPr>
            </w:pPr>
            <w:r w:rsidRPr="00B85D0E">
              <w:rPr>
                <w:b/>
                <w:bCs/>
              </w:rPr>
              <w:t>201</w:t>
            </w:r>
            <w:r w:rsidR="004E7D26">
              <w:rPr>
                <w:b/>
                <w:bCs/>
              </w:rPr>
              <w:t>6</w:t>
            </w:r>
            <w:r w:rsidRPr="00B85D0E">
              <w:rPr>
                <w:b/>
                <w:bCs/>
              </w:rPr>
              <w:t>.gads</w:t>
            </w:r>
          </w:p>
        </w:tc>
        <w:tc>
          <w:tcPr>
            <w:tcW w:w="1276" w:type="dxa"/>
            <w:vAlign w:val="center"/>
          </w:tcPr>
          <w:p w14:paraId="3FFD8B5E" w14:textId="77777777" w:rsidR="00BE66B0" w:rsidRPr="00B85D0E" w:rsidRDefault="00BE66B0" w:rsidP="00690C61">
            <w:pPr>
              <w:ind w:right="-145"/>
              <w:jc w:val="center"/>
              <w:rPr>
                <w:b/>
                <w:i/>
              </w:rPr>
            </w:pPr>
            <w:r w:rsidRPr="00B85D0E">
              <w:rPr>
                <w:b/>
                <w:bCs/>
              </w:rPr>
              <w:t>201</w:t>
            </w:r>
            <w:r w:rsidR="003261EF" w:rsidRPr="00B85D0E">
              <w:rPr>
                <w:b/>
                <w:bCs/>
              </w:rPr>
              <w:t>7</w:t>
            </w:r>
            <w:r w:rsidRPr="00B85D0E">
              <w:rPr>
                <w:b/>
                <w:bCs/>
              </w:rPr>
              <w:t>.gads</w:t>
            </w:r>
          </w:p>
        </w:tc>
        <w:tc>
          <w:tcPr>
            <w:tcW w:w="1269" w:type="dxa"/>
            <w:vAlign w:val="center"/>
          </w:tcPr>
          <w:p w14:paraId="7CD85D00" w14:textId="77777777" w:rsidR="00BE66B0" w:rsidRPr="00B85D0E" w:rsidRDefault="00BE66B0" w:rsidP="00690C61">
            <w:pPr>
              <w:ind w:left="-71" w:right="-1"/>
              <w:jc w:val="center"/>
              <w:rPr>
                <w:b/>
                <w:i/>
              </w:rPr>
            </w:pPr>
            <w:r w:rsidRPr="00B85D0E">
              <w:rPr>
                <w:b/>
                <w:bCs/>
              </w:rPr>
              <w:t>201</w:t>
            </w:r>
            <w:r w:rsidR="003261EF" w:rsidRPr="00B85D0E">
              <w:rPr>
                <w:b/>
                <w:bCs/>
              </w:rPr>
              <w:t>8</w:t>
            </w:r>
            <w:r w:rsidRPr="00B85D0E">
              <w:rPr>
                <w:b/>
                <w:bCs/>
              </w:rPr>
              <w:t>.gads</w:t>
            </w:r>
          </w:p>
        </w:tc>
      </w:tr>
      <w:tr w:rsidR="00BE66B0" w:rsidRPr="00B85D0E" w14:paraId="67D51A5E" w14:textId="77777777" w:rsidTr="00B4518A">
        <w:trPr>
          <w:jc w:val="center"/>
        </w:trPr>
        <w:tc>
          <w:tcPr>
            <w:tcW w:w="2547" w:type="dxa"/>
            <w:vMerge/>
            <w:vAlign w:val="center"/>
          </w:tcPr>
          <w:p w14:paraId="037434EA" w14:textId="77777777" w:rsidR="00BE66B0" w:rsidRPr="00B85D0E" w:rsidRDefault="00BE66B0" w:rsidP="00E92F96">
            <w:pPr>
              <w:ind w:left="57" w:right="57"/>
              <w:jc w:val="center"/>
              <w:rPr>
                <w:b/>
                <w:i/>
              </w:rPr>
            </w:pPr>
          </w:p>
        </w:tc>
        <w:tc>
          <w:tcPr>
            <w:tcW w:w="1276" w:type="dxa"/>
            <w:vAlign w:val="center"/>
          </w:tcPr>
          <w:p w14:paraId="1C1E9D9F" w14:textId="77777777" w:rsidR="00BE66B0" w:rsidRPr="00B85D0E" w:rsidRDefault="00BE66B0" w:rsidP="00E92F96">
            <w:pPr>
              <w:ind w:left="57" w:right="57"/>
              <w:jc w:val="center"/>
              <w:rPr>
                <w:b/>
                <w:i/>
              </w:rPr>
            </w:pPr>
            <w:r w:rsidRPr="00B85D0E">
              <w:t>Saskaņā ar valsts budžetu kārtējam gadam</w:t>
            </w:r>
          </w:p>
        </w:tc>
        <w:tc>
          <w:tcPr>
            <w:tcW w:w="1417" w:type="dxa"/>
            <w:vAlign w:val="center"/>
          </w:tcPr>
          <w:p w14:paraId="5D91A178" w14:textId="77777777" w:rsidR="00BE66B0" w:rsidRPr="00B85D0E" w:rsidRDefault="00BE66B0" w:rsidP="00E92F96">
            <w:pPr>
              <w:ind w:left="57" w:right="57"/>
              <w:jc w:val="center"/>
              <w:rPr>
                <w:b/>
                <w:i/>
              </w:rPr>
            </w:pPr>
            <w:r w:rsidRPr="00B85D0E">
              <w:t>Izmaiņas kārtējā gadā, salīdzinot ar budžetu kārtējam gadam</w:t>
            </w:r>
          </w:p>
        </w:tc>
        <w:tc>
          <w:tcPr>
            <w:tcW w:w="1276" w:type="dxa"/>
            <w:vAlign w:val="center"/>
          </w:tcPr>
          <w:p w14:paraId="36EC6817" w14:textId="77777777" w:rsidR="00BE66B0" w:rsidRPr="00B85D0E" w:rsidRDefault="00BE66B0" w:rsidP="00E92F96">
            <w:pPr>
              <w:ind w:left="57" w:right="57"/>
              <w:jc w:val="center"/>
              <w:rPr>
                <w:b/>
                <w:i/>
              </w:rPr>
            </w:pPr>
            <w:r w:rsidRPr="00B85D0E">
              <w:t>Izmaiņas, salīdzinot ar kārtējo (n) gadu</w:t>
            </w:r>
          </w:p>
        </w:tc>
        <w:tc>
          <w:tcPr>
            <w:tcW w:w="1276" w:type="dxa"/>
            <w:vAlign w:val="center"/>
          </w:tcPr>
          <w:p w14:paraId="2661F89F" w14:textId="77777777" w:rsidR="00BE66B0" w:rsidRPr="00B85D0E" w:rsidRDefault="00BE66B0" w:rsidP="00E92F96">
            <w:pPr>
              <w:ind w:left="57" w:right="57"/>
              <w:jc w:val="center"/>
              <w:rPr>
                <w:b/>
                <w:i/>
              </w:rPr>
            </w:pPr>
            <w:r w:rsidRPr="00B85D0E">
              <w:t>Izmaiņas, salīdzinot ar kārtējo (n) gadu</w:t>
            </w:r>
          </w:p>
        </w:tc>
        <w:tc>
          <w:tcPr>
            <w:tcW w:w="1269" w:type="dxa"/>
            <w:vAlign w:val="center"/>
          </w:tcPr>
          <w:p w14:paraId="178BC36E" w14:textId="77777777" w:rsidR="00BE66B0" w:rsidRPr="00B85D0E" w:rsidRDefault="00BE66B0" w:rsidP="00E92F96">
            <w:pPr>
              <w:ind w:left="57" w:right="57"/>
              <w:jc w:val="center"/>
              <w:rPr>
                <w:b/>
                <w:i/>
              </w:rPr>
            </w:pPr>
            <w:r w:rsidRPr="00B85D0E">
              <w:t>Izmaiņas, salīdzinot ar kārtējo (n) gadu</w:t>
            </w:r>
          </w:p>
        </w:tc>
      </w:tr>
      <w:tr w:rsidR="00BE66B0" w:rsidRPr="00B85D0E" w14:paraId="4850C982" w14:textId="77777777" w:rsidTr="00B4518A">
        <w:trPr>
          <w:jc w:val="center"/>
        </w:trPr>
        <w:tc>
          <w:tcPr>
            <w:tcW w:w="2547" w:type="dxa"/>
            <w:vAlign w:val="center"/>
          </w:tcPr>
          <w:p w14:paraId="756165F5" w14:textId="77777777" w:rsidR="00BE66B0" w:rsidRPr="00B85D0E" w:rsidRDefault="00BE66B0" w:rsidP="00E92F96">
            <w:pPr>
              <w:ind w:left="57" w:right="57"/>
              <w:jc w:val="center"/>
              <w:rPr>
                <w:bCs/>
              </w:rPr>
            </w:pPr>
            <w:r w:rsidRPr="00B85D0E">
              <w:rPr>
                <w:bCs/>
              </w:rPr>
              <w:t>1</w:t>
            </w:r>
          </w:p>
        </w:tc>
        <w:tc>
          <w:tcPr>
            <w:tcW w:w="1276" w:type="dxa"/>
            <w:vAlign w:val="center"/>
          </w:tcPr>
          <w:p w14:paraId="349151BB" w14:textId="77777777" w:rsidR="00BE66B0" w:rsidRPr="00B85D0E" w:rsidRDefault="00BE66B0" w:rsidP="00E92F96">
            <w:pPr>
              <w:ind w:left="57" w:right="57"/>
              <w:jc w:val="center"/>
              <w:rPr>
                <w:bCs/>
              </w:rPr>
            </w:pPr>
            <w:r w:rsidRPr="00B85D0E">
              <w:rPr>
                <w:bCs/>
              </w:rPr>
              <w:t>2</w:t>
            </w:r>
          </w:p>
        </w:tc>
        <w:tc>
          <w:tcPr>
            <w:tcW w:w="1417" w:type="dxa"/>
            <w:vAlign w:val="center"/>
          </w:tcPr>
          <w:p w14:paraId="45F931CC" w14:textId="77777777" w:rsidR="00BE66B0" w:rsidRPr="00B85D0E" w:rsidRDefault="00BE66B0" w:rsidP="00E92F96">
            <w:pPr>
              <w:ind w:left="57" w:right="57"/>
              <w:jc w:val="center"/>
              <w:rPr>
                <w:bCs/>
              </w:rPr>
            </w:pPr>
            <w:r w:rsidRPr="00B85D0E">
              <w:rPr>
                <w:bCs/>
              </w:rPr>
              <w:t>3</w:t>
            </w:r>
          </w:p>
        </w:tc>
        <w:tc>
          <w:tcPr>
            <w:tcW w:w="1276" w:type="dxa"/>
            <w:vAlign w:val="center"/>
          </w:tcPr>
          <w:p w14:paraId="03F8482A" w14:textId="77777777" w:rsidR="00BE66B0" w:rsidRPr="00B85D0E" w:rsidRDefault="00BE66B0" w:rsidP="00E92F96">
            <w:pPr>
              <w:ind w:left="57" w:right="57"/>
              <w:jc w:val="center"/>
              <w:rPr>
                <w:bCs/>
              </w:rPr>
            </w:pPr>
            <w:r w:rsidRPr="00B85D0E">
              <w:rPr>
                <w:bCs/>
              </w:rPr>
              <w:t>4</w:t>
            </w:r>
          </w:p>
        </w:tc>
        <w:tc>
          <w:tcPr>
            <w:tcW w:w="1276" w:type="dxa"/>
            <w:vAlign w:val="center"/>
          </w:tcPr>
          <w:p w14:paraId="66F519B2" w14:textId="77777777" w:rsidR="00BE66B0" w:rsidRPr="00B85D0E" w:rsidRDefault="00BE66B0" w:rsidP="00E92F96">
            <w:pPr>
              <w:ind w:left="57" w:right="57"/>
              <w:jc w:val="center"/>
              <w:rPr>
                <w:bCs/>
              </w:rPr>
            </w:pPr>
            <w:r w:rsidRPr="00B85D0E">
              <w:rPr>
                <w:bCs/>
              </w:rPr>
              <w:t>5</w:t>
            </w:r>
          </w:p>
        </w:tc>
        <w:tc>
          <w:tcPr>
            <w:tcW w:w="1269" w:type="dxa"/>
            <w:vAlign w:val="center"/>
          </w:tcPr>
          <w:p w14:paraId="63E7A278" w14:textId="77777777" w:rsidR="00BE66B0" w:rsidRPr="00B85D0E" w:rsidRDefault="00BE66B0" w:rsidP="00E92F96">
            <w:pPr>
              <w:ind w:left="57" w:right="57"/>
              <w:jc w:val="center"/>
              <w:rPr>
                <w:bCs/>
              </w:rPr>
            </w:pPr>
            <w:r w:rsidRPr="00B85D0E">
              <w:rPr>
                <w:bCs/>
              </w:rPr>
              <w:t>6</w:t>
            </w:r>
          </w:p>
        </w:tc>
      </w:tr>
      <w:tr w:rsidR="00BE66B0" w:rsidRPr="00B85D0E" w14:paraId="3680E3C1" w14:textId="77777777" w:rsidTr="00B4518A">
        <w:trPr>
          <w:jc w:val="center"/>
        </w:trPr>
        <w:tc>
          <w:tcPr>
            <w:tcW w:w="2547" w:type="dxa"/>
          </w:tcPr>
          <w:p w14:paraId="5E4F59FD" w14:textId="77777777" w:rsidR="00BE66B0" w:rsidRPr="00B85D0E" w:rsidRDefault="00BE66B0" w:rsidP="00E92F96">
            <w:pPr>
              <w:ind w:left="57" w:right="57"/>
              <w:rPr>
                <w:i/>
              </w:rPr>
            </w:pPr>
            <w:r w:rsidRPr="00B85D0E">
              <w:t>1. Budžeta ieņēmumi:</w:t>
            </w:r>
          </w:p>
        </w:tc>
        <w:tc>
          <w:tcPr>
            <w:tcW w:w="1276" w:type="dxa"/>
          </w:tcPr>
          <w:p w14:paraId="253C2FFB" w14:textId="77777777" w:rsidR="00BE66B0" w:rsidRPr="00B85D0E" w:rsidRDefault="00BE66B0" w:rsidP="00E92F96">
            <w:pPr>
              <w:ind w:left="57" w:right="57"/>
              <w:jc w:val="center"/>
            </w:pPr>
            <w:r w:rsidRPr="00B85D0E">
              <w:t>0</w:t>
            </w:r>
          </w:p>
        </w:tc>
        <w:tc>
          <w:tcPr>
            <w:tcW w:w="1417" w:type="dxa"/>
          </w:tcPr>
          <w:p w14:paraId="11096756" w14:textId="77777777" w:rsidR="00BE66B0" w:rsidRPr="00B85D0E" w:rsidRDefault="00BE66B0" w:rsidP="00E92F96">
            <w:pPr>
              <w:ind w:left="57" w:right="57"/>
              <w:jc w:val="center"/>
            </w:pPr>
            <w:r w:rsidRPr="00B85D0E">
              <w:t>0</w:t>
            </w:r>
          </w:p>
        </w:tc>
        <w:tc>
          <w:tcPr>
            <w:tcW w:w="1276" w:type="dxa"/>
          </w:tcPr>
          <w:p w14:paraId="30CDF5BB" w14:textId="77777777" w:rsidR="00BE66B0" w:rsidRPr="00B85D0E" w:rsidRDefault="00BE66B0" w:rsidP="00E92F96">
            <w:pPr>
              <w:ind w:left="57" w:right="57"/>
              <w:jc w:val="center"/>
            </w:pPr>
            <w:r w:rsidRPr="00B85D0E">
              <w:t>0</w:t>
            </w:r>
          </w:p>
        </w:tc>
        <w:tc>
          <w:tcPr>
            <w:tcW w:w="1276" w:type="dxa"/>
          </w:tcPr>
          <w:p w14:paraId="6858D635" w14:textId="77777777" w:rsidR="00BE66B0" w:rsidRPr="00B85D0E" w:rsidRDefault="00BE66B0" w:rsidP="00E92F96">
            <w:pPr>
              <w:ind w:left="57" w:right="57"/>
              <w:jc w:val="center"/>
            </w:pPr>
            <w:r w:rsidRPr="00B85D0E">
              <w:t>0</w:t>
            </w:r>
          </w:p>
        </w:tc>
        <w:tc>
          <w:tcPr>
            <w:tcW w:w="1269" w:type="dxa"/>
          </w:tcPr>
          <w:p w14:paraId="331E8FD6" w14:textId="77777777" w:rsidR="00BE66B0" w:rsidRPr="00B85D0E" w:rsidRDefault="00BE66B0" w:rsidP="00E92F96">
            <w:pPr>
              <w:ind w:left="57" w:right="57"/>
              <w:jc w:val="center"/>
            </w:pPr>
            <w:r w:rsidRPr="00B85D0E">
              <w:t>0</w:t>
            </w:r>
          </w:p>
        </w:tc>
      </w:tr>
      <w:tr w:rsidR="00BE66B0" w:rsidRPr="00B85D0E" w14:paraId="7D385686" w14:textId="77777777" w:rsidTr="00B4518A">
        <w:trPr>
          <w:jc w:val="center"/>
        </w:trPr>
        <w:tc>
          <w:tcPr>
            <w:tcW w:w="2547" w:type="dxa"/>
          </w:tcPr>
          <w:p w14:paraId="09AE22E2" w14:textId="77777777" w:rsidR="00BE66B0" w:rsidRPr="00B85D0E" w:rsidRDefault="00BE66B0" w:rsidP="00E92F96">
            <w:pPr>
              <w:ind w:left="57" w:right="57"/>
              <w:rPr>
                <w:i/>
              </w:rPr>
            </w:pPr>
            <w:r w:rsidRPr="00B85D0E">
              <w:t>1.1. valsts pamatbudžets, tai skaitā ieņēmumi no maksas pakalpojumiem un citi pašu ieņēmumi</w:t>
            </w:r>
          </w:p>
        </w:tc>
        <w:tc>
          <w:tcPr>
            <w:tcW w:w="1276" w:type="dxa"/>
          </w:tcPr>
          <w:p w14:paraId="787CDB51" w14:textId="77777777" w:rsidR="00BE66B0" w:rsidRPr="00B85D0E" w:rsidRDefault="00BE66B0" w:rsidP="00E92F96">
            <w:pPr>
              <w:ind w:left="57" w:right="57"/>
              <w:jc w:val="center"/>
            </w:pPr>
            <w:r w:rsidRPr="00B85D0E">
              <w:t>0</w:t>
            </w:r>
          </w:p>
        </w:tc>
        <w:tc>
          <w:tcPr>
            <w:tcW w:w="1417" w:type="dxa"/>
          </w:tcPr>
          <w:p w14:paraId="68F69A80" w14:textId="77777777" w:rsidR="00BE66B0" w:rsidRPr="00B85D0E" w:rsidRDefault="00BE66B0" w:rsidP="00E92F96">
            <w:pPr>
              <w:ind w:left="57" w:right="57"/>
              <w:jc w:val="center"/>
            </w:pPr>
            <w:r w:rsidRPr="00B85D0E">
              <w:t>0</w:t>
            </w:r>
          </w:p>
        </w:tc>
        <w:tc>
          <w:tcPr>
            <w:tcW w:w="1276" w:type="dxa"/>
          </w:tcPr>
          <w:p w14:paraId="579205E0" w14:textId="77777777" w:rsidR="00BE66B0" w:rsidRPr="00B85D0E" w:rsidRDefault="00BE66B0" w:rsidP="00E92F96">
            <w:pPr>
              <w:ind w:left="57" w:right="57"/>
              <w:jc w:val="center"/>
            </w:pPr>
            <w:r w:rsidRPr="00B85D0E">
              <w:t>0</w:t>
            </w:r>
          </w:p>
        </w:tc>
        <w:tc>
          <w:tcPr>
            <w:tcW w:w="1276" w:type="dxa"/>
          </w:tcPr>
          <w:p w14:paraId="17F8595D" w14:textId="77777777" w:rsidR="00BE66B0" w:rsidRPr="00B85D0E" w:rsidRDefault="00BE66B0" w:rsidP="00E92F96">
            <w:pPr>
              <w:ind w:left="57" w:right="57"/>
              <w:jc w:val="center"/>
            </w:pPr>
            <w:r w:rsidRPr="00B85D0E">
              <w:t>0</w:t>
            </w:r>
          </w:p>
        </w:tc>
        <w:tc>
          <w:tcPr>
            <w:tcW w:w="1269" w:type="dxa"/>
          </w:tcPr>
          <w:p w14:paraId="2D890959" w14:textId="77777777" w:rsidR="00BE66B0" w:rsidRPr="00B85D0E" w:rsidRDefault="00BE66B0" w:rsidP="00E92F96">
            <w:pPr>
              <w:ind w:left="57" w:right="57"/>
              <w:jc w:val="center"/>
            </w:pPr>
            <w:r w:rsidRPr="00B85D0E">
              <w:t>0</w:t>
            </w:r>
          </w:p>
        </w:tc>
      </w:tr>
      <w:tr w:rsidR="00BE66B0" w:rsidRPr="00B85D0E" w14:paraId="140282F2" w14:textId="77777777" w:rsidTr="00B4518A">
        <w:trPr>
          <w:jc w:val="center"/>
        </w:trPr>
        <w:tc>
          <w:tcPr>
            <w:tcW w:w="2547" w:type="dxa"/>
          </w:tcPr>
          <w:p w14:paraId="755C3F8C" w14:textId="77777777" w:rsidR="00BE66B0" w:rsidRPr="00B85D0E" w:rsidRDefault="00BE66B0" w:rsidP="00E92F96">
            <w:pPr>
              <w:ind w:left="57" w:right="57"/>
              <w:rPr>
                <w:i/>
              </w:rPr>
            </w:pPr>
            <w:r w:rsidRPr="00B85D0E">
              <w:t>1.2. valsts speciālais budžets</w:t>
            </w:r>
          </w:p>
        </w:tc>
        <w:tc>
          <w:tcPr>
            <w:tcW w:w="1276" w:type="dxa"/>
          </w:tcPr>
          <w:p w14:paraId="6EFEDB36" w14:textId="77777777" w:rsidR="00BE66B0" w:rsidRPr="00B85D0E" w:rsidRDefault="00BE66B0" w:rsidP="00E92F96">
            <w:pPr>
              <w:ind w:left="57" w:right="57"/>
              <w:jc w:val="center"/>
            </w:pPr>
            <w:r w:rsidRPr="00B85D0E">
              <w:t>0</w:t>
            </w:r>
          </w:p>
        </w:tc>
        <w:tc>
          <w:tcPr>
            <w:tcW w:w="1417" w:type="dxa"/>
          </w:tcPr>
          <w:p w14:paraId="422CA279" w14:textId="77777777" w:rsidR="00BE66B0" w:rsidRPr="00B85D0E" w:rsidRDefault="00BE66B0" w:rsidP="00E92F96">
            <w:pPr>
              <w:ind w:left="57" w:right="57"/>
              <w:jc w:val="center"/>
            </w:pPr>
            <w:r w:rsidRPr="00B85D0E">
              <w:t>0</w:t>
            </w:r>
          </w:p>
        </w:tc>
        <w:tc>
          <w:tcPr>
            <w:tcW w:w="1276" w:type="dxa"/>
          </w:tcPr>
          <w:p w14:paraId="4561DF89" w14:textId="77777777" w:rsidR="00BE66B0" w:rsidRPr="00B85D0E" w:rsidRDefault="00BE66B0" w:rsidP="00E92F96">
            <w:pPr>
              <w:ind w:left="57" w:right="57"/>
              <w:jc w:val="center"/>
            </w:pPr>
            <w:r w:rsidRPr="00B85D0E">
              <w:t>0</w:t>
            </w:r>
          </w:p>
        </w:tc>
        <w:tc>
          <w:tcPr>
            <w:tcW w:w="1276" w:type="dxa"/>
          </w:tcPr>
          <w:p w14:paraId="56C973F8" w14:textId="77777777" w:rsidR="00BE66B0" w:rsidRPr="00B85D0E" w:rsidRDefault="00BE66B0" w:rsidP="00E92F96">
            <w:pPr>
              <w:ind w:left="57" w:right="57"/>
              <w:jc w:val="center"/>
            </w:pPr>
            <w:r w:rsidRPr="00B85D0E">
              <w:t>0</w:t>
            </w:r>
          </w:p>
        </w:tc>
        <w:tc>
          <w:tcPr>
            <w:tcW w:w="1269" w:type="dxa"/>
          </w:tcPr>
          <w:p w14:paraId="0972CBD6" w14:textId="77777777" w:rsidR="00BE66B0" w:rsidRPr="00B85D0E" w:rsidRDefault="00BE66B0" w:rsidP="00E92F96">
            <w:pPr>
              <w:ind w:left="57" w:right="57"/>
              <w:jc w:val="center"/>
            </w:pPr>
            <w:r w:rsidRPr="00B85D0E">
              <w:t>0</w:t>
            </w:r>
          </w:p>
        </w:tc>
      </w:tr>
      <w:tr w:rsidR="00BE66B0" w:rsidRPr="00B85D0E" w14:paraId="5CEAB22D" w14:textId="77777777" w:rsidTr="00B4518A">
        <w:trPr>
          <w:jc w:val="center"/>
        </w:trPr>
        <w:tc>
          <w:tcPr>
            <w:tcW w:w="2547" w:type="dxa"/>
          </w:tcPr>
          <w:p w14:paraId="3F664C37" w14:textId="77777777" w:rsidR="00BE66B0" w:rsidRPr="00B85D0E" w:rsidRDefault="00BE66B0" w:rsidP="00E92F96">
            <w:pPr>
              <w:ind w:left="57" w:right="57"/>
              <w:rPr>
                <w:i/>
              </w:rPr>
            </w:pPr>
            <w:r w:rsidRPr="00B85D0E">
              <w:lastRenderedPageBreak/>
              <w:t>1.3. pašvaldību budžets</w:t>
            </w:r>
          </w:p>
        </w:tc>
        <w:tc>
          <w:tcPr>
            <w:tcW w:w="1276" w:type="dxa"/>
          </w:tcPr>
          <w:p w14:paraId="5286ACB3" w14:textId="77777777" w:rsidR="00BE66B0" w:rsidRPr="00B85D0E" w:rsidRDefault="00BE66B0" w:rsidP="00E92F96">
            <w:pPr>
              <w:ind w:left="57" w:right="57"/>
              <w:jc w:val="center"/>
            </w:pPr>
            <w:r w:rsidRPr="00B85D0E">
              <w:t>0</w:t>
            </w:r>
          </w:p>
        </w:tc>
        <w:tc>
          <w:tcPr>
            <w:tcW w:w="1417" w:type="dxa"/>
          </w:tcPr>
          <w:p w14:paraId="139C3D40" w14:textId="77777777" w:rsidR="00BE66B0" w:rsidRPr="00B85D0E" w:rsidRDefault="00BE66B0" w:rsidP="00E92F96">
            <w:pPr>
              <w:ind w:left="57" w:right="57"/>
              <w:jc w:val="center"/>
            </w:pPr>
            <w:r w:rsidRPr="00B85D0E">
              <w:t>0</w:t>
            </w:r>
          </w:p>
        </w:tc>
        <w:tc>
          <w:tcPr>
            <w:tcW w:w="1276" w:type="dxa"/>
          </w:tcPr>
          <w:p w14:paraId="6BE67B24" w14:textId="77777777" w:rsidR="00BE66B0" w:rsidRPr="00B85D0E" w:rsidRDefault="00BE66B0" w:rsidP="00E92F96">
            <w:pPr>
              <w:ind w:left="57" w:right="57"/>
              <w:jc w:val="center"/>
            </w:pPr>
            <w:r w:rsidRPr="00B85D0E">
              <w:t>0</w:t>
            </w:r>
          </w:p>
        </w:tc>
        <w:tc>
          <w:tcPr>
            <w:tcW w:w="1276" w:type="dxa"/>
          </w:tcPr>
          <w:p w14:paraId="040F0B71" w14:textId="77777777" w:rsidR="00BE66B0" w:rsidRPr="00B85D0E" w:rsidRDefault="00BE66B0" w:rsidP="00E92F96">
            <w:pPr>
              <w:ind w:left="57" w:right="57"/>
              <w:jc w:val="center"/>
            </w:pPr>
            <w:r w:rsidRPr="00B85D0E">
              <w:t>0</w:t>
            </w:r>
          </w:p>
        </w:tc>
        <w:tc>
          <w:tcPr>
            <w:tcW w:w="1269" w:type="dxa"/>
          </w:tcPr>
          <w:p w14:paraId="5036AF2A" w14:textId="77777777" w:rsidR="00BE66B0" w:rsidRPr="00B85D0E" w:rsidRDefault="00BE66B0" w:rsidP="00E92F96">
            <w:pPr>
              <w:ind w:left="57" w:right="57"/>
              <w:jc w:val="center"/>
            </w:pPr>
            <w:r w:rsidRPr="00B85D0E">
              <w:t>0</w:t>
            </w:r>
          </w:p>
        </w:tc>
      </w:tr>
      <w:tr w:rsidR="00BE66B0" w:rsidRPr="00B85D0E" w14:paraId="4BAAA188" w14:textId="77777777" w:rsidTr="00B4518A">
        <w:trPr>
          <w:jc w:val="center"/>
        </w:trPr>
        <w:tc>
          <w:tcPr>
            <w:tcW w:w="2547" w:type="dxa"/>
          </w:tcPr>
          <w:p w14:paraId="32C252F9" w14:textId="77777777" w:rsidR="00BE66B0" w:rsidRPr="00B85D0E" w:rsidRDefault="00BE66B0" w:rsidP="00E92F96">
            <w:pPr>
              <w:ind w:left="57" w:right="57"/>
              <w:rPr>
                <w:rFonts w:eastAsia="Calibri"/>
                <w:lang w:eastAsia="en-US"/>
              </w:rPr>
            </w:pPr>
            <w:r w:rsidRPr="00B85D0E">
              <w:rPr>
                <w:rFonts w:eastAsia="Calibri"/>
                <w:lang w:eastAsia="en-US"/>
              </w:rPr>
              <w:t>2. Budžeta izdevumi:</w:t>
            </w:r>
          </w:p>
        </w:tc>
        <w:tc>
          <w:tcPr>
            <w:tcW w:w="1276" w:type="dxa"/>
          </w:tcPr>
          <w:p w14:paraId="63F5E023" w14:textId="77777777" w:rsidR="00BE66B0" w:rsidRPr="00B85D0E" w:rsidRDefault="00BE66B0" w:rsidP="00E92F96">
            <w:pPr>
              <w:ind w:left="57" w:right="57"/>
              <w:jc w:val="center"/>
            </w:pPr>
            <w:r w:rsidRPr="00B85D0E">
              <w:t>0</w:t>
            </w:r>
          </w:p>
        </w:tc>
        <w:tc>
          <w:tcPr>
            <w:tcW w:w="1417" w:type="dxa"/>
          </w:tcPr>
          <w:p w14:paraId="6AA49C11" w14:textId="77777777" w:rsidR="00BE66B0" w:rsidRPr="00B85D0E" w:rsidRDefault="00BE66B0" w:rsidP="00E92F96">
            <w:pPr>
              <w:ind w:left="57" w:right="57"/>
              <w:jc w:val="center"/>
            </w:pPr>
            <w:r w:rsidRPr="00B85D0E">
              <w:t>0</w:t>
            </w:r>
          </w:p>
        </w:tc>
        <w:tc>
          <w:tcPr>
            <w:tcW w:w="1276" w:type="dxa"/>
          </w:tcPr>
          <w:p w14:paraId="480433F5" w14:textId="77777777" w:rsidR="00BE66B0" w:rsidRPr="00B85D0E" w:rsidRDefault="00BE66B0" w:rsidP="00E92F96">
            <w:pPr>
              <w:ind w:left="57" w:right="57"/>
              <w:jc w:val="center"/>
            </w:pPr>
            <w:r w:rsidRPr="00B85D0E">
              <w:t>0</w:t>
            </w:r>
          </w:p>
        </w:tc>
        <w:tc>
          <w:tcPr>
            <w:tcW w:w="1276" w:type="dxa"/>
          </w:tcPr>
          <w:p w14:paraId="644A1A8A" w14:textId="77777777" w:rsidR="00BE66B0" w:rsidRPr="00B85D0E" w:rsidRDefault="00BE66B0" w:rsidP="00E92F96">
            <w:pPr>
              <w:tabs>
                <w:tab w:val="left" w:pos="223"/>
                <w:tab w:val="center" w:pos="581"/>
              </w:tabs>
              <w:ind w:left="57" w:right="57"/>
              <w:jc w:val="center"/>
            </w:pPr>
            <w:r w:rsidRPr="00B85D0E">
              <w:t>0</w:t>
            </w:r>
          </w:p>
        </w:tc>
        <w:tc>
          <w:tcPr>
            <w:tcW w:w="1269" w:type="dxa"/>
          </w:tcPr>
          <w:p w14:paraId="09E9067D" w14:textId="77777777" w:rsidR="00BE66B0" w:rsidRPr="00B85D0E" w:rsidRDefault="00BE66B0" w:rsidP="00E92F96">
            <w:pPr>
              <w:ind w:left="57" w:right="57"/>
              <w:jc w:val="center"/>
            </w:pPr>
            <w:r w:rsidRPr="00B85D0E">
              <w:t>0</w:t>
            </w:r>
          </w:p>
        </w:tc>
      </w:tr>
      <w:tr w:rsidR="00BE66B0" w:rsidRPr="00B85D0E" w14:paraId="3648B193" w14:textId="77777777" w:rsidTr="00B4518A">
        <w:trPr>
          <w:jc w:val="center"/>
        </w:trPr>
        <w:tc>
          <w:tcPr>
            <w:tcW w:w="2547" w:type="dxa"/>
          </w:tcPr>
          <w:p w14:paraId="6C03BA1E" w14:textId="77777777" w:rsidR="00BE66B0" w:rsidRPr="00B85D0E" w:rsidRDefault="00BE66B0" w:rsidP="00E92F96">
            <w:pPr>
              <w:ind w:left="57" w:right="57"/>
              <w:rPr>
                <w:rFonts w:eastAsia="Calibri"/>
                <w:lang w:eastAsia="en-US"/>
              </w:rPr>
            </w:pPr>
            <w:r w:rsidRPr="00B85D0E">
              <w:rPr>
                <w:rFonts w:eastAsia="Calibri"/>
                <w:lang w:eastAsia="en-US"/>
              </w:rPr>
              <w:t>2.1. valsts pamatbudžets</w:t>
            </w:r>
          </w:p>
        </w:tc>
        <w:tc>
          <w:tcPr>
            <w:tcW w:w="1276" w:type="dxa"/>
          </w:tcPr>
          <w:p w14:paraId="6607F753" w14:textId="77777777" w:rsidR="00BE66B0" w:rsidRPr="00B85D0E" w:rsidRDefault="00BE66B0" w:rsidP="00E92F96">
            <w:pPr>
              <w:ind w:left="57" w:right="57"/>
              <w:jc w:val="center"/>
            </w:pPr>
            <w:r w:rsidRPr="00B85D0E">
              <w:t>0</w:t>
            </w:r>
          </w:p>
        </w:tc>
        <w:tc>
          <w:tcPr>
            <w:tcW w:w="1417" w:type="dxa"/>
          </w:tcPr>
          <w:p w14:paraId="5AA810AE" w14:textId="77777777" w:rsidR="00BE66B0" w:rsidRPr="00B85D0E" w:rsidRDefault="00BE66B0" w:rsidP="00E92F96">
            <w:pPr>
              <w:ind w:left="57" w:right="57"/>
              <w:jc w:val="center"/>
            </w:pPr>
            <w:r w:rsidRPr="00B85D0E">
              <w:t>0</w:t>
            </w:r>
          </w:p>
        </w:tc>
        <w:tc>
          <w:tcPr>
            <w:tcW w:w="1276" w:type="dxa"/>
          </w:tcPr>
          <w:p w14:paraId="7C94C1C4" w14:textId="77777777" w:rsidR="00BE66B0" w:rsidRPr="00B85D0E" w:rsidRDefault="00BE66B0" w:rsidP="00E92F96">
            <w:pPr>
              <w:ind w:left="57" w:right="57"/>
              <w:jc w:val="center"/>
            </w:pPr>
            <w:r w:rsidRPr="00B85D0E">
              <w:t>0</w:t>
            </w:r>
          </w:p>
        </w:tc>
        <w:tc>
          <w:tcPr>
            <w:tcW w:w="1276" w:type="dxa"/>
          </w:tcPr>
          <w:p w14:paraId="71DA853F" w14:textId="77777777" w:rsidR="00BE66B0" w:rsidRPr="00B85D0E" w:rsidRDefault="00BE66B0" w:rsidP="00E92F96">
            <w:pPr>
              <w:ind w:left="57" w:right="57"/>
              <w:jc w:val="center"/>
            </w:pPr>
            <w:r w:rsidRPr="00B85D0E">
              <w:t>0</w:t>
            </w:r>
          </w:p>
        </w:tc>
        <w:tc>
          <w:tcPr>
            <w:tcW w:w="1269" w:type="dxa"/>
          </w:tcPr>
          <w:p w14:paraId="6736A444" w14:textId="77777777" w:rsidR="00BE66B0" w:rsidRPr="00B85D0E" w:rsidRDefault="00BE66B0" w:rsidP="00E92F96">
            <w:pPr>
              <w:ind w:left="57" w:right="57"/>
              <w:jc w:val="center"/>
            </w:pPr>
            <w:r w:rsidRPr="00B85D0E">
              <w:t>0</w:t>
            </w:r>
          </w:p>
        </w:tc>
      </w:tr>
      <w:tr w:rsidR="00BE66B0" w:rsidRPr="00B85D0E" w14:paraId="3F7846AF" w14:textId="77777777" w:rsidTr="00B4518A">
        <w:trPr>
          <w:jc w:val="center"/>
        </w:trPr>
        <w:tc>
          <w:tcPr>
            <w:tcW w:w="2547" w:type="dxa"/>
          </w:tcPr>
          <w:p w14:paraId="1DD12B52" w14:textId="77777777" w:rsidR="00BE66B0" w:rsidRPr="00B85D0E" w:rsidRDefault="00BE66B0" w:rsidP="00E92F96">
            <w:pPr>
              <w:ind w:left="57" w:right="57"/>
              <w:rPr>
                <w:rFonts w:eastAsia="Calibri"/>
                <w:lang w:eastAsia="en-US"/>
              </w:rPr>
            </w:pPr>
            <w:r w:rsidRPr="00B85D0E">
              <w:rPr>
                <w:rFonts w:eastAsia="Calibri"/>
                <w:lang w:eastAsia="en-US"/>
              </w:rPr>
              <w:t>2.2. valsts speciālais budžets</w:t>
            </w:r>
          </w:p>
        </w:tc>
        <w:tc>
          <w:tcPr>
            <w:tcW w:w="1276" w:type="dxa"/>
          </w:tcPr>
          <w:p w14:paraId="7C77B73C" w14:textId="77777777" w:rsidR="00BE66B0" w:rsidRPr="00B85D0E" w:rsidRDefault="00BE66B0" w:rsidP="00E92F96">
            <w:pPr>
              <w:ind w:left="57" w:right="57"/>
              <w:jc w:val="center"/>
            </w:pPr>
            <w:r w:rsidRPr="00B85D0E">
              <w:t>0</w:t>
            </w:r>
          </w:p>
        </w:tc>
        <w:tc>
          <w:tcPr>
            <w:tcW w:w="1417" w:type="dxa"/>
          </w:tcPr>
          <w:p w14:paraId="17BD7FD2" w14:textId="77777777" w:rsidR="00BE66B0" w:rsidRPr="00B85D0E" w:rsidRDefault="00BE66B0" w:rsidP="00E92F96">
            <w:pPr>
              <w:ind w:left="57" w:right="57"/>
              <w:jc w:val="center"/>
            </w:pPr>
            <w:r w:rsidRPr="00B85D0E">
              <w:t>0</w:t>
            </w:r>
          </w:p>
        </w:tc>
        <w:tc>
          <w:tcPr>
            <w:tcW w:w="1276" w:type="dxa"/>
          </w:tcPr>
          <w:p w14:paraId="5BDD5B0D" w14:textId="77777777" w:rsidR="00BE66B0" w:rsidRPr="00B85D0E" w:rsidRDefault="00BE66B0" w:rsidP="00E92F96">
            <w:pPr>
              <w:ind w:left="57" w:right="57"/>
              <w:jc w:val="center"/>
            </w:pPr>
            <w:r w:rsidRPr="00B85D0E">
              <w:t>0</w:t>
            </w:r>
          </w:p>
        </w:tc>
        <w:tc>
          <w:tcPr>
            <w:tcW w:w="1276" w:type="dxa"/>
          </w:tcPr>
          <w:p w14:paraId="55FAF1AA" w14:textId="77777777" w:rsidR="00BE66B0" w:rsidRPr="00B85D0E" w:rsidRDefault="00BE66B0" w:rsidP="00E92F96">
            <w:pPr>
              <w:ind w:left="57" w:right="57"/>
              <w:jc w:val="center"/>
            </w:pPr>
            <w:r w:rsidRPr="00B85D0E">
              <w:t>0</w:t>
            </w:r>
          </w:p>
        </w:tc>
        <w:tc>
          <w:tcPr>
            <w:tcW w:w="1269" w:type="dxa"/>
          </w:tcPr>
          <w:p w14:paraId="1715EED6" w14:textId="77777777" w:rsidR="00BE66B0" w:rsidRPr="00B85D0E" w:rsidRDefault="00BE66B0" w:rsidP="00E92F96">
            <w:pPr>
              <w:ind w:left="57" w:right="57"/>
              <w:jc w:val="center"/>
            </w:pPr>
            <w:r w:rsidRPr="00B85D0E">
              <w:t>0</w:t>
            </w:r>
          </w:p>
        </w:tc>
      </w:tr>
      <w:tr w:rsidR="00BE66B0" w:rsidRPr="00B85D0E" w14:paraId="1971AA3D" w14:textId="77777777" w:rsidTr="00B4518A">
        <w:trPr>
          <w:jc w:val="center"/>
        </w:trPr>
        <w:tc>
          <w:tcPr>
            <w:tcW w:w="2547" w:type="dxa"/>
          </w:tcPr>
          <w:p w14:paraId="043C713C" w14:textId="77777777" w:rsidR="00BE66B0" w:rsidRPr="00B85D0E" w:rsidRDefault="00BE66B0" w:rsidP="00E92F96">
            <w:pPr>
              <w:ind w:left="57" w:right="57"/>
              <w:rPr>
                <w:rFonts w:eastAsia="Calibri"/>
                <w:lang w:eastAsia="en-US"/>
              </w:rPr>
            </w:pPr>
            <w:r w:rsidRPr="00B85D0E">
              <w:rPr>
                <w:rFonts w:eastAsia="Calibri"/>
                <w:lang w:eastAsia="en-US"/>
              </w:rPr>
              <w:t xml:space="preserve">2.3. pašvaldību budžets </w:t>
            </w:r>
          </w:p>
        </w:tc>
        <w:tc>
          <w:tcPr>
            <w:tcW w:w="1276" w:type="dxa"/>
          </w:tcPr>
          <w:p w14:paraId="1DD0AD1E" w14:textId="77777777" w:rsidR="00BE66B0" w:rsidRPr="00B85D0E" w:rsidRDefault="00BE66B0" w:rsidP="00E92F96">
            <w:pPr>
              <w:ind w:left="57" w:right="57"/>
              <w:jc w:val="center"/>
            </w:pPr>
            <w:r w:rsidRPr="00B85D0E">
              <w:t>0</w:t>
            </w:r>
          </w:p>
        </w:tc>
        <w:tc>
          <w:tcPr>
            <w:tcW w:w="1417" w:type="dxa"/>
          </w:tcPr>
          <w:p w14:paraId="698E12B7" w14:textId="77777777" w:rsidR="00BE66B0" w:rsidRPr="00B85D0E" w:rsidRDefault="00BE66B0" w:rsidP="00E92F96">
            <w:pPr>
              <w:ind w:left="57" w:right="57"/>
              <w:jc w:val="center"/>
            </w:pPr>
            <w:r w:rsidRPr="00B85D0E">
              <w:t>0</w:t>
            </w:r>
          </w:p>
        </w:tc>
        <w:tc>
          <w:tcPr>
            <w:tcW w:w="1276" w:type="dxa"/>
          </w:tcPr>
          <w:p w14:paraId="0A70E6E0" w14:textId="77777777" w:rsidR="00BE66B0" w:rsidRPr="00B85D0E" w:rsidRDefault="00BE66B0" w:rsidP="00E92F96">
            <w:pPr>
              <w:ind w:left="57" w:right="57"/>
              <w:jc w:val="center"/>
            </w:pPr>
            <w:r w:rsidRPr="00B85D0E">
              <w:t>0</w:t>
            </w:r>
          </w:p>
        </w:tc>
        <w:tc>
          <w:tcPr>
            <w:tcW w:w="1276" w:type="dxa"/>
          </w:tcPr>
          <w:p w14:paraId="2855E489" w14:textId="77777777" w:rsidR="00BE66B0" w:rsidRPr="00B85D0E" w:rsidRDefault="00BE66B0" w:rsidP="00E92F96">
            <w:pPr>
              <w:ind w:left="57" w:right="57"/>
              <w:jc w:val="center"/>
            </w:pPr>
            <w:r w:rsidRPr="00B85D0E">
              <w:t>0</w:t>
            </w:r>
          </w:p>
        </w:tc>
        <w:tc>
          <w:tcPr>
            <w:tcW w:w="1269" w:type="dxa"/>
          </w:tcPr>
          <w:p w14:paraId="022D285A" w14:textId="77777777" w:rsidR="00BE66B0" w:rsidRPr="00B85D0E" w:rsidRDefault="00BE66B0" w:rsidP="00E92F96">
            <w:pPr>
              <w:ind w:left="57" w:right="57"/>
              <w:jc w:val="center"/>
            </w:pPr>
            <w:r w:rsidRPr="00B85D0E">
              <w:t>0</w:t>
            </w:r>
          </w:p>
        </w:tc>
      </w:tr>
      <w:tr w:rsidR="00BE66B0" w:rsidRPr="00B85D0E" w14:paraId="73587598" w14:textId="77777777" w:rsidTr="00B4518A">
        <w:trPr>
          <w:jc w:val="center"/>
        </w:trPr>
        <w:tc>
          <w:tcPr>
            <w:tcW w:w="2547" w:type="dxa"/>
          </w:tcPr>
          <w:p w14:paraId="389C99B7" w14:textId="77777777" w:rsidR="00BE66B0" w:rsidRPr="00B85D0E" w:rsidRDefault="00BE66B0" w:rsidP="00E92F96">
            <w:pPr>
              <w:ind w:left="57" w:right="57"/>
              <w:rPr>
                <w:rFonts w:eastAsia="Calibri"/>
                <w:lang w:eastAsia="en-US"/>
              </w:rPr>
            </w:pPr>
            <w:r w:rsidRPr="00B85D0E">
              <w:rPr>
                <w:rFonts w:eastAsia="Calibri"/>
                <w:lang w:eastAsia="en-US"/>
              </w:rPr>
              <w:t>3. Finansiālā ietekme:</w:t>
            </w:r>
          </w:p>
        </w:tc>
        <w:tc>
          <w:tcPr>
            <w:tcW w:w="1276" w:type="dxa"/>
            <w:shd w:val="clear" w:color="auto" w:fill="auto"/>
            <w:vAlign w:val="center"/>
          </w:tcPr>
          <w:p w14:paraId="6AC1CAC2" w14:textId="77777777" w:rsidR="00BE66B0" w:rsidRPr="00B85D0E" w:rsidRDefault="00BE66B0" w:rsidP="00E92F96">
            <w:pPr>
              <w:ind w:left="57" w:right="57"/>
              <w:jc w:val="center"/>
            </w:pPr>
            <w:r w:rsidRPr="00B85D0E">
              <w:t>0</w:t>
            </w:r>
          </w:p>
        </w:tc>
        <w:tc>
          <w:tcPr>
            <w:tcW w:w="1417" w:type="dxa"/>
          </w:tcPr>
          <w:p w14:paraId="278C670B" w14:textId="77777777" w:rsidR="00BE66B0" w:rsidRPr="00B85D0E" w:rsidRDefault="00BE66B0" w:rsidP="00E92F96">
            <w:pPr>
              <w:ind w:left="57" w:right="57"/>
              <w:jc w:val="center"/>
            </w:pPr>
            <w:r w:rsidRPr="00B85D0E">
              <w:t>0</w:t>
            </w:r>
          </w:p>
        </w:tc>
        <w:tc>
          <w:tcPr>
            <w:tcW w:w="1276" w:type="dxa"/>
          </w:tcPr>
          <w:p w14:paraId="5059E06B" w14:textId="77777777" w:rsidR="00BE66B0" w:rsidRPr="00B85D0E" w:rsidRDefault="00BE66B0" w:rsidP="00E92F96">
            <w:pPr>
              <w:ind w:left="57" w:right="57"/>
              <w:jc w:val="center"/>
            </w:pPr>
            <w:r w:rsidRPr="00B85D0E">
              <w:t>0</w:t>
            </w:r>
          </w:p>
        </w:tc>
        <w:tc>
          <w:tcPr>
            <w:tcW w:w="1276" w:type="dxa"/>
          </w:tcPr>
          <w:p w14:paraId="23035764" w14:textId="77777777" w:rsidR="00BE66B0" w:rsidRPr="00B85D0E" w:rsidRDefault="00BE66B0" w:rsidP="00E92F96">
            <w:pPr>
              <w:ind w:left="57" w:right="57"/>
              <w:jc w:val="center"/>
            </w:pPr>
            <w:r w:rsidRPr="00B85D0E">
              <w:t>0</w:t>
            </w:r>
          </w:p>
        </w:tc>
        <w:tc>
          <w:tcPr>
            <w:tcW w:w="1269" w:type="dxa"/>
          </w:tcPr>
          <w:p w14:paraId="523C6E18" w14:textId="77777777" w:rsidR="00BE66B0" w:rsidRPr="00B85D0E" w:rsidRDefault="00BE66B0" w:rsidP="00E92F96">
            <w:pPr>
              <w:ind w:left="57" w:right="57"/>
              <w:jc w:val="center"/>
            </w:pPr>
            <w:r w:rsidRPr="00B85D0E">
              <w:t>0</w:t>
            </w:r>
          </w:p>
        </w:tc>
      </w:tr>
      <w:tr w:rsidR="00BE66B0" w:rsidRPr="00B85D0E" w14:paraId="52350B29" w14:textId="77777777" w:rsidTr="00B4518A">
        <w:trPr>
          <w:jc w:val="center"/>
        </w:trPr>
        <w:tc>
          <w:tcPr>
            <w:tcW w:w="2547" w:type="dxa"/>
          </w:tcPr>
          <w:p w14:paraId="23A4311F" w14:textId="77777777" w:rsidR="00BE66B0" w:rsidRPr="00B85D0E" w:rsidRDefault="00BE66B0" w:rsidP="00E92F96">
            <w:pPr>
              <w:ind w:left="57" w:right="57"/>
              <w:rPr>
                <w:rFonts w:eastAsia="Calibri"/>
                <w:lang w:eastAsia="en-US"/>
              </w:rPr>
            </w:pPr>
            <w:r w:rsidRPr="00B85D0E">
              <w:rPr>
                <w:rFonts w:eastAsia="Calibri"/>
                <w:lang w:eastAsia="en-US"/>
              </w:rPr>
              <w:t>3.1. valsts pamatbudžets</w:t>
            </w:r>
          </w:p>
        </w:tc>
        <w:tc>
          <w:tcPr>
            <w:tcW w:w="1276" w:type="dxa"/>
            <w:shd w:val="clear" w:color="auto" w:fill="auto"/>
          </w:tcPr>
          <w:p w14:paraId="6CFD3120" w14:textId="77777777" w:rsidR="00BE66B0" w:rsidRPr="00B85D0E" w:rsidRDefault="00BE66B0" w:rsidP="00E92F96">
            <w:pPr>
              <w:ind w:left="57" w:right="57"/>
              <w:jc w:val="center"/>
            </w:pPr>
            <w:r w:rsidRPr="00B85D0E">
              <w:t>0</w:t>
            </w:r>
          </w:p>
        </w:tc>
        <w:tc>
          <w:tcPr>
            <w:tcW w:w="1417" w:type="dxa"/>
          </w:tcPr>
          <w:p w14:paraId="485281AD" w14:textId="77777777" w:rsidR="00BE66B0" w:rsidRPr="00B85D0E" w:rsidRDefault="00BE66B0" w:rsidP="00E92F96">
            <w:pPr>
              <w:ind w:left="57" w:right="57"/>
              <w:jc w:val="center"/>
            </w:pPr>
            <w:r w:rsidRPr="00B85D0E">
              <w:t>0</w:t>
            </w:r>
          </w:p>
        </w:tc>
        <w:tc>
          <w:tcPr>
            <w:tcW w:w="1276" w:type="dxa"/>
          </w:tcPr>
          <w:p w14:paraId="204596CD" w14:textId="77777777" w:rsidR="00BE66B0" w:rsidRPr="00B85D0E" w:rsidRDefault="00BE66B0" w:rsidP="00E92F96">
            <w:pPr>
              <w:ind w:left="57" w:right="57"/>
              <w:jc w:val="center"/>
            </w:pPr>
            <w:r w:rsidRPr="00B85D0E">
              <w:t>0</w:t>
            </w:r>
          </w:p>
        </w:tc>
        <w:tc>
          <w:tcPr>
            <w:tcW w:w="1276" w:type="dxa"/>
          </w:tcPr>
          <w:p w14:paraId="28B6FEDB" w14:textId="77777777" w:rsidR="00BE66B0" w:rsidRPr="00B85D0E" w:rsidRDefault="00BE66B0" w:rsidP="00E92F96">
            <w:pPr>
              <w:ind w:left="57" w:right="57"/>
              <w:jc w:val="center"/>
            </w:pPr>
            <w:r w:rsidRPr="00B85D0E">
              <w:t>0</w:t>
            </w:r>
          </w:p>
        </w:tc>
        <w:tc>
          <w:tcPr>
            <w:tcW w:w="1269" w:type="dxa"/>
          </w:tcPr>
          <w:p w14:paraId="0F5BDCDF" w14:textId="77777777" w:rsidR="00BE66B0" w:rsidRPr="00B85D0E" w:rsidRDefault="00BE66B0" w:rsidP="00E92F96">
            <w:pPr>
              <w:ind w:left="57" w:right="57"/>
              <w:jc w:val="center"/>
            </w:pPr>
            <w:r w:rsidRPr="00B85D0E">
              <w:t>0</w:t>
            </w:r>
          </w:p>
        </w:tc>
      </w:tr>
      <w:tr w:rsidR="00BE66B0" w:rsidRPr="00B85D0E" w14:paraId="5FBAE030" w14:textId="77777777" w:rsidTr="00B4518A">
        <w:trPr>
          <w:jc w:val="center"/>
        </w:trPr>
        <w:tc>
          <w:tcPr>
            <w:tcW w:w="2547" w:type="dxa"/>
          </w:tcPr>
          <w:p w14:paraId="57FA0DEB" w14:textId="77777777" w:rsidR="00BE66B0" w:rsidRPr="00B85D0E" w:rsidRDefault="00BE66B0" w:rsidP="00E92F96">
            <w:pPr>
              <w:ind w:left="57" w:right="57"/>
              <w:rPr>
                <w:rFonts w:eastAsia="Calibri"/>
                <w:lang w:eastAsia="en-US"/>
              </w:rPr>
            </w:pPr>
            <w:r w:rsidRPr="00B85D0E">
              <w:rPr>
                <w:rFonts w:eastAsia="Calibri"/>
                <w:lang w:eastAsia="en-US"/>
              </w:rPr>
              <w:t>3.2. speciālais budžets</w:t>
            </w:r>
          </w:p>
        </w:tc>
        <w:tc>
          <w:tcPr>
            <w:tcW w:w="1276" w:type="dxa"/>
            <w:shd w:val="clear" w:color="auto" w:fill="auto"/>
          </w:tcPr>
          <w:p w14:paraId="2EF4CB09" w14:textId="77777777" w:rsidR="00BE66B0" w:rsidRPr="00B85D0E" w:rsidRDefault="00BE66B0" w:rsidP="00E92F96">
            <w:pPr>
              <w:ind w:left="57" w:right="57"/>
              <w:jc w:val="center"/>
            </w:pPr>
            <w:r w:rsidRPr="00B85D0E">
              <w:t>0</w:t>
            </w:r>
          </w:p>
        </w:tc>
        <w:tc>
          <w:tcPr>
            <w:tcW w:w="1417" w:type="dxa"/>
          </w:tcPr>
          <w:p w14:paraId="001DE9DF" w14:textId="77777777" w:rsidR="00BE66B0" w:rsidRPr="00B85D0E" w:rsidRDefault="00BE66B0" w:rsidP="00E92F96">
            <w:pPr>
              <w:ind w:left="57" w:right="57"/>
              <w:jc w:val="center"/>
            </w:pPr>
            <w:r w:rsidRPr="00B85D0E">
              <w:t>0</w:t>
            </w:r>
          </w:p>
        </w:tc>
        <w:tc>
          <w:tcPr>
            <w:tcW w:w="1276" w:type="dxa"/>
          </w:tcPr>
          <w:p w14:paraId="16A1BC13" w14:textId="77777777" w:rsidR="00BE66B0" w:rsidRPr="00B85D0E" w:rsidRDefault="00BE66B0" w:rsidP="00E92F96">
            <w:pPr>
              <w:ind w:left="57" w:right="57"/>
              <w:jc w:val="center"/>
            </w:pPr>
            <w:r w:rsidRPr="00B85D0E">
              <w:t>0</w:t>
            </w:r>
          </w:p>
        </w:tc>
        <w:tc>
          <w:tcPr>
            <w:tcW w:w="1276" w:type="dxa"/>
          </w:tcPr>
          <w:p w14:paraId="55B8D0E3" w14:textId="77777777" w:rsidR="00BE66B0" w:rsidRPr="00B85D0E" w:rsidRDefault="00BE66B0" w:rsidP="00E92F96">
            <w:pPr>
              <w:ind w:left="57" w:right="57"/>
              <w:jc w:val="center"/>
            </w:pPr>
            <w:r w:rsidRPr="00B85D0E">
              <w:t>0</w:t>
            </w:r>
          </w:p>
        </w:tc>
        <w:tc>
          <w:tcPr>
            <w:tcW w:w="1269" w:type="dxa"/>
          </w:tcPr>
          <w:p w14:paraId="2E326E36" w14:textId="77777777" w:rsidR="00BE66B0" w:rsidRPr="00B85D0E" w:rsidRDefault="00BE66B0" w:rsidP="00E92F96">
            <w:pPr>
              <w:ind w:left="57" w:right="57"/>
              <w:jc w:val="center"/>
            </w:pPr>
            <w:r w:rsidRPr="00B85D0E">
              <w:t>0</w:t>
            </w:r>
          </w:p>
        </w:tc>
      </w:tr>
      <w:tr w:rsidR="00BE66B0" w:rsidRPr="00B85D0E" w14:paraId="6841BF76" w14:textId="77777777" w:rsidTr="00B4518A">
        <w:trPr>
          <w:jc w:val="center"/>
        </w:trPr>
        <w:tc>
          <w:tcPr>
            <w:tcW w:w="2547" w:type="dxa"/>
          </w:tcPr>
          <w:p w14:paraId="1F3771B9" w14:textId="77777777" w:rsidR="00BE66B0" w:rsidRPr="00B85D0E" w:rsidRDefault="00BE66B0" w:rsidP="00E92F96">
            <w:pPr>
              <w:ind w:left="57" w:right="57"/>
              <w:rPr>
                <w:rFonts w:eastAsia="Calibri"/>
                <w:lang w:eastAsia="en-US"/>
              </w:rPr>
            </w:pPr>
            <w:r w:rsidRPr="00B85D0E">
              <w:rPr>
                <w:rFonts w:eastAsia="Calibri"/>
                <w:lang w:eastAsia="en-US"/>
              </w:rPr>
              <w:t xml:space="preserve">3.3. pašvaldību budžets </w:t>
            </w:r>
          </w:p>
        </w:tc>
        <w:tc>
          <w:tcPr>
            <w:tcW w:w="1276" w:type="dxa"/>
            <w:shd w:val="clear" w:color="auto" w:fill="auto"/>
          </w:tcPr>
          <w:p w14:paraId="2D128958" w14:textId="77777777" w:rsidR="00BE66B0" w:rsidRPr="00B85D0E" w:rsidRDefault="00BE66B0" w:rsidP="00E92F96">
            <w:pPr>
              <w:ind w:left="57" w:right="57"/>
              <w:jc w:val="center"/>
            </w:pPr>
            <w:r w:rsidRPr="00B85D0E">
              <w:t>0</w:t>
            </w:r>
          </w:p>
        </w:tc>
        <w:tc>
          <w:tcPr>
            <w:tcW w:w="1417" w:type="dxa"/>
          </w:tcPr>
          <w:p w14:paraId="3B2BC538" w14:textId="77777777" w:rsidR="00BE66B0" w:rsidRPr="00B85D0E" w:rsidRDefault="00BE66B0" w:rsidP="00E92F96">
            <w:pPr>
              <w:ind w:left="57" w:right="57"/>
              <w:jc w:val="center"/>
            </w:pPr>
            <w:r w:rsidRPr="00B85D0E">
              <w:t>0</w:t>
            </w:r>
          </w:p>
        </w:tc>
        <w:tc>
          <w:tcPr>
            <w:tcW w:w="1276" w:type="dxa"/>
          </w:tcPr>
          <w:p w14:paraId="1939BD6D" w14:textId="77777777" w:rsidR="00BE66B0" w:rsidRPr="00B85D0E" w:rsidRDefault="00BE66B0" w:rsidP="00E92F96">
            <w:pPr>
              <w:ind w:left="57" w:right="57"/>
              <w:jc w:val="center"/>
            </w:pPr>
            <w:r w:rsidRPr="00B85D0E">
              <w:t>0</w:t>
            </w:r>
          </w:p>
        </w:tc>
        <w:tc>
          <w:tcPr>
            <w:tcW w:w="1276" w:type="dxa"/>
          </w:tcPr>
          <w:p w14:paraId="5724CE65" w14:textId="77777777" w:rsidR="00BE66B0" w:rsidRPr="00B85D0E" w:rsidRDefault="00BE66B0" w:rsidP="00E92F96">
            <w:pPr>
              <w:ind w:left="57" w:right="57"/>
              <w:jc w:val="center"/>
            </w:pPr>
            <w:r w:rsidRPr="00B85D0E">
              <w:t>0</w:t>
            </w:r>
          </w:p>
        </w:tc>
        <w:tc>
          <w:tcPr>
            <w:tcW w:w="1269" w:type="dxa"/>
          </w:tcPr>
          <w:p w14:paraId="3A0EE3B1" w14:textId="77777777" w:rsidR="00BE66B0" w:rsidRPr="00B85D0E" w:rsidRDefault="00BE66B0" w:rsidP="00E92F96">
            <w:pPr>
              <w:ind w:left="57" w:right="57"/>
              <w:jc w:val="center"/>
            </w:pPr>
            <w:r w:rsidRPr="00B85D0E">
              <w:t>0</w:t>
            </w:r>
          </w:p>
        </w:tc>
      </w:tr>
      <w:tr w:rsidR="00BE66B0" w:rsidRPr="00B85D0E" w14:paraId="67617BA8" w14:textId="77777777" w:rsidTr="00B4518A">
        <w:trPr>
          <w:jc w:val="center"/>
        </w:trPr>
        <w:tc>
          <w:tcPr>
            <w:tcW w:w="2547" w:type="dxa"/>
            <w:vMerge w:val="restart"/>
          </w:tcPr>
          <w:p w14:paraId="3D5AFA9E" w14:textId="77777777" w:rsidR="00BE66B0" w:rsidRPr="00B85D0E" w:rsidRDefault="00BE66B0" w:rsidP="00E92F96">
            <w:pPr>
              <w:ind w:left="57" w:right="57"/>
              <w:rPr>
                <w:rFonts w:eastAsia="Calibri"/>
                <w:lang w:eastAsia="en-US"/>
              </w:rPr>
            </w:pPr>
            <w:r w:rsidRPr="00B85D0E">
              <w:rPr>
                <w:rFonts w:eastAsia="Calibri"/>
                <w:lang w:eastAsia="en-US"/>
              </w:rPr>
              <w:t>4. Finanšu līdzekļi papildu izde</w:t>
            </w:r>
            <w:r w:rsidRPr="00B85D0E">
              <w:rPr>
                <w:rFonts w:eastAsia="Calibri"/>
                <w:lang w:eastAsia="en-US"/>
              </w:rPr>
              <w:softHyphen/>
              <w:t>vumu finansēšanai (kompensējošu izdevumu samazinājumu norāda ar "+" zīmi)</w:t>
            </w:r>
          </w:p>
        </w:tc>
        <w:tc>
          <w:tcPr>
            <w:tcW w:w="1276" w:type="dxa"/>
            <w:vMerge w:val="restart"/>
          </w:tcPr>
          <w:p w14:paraId="664D56B0" w14:textId="77777777" w:rsidR="00BE66B0" w:rsidRPr="00B85D0E" w:rsidRDefault="00BE66B0" w:rsidP="00E92F96">
            <w:pPr>
              <w:ind w:left="57" w:right="57"/>
              <w:jc w:val="center"/>
              <w:rPr>
                <w:i/>
              </w:rPr>
            </w:pPr>
            <w:r w:rsidRPr="00B85D0E">
              <w:t>0</w:t>
            </w:r>
          </w:p>
        </w:tc>
        <w:tc>
          <w:tcPr>
            <w:tcW w:w="1417" w:type="dxa"/>
          </w:tcPr>
          <w:p w14:paraId="40038F3B" w14:textId="77777777" w:rsidR="00BE66B0" w:rsidRPr="00B85D0E" w:rsidRDefault="00BE66B0" w:rsidP="00E92F96">
            <w:pPr>
              <w:ind w:left="57" w:right="57"/>
              <w:jc w:val="center"/>
            </w:pPr>
            <w:r w:rsidRPr="00B85D0E">
              <w:t>0</w:t>
            </w:r>
          </w:p>
        </w:tc>
        <w:tc>
          <w:tcPr>
            <w:tcW w:w="1276" w:type="dxa"/>
          </w:tcPr>
          <w:p w14:paraId="639A967C" w14:textId="77777777" w:rsidR="00BE66B0" w:rsidRPr="00B85D0E" w:rsidRDefault="00BE66B0" w:rsidP="00E92F96">
            <w:pPr>
              <w:ind w:left="57" w:right="57"/>
              <w:jc w:val="center"/>
            </w:pPr>
            <w:r w:rsidRPr="00B85D0E">
              <w:t>0</w:t>
            </w:r>
          </w:p>
        </w:tc>
        <w:tc>
          <w:tcPr>
            <w:tcW w:w="1276" w:type="dxa"/>
          </w:tcPr>
          <w:p w14:paraId="3C8BFAE6" w14:textId="77777777" w:rsidR="00BE66B0" w:rsidRPr="00B85D0E" w:rsidRDefault="00BE66B0" w:rsidP="00E92F96">
            <w:pPr>
              <w:ind w:left="57" w:right="57"/>
              <w:jc w:val="center"/>
            </w:pPr>
            <w:r w:rsidRPr="00B85D0E">
              <w:t>0</w:t>
            </w:r>
          </w:p>
        </w:tc>
        <w:tc>
          <w:tcPr>
            <w:tcW w:w="1269" w:type="dxa"/>
          </w:tcPr>
          <w:p w14:paraId="612519F3" w14:textId="77777777" w:rsidR="00BE66B0" w:rsidRPr="00B85D0E" w:rsidRDefault="00BE66B0" w:rsidP="00E92F96">
            <w:pPr>
              <w:ind w:left="57" w:right="57"/>
              <w:jc w:val="center"/>
            </w:pPr>
            <w:r w:rsidRPr="00B85D0E">
              <w:t>0</w:t>
            </w:r>
          </w:p>
        </w:tc>
      </w:tr>
      <w:tr w:rsidR="00BE66B0" w:rsidRPr="00B85D0E" w14:paraId="67A7246A" w14:textId="77777777" w:rsidTr="00B4518A">
        <w:trPr>
          <w:jc w:val="center"/>
        </w:trPr>
        <w:tc>
          <w:tcPr>
            <w:tcW w:w="2547" w:type="dxa"/>
            <w:vMerge/>
          </w:tcPr>
          <w:p w14:paraId="21D1C9F4" w14:textId="77777777" w:rsidR="00BE66B0" w:rsidRPr="00B85D0E" w:rsidRDefault="00BE66B0" w:rsidP="00E92F96">
            <w:pPr>
              <w:ind w:left="57" w:right="57"/>
              <w:rPr>
                <w:rFonts w:eastAsia="Calibri"/>
                <w:lang w:eastAsia="en-US"/>
              </w:rPr>
            </w:pPr>
          </w:p>
        </w:tc>
        <w:tc>
          <w:tcPr>
            <w:tcW w:w="1276" w:type="dxa"/>
            <w:vMerge/>
          </w:tcPr>
          <w:p w14:paraId="083D5B07" w14:textId="77777777" w:rsidR="00BE66B0" w:rsidRPr="00B85D0E" w:rsidRDefault="00BE66B0" w:rsidP="00E92F96">
            <w:pPr>
              <w:ind w:left="57" w:right="57"/>
              <w:jc w:val="center"/>
              <w:rPr>
                <w:i/>
              </w:rPr>
            </w:pPr>
          </w:p>
        </w:tc>
        <w:tc>
          <w:tcPr>
            <w:tcW w:w="1417" w:type="dxa"/>
          </w:tcPr>
          <w:p w14:paraId="34D9D6AA" w14:textId="77777777" w:rsidR="00BE66B0" w:rsidRPr="00B85D0E" w:rsidRDefault="00BE66B0" w:rsidP="00E92F96">
            <w:pPr>
              <w:ind w:left="57" w:right="57"/>
              <w:jc w:val="center"/>
            </w:pPr>
            <w:r w:rsidRPr="00B85D0E">
              <w:t>0</w:t>
            </w:r>
          </w:p>
        </w:tc>
        <w:tc>
          <w:tcPr>
            <w:tcW w:w="1276" w:type="dxa"/>
          </w:tcPr>
          <w:p w14:paraId="240CF74D" w14:textId="77777777" w:rsidR="00BE66B0" w:rsidRPr="00B85D0E" w:rsidRDefault="00BE66B0" w:rsidP="00E92F96">
            <w:pPr>
              <w:ind w:left="57" w:right="57"/>
              <w:jc w:val="center"/>
            </w:pPr>
            <w:r w:rsidRPr="00B85D0E">
              <w:t>0</w:t>
            </w:r>
          </w:p>
        </w:tc>
        <w:tc>
          <w:tcPr>
            <w:tcW w:w="1276" w:type="dxa"/>
          </w:tcPr>
          <w:p w14:paraId="2077F9A6" w14:textId="77777777" w:rsidR="00BE66B0" w:rsidRPr="00B85D0E" w:rsidRDefault="00BE66B0" w:rsidP="00E92F96">
            <w:pPr>
              <w:ind w:left="57" w:right="57"/>
              <w:jc w:val="center"/>
            </w:pPr>
            <w:r w:rsidRPr="00B85D0E">
              <w:t>0</w:t>
            </w:r>
          </w:p>
        </w:tc>
        <w:tc>
          <w:tcPr>
            <w:tcW w:w="1269" w:type="dxa"/>
          </w:tcPr>
          <w:p w14:paraId="35B12362" w14:textId="77777777" w:rsidR="00BE66B0" w:rsidRPr="00B85D0E" w:rsidRDefault="00BE66B0" w:rsidP="00E92F96">
            <w:pPr>
              <w:ind w:left="57" w:right="57"/>
              <w:jc w:val="center"/>
            </w:pPr>
            <w:r w:rsidRPr="00B85D0E">
              <w:t>0</w:t>
            </w:r>
          </w:p>
        </w:tc>
      </w:tr>
      <w:tr w:rsidR="00BE66B0" w:rsidRPr="00B85D0E" w14:paraId="2024B470" w14:textId="77777777" w:rsidTr="00B4518A">
        <w:trPr>
          <w:jc w:val="center"/>
        </w:trPr>
        <w:tc>
          <w:tcPr>
            <w:tcW w:w="2547" w:type="dxa"/>
            <w:vMerge/>
          </w:tcPr>
          <w:p w14:paraId="122CF118" w14:textId="77777777" w:rsidR="00BE66B0" w:rsidRPr="00B85D0E" w:rsidRDefault="00BE66B0" w:rsidP="00E92F96">
            <w:pPr>
              <w:ind w:left="57" w:right="57"/>
              <w:rPr>
                <w:rFonts w:eastAsia="Calibri"/>
                <w:lang w:eastAsia="en-US"/>
              </w:rPr>
            </w:pPr>
          </w:p>
        </w:tc>
        <w:tc>
          <w:tcPr>
            <w:tcW w:w="1276" w:type="dxa"/>
            <w:vMerge/>
          </w:tcPr>
          <w:p w14:paraId="6129DF7D" w14:textId="77777777" w:rsidR="00BE66B0" w:rsidRPr="00B85D0E" w:rsidRDefault="00BE66B0" w:rsidP="00E92F96">
            <w:pPr>
              <w:ind w:left="57" w:right="57"/>
              <w:jc w:val="center"/>
              <w:rPr>
                <w:i/>
              </w:rPr>
            </w:pPr>
          </w:p>
        </w:tc>
        <w:tc>
          <w:tcPr>
            <w:tcW w:w="1417" w:type="dxa"/>
          </w:tcPr>
          <w:p w14:paraId="1E6F99FA" w14:textId="77777777" w:rsidR="00BE66B0" w:rsidRPr="00B85D0E" w:rsidRDefault="00BE66B0" w:rsidP="00E92F96">
            <w:pPr>
              <w:ind w:left="57" w:right="57"/>
              <w:jc w:val="center"/>
            </w:pPr>
            <w:r w:rsidRPr="00B85D0E">
              <w:t>0</w:t>
            </w:r>
          </w:p>
        </w:tc>
        <w:tc>
          <w:tcPr>
            <w:tcW w:w="1276" w:type="dxa"/>
          </w:tcPr>
          <w:p w14:paraId="3A72BDF3" w14:textId="77777777" w:rsidR="00BE66B0" w:rsidRPr="00B85D0E" w:rsidRDefault="00BE66B0" w:rsidP="00E92F96">
            <w:pPr>
              <w:ind w:left="57" w:right="57"/>
              <w:jc w:val="center"/>
            </w:pPr>
            <w:r w:rsidRPr="00B85D0E">
              <w:t>0</w:t>
            </w:r>
          </w:p>
        </w:tc>
        <w:tc>
          <w:tcPr>
            <w:tcW w:w="1276" w:type="dxa"/>
          </w:tcPr>
          <w:p w14:paraId="5EEDDA9C" w14:textId="77777777" w:rsidR="00BE66B0" w:rsidRPr="00B85D0E" w:rsidRDefault="00BE66B0" w:rsidP="00E92F96">
            <w:pPr>
              <w:ind w:left="57" w:right="57"/>
              <w:jc w:val="center"/>
            </w:pPr>
            <w:r w:rsidRPr="00B85D0E">
              <w:t>0</w:t>
            </w:r>
          </w:p>
        </w:tc>
        <w:tc>
          <w:tcPr>
            <w:tcW w:w="1269" w:type="dxa"/>
          </w:tcPr>
          <w:p w14:paraId="65E86983" w14:textId="77777777" w:rsidR="00BE66B0" w:rsidRPr="00B85D0E" w:rsidRDefault="00BE66B0" w:rsidP="00E92F96">
            <w:pPr>
              <w:ind w:left="57" w:right="57"/>
              <w:jc w:val="center"/>
            </w:pPr>
            <w:r w:rsidRPr="00B85D0E">
              <w:t>0</w:t>
            </w:r>
          </w:p>
        </w:tc>
      </w:tr>
      <w:tr w:rsidR="00BE66B0" w:rsidRPr="00B85D0E" w14:paraId="6C18F319" w14:textId="77777777" w:rsidTr="00B4518A">
        <w:trPr>
          <w:jc w:val="center"/>
        </w:trPr>
        <w:tc>
          <w:tcPr>
            <w:tcW w:w="2547" w:type="dxa"/>
          </w:tcPr>
          <w:p w14:paraId="3B2AEB1A" w14:textId="77777777" w:rsidR="00BE66B0" w:rsidRPr="00B85D0E" w:rsidRDefault="00BE66B0" w:rsidP="00E92F96">
            <w:pPr>
              <w:ind w:left="57" w:right="57"/>
              <w:rPr>
                <w:rFonts w:eastAsia="Calibri"/>
                <w:lang w:eastAsia="en-US"/>
              </w:rPr>
            </w:pPr>
            <w:r w:rsidRPr="00B85D0E">
              <w:rPr>
                <w:rFonts w:eastAsia="Calibri"/>
                <w:lang w:eastAsia="en-US"/>
              </w:rPr>
              <w:t>5. Precizēta finansiālā ietekme:</w:t>
            </w:r>
          </w:p>
        </w:tc>
        <w:tc>
          <w:tcPr>
            <w:tcW w:w="1276" w:type="dxa"/>
            <w:vMerge w:val="restart"/>
          </w:tcPr>
          <w:p w14:paraId="788A2A0C" w14:textId="77777777" w:rsidR="00BE66B0" w:rsidRPr="00B85D0E" w:rsidRDefault="00BE66B0" w:rsidP="00E92F96">
            <w:pPr>
              <w:ind w:left="57" w:right="57"/>
              <w:jc w:val="center"/>
              <w:rPr>
                <w:i/>
              </w:rPr>
            </w:pPr>
            <w:r w:rsidRPr="00B85D0E">
              <w:t>0</w:t>
            </w:r>
          </w:p>
        </w:tc>
        <w:tc>
          <w:tcPr>
            <w:tcW w:w="1417" w:type="dxa"/>
          </w:tcPr>
          <w:p w14:paraId="677BF3E3" w14:textId="77777777" w:rsidR="00BE66B0" w:rsidRPr="00B85D0E" w:rsidRDefault="00BE66B0" w:rsidP="00E92F96">
            <w:pPr>
              <w:ind w:left="57" w:right="57"/>
              <w:jc w:val="center"/>
            </w:pPr>
            <w:r w:rsidRPr="00B85D0E">
              <w:t>0</w:t>
            </w:r>
          </w:p>
        </w:tc>
        <w:tc>
          <w:tcPr>
            <w:tcW w:w="1276" w:type="dxa"/>
          </w:tcPr>
          <w:p w14:paraId="19482A1A" w14:textId="77777777" w:rsidR="00BE66B0" w:rsidRPr="00B85D0E" w:rsidRDefault="00BE66B0" w:rsidP="00E92F96">
            <w:pPr>
              <w:ind w:left="57" w:right="57"/>
              <w:jc w:val="center"/>
            </w:pPr>
            <w:r w:rsidRPr="00B85D0E">
              <w:t>0</w:t>
            </w:r>
          </w:p>
        </w:tc>
        <w:tc>
          <w:tcPr>
            <w:tcW w:w="1276" w:type="dxa"/>
          </w:tcPr>
          <w:p w14:paraId="0083EABC" w14:textId="77777777" w:rsidR="00BE66B0" w:rsidRPr="00B85D0E" w:rsidRDefault="00BE66B0" w:rsidP="00E92F96">
            <w:pPr>
              <w:ind w:left="57" w:right="57"/>
              <w:jc w:val="center"/>
            </w:pPr>
            <w:r w:rsidRPr="00B85D0E">
              <w:t>0</w:t>
            </w:r>
          </w:p>
        </w:tc>
        <w:tc>
          <w:tcPr>
            <w:tcW w:w="1269" w:type="dxa"/>
          </w:tcPr>
          <w:p w14:paraId="5FD0E61E" w14:textId="77777777" w:rsidR="00BE66B0" w:rsidRPr="00B85D0E" w:rsidRDefault="00BE66B0" w:rsidP="00E92F96">
            <w:pPr>
              <w:ind w:left="57" w:right="57"/>
              <w:jc w:val="center"/>
            </w:pPr>
            <w:r w:rsidRPr="00B85D0E">
              <w:t>0</w:t>
            </w:r>
          </w:p>
        </w:tc>
      </w:tr>
      <w:tr w:rsidR="00BE66B0" w:rsidRPr="00B85D0E" w14:paraId="697723BE" w14:textId="77777777" w:rsidTr="00B4518A">
        <w:trPr>
          <w:jc w:val="center"/>
        </w:trPr>
        <w:tc>
          <w:tcPr>
            <w:tcW w:w="2547" w:type="dxa"/>
          </w:tcPr>
          <w:p w14:paraId="14330876" w14:textId="77777777" w:rsidR="00BE66B0" w:rsidRPr="00B85D0E" w:rsidRDefault="00BE66B0" w:rsidP="00E92F96">
            <w:pPr>
              <w:ind w:left="57" w:right="57"/>
              <w:rPr>
                <w:rFonts w:eastAsia="Calibri"/>
                <w:lang w:eastAsia="en-US"/>
              </w:rPr>
            </w:pPr>
            <w:r w:rsidRPr="00B85D0E">
              <w:rPr>
                <w:rFonts w:eastAsia="Calibri"/>
                <w:lang w:eastAsia="en-US"/>
              </w:rPr>
              <w:t>5.1. valsts pamatbudžets</w:t>
            </w:r>
          </w:p>
        </w:tc>
        <w:tc>
          <w:tcPr>
            <w:tcW w:w="1276" w:type="dxa"/>
            <w:vMerge/>
            <w:vAlign w:val="center"/>
          </w:tcPr>
          <w:p w14:paraId="04D84C72" w14:textId="77777777" w:rsidR="00BE66B0" w:rsidRPr="00B85D0E" w:rsidRDefault="00BE66B0" w:rsidP="00E92F96">
            <w:pPr>
              <w:ind w:left="57" w:right="57"/>
              <w:jc w:val="center"/>
              <w:rPr>
                <w:i/>
              </w:rPr>
            </w:pPr>
          </w:p>
        </w:tc>
        <w:tc>
          <w:tcPr>
            <w:tcW w:w="1417" w:type="dxa"/>
          </w:tcPr>
          <w:p w14:paraId="78F96004" w14:textId="77777777" w:rsidR="00BE66B0" w:rsidRPr="00B85D0E" w:rsidRDefault="00BE66B0" w:rsidP="00E92F96">
            <w:pPr>
              <w:ind w:left="57" w:right="57"/>
              <w:jc w:val="center"/>
            </w:pPr>
            <w:r w:rsidRPr="00B85D0E">
              <w:t>0</w:t>
            </w:r>
          </w:p>
        </w:tc>
        <w:tc>
          <w:tcPr>
            <w:tcW w:w="1276" w:type="dxa"/>
          </w:tcPr>
          <w:p w14:paraId="11E578E9" w14:textId="77777777" w:rsidR="00BE66B0" w:rsidRPr="00B85D0E" w:rsidRDefault="00BE66B0" w:rsidP="00E92F96">
            <w:pPr>
              <w:ind w:left="57" w:right="57"/>
              <w:jc w:val="center"/>
            </w:pPr>
            <w:r w:rsidRPr="00B85D0E">
              <w:t>0</w:t>
            </w:r>
          </w:p>
        </w:tc>
        <w:tc>
          <w:tcPr>
            <w:tcW w:w="1276" w:type="dxa"/>
          </w:tcPr>
          <w:p w14:paraId="2B5C3513" w14:textId="77777777" w:rsidR="00BE66B0" w:rsidRPr="00B85D0E" w:rsidRDefault="00BE66B0" w:rsidP="00E92F96">
            <w:pPr>
              <w:ind w:left="57" w:right="57"/>
              <w:jc w:val="center"/>
            </w:pPr>
            <w:r w:rsidRPr="00B85D0E">
              <w:t>0</w:t>
            </w:r>
          </w:p>
        </w:tc>
        <w:tc>
          <w:tcPr>
            <w:tcW w:w="1269" w:type="dxa"/>
          </w:tcPr>
          <w:p w14:paraId="0B6CD6BF" w14:textId="77777777" w:rsidR="00BE66B0" w:rsidRPr="00B85D0E" w:rsidRDefault="00BE66B0" w:rsidP="00E92F96">
            <w:pPr>
              <w:ind w:left="57" w:right="57"/>
              <w:jc w:val="center"/>
            </w:pPr>
            <w:r w:rsidRPr="00B85D0E">
              <w:t>0</w:t>
            </w:r>
          </w:p>
        </w:tc>
      </w:tr>
      <w:tr w:rsidR="00BE66B0" w:rsidRPr="00B85D0E" w14:paraId="642044EB" w14:textId="77777777" w:rsidTr="00B4518A">
        <w:trPr>
          <w:jc w:val="center"/>
        </w:trPr>
        <w:tc>
          <w:tcPr>
            <w:tcW w:w="2547" w:type="dxa"/>
          </w:tcPr>
          <w:p w14:paraId="1AA31F5F" w14:textId="77777777" w:rsidR="00BE66B0" w:rsidRPr="00B85D0E" w:rsidRDefault="00BE66B0" w:rsidP="00E92F96">
            <w:pPr>
              <w:ind w:left="57" w:right="57"/>
              <w:rPr>
                <w:rFonts w:eastAsia="Calibri"/>
                <w:lang w:eastAsia="en-US"/>
              </w:rPr>
            </w:pPr>
            <w:r w:rsidRPr="00B85D0E">
              <w:rPr>
                <w:rFonts w:eastAsia="Calibri"/>
                <w:lang w:eastAsia="en-US"/>
              </w:rPr>
              <w:t>5.2. speciālais budžets</w:t>
            </w:r>
          </w:p>
        </w:tc>
        <w:tc>
          <w:tcPr>
            <w:tcW w:w="1276" w:type="dxa"/>
            <w:vMerge/>
            <w:vAlign w:val="center"/>
          </w:tcPr>
          <w:p w14:paraId="7EF72FD6" w14:textId="77777777" w:rsidR="00BE66B0" w:rsidRPr="00B85D0E" w:rsidRDefault="00BE66B0" w:rsidP="00E92F96">
            <w:pPr>
              <w:ind w:left="57" w:right="57"/>
              <w:jc w:val="center"/>
              <w:rPr>
                <w:i/>
              </w:rPr>
            </w:pPr>
          </w:p>
        </w:tc>
        <w:tc>
          <w:tcPr>
            <w:tcW w:w="1417" w:type="dxa"/>
          </w:tcPr>
          <w:p w14:paraId="6BF32B03" w14:textId="77777777" w:rsidR="00BE66B0" w:rsidRPr="00B85D0E" w:rsidRDefault="00BE66B0" w:rsidP="00E92F96">
            <w:pPr>
              <w:ind w:left="57" w:right="57"/>
              <w:jc w:val="center"/>
            </w:pPr>
            <w:r w:rsidRPr="00B85D0E">
              <w:t>0</w:t>
            </w:r>
          </w:p>
        </w:tc>
        <w:tc>
          <w:tcPr>
            <w:tcW w:w="1276" w:type="dxa"/>
          </w:tcPr>
          <w:p w14:paraId="6AC5FF1C" w14:textId="77777777" w:rsidR="00BE66B0" w:rsidRPr="00B85D0E" w:rsidRDefault="00BE66B0" w:rsidP="00E92F96">
            <w:pPr>
              <w:ind w:left="57" w:right="57"/>
              <w:jc w:val="center"/>
            </w:pPr>
            <w:r w:rsidRPr="00B85D0E">
              <w:t>0</w:t>
            </w:r>
          </w:p>
        </w:tc>
        <w:tc>
          <w:tcPr>
            <w:tcW w:w="1276" w:type="dxa"/>
          </w:tcPr>
          <w:p w14:paraId="48D8BA1A" w14:textId="77777777" w:rsidR="00BE66B0" w:rsidRPr="00B85D0E" w:rsidRDefault="00BE66B0" w:rsidP="00E92F96">
            <w:pPr>
              <w:ind w:left="57" w:right="57"/>
              <w:jc w:val="center"/>
            </w:pPr>
            <w:r w:rsidRPr="00B85D0E">
              <w:t>0</w:t>
            </w:r>
          </w:p>
        </w:tc>
        <w:tc>
          <w:tcPr>
            <w:tcW w:w="1269" w:type="dxa"/>
          </w:tcPr>
          <w:p w14:paraId="3D6844B2" w14:textId="77777777" w:rsidR="00BE66B0" w:rsidRPr="00B85D0E" w:rsidRDefault="00BE66B0" w:rsidP="00E92F96">
            <w:pPr>
              <w:ind w:left="57" w:right="57"/>
              <w:jc w:val="center"/>
            </w:pPr>
            <w:r w:rsidRPr="00B85D0E">
              <w:t>0</w:t>
            </w:r>
          </w:p>
        </w:tc>
      </w:tr>
      <w:tr w:rsidR="00BE66B0" w:rsidRPr="00B85D0E" w14:paraId="2DA5AD4D" w14:textId="77777777" w:rsidTr="00B4518A">
        <w:trPr>
          <w:jc w:val="center"/>
        </w:trPr>
        <w:tc>
          <w:tcPr>
            <w:tcW w:w="2547" w:type="dxa"/>
          </w:tcPr>
          <w:p w14:paraId="4500C68F" w14:textId="77777777" w:rsidR="00BE66B0" w:rsidRPr="00B85D0E" w:rsidRDefault="00BE66B0" w:rsidP="00E92F96">
            <w:pPr>
              <w:ind w:left="57" w:right="57"/>
              <w:rPr>
                <w:rFonts w:eastAsia="Calibri"/>
                <w:lang w:eastAsia="en-US"/>
              </w:rPr>
            </w:pPr>
            <w:r w:rsidRPr="00B85D0E">
              <w:rPr>
                <w:rFonts w:eastAsia="Calibri"/>
                <w:lang w:eastAsia="en-US"/>
              </w:rPr>
              <w:t xml:space="preserve">5.3. pašvaldību budžets </w:t>
            </w:r>
          </w:p>
        </w:tc>
        <w:tc>
          <w:tcPr>
            <w:tcW w:w="1276" w:type="dxa"/>
            <w:vMerge/>
            <w:vAlign w:val="center"/>
          </w:tcPr>
          <w:p w14:paraId="49CE37F6" w14:textId="77777777" w:rsidR="00BE66B0" w:rsidRPr="00B85D0E" w:rsidRDefault="00BE66B0" w:rsidP="00E92F96">
            <w:pPr>
              <w:ind w:left="57" w:right="57"/>
              <w:jc w:val="center"/>
              <w:rPr>
                <w:i/>
              </w:rPr>
            </w:pPr>
          </w:p>
        </w:tc>
        <w:tc>
          <w:tcPr>
            <w:tcW w:w="1417" w:type="dxa"/>
          </w:tcPr>
          <w:p w14:paraId="0745B44F" w14:textId="77777777" w:rsidR="00BE66B0" w:rsidRPr="00B85D0E" w:rsidRDefault="00BE66B0" w:rsidP="00E92F96">
            <w:pPr>
              <w:ind w:left="57" w:right="57"/>
              <w:jc w:val="center"/>
            </w:pPr>
            <w:r w:rsidRPr="00B85D0E">
              <w:t>0</w:t>
            </w:r>
          </w:p>
        </w:tc>
        <w:tc>
          <w:tcPr>
            <w:tcW w:w="1276" w:type="dxa"/>
          </w:tcPr>
          <w:p w14:paraId="1822E94F" w14:textId="77777777" w:rsidR="00BE66B0" w:rsidRPr="00B85D0E" w:rsidRDefault="00BE66B0" w:rsidP="00E92F96">
            <w:pPr>
              <w:ind w:left="57" w:right="57"/>
              <w:jc w:val="center"/>
            </w:pPr>
            <w:r w:rsidRPr="00B85D0E">
              <w:t>0</w:t>
            </w:r>
          </w:p>
        </w:tc>
        <w:tc>
          <w:tcPr>
            <w:tcW w:w="1276" w:type="dxa"/>
          </w:tcPr>
          <w:p w14:paraId="0E5D2E6E" w14:textId="77777777" w:rsidR="00BE66B0" w:rsidRPr="00B85D0E" w:rsidRDefault="00BE66B0" w:rsidP="00E92F96">
            <w:pPr>
              <w:ind w:left="57" w:right="57"/>
              <w:jc w:val="center"/>
            </w:pPr>
            <w:r w:rsidRPr="00B85D0E">
              <w:t>0</w:t>
            </w:r>
          </w:p>
        </w:tc>
        <w:tc>
          <w:tcPr>
            <w:tcW w:w="1269" w:type="dxa"/>
          </w:tcPr>
          <w:p w14:paraId="27CAE451" w14:textId="77777777" w:rsidR="00BE66B0" w:rsidRPr="00B85D0E" w:rsidRDefault="00BE66B0" w:rsidP="00E92F96">
            <w:pPr>
              <w:ind w:left="57" w:right="57"/>
              <w:jc w:val="center"/>
            </w:pPr>
            <w:r w:rsidRPr="00B85D0E">
              <w:t>0</w:t>
            </w:r>
          </w:p>
        </w:tc>
      </w:tr>
      <w:tr w:rsidR="00BE66B0" w:rsidRPr="00B85D0E" w14:paraId="41DD109A" w14:textId="77777777" w:rsidTr="00B4518A">
        <w:trPr>
          <w:jc w:val="center"/>
        </w:trPr>
        <w:tc>
          <w:tcPr>
            <w:tcW w:w="5240" w:type="dxa"/>
            <w:gridSpan w:val="3"/>
          </w:tcPr>
          <w:p w14:paraId="47F62D74" w14:textId="77777777" w:rsidR="00BE66B0" w:rsidRPr="00B85D0E" w:rsidRDefault="00BE66B0" w:rsidP="00E92F96">
            <w:pPr>
              <w:ind w:left="57" w:right="57"/>
              <w:rPr>
                <w:rFonts w:eastAsia="Calibri"/>
                <w:lang w:eastAsia="en-US"/>
              </w:rPr>
            </w:pPr>
            <w:r w:rsidRPr="00B85D0E">
              <w:rPr>
                <w:rFonts w:eastAsia="Calibri"/>
                <w:lang w:eastAsia="en-US"/>
              </w:rPr>
              <w:t>6. Detalizēts ieņēmumu un izdevu</w:t>
            </w:r>
            <w:r w:rsidRPr="00B85D0E">
              <w:rPr>
                <w:rFonts w:eastAsia="Calibri"/>
                <w:lang w:eastAsia="en-US"/>
              </w:rPr>
              <w:softHyphen/>
              <w:t>mu aprēķins (ja nepieciešams, detalizētu ieņēmumu un izdevumu aprēķinu var pievienot anotācijas pielikumā):</w:t>
            </w:r>
          </w:p>
        </w:tc>
        <w:tc>
          <w:tcPr>
            <w:tcW w:w="3821" w:type="dxa"/>
            <w:gridSpan w:val="3"/>
            <w:vMerge w:val="restart"/>
            <w:vAlign w:val="center"/>
          </w:tcPr>
          <w:p w14:paraId="4A3A83BF" w14:textId="77777777" w:rsidR="00BE66B0" w:rsidRPr="00B85D0E" w:rsidRDefault="00BE66B0" w:rsidP="00E92F96">
            <w:pPr>
              <w:ind w:left="57" w:right="57"/>
              <w:jc w:val="both"/>
            </w:pPr>
            <w:r w:rsidRPr="00B85D0E">
              <w:t>Projekts šo jomu neskar.</w:t>
            </w:r>
          </w:p>
        </w:tc>
      </w:tr>
      <w:tr w:rsidR="00BE66B0" w:rsidRPr="00B85D0E" w14:paraId="7C776DBE" w14:textId="77777777" w:rsidTr="00B4518A">
        <w:trPr>
          <w:jc w:val="center"/>
        </w:trPr>
        <w:tc>
          <w:tcPr>
            <w:tcW w:w="5240" w:type="dxa"/>
            <w:gridSpan w:val="3"/>
          </w:tcPr>
          <w:p w14:paraId="58D2B218" w14:textId="77777777" w:rsidR="00BE66B0" w:rsidRPr="00B85D0E" w:rsidRDefault="00BE66B0" w:rsidP="00E92F96">
            <w:pPr>
              <w:ind w:left="57" w:right="57"/>
              <w:rPr>
                <w:rFonts w:eastAsia="Calibri"/>
                <w:lang w:eastAsia="en-US"/>
              </w:rPr>
            </w:pPr>
            <w:r w:rsidRPr="00B85D0E">
              <w:rPr>
                <w:rFonts w:eastAsia="Calibri"/>
                <w:lang w:eastAsia="en-US"/>
              </w:rPr>
              <w:t>6.1. detalizēts ieņēmumu aprēķins</w:t>
            </w:r>
          </w:p>
        </w:tc>
        <w:tc>
          <w:tcPr>
            <w:tcW w:w="3821" w:type="dxa"/>
            <w:gridSpan w:val="3"/>
            <w:vMerge/>
          </w:tcPr>
          <w:p w14:paraId="26072DDE" w14:textId="77777777" w:rsidR="00BE66B0" w:rsidRPr="00B85D0E" w:rsidRDefault="00BE66B0" w:rsidP="00E92F96">
            <w:pPr>
              <w:ind w:left="57" w:right="57"/>
              <w:jc w:val="both"/>
              <w:rPr>
                <w:b/>
                <w:i/>
              </w:rPr>
            </w:pPr>
          </w:p>
        </w:tc>
      </w:tr>
      <w:tr w:rsidR="00BE66B0" w:rsidRPr="00B85D0E" w14:paraId="45227EAF" w14:textId="77777777" w:rsidTr="00B4518A">
        <w:trPr>
          <w:jc w:val="center"/>
        </w:trPr>
        <w:tc>
          <w:tcPr>
            <w:tcW w:w="5240" w:type="dxa"/>
            <w:gridSpan w:val="3"/>
          </w:tcPr>
          <w:p w14:paraId="0CBA18E6" w14:textId="77777777" w:rsidR="00BE66B0" w:rsidRPr="00B85D0E" w:rsidRDefault="00BE66B0" w:rsidP="00E92F96">
            <w:pPr>
              <w:ind w:left="57" w:right="57"/>
              <w:rPr>
                <w:rFonts w:eastAsia="Calibri"/>
                <w:lang w:eastAsia="en-US"/>
              </w:rPr>
            </w:pPr>
            <w:r w:rsidRPr="00B85D0E">
              <w:rPr>
                <w:rFonts w:eastAsia="Calibri"/>
                <w:lang w:eastAsia="en-US"/>
              </w:rPr>
              <w:t>6.2. detalizēts izdevumu aprēķins</w:t>
            </w:r>
          </w:p>
        </w:tc>
        <w:tc>
          <w:tcPr>
            <w:tcW w:w="3821" w:type="dxa"/>
            <w:gridSpan w:val="3"/>
            <w:vMerge/>
          </w:tcPr>
          <w:p w14:paraId="5A59E13B" w14:textId="77777777" w:rsidR="00BE66B0" w:rsidRPr="00B85D0E" w:rsidRDefault="00BE66B0" w:rsidP="00E92F96">
            <w:pPr>
              <w:ind w:left="57" w:right="57"/>
              <w:jc w:val="both"/>
              <w:rPr>
                <w:b/>
                <w:i/>
              </w:rPr>
            </w:pPr>
          </w:p>
        </w:tc>
      </w:tr>
      <w:tr w:rsidR="00BE66B0" w:rsidRPr="00B85D0E" w14:paraId="13FAAF60" w14:textId="77777777" w:rsidTr="00B4518A">
        <w:trPr>
          <w:jc w:val="center"/>
        </w:trPr>
        <w:tc>
          <w:tcPr>
            <w:tcW w:w="2547" w:type="dxa"/>
          </w:tcPr>
          <w:p w14:paraId="5762C8C7" w14:textId="77777777" w:rsidR="00BE66B0" w:rsidRPr="00B85D0E" w:rsidRDefault="00BE66B0" w:rsidP="00E92F96">
            <w:pPr>
              <w:ind w:left="57" w:right="57"/>
              <w:rPr>
                <w:rFonts w:eastAsia="Calibri"/>
                <w:lang w:eastAsia="en-US"/>
              </w:rPr>
            </w:pPr>
            <w:r w:rsidRPr="00B85D0E">
              <w:rPr>
                <w:rFonts w:eastAsia="Calibri"/>
                <w:lang w:eastAsia="en-US"/>
              </w:rPr>
              <w:t>7. Cita informācija</w:t>
            </w:r>
          </w:p>
        </w:tc>
        <w:tc>
          <w:tcPr>
            <w:tcW w:w="6514" w:type="dxa"/>
            <w:gridSpan w:val="5"/>
          </w:tcPr>
          <w:p w14:paraId="3FBC926C" w14:textId="4002CFD2" w:rsidR="004154BD" w:rsidRDefault="004154BD" w:rsidP="004154BD">
            <w:pPr>
              <w:pStyle w:val="naisf"/>
              <w:ind w:right="57" w:firstLine="0"/>
            </w:pPr>
            <w:r>
              <w:t>Starptautisko kultūras konferenču atbalsta programmas īstenošanai projekta “Rīga – Eiropas Kultūras galvaspilsēta 2014.gadā” ietvaros piešķirtais valsts līdzfinansējums 2015.gadam 73 086 EUR apmērā apstiprināts likumā „Par vidēja termiņa budžeta ietvaru 2013.,</w:t>
            </w:r>
            <w:r w:rsidR="00251E88">
              <w:t xml:space="preserve"> 2014.</w:t>
            </w:r>
            <w:r>
              <w:t>un 2015.gadam”. Iepriekšminētā projekta ietvaros neapgūto finansējumu 73 086 EUR apmērā plānots novirzīt Latvijas tūrisma popularizēšanai ārvalstīs.</w:t>
            </w:r>
          </w:p>
          <w:p w14:paraId="404A080F" w14:textId="181C5991" w:rsidR="004154BD" w:rsidRDefault="00251E88" w:rsidP="004154BD">
            <w:pPr>
              <w:pStyle w:val="naisf"/>
              <w:ind w:right="57" w:firstLine="0"/>
            </w:pPr>
            <w:r>
              <w:t xml:space="preserve">MK rīkojuma projektam </w:t>
            </w:r>
            <w:r w:rsidR="004154BD">
              <w:t xml:space="preserve">nav tiešas ietekmes uz valsts budžeta ieņēmumiem, tomēr </w:t>
            </w:r>
            <w:r>
              <w:t xml:space="preserve">MK rīkojuma projektā </w:t>
            </w:r>
            <w:r w:rsidR="004154BD">
              <w:t>minēto pasākumu īstenošanas rezultātā ir sagaidāmas tūrisma plūsmas palielinājums, kā rezultātā tiks palielināti tūrisma nozarē strādājošo un ar to saistīto apkalpojošo uzņēmumu ieņēmum</w:t>
            </w:r>
            <w:r>
              <w:t>i</w:t>
            </w:r>
            <w:r w:rsidR="004154BD">
              <w:t>, kā rezultātā valsts budžetā tiks ieskai</w:t>
            </w:r>
            <w:r w:rsidR="004F3A8E">
              <w:t>tīti lielāki nodokļu maksājumi.</w:t>
            </w:r>
          </w:p>
          <w:p w14:paraId="73240495" w14:textId="2E5D6551" w:rsidR="004154BD" w:rsidRDefault="004154BD" w:rsidP="004154BD">
            <w:pPr>
              <w:pStyle w:val="naisf"/>
              <w:ind w:right="57" w:firstLine="0"/>
            </w:pPr>
            <w:r>
              <w:t xml:space="preserve">Centrālās statistikas pārvaldes apkopotie </w:t>
            </w:r>
            <w:proofErr w:type="spellStart"/>
            <w:r>
              <w:t>robežšķērsotāju</w:t>
            </w:r>
            <w:proofErr w:type="spellEnd"/>
            <w:r>
              <w:t xml:space="preserve"> </w:t>
            </w:r>
            <w:proofErr w:type="spellStart"/>
            <w:r>
              <w:t>apsekojuma</w:t>
            </w:r>
            <w:proofErr w:type="spellEnd"/>
            <w:r>
              <w:t xml:space="preserve"> dati liecina, ka 2014. gadā viens ceļotājs Latvijā </w:t>
            </w:r>
            <w:r>
              <w:lastRenderedPageBreak/>
              <w:t xml:space="preserve">diennaktī iztērēja vidēji 74 EUR.  Ņemot vērā to, ka 2014.gadā tika uzskaitīti 6,2 miljoni </w:t>
            </w:r>
            <w:proofErr w:type="spellStart"/>
            <w:r>
              <w:t>robežšķērsojumi</w:t>
            </w:r>
            <w:proofErr w:type="spellEnd"/>
            <w:r>
              <w:t xml:space="preserve">, kopējie ārvalstu ceļotāju izdevumi Latvijā sasniedza 669 miljonus EUR. Tūrisma nozarē tūrists maksā gan PVN nodokļa </w:t>
            </w:r>
            <w:proofErr w:type="spellStart"/>
            <w:r>
              <w:t>standartlikmi</w:t>
            </w:r>
            <w:proofErr w:type="spellEnd"/>
            <w:r>
              <w:t xml:space="preserve"> 21% apmērā, gan arī nodokļa samazināto likmi 12% apmērā, kas piemērota izmitināšanas pakalpojumiem tūristu mītnēs. Līdz ar to indikatīvi no viena tūrista PVN maksājuma valsts budžeta ieņēmumi svārstās vidēji no 9 līdz 15 EUR. </w:t>
            </w:r>
          </w:p>
          <w:p w14:paraId="03BD65E5" w14:textId="7B227C81" w:rsidR="00BE66B0" w:rsidRPr="00B85D0E" w:rsidRDefault="00A84172" w:rsidP="004154BD">
            <w:pPr>
              <w:jc w:val="both"/>
            </w:pPr>
            <w:r>
              <w:t>P</w:t>
            </w:r>
            <w:r w:rsidR="004154BD">
              <w:t>recīzākus aprēķinus par plānotajiem nodokļu ieņēmumiem nav iespējams veikt, jo faktiskais rezultāts atkarīgs no daudziem faktoriem.</w:t>
            </w:r>
          </w:p>
        </w:tc>
      </w:tr>
    </w:tbl>
    <w:p w14:paraId="5046B052" w14:textId="77777777" w:rsidR="00BD64FD" w:rsidRPr="00B85D0E" w:rsidRDefault="00BD64FD" w:rsidP="00F7296D"/>
    <w:tbl>
      <w:tblPr>
        <w:tblW w:w="5000" w:type="pct"/>
        <w:tblBorders>
          <w:top w:val="outset" w:sz="6" w:space="0" w:color="000000"/>
          <w:left w:val="outset" w:sz="6" w:space="0" w:color="000000"/>
          <w:bottom w:val="outset" w:sz="6" w:space="0" w:color="000000"/>
          <w:right w:val="outset" w:sz="6" w:space="0" w:color="000000"/>
        </w:tblBorders>
        <w:tblCellMar>
          <w:top w:w="113" w:type="dxa"/>
          <w:left w:w="113" w:type="dxa"/>
          <w:bottom w:w="113" w:type="dxa"/>
          <w:right w:w="113" w:type="dxa"/>
        </w:tblCellMar>
        <w:tblLook w:val="04A0" w:firstRow="1" w:lastRow="0" w:firstColumn="1" w:lastColumn="0" w:noHBand="0" w:noVBand="1"/>
      </w:tblPr>
      <w:tblGrid>
        <w:gridCol w:w="408"/>
        <w:gridCol w:w="4547"/>
        <w:gridCol w:w="4100"/>
      </w:tblGrid>
      <w:tr w:rsidR="00F7296D" w:rsidRPr="00B85D0E" w14:paraId="3533C14F" w14:textId="77777777" w:rsidTr="00ED39CF">
        <w:tc>
          <w:tcPr>
            <w:tcW w:w="0" w:type="auto"/>
            <w:gridSpan w:val="3"/>
            <w:tcBorders>
              <w:top w:val="outset" w:sz="6" w:space="0" w:color="000000"/>
              <w:left w:val="outset" w:sz="6" w:space="0" w:color="000000"/>
              <w:bottom w:val="outset" w:sz="6" w:space="0" w:color="000000"/>
              <w:right w:val="outset" w:sz="6" w:space="0" w:color="000000"/>
            </w:tcBorders>
            <w:hideMark/>
          </w:tcPr>
          <w:p w14:paraId="42E70EE8" w14:textId="77777777" w:rsidR="00F7296D" w:rsidRPr="00B85D0E" w:rsidRDefault="00F7296D" w:rsidP="00ED39CF">
            <w:pPr>
              <w:jc w:val="center"/>
              <w:rPr>
                <w:b/>
                <w:bCs/>
              </w:rPr>
            </w:pPr>
            <w:r w:rsidRPr="00B85D0E">
              <w:rPr>
                <w:b/>
                <w:bCs/>
              </w:rPr>
              <w:t>VII. Tiesību akta projekta izpildes nodrošināšana un tās ietekme uz institūcijām</w:t>
            </w:r>
          </w:p>
        </w:tc>
      </w:tr>
      <w:tr w:rsidR="00F7296D" w:rsidRPr="00B85D0E" w14:paraId="66F6E5F3" w14:textId="77777777" w:rsidTr="00B4518A">
        <w:trPr>
          <w:trHeight w:val="671"/>
        </w:trPr>
        <w:tc>
          <w:tcPr>
            <w:tcW w:w="0" w:type="auto"/>
            <w:tcBorders>
              <w:top w:val="outset" w:sz="6" w:space="0" w:color="000000"/>
              <w:left w:val="outset" w:sz="6" w:space="0" w:color="000000"/>
              <w:bottom w:val="outset" w:sz="6" w:space="0" w:color="000000"/>
              <w:right w:val="outset" w:sz="6" w:space="0" w:color="000000"/>
            </w:tcBorders>
            <w:hideMark/>
          </w:tcPr>
          <w:p w14:paraId="1D8BC42D" w14:textId="77777777" w:rsidR="00F7296D" w:rsidRPr="00B85D0E" w:rsidRDefault="00F7296D" w:rsidP="00ED39CF">
            <w:r w:rsidRPr="00B85D0E">
              <w:t>1.</w:t>
            </w:r>
          </w:p>
        </w:tc>
        <w:tc>
          <w:tcPr>
            <w:tcW w:w="2511" w:type="pct"/>
            <w:tcBorders>
              <w:top w:val="outset" w:sz="6" w:space="0" w:color="000000"/>
              <w:left w:val="outset" w:sz="6" w:space="0" w:color="000000"/>
              <w:bottom w:val="outset" w:sz="6" w:space="0" w:color="000000"/>
              <w:right w:val="outset" w:sz="6" w:space="0" w:color="000000"/>
            </w:tcBorders>
            <w:hideMark/>
          </w:tcPr>
          <w:p w14:paraId="15F1A8F9" w14:textId="77777777" w:rsidR="00F7296D" w:rsidRPr="00B85D0E" w:rsidRDefault="00F7296D" w:rsidP="00ED39CF">
            <w:r w:rsidRPr="00B85D0E">
              <w:t>Projekta izpildē iesaistītās institūcijas</w:t>
            </w:r>
          </w:p>
        </w:tc>
        <w:tc>
          <w:tcPr>
            <w:tcW w:w="2264" w:type="pct"/>
            <w:tcBorders>
              <w:top w:val="outset" w:sz="6" w:space="0" w:color="000000"/>
              <w:left w:val="outset" w:sz="6" w:space="0" w:color="000000"/>
              <w:bottom w:val="outset" w:sz="6" w:space="0" w:color="000000"/>
              <w:right w:val="outset" w:sz="6" w:space="0" w:color="000000"/>
            </w:tcBorders>
            <w:hideMark/>
          </w:tcPr>
          <w:p w14:paraId="72EC1BE4" w14:textId="77777777" w:rsidR="00FB77D8" w:rsidRPr="00B85D0E" w:rsidRDefault="00045B48" w:rsidP="00251E88">
            <w:pPr>
              <w:jc w:val="both"/>
              <w:rPr>
                <w:iCs/>
              </w:rPr>
            </w:pPr>
            <w:r w:rsidRPr="00B85D0E">
              <w:rPr>
                <w:iCs/>
              </w:rPr>
              <w:t>Ekonomikas ministrija, Finanšu ministrija,</w:t>
            </w:r>
            <w:r w:rsidRPr="00B85D0E">
              <w:rPr>
                <w:iCs/>
              </w:rPr>
              <w:br/>
              <w:t>Tūrisma attīstības valsts aģentūra</w:t>
            </w:r>
          </w:p>
        </w:tc>
      </w:tr>
      <w:tr w:rsidR="00F7296D" w:rsidRPr="00B85D0E" w14:paraId="44A21ADB" w14:textId="77777777" w:rsidTr="00B4518A">
        <w:tc>
          <w:tcPr>
            <w:tcW w:w="0" w:type="auto"/>
            <w:tcBorders>
              <w:top w:val="outset" w:sz="6" w:space="0" w:color="000000"/>
              <w:left w:val="outset" w:sz="6" w:space="0" w:color="000000"/>
              <w:bottom w:val="outset" w:sz="6" w:space="0" w:color="000000"/>
              <w:right w:val="outset" w:sz="6" w:space="0" w:color="000000"/>
            </w:tcBorders>
            <w:hideMark/>
          </w:tcPr>
          <w:p w14:paraId="28E07950" w14:textId="77777777" w:rsidR="00F7296D" w:rsidRPr="00B85D0E" w:rsidRDefault="00F7296D" w:rsidP="00ED39CF">
            <w:r w:rsidRPr="00B85D0E">
              <w:t>2.</w:t>
            </w:r>
          </w:p>
        </w:tc>
        <w:tc>
          <w:tcPr>
            <w:tcW w:w="2511" w:type="pct"/>
            <w:tcBorders>
              <w:top w:val="outset" w:sz="6" w:space="0" w:color="000000"/>
              <w:left w:val="outset" w:sz="6" w:space="0" w:color="000000"/>
              <w:bottom w:val="outset" w:sz="6" w:space="0" w:color="000000"/>
              <w:right w:val="outset" w:sz="6" w:space="0" w:color="000000"/>
            </w:tcBorders>
            <w:hideMark/>
          </w:tcPr>
          <w:p w14:paraId="469ACA54" w14:textId="77777777" w:rsidR="00F7296D" w:rsidRPr="00B85D0E" w:rsidRDefault="00F7296D" w:rsidP="00ED39CF">
            <w:r w:rsidRPr="00B85D0E">
              <w:t xml:space="preserve">Projekta izpildes ietekme uz pārvaldes funkcijām un institucionālo struktūru. </w:t>
            </w:r>
          </w:p>
          <w:p w14:paraId="3B50D14E" w14:textId="77777777" w:rsidR="00F7296D" w:rsidRPr="00B85D0E" w:rsidRDefault="00F7296D" w:rsidP="00ED39CF">
            <w:r w:rsidRPr="00B85D0E">
              <w:t>Jaunu institūciju izveide, esošu institūciju likvidācija vai reorganizācija, to ietekme uz institūcijas cilvēkresursiem</w:t>
            </w:r>
          </w:p>
        </w:tc>
        <w:tc>
          <w:tcPr>
            <w:tcW w:w="2264" w:type="pct"/>
            <w:tcBorders>
              <w:top w:val="outset" w:sz="6" w:space="0" w:color="000000"/>
              <w:left w:val="outset" w:sz="6" w:space="0" w:color="000000"/>
              <w:bottom w:val="outset" w:sz="6" w:space="0" w:color="000000"/>
              <w:right w:val="outset" w:sz="6" w:space="0" w:color="000000"/>
            </w:tcBorders>
            <w:hideMark/>
          </w:tcPr>
          <w:p w14:paraId="267A808B" w14:textId="4C76FA66" w:rsidR="00F7296D" w:rsidRPr="00B85D0E" w:rsidRDefault="00B13798" w:rsidP="00251E88">
            <w:pPr>
              <w:jc w:val="both"/>
            </w:pPr>
            <w:r w:rsidRPr="00B85D0E">
              <w:rPr>
                <w:bCs/>
              </w:rPr>
              <w:t xml:space="preserve">Saistībā ar </w:t>
            </w:r>
            <w:r w:rsidR="00251E88">
              <w:t>MK rīkojuma projekta</w:t>
            </w:r>
            <w:r w:rsidRPr="00B85D0E">
              <w:rPr>
                <w:bCs/>
              </w:rPr>
              <w:t xml:space="preserve"> izpildi nav plānots radīt jaunas valsts pārvaldes institūcijas vai likvidēt esošās valsts pārvaldes institūcijas, vai reorganizēt esošās valsts pārvaldes institūcijas. </w:t>
            </w:r>
            <w:r w:rsidR="007D727A">
              <w:t>MK rīkojuma projekta</w:t>
            </w:r>
            <w:r w:rsidRPr="00B85D0E">
              <w:rPr>
                <w:bCs/>
              </w:rPr>
              <w:t xml:space="preserve"> izpilde notiks esošo pārvaldes funkciju ietvaros.</w:t>
            </w:r>
          </w:p>
        </w:tc>
      </w:tr>
      <w:tr w:rsidR="00F7296D" w:rsidRPr="00B85D0E" w14:paraId="33C600F9" w14:textId="77777777" w:rsidTr="00B4518A">
        <w:tc>
          <w:tcPr>
            <w:tcW w:w="0" w:type="auto"/>
            <w:tcBorders>
              <w:top w:val="outset" w:sz="6" w:space="0" w:color="000000"/>
              <w:left w:val="outset" w:sz="6" w:space="0" w:color="000000"/>
              <w:bottom w:val="outset" w:sz="6" w:space="0" w:color="000000"/>
              <w:right w:val="outset" w:sz="6" w:space="0" w:color="000000"/>
            </w:tcBorders>
            <w:hideMark/>
          </w:tcPr>
          <w:p w14:paraId="19ED0C8B" w14:textId="77777777" w:rsidR="00F7296D" w:rsidRPr="00B85D0E" w:rsidRDefault="00F7296D" w:rsidP="00ED39CF">
            <w:r w:rsidRPr="00B85D0E">
              <w:t>3.</w:t>
            </w:r>
          </w:p>
        </w:tc>
        <w:tc>
          <w:tcPr>
            <w:tcW w:w="2511" w:type="pct"/>
            <w:tcBorders>
              <w:top w:val="outset" w:sz="6" w:space="0" w:color="000000"/>
              <w:left w:val="outset" w:sz="6" w:space="0" w:color="000000"/>
              <w:bottom w:val="outset" w:sz="6" w:space="0" w:color="000000"/>
              <w:right w:val="outset" w:sz="6" w:space="0" w:color="000000"/>
            </w:tcBorders>
            <w:hideMark/>
          </w:tcPr>
          <w:p w14:paraId="3606E0D3" w14:textId="77777777" w:rsidR="00F7296D" w:rsidRPr="00B85D0E" w:rsidRDefault="00F7296D" w:rsidP="00ED39CF">
            <w:r w:rsidRPr="00B85D0E">
              <w:t>Cita informācija</w:t>
            </w:r>
          </w:p>
        </w:tc>
        <w:tc>
          <w:tcPr>
            <w:tcW w:w="2264" w:type="pct"/>
            <w:tcBorders>
              <w:top w:val="outset" w:sz="6" w:space="0" w:color="000000"/>
              <w:left w:val="outset" w:sz="6" w:space="0" w:color="000000"/>
              <w:bottom w:val="outset" w:sz="6" w:space="0" w:color="000000"/>
              <w:right w:val="outset" w:sz="6" w:space="0" w:color="000000"/>
            </w:tcBorders>
            <w:hideMark/>
          </w:tcPr>
          <w:p w14:paraId="40EBDE90" w14:textId="77777777" w:rsidR="00F7296D" w:rsidRPr="00B85D0E" w:rsidRDefault="00690D4A" w:rsidP="00690D4A">
            <w:pPr>
              <w:jc w:val="both"/>
            </w:pPr>
            <w:r w:rsidRPr="00B85D0E">
              <w:t>Nav</w:t>
            </w:r>
          </w:p>
        </w:tc>
      </w:tr>
    </w:tbl>
    <w:p w14:paraId="4E200EF2" w14:textId="77777777" w:rsidR="00214094" w:rsidRPr="00B85D0E" w:rsidRDefault="00214094" w:rsidP="00E90EE8">
      <w:pPr>
        <w:pStyle w:val="naisf"/>
        <w:tabs>
          <w:tab w:val="left" w:pos="5760"/>
        </w:tabs>
        <w:spacing w:before="0" w:after="0"/>
        <w:ind w:firstLine="0"/>
      </w:pPr>
    </w:p>
    <w:p w14:paraId="3EEA467C" w14:textId="77777777" w:rsidR="00532918" w:rsidRPr="00B85D0E" w:rsidRDefault="00532918" w:rsidP="00532918">
      <w:pPr>
        <w:pStyle w:val="naisf"/>
        <w:spacing w:before="0" w:after="0"/>
      </w:pPr>
      <w:r w:rsidRPr="00B85D0E">
        <w:t>IV</w:t>
      </w:r>
      <w:r w:rsidR="00BE66B0" w:rsidRPr="00B85D0E">
        <w:t>, V un VI</w:t>
      </w:r>
      <w:r w:rsidR="00E42298" w:rsidRPr="00B85D0E">
        <w:t xml:space="preserve"> sadaļa </w:t>
      </w:r>
      <w:r w:rsidRPr="00B85D0E">
        <w:t>– projekts šīs jomas neskar.</w:t>
      </w:r>
    </w:p>
    <w:p w14:paraId="36AF1513" w14:textId="77777777" w:rsidR="00FB04B6" w:rsidRPr="00B85D0E" w:rsidRDefault="00FB04B6" w:rsidP="00E42298">
      <w:pPr>
        <w:pStyle w:val="Header"/>
        <w:tabs>
          <w:tab w:val="clear" w:pos="8306"/>
          <w:tab w:val="right" w:pos="9072"/>
        </w:tabs>
      </w:pPr>
    </w:p>
    <w:p w14:paraId="75C8590F" w14:textId="77777777" w:rsidR="00FB04B6" w:rsidRPr="00B85D0E" w:rsidRDefault="00FB04B6" w:rsidP="00FB04B6">
      <w:pPr>
        <w:tabs>
          <w:tab w:val="left" w:pos="6789"/>
        </w:tabs>
      </w:pPr>
      <w:r w:rsidRPr="00B85D0E">
        <w:t xml:space="preserve">Ministru </w:t>
      </w:r>
      <w:r w:rsidR="00090F52" w:rsidRPr="00B85D0E">
        <w:t>prezidente</w:t>
      </w:r>
      <w:r w:rsidR="00090F52" w:rsidRPr="00B85D0E">
        <w:tab/>
      </w:r>
      <w:proofErr w:type="spellStart"/>
      <w:r w:rsidRPr="00B85D0E">
        <w:t>L.Straujuma</w:t>
      </w:r>
      <w:proofErr w:type="spellEnd"/>
    </w:p>
    <w:p w14:paraId="7C3AF15D" w14:textId="77777777" w:rsidR="00090F52" w:rsidRDefault="00090F52" w:rsidP="00FB04B6">
      <w:pPr>
        <w:tabs>
          <w:tab w:val="left" w:pos="6789"/>
        </w:tabs>
      </w:pPr>
    </w:p>
    <w:p w14:paraId="6A1AEB2C" w14:textId="77777777" w:rsidR="002F3222" w:rsidRPr="00B85D0E" w:rsidRDefault="002F3222" w:rsidP="00FB04B6">
      <w:pPr>
        <w:tabs>
          <w:tab w:val="left" w:pos="6789"/>
        </w:tabs>
      </w:pPr>
    </w:p>
    <w:p w14:paraId="7C4A6C93" w14:textId="77777777" w:rsidR="00FB04B6" w:rsidRPr="00B85D0E" w:rsidRDefault="00FB04B6" w:rsidP="00FB04B6">
      <w:pPr>
        <w:tabs>
          <w:tab w:val="left" w:pos="6803"/>
          <w:tab w:val="right" w:pos="9072"/>
        </w:tabs>
      </w:pPr>
      <w:r w:rsidRPr="00B85D0E">
        <w:t>Ekonomikas ministre</w:t>
      </w:r>
      <w:r w:rsidRPr="00B85D0E">
        <w:tab/>
      </w:r>
      <w:proofErr w:type="spellStart"/>
      <w:r w:rsidRPr="00B85D0E">
        <w:t>D.Reizniece</w:t>
      </w:r>
      <w:proofErr w:type="spellEnd"/>
      <w:r w:rsidRPr="00B85D0E">
        <w:t>-Ozola</w:t>
      </w:r>
    </w:p>
    <w:p w14:paraId="4E3443E7" w14:textId="77777777" w:rsidR="00FB04B6" w:rsidRPr="00B85D0E" w:rsidRDefault="00FB04B6" w:rsidP="00FB04B6">
      <w:pPr>
        <w:tabs>
          <w:tab w:val="right" w:pos="9072"/>
        </w:tabs>
      </w:pPr>
    </w:p>
    <w:p w14:paraId="461DE28A" w14:textId="77777777" w:rsidR="00FB04B6" w:rsidRPr="00B85D0E" w:rsidRDefault="00FB04B6" w:rsidP="00FB04B6">
      <w:pPr>
        <w:tabs>
          <w:tab w:val="right" w:pos="9072"/>
        </w:tabs>
      </w:pPr>
    </w:p>
    <w:p w14:paraId="03889803" w14:textId="77777777" w:rsidR="00FB04B6" w:rsidRPr="00B85D0E" w:rsidRDefault="00FB04B6" w:rsidP="00FB04B6">
      <w:pPr>
        <w:tabs>
          <w:tab w:val="right" w:pos="9072"/>
        </w:tabs>
      </w:pPr>
      <w:r w:rsidRPr="00B85D0E">
        <w:t>Iesniedzējs:</w:t>
      </w:r>
    </w:p>
    <w:p w14:paraId="2A3C5055" w14:textId="77777777" w:rsidR="00FB04B6" w:rsidRPr="00B85D0E" w:rsidRDefault="00FB04B6" w:rsidP="00FB04B6">
      <w:pPr>
        <w:tabs>
          <w:tab w:val="left" w:pos="6804"/>
          <w:tab w:val="right" w:pos="9072"/>
        </w:tabs>
      </w:pPr>
      <w:r w:rsidRPr="00B85D0E">
        <w:t>Ekonomikas ministre</w:t>
      </w:r>
      <w:r w:rsidRPr="00B85D0E">
        <w:tab/>
      </w:r>
      <w:proofErr w:type="spellStart"/>
      <w:r w:rsidRPr="00B85D0E">
        <w:t>D.Reizniece</w:t>
      </w:r>
      <w:proofErr w:type="spellEnd"/>
      <w:r w:rsidRPr="00B85D0E">
        <w:t>-Ozola</w:t>
      </w:r>
    </w:p>
    <w:p w14:paraId="66E28AEB" w14:textId="77777777" w:rsidR="00FB04B6" w:rsidRPr="00B85D0E" w:rsidRDefault="00FB04B6" w:rsidP="00FB04B6">
      <w:pPr>
        <w:tabs>
          <w:tab w:val="right" w:pos="9639"/>
        </w:tabs>
        <w:jc w:val="both"/>
      </w:pPr>
    </w:p>
    <w:p w14:paraId="1BF8427F" w14:textId="77777777" w:rsidR="00FB04B6" w:rsidRPr="00B85D0E" w:rsidRDefault="00FB04B6" w:rsidP="00FB04B6">
      <w:pPr>
        <w:tabs>
          <w:tab w:val="right" w:pos="9639"/>
        </w:tabs>
        <w:jc w:val="both"/>
      </w:pPr>
    </w:p>
    <w:p w14:paraId="1E1BD5E9" w14:textId="77777777" w:rsidR="00FB04B6" w:rsidRPr="00B85D0E" w:rsidRDefault="00FB04B6" w:rsidP="00FB04B6">
      <w:pPr>
        <w:tabs>
          <w:tab w:val="right" w:pos="9639"/>
        </w:tabs>
        <w:jc w:val="both"/>
      </w:pPr>
      <w:r w:rsidRPr="00B85D0E">
        <w:t>Vīza:</w:t>
      </w:r>
    </w:p>
    <w:p w14:paraId="2CEA01F8" w14:textId="77777777" w:rsidR="00FB04B6" w:rsidRPr="00B85D0E" w:rsidRDefault="00FB04B6" w:rsidP="00FB04B6">
      <w:pPr>
        <w:tabs>
          <w:tab w:val="left" w:pos="851"/>
          <w:tab w:val="left" w:pos="1440"/>
          <w:tab w:val="left" w:pos="2160"/>
          <w:tab w:val="left" w:pos="2925"/>
          <w:tab w:val="center" w:pos="4535"/>
        </w:tabs>
        <w:jc w:val="both"/>
      </w:pPr>
      <w:r w:rsidRPr="00B85D0E">
        <w:t>Valsts sekretārs</w:t>
      </w:r>
    </w:p>
    <w:p w14:paraId="3DF056E9" w14:textId="3114129D" w:rsidR="006E1182" w:rsidRPr="00B85D0E" w:rsidRDefault="00FB04B6" w:rsidP="002F3222">
      <w:pPr>
        <w:tabs>
          <w:tab w:val="left" w:pos="6803"/>
        </w:tabs>
        <w:jc w:val="both"/>
      </w:pPr>
      <w:r w:rsidRPr="00B85D0E">
        <w:tab/>
      </w:r>
      <w:proofErr w:type="spellStart"/>
      <w:r w:rsidRPr="00B85D0E">
        <w:t>R.Beinarovičs</w:t>
      </w:r>
      <w:proofErr w:type="spellEnd"/>
      <w:r w:rsidRPr="00B85D0E">
        <w:tab/>
      </w:r>
    </w:p>
    <w:p w14:paraId="4F8E3086" w14:textId="77777777" w:rsidR="00B4518A" w:rsidRDefault="00B4518A" w:rsidP="0046684C">
      <w:pPr>
        <w:pStyle w:val="Header"/>
        <w:rPr>
          <w:sz w:val="20"/>
        </w:rPr>
      </w:pPr>
    </w:p>
    <w:p w14:paraId="1CE86018" w14:textId="77777777" w:rsidR="00B4518A" w:rsidRDefault="00B4518A" w:rsidP="0046684C">
      <w:pPr>
        <w:pStyle w:val="Header"/>
        <w:rPr>
          <w:sz w:val="20"/>
        </w:rPr>
      </w:pPr>
    </w:p>
    <w:p w14:paraId="19BB4346" w14:textId="77777777" w:rsidR="00B4518A" w:rsidRDefault="00B4518A" w:rsidP="0046684C">
      <w:pPr>
        <w:pStyle w:val="Header"/>
        <w:rPr>
          <w:sz w:val="20"/>
        </w:rPr>
      </w:pPr>
    </w:p>
    <w:p w14:paraId="011BCC62" w14:textId="39AE9F2B" w:rsidR="00F52210" w:rsidRDefault="00B4518A" w:rsidP="0046684C">
      <w:pPr>
        <w:pStyle w:val="Header"/>
        <w:rPr>
          <w:sz w:val="20"/>
        </w:rPr>
      </w:pPr>
      <w:r>
        <w:rPr>
          <w:sz w:val="20"/>
        </w:rPr>
        <w:t>24</w:t>
      </w:r>
      <w:r w:rsidR="002C7A4C">
        <w:rPr>
          <w:sz w:val="20"/>
        </w:rPr>
        <w:t xml:space="preserve">.09.2015. </w:t>
      </w:r>
      <w:r>
        <w:rPr>
          <w:sz w:val="20"/>
        </w:rPr>
        <w:t>13</w:t>
      </w:r>
      <w:r w:rsidR="002C7A4C">
        <w:rPr>
          <w:sz w:val="20"/>
        </w:rPr>
        <w:t>:3</w:t>
      </w:r>
      <w:r w:rsidR="00311481" w:rsidRPr="00B85D0E">
        <w:rPr>
          <w:sz w:val="20"/>
        </w:rPr>
        <w:t>0</w:t>
      </w:r>
    </w:p>
    <w:p w14:paraId="6DE30F5C" w14:textId="25F428B4" w:rsidR="00F52210" w:rsidRPr="00B85D0E" w:rsidRDefault="00B4518A" w:rsidP="0046684C">
      <w:pPr>
        <w:pStyle w:val="Header"/>
        <w:rPr>
          <w:sz w:val="20"/>
        </w:rPr>
      </w:pPr>
      <w:r>
        <w:rPr>
          <w:sz w:val="20"/>
        </w:rPr>
        <w:t>1717</w:t>
      </w:r>
    </w:p>
    <w:p w14:paraId="130FA8E2" w14:textId="59FCF8E3" w:rsidR="00FB04B6" w:rsidRPr="00B85D0E" w:rsidRDefault="001D223A" w:rsidP="0046684C">
      <w:pPr>
        <w:pStyle w:val="Header"/>
        <w:rPr>
          <w:sz w:val="20"/>
        </w:rPr>
      </w:pPr>
      <w:proofErr w:type="spellStart"/>
      <w:r w:rsidRPr="00B85D0E">
        <w:rPr>
          <w:sz w:val="20"/>
        </w:rPr>
        <w:t>M.Lūka</w:t>
      </w:r>
      <w:proofErr w:type="spellEnd"/>
      <w:r w:rsidR="00E90EE8" w:rsidRPr="00B85D0E">
        <w:rPr>
          <w:sz w:val="20"/>
        </w:rPr>
        <w:t xml:space="preserve">, </w:t>
      </w:r>
      <w:r w:rsidRPr="00B85D0E">
        <w:rPr>
          <w:sz w:val="20"/>
        </w:rPr>
        <w:t>67013256</w:t>
      </w:r>
      <w:r w:rsidR="00E42298" w:rsidRPr="00B85D0E">
        <w:rPr>
          <w:sz w:val="20"/>
        </w:rPr>
        <w:t xml:space="preserve">, </w:t>
      </w:r>
      <w:r w:rsidR="00E90EE8" w:rsidRPr="00B85D0E">
        <w:rPr>
          <w:sz w:val="20"/>
        </w:rPr>
        <w:br/>
      </w:r>
      <w:hyperlink r:id="rId8" w:history="1">
        <w:r w:rsidR="00E90EE8" w:rsidRPr="00B85D0E">
          <w:rPr>
            <w:rStyle w:val="Hyperlink"/>
            <w:sz w:val="20"/>
          </w:rPr>
          <w:t>Madara.Luka@em.gov.lv</w:t>
        </w:r>
      </w:hyperlink>
      <w:r w:rsidR="00E90EE8" w:rsidRPr="00B85D0E">
        <w:rPr>
          <w:sz w:val="20"/>
        </w:rPr>
        <w:t xml:space="preserve"> </w:t>
      </w:r>
    </w:p>
    <w:sectPr w:rsidR="00FB04B6" w:rsidRPr="00B85D0E"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E37A3" w14:textId="77777777" w:rsidR="00F33DA3" w:rsidRDefault="00F33DA3">
      <w:r>
        <w:separator/>
      </w:r>
    </w:p>
  </w:endnote>
  <w:endnote w:type="continuationSeparator" w:id="0">
    <w:p w14:paraId="4644DF87" w14:textId="77777777" w:rsidR="00F33DA3" w:rsidRDefault="00F3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6E62" w14:textId="0991767A" w:rsidR="00532918" w:rsidRPr="00BF0CCA" w:rsidRDefault="00AB574F" w:rsidP="000E13D6">
    <w:pPr>
      <w:pStyle w:val="Footer"/>
      <w:jc w:val="both"/>
    </w:pPr>
    <w:r w:rsidRPr="00F4401B">
      <w:rPr>
        <w:b/>
        <w:sz w:val="20"/>
      </w:rPr>
      <w:fldChar w:fldCharType="begin"/>
    </w:r>
    <w:r w:rsidRPr="00F4401B">
      <w:rPr>
        <w:sz w:val="20"/>
      </w:rPr>
      <w:instrText xml:space="preserve"> FILENAME   \* MERGEFORMAT </w:instrText>
    </w:r>
    <w:r w:rsidRPr="00F4401B">
      <w:rPr>
        <w:b/>
        <w:sz w:val="20"/>
      </w:rPr>
      <w:fldChar w:fldCharType="separate"/>
    </w:r>
    <w:r w:rsidR="00C86ED5">
      <w:rPr>
        <w:noProof/>
        <w:sz w:val="20"/>
      </w:rPr>
      <w:t>EMAnot_24</w:t>
    </w:r>
    <w:r>
      <w:rPr>
        <w:noProof/>
        <w:sz w:val="20"/>
      </w:rPr>
      <w:t>0915_Riga2014</w:t>
    </w:r>
    <w:r w:rsidRPr="00F4401B">
      <w:rPr>
        <w:b/>
        <w:sz w:val="20"/>
      </w:rPr>
      <w:fldChar w:fldCharType="end"/>
    </w:r>
    <w:r w:rsidR="00BF0CCA" w:rsidRPr="00BF0CCA">
      <w:rPr>
        <w:sz w:val="20"/>
        <w:szCs w:val="20"/>
      </w:rPr>
      <w:t xml:space="preserve">; Ministru kabineta rīkojuma projekta </w:t>
    </w:r>
    <w:r w:rsidR="00A40A31">
      <w:rPr>
        <w:sz w:val="20"/>
        <w:szCs w:val="20"/>
      </w:rPr>
      <w:t>“</w:t>
    </w:r>
    <w:r w:rsidR="00A40A31" w:rsidRPr="00A40A31">
      <w:rPr>
        <w:sz w:val="20"/>
        <w:szCs w:val="20"/>
      </w:rPr>
      <w:t>Par jaunās politikas iniciatīvai “Rīga – Eiropas Kultūras galvaspilsēta 2014.gadā” piešķirtā finansējuma novirzīšanu Latvijas kā tūrisma galamērķa atpazīstamības veicināšanai</w:t>
    </w:r>
    <w:r w:rsidR="00BF0CCA" w:rsidRPr="00BF0CC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8576" w14:textId="3D1A6EF1" w:rsidR="00532918" w:rsidRPr="00426729" w:rsidRDefault="00AB574F" w:rsidP="00842265">
    <w:pPr>
      <w:jc w:val="both"/>
      <w:rPr>
        <w:b/>
        <w:bCs/>
        <w:sz w:val="28"/>
      </w:rPr>
    </w:pPr>
    <w:r w:rsidRPr="00F4401B">
      <w:rPr>
        <w:b/>
        <w:sz w:val="20"/>
      </w:rPr>
      <w:fldChar w:fldCharType="begin"/>
    </w:r>
    <w:r w:rsidRPr="00F4401B">
      <w:rPr>
        <w:sz w:val="20"/>
      </w:rPr>
      <w:instrText xml:space="preserve"> FILENAME   \* MERGEFORMAT </w:instrText>
    </w:r>
    <w:r w:rsidRPr="00F4401B">
      <w:rPr>
        <w:b/>
        <w:sz w:val="20"/>
      </w:rPr>
      <w:fldChar w:fldCharType="separate"/>
    </w:r>
    <w:r w:rsidR="00C86ED5">
      <w:rPr>
        <w:noProof/>
        <w:sz w:val="20"/>
      </w:rPr>
      <w:t>EMAnot_24</w:t>
    </w:r>
    <w:r>
      <w:rPr>
        <w:noProof/>
        <w:sz w:val="20"/>
      </w:rPr>
      <w:t>0915_Riga2014</w:t>
    </w:r>
    <w:r w:rsidRPr="00F4401B">
      <w:rPr>
        <w:b/>
        <w:sz w:val="20"/>
      </w:rPr>
      <w:fldChar w:fldCharType="end"/>
    </w:r>
    <w:r w:rsidR="00532918" w:rsidRPr="00107215">
      <w:rPr>
        <w:sz w:val="20"/>
        <w:szCs w:val="20"/>
      </w:rPr>
      <w:t xml:space="preserve">; </w:t>
    </w:r>
    <w:r w:rsidR="000B5692" w:rsidRPr="000B5692">
      <w:rPr>
        <w:sz w:val="20"/>
        <w:szCs w:val="20"/>
      </w:rPr>
      <w:t>Min</w:t>
    </w:r>
    <w:r w:rsidR="000B5692">
      <w:rPr>
        <w:sz w:val="20"/>
        <w:szCs w:val="20"/>
      </w:rPr>
      <w:t>istru kabineta rīkojuma projekta</w:t>
    </w:r>
    <w:r w:rsidR="00300B9C">
      <w:rPr>
        <w:sz w:val="20"/>
        <w:szCs w:val="20"/>
      </w:rPr>
      <w:t xml:space="preserve"> </w:t>
    </w:r>
    <w:r w:rsidR="00A40A31">
      <w:rPr>
        <w:sz w:val="20"/>
        <w:szCs w:val="20"/>
      </w:rPr>
      <w:t>“</w:t>
    </w:r>
    <w:r w:rsidR="00A40A31" w:rsidRPr="00A40A31">
      <w:rPr>
        <w:sz w:val="20"/>
        <w:szCs w:val="20"/>
      </w:rPr>
      <w:t>Par jaunās politikas iniciatīvai “Rīga – Eiropas Kultūras galvaspilsēta 2014.gadā” piešķirtā finansējuma novirzīšanu Latvijas kā tūrisma galamērķa atpazīstamības veicināšanai</w:t>
    </w:r>
    <w:r w:rsidR="000B5692" w:rsidRPr="000B5692">
      <w:rPr>
        <w:sz w:val="20"/>
        <w:szCs w:val="20"/>
      </w:rPr>
      <w:t>”</w:t>
    </w:r>
    <w:r w:rsidR="0053291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6172" w14:textId="77777777" w:rsidR="00F33DA3" w:rsidRDefault="00F33DA3">
      <w:r>
        <w:separator/>
      </w:r>
    </w:p>
  </w:footnote>
  <w:footnote w:type="continuationSeparator" w:id="0">
    <w:p w14:paraId="0DF2BE27" w14:textId="77777777" w:rsidR="00F33DA3" w:rsidRDefault="00F3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9BE7" w14:textId="77777777" w:rsidR="00532918" w:rsidRDefault="005329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8B8C0" w14:textId="77777777" w:rsidR="00532918" w:rsidRDefault="00532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7BA5" w14:textId="77777777" w:rsidR="00532918" w:rsidRDefault="005329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A8E">
      <w:rPr>
        <w:rStyle w:val="PageNumber"/>
        <w:noProof/>
      </w:rPr>
      <w:t>6</w:t>
    </w:r>
    <w:r>
      <w:rPr>
        <w:rStyle w:val="PageNumber"/>
      </w:rPr>
      <w:fldChar w:fldCharType="end"/>
    </w:r>
  </w:p>
  <w:p w14:paraId="0CC817A0" w14:textId="77777777" w:rsidR="00532918" w:rsidRDefault="00532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E7990"/>
    <w:multiLevelType w:val="hybridMultilevel"/>
    <w:tmpl w:val="66F8B520"/>
    <w:lvl w:ilvl="0" w:tplc="04260005">
      <w:start w:val="1"/>
      <w:numFmt w:val="bullet"/>
      <w:lvlText w:val=""/>
      <w:lvlJc w:val="left"/>
      <w:pPr>
        <w:ind w:left="1209" w:hanging="360"/>
      </w:pPr>
      <w:rPr>
        <w:rFonts w:ascii="Wingdings" w:hAnsi="Wingding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2B3EE0"/>
    <w:multiLevelType w:val="hybridMultilevel"/>
    <w:tmpl w:val="D39A65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AD0E60"/>
    <w:multiLevelType w:val="hybridMultilevel"/>
    <w:tmpl w:val="7CAC4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256F76"/>
    <w:multiLevelType w:val="hybridMultilevel"/>
    <w:tmpl w:val="3864E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2"/>
  </w:num>
  <w:num w:numId="5">
    <w:abstractNumId w:val="0"/>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15"/>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32388"/>
    <w:rsid w:val="00035CE2"/>
    <w:rsid w:val="000362D1"/>
    <w:rsid w:val="0004196C"/>
    <w:rsid w:val="00045B48"/>
    <w:rsid w:val="00052333"/>
    <w:rsid w:val="0005553B"/>
    <w:rsid w:val="000604D2"/>
    <w:rsid w:val="00072A95"/>
    <w:rsid w:val="0009005E"/>
    <w:rsid w:val="00090F52"/>
    <w:rsid w:val="000941C5"/>
    <w:rsid w:val="000964DC"/>
    <w:rsid w:val="000A6451"/>
    <w:rsid w:val="000B064E"/>
    <w:rsid w:val="000B5692"/>
    <w:rsid w:val="000B69CF"/>
    <w:rsid w:val="000C790C"/>
    <w:rsid w:val="000D485C"/>
    <w:rsid w:val="000E13D6"/>
    <w:rsid w:val="000F061D"/>
    <w:rsid w:val="000F4794"/>
    <w:rsid w:val="000F790C"/>
    <w:rsid w:val="00107678"/>
    <w:rsid w:val="00115387"/>
    <w:rsid w:val="00124F12"/>
    <w:rsid w:val="00133904"/>
    <w:rsid w:val="00134F69"/>
    <w:rsid w:val="0014294F"/>
    <w:rsid w:val="00144E3A"/>
    <w:rsid w:val="0015060C"/>
    <w:rsid w:val="0016018A"/>
    <w:rsid w:val="00161F0E"/>
    <w:rsid w:val="00166309"/>
    <w:rsid w:val="0016786F"/>
    <w:rsid w:val="00170E2A"/>
    <w:rsid w:val="00172810"/>
    <w:rsid w:val="00177394"/>
    <w:rsid w:val="00182C18"/>
    <w:rsid w:val="00183CC2"/>
    <w:rsid w:val="001900E4"/>
    <w:rsid w:val="00190F88"/>
    <w:rsid w:val="001A3DF1"/>
    <w:rsid w:val="001A4066"/>
    <w:rsid w:val="001A6AE4"/>
    <w:rsid w:val="001B01FD"/>
    <w:rsid w:val="001B1623"/>
    <w:rsid w:val="001B4A71"/>
    <w:rsid w:val="001B5EE8"/>
    <w:rsid w:val="001C03FA"/>
    <w:rsid w:val="001D223A"/>
    <w:rsid w:val="001D3B93"/>
    <w:rsid w:val="001D5B54"/>
    <w:rsid w:val="001E1DBF"/>
    <w:rsid w:val="001E4639"/>
    <w:rsid w:val="001E4A7D"/>
    <w:rsid w:val="001F4209"/>
    <w:rsid w:val="001F43A8"/>
    <w:rsid w:val="001F5CD6"/>
    <w:rsid w:val="0021263D"/>
    <w:rsid w:val="00213F0C"/>
    <w:rsid w:val="00214094"/>
    <w:rsid w:val="0021592D"/>
    <w:rsid w:val="00222D76"/>
    <w:rsid w:val="00223553"/>
    <w:rsid w:val="00223EB1"/>
    <w:rsid w:val="00231344"/>
    <w:rsid w:val="00233086"/>
    <w:rsid w:val="0023436E"/>
    <w:rsid w:val="002347C0"/>
    <w:rsid w:val="00237481"/>
    <w:rsid w:val="00241A6C"/>
    <w:rsid w:val="00242480"/>
    <w:rsid w:val="00242D2B"/>
    <w:rsid w:val="00251E88"/>
    <w:rsid w:val="002534FD"/>
    <w:rsid w:val="00262E2B"/>
    <w:rsid w:val="00270429"/>
    <w:rsid w:val="002723E9"/>
    <w:rsid w:val="00274FB9"/>
    <w:rsid w:val="00276B54"/>
    <w:rsid w:val="00277929"/>
    <w:rsid w:val="00283B82"/>
    <w:rsid w:val="002840F0"/>
    <w:rsid w:val="002846E9"/>
    <w:rsid w:val="00284C34"/>
    <w:rsid w:val="00284FF7"/>
    <w:rsid w:val="0029066C"/>
    <w:rsid w:val="002A67C7"/>
    <w:rsid w:val="002A7030"/>
    <w:rsid w:val="002A7AAB"/>
    <w:rsid w:val="002B50DB"/>
    <w:rsid w:val="002B6BAE"/>
    <w:rsid w:val="002C12AB"/>
    <w:rsid w:val="002C36C4"/>
    <w:rsid w:val="002C6794"/>
    <w:rsid w:val="002C69E0"/>
    <w:rsid w:val="002C7A4C"/>
    <w:rsid w:val="002C7CAC"/>
    <w:rsid w:val="002D3306"/>
    <w:rsid w:val="002D48AA"/>
    <w:rsid w:val="002D7BAA"/>
    <w:rsid w:val="002D7F54"/>
    <w:rsid w:val="002E3FF4"/>
    <w:rsid w:val="002F3222"/>
    <w:rsid w:val="002F78C8"/>
    <w:rsid w:val="00300B9C"/>
    <w:rsid w:val="00301CF3"/>
    <w:rsid w:val="0030443A"/>
    <w:rsid w:val="00311481"/>
    <w:rsid w:val="0032309D"/>
    <w:rsid w:val="003261EF"/>
    <w:rsid w:val="0032715C"/>
    <w:rsid w:val="00337CA5"/>
    <w:rsid w:val="00340FE1"/>
    <w:rsid w:val="00354F2A"/>
    <w:rsid w:val="00362478"/>
    <w:rsid w:val="00375B25"/>
    <w:rsid w:val="00377A0A"/>
    <w:rsid w:val="0038132C"/>
    <w:rsid w:val="00387E39"/>
    <w:rsid w:val="00395662"/>
    <w:rsid w:val="00396542"/>
    <w:rsid w:val="0039685B"/>
    <w:rsid w:val="003A31A6"/>
    <w:rsid w:val="003A5EAE"/>
    <w:rsid w:val="003A74FD"/>
    <w:rsid w:val="003A7F0C"/>
    <w:rsid w:val="003A7F79"/>
    <w:rsid w:val="003B5454"/>
    <w:rsid w:val="003B6404"/>
    <w:rsid w:val="003C449B"/>
    <w:rsid w:val="003D21FF"/>
    <w:rsid w:val="003E0064"/>
    <w:rsid w:val="003F0112"/>
    <w:rsid w:val="003F071A"/>
    <w:rsid w:val="003F160B"/>
    <w:rsid w:val="003F628C"/>
    <w:rsid w:val="00400032"/>
    <w:rsid w:val="00400B5B"/>
    <w:rsid w:val="00403C85"/>
    <w:rsid w:val="00405A00"/>
    <w:rsid w:val="004154BD"/>
    <w:rsid w:val="00415F12"/>
    <w:rsid w:val="00420870"/>
    <w:rsid w:val="0042350B"/>
    <w:rsid w:val="00426729"/>
    <w:rsid w:val="00427C0E"/>
    <w:rsid w:val="00430937"/>
    <w:rsid w:val="00432D0C"/>
    <w:rsid w:val="0043791B"/>
    <w:rsid w:val="00441483"/>
    <w:rsid w:val="00441BCB"/>
    <w:rsid w:val="00443801"/>
    <w:rsid w:val="00444B08"/>
    <w:rsid w:val="0045176A"/>
    <w:rsid w:val="00456332"/>
    <w:rsid w:val="00456B36"/>
    <w:rsid w:val="00461826"/>
    <w:rsid w:val="0046684C"/>
    <w:rsid w:val="004762BC"/>
    <w:rsid w:val="004800F9"/>
    <w:rsid w:val="00481EC9"/>
    <w:rsid w:val="0049134A"/>
    <w:rsid w:val="004964E5"/>
    <w:rsid w:val="004A58CB"/>
    <w:rsid w:val="004B1795"/>
    <w:rsid w:val="004B300B"/>
    <w:rsid w:val="004B56DD"/>
    <w:rsid w:val="004C020F"/>
    <w:rsid w:val="004C1AFD"/>
    <w:rsid w:val="004C558B"/>
    <w:rsid w:val="004D3040"/>
    <w:rsid w:val="004E1F6B"/>
    <w:rsid w:val="004E35DF"/>
    <w:rsid w:val="004E7D26"/>
    <w:rsid w:val="004F1F88"/>
    <w:rsid w:val="004F3A8E"/>
    <w:rsid w:val="004F5F1B"/>
    <w:rsid w:val="004F6F09"/>
    <w:rsid w:val="004F7549"/>
    <w:rsid w:val="00502374"/>
    <w:rsid w:val="00503935"/>
    <w:rsid w:val="005060A1"/>
    <w:rsid w:val="00506A62"/>
    <w:rsid w:val="00514961"/>
    <w:rsid w:val="00516072"/>
    <w:rsid w:val="00517B48"/>
    <w:rsid w:val="00521005"/>
    <w:rsid w:val="00532918"/>
    <w:rsid w:val="005332EC"/>
    <w:rsid w:val="00534418"/>
    <w:rsid w:val="005353AB"/>
    <w:rsid w:val="005560BC"/>
    <w:rsid w:val="005573BE"/>
    <w:rsid w:val="005657F2"/>
    <w:rsid w:val="00567D36"/>
    <w:rsid w:val="00572700"/>
    <w:rsid w:val="00580468"/>
    <w:rsid w:val="00582231"/>
    <w:rsid w:val="00582A15"/>
    <w:rsid w:val="0058399A"/>
    <w:rsid w:val="0058603B"/>
    <w:rsid w:val="0059431B"/>
    <w:rsid w:val="005A39CC"/>
    <w:rsid w:val="005A5158"/>
    <w:rsid w:val="005A6CA2"/>
    <w:rsid w:val="005B4730"/>
    <w:rsid w:val="005C584C"/>
    <w:rsid w:val="005D6CF1"/>
    <w:rsid w:val="005E05D7"/>
    <w:rsid w:val="005E41E7"/>
    <w:rsid w:val="005E450F"/>
    <w:rsid w:val="005F6C8C"/>
    <w:rsid w:val="005F7182"/>
    <w:rsid w:val="00603267"/>
    <w:rsid w:val="006067D6"/>
    <w:rsid w:val="00612AB3"/>
    <w:rsid w:val="0062298A"/>
    <w:rsid w:val="00625D08"/>
    <w:rsid w:val="00626514"/>
    <w:rsid w:val="00626589"/>
    <w:rsid w:val="006312F8"/>
    <w:rsid w:val="006331B3"/>
    <w:rsid w:val="006339A0"/>
    <w:rsid w:val="006413A8"/>
    <w:rsid w:val="00642E56"/>
    <w:rsid w:val="00645A1B"/>
    <w:rsid w:val="00651E00"/>
    <w:rsid w:val="006542D4"/>
    <w:rsid w:val="00654521"/>
    <w:rsid w:val="00664837"/>
    <w:rsid w:val="00674572"/>
    <w:rsid w:val="00674FAC"/>
    <w:rsid w:val="00687763"/>
    <w:rsid w:val="00690A83"/>
    <w:rsid w:val="00690C61"/>
    <w:rsid w:val="00690D4A"/>
    <w:rsid w:val="006926EE"/>
    <w:rsid w:val="00692B0D"/>
    <w:rsid w:val="00693E0E"/>
    <w:rsid w:val="006A1AE3"/>
    <w:rsid w:val="006A45D9"/>
    <w:rsid w:val="006C30E1"/>
    <w:rsid w:val="006C4607"/>
    <w:rsid w:val="006D40F0"/>
    <w:rsid w:val="006D48F1"/>
    <w:rsid w:val="006D64BC"/>
    <w:rsid w:val="006E1182"/>
    <w:rsid w:val="006E4CBE"/>
    <w:rsid w:val="006F1037"/>
    <w:rsid w:val="006F45BE"/>
    <w:rsid w:val="007004FC"/>
    <w:rsid w:val="00705141"/>
    <w:rsid w:val="00706670"/>
    <w:rsid w:val="00711F59"/>
    <w:rsid w:val="00723C5A"/>
    <w:rsid w:val="0072417C"/>
    <w:rsid w:val="007327FA"/>
    <w:rsid w:val="00734450"/>
    <w:rsid w:val="00735336"/>
    <w:rsid w:val="00736C07"/>
    <w:rsid w:val="00740ED3"/>
    <w:rsid w:val="00745F67"/>
    <w:rsid w:val="0075039E"/>
    <w:rsid w:val="007514A9"/>
    <w:rsid w:val="00752D9D"/>
    <w:rsid w:val="00754784"/>
    <w:rsid w:val="00757C6E"/>
    <w:rsid w:val="00761ACA"/>
    <w:rsid w:val="00762BDA"/>
    <w:rsid w:val="0077663D"/>
    <w:rsid w:val="00777A3B"/>
    <w:rsid w:val="007805FD"/>
    <w:rsid w:val="00784422"/>
    <w:rsid w:val="00784F47"/>
    <w:rsid w:val="00791AA2"/>
    <w:rsid w:val="0079332B"/>
    <w:rsid w:val="00793947"/>
    <w:rsid w:val="007B3B54"/>
    <w:rsid w:val="007B3FA0"/>
    <w:rsid w:val="007C0F2C"/>
    <w:rsid w:val="007C16E9"/>
    <w:rsid w:val="007C189E"/>
    <w:rsid w:val="007C2BCC"/>
    <w:rsid w:val="007C377E"/>
    <w:rsid w:val="007C4EF0"/>
    <w:rsid w:val="007D099D"/>
    <w:rsid w:val="007D326E"/>
    <w:rsid w:val="007D727A"/>
    <w:rsid w:val="007E2664"/>
    <w:rsid w:val="007E3ABF"/>
    <w:rsid w:val="007E5BFA"/>
    <w:rsid w:val="007E6689"/>
    <w:rsid w:val="007E731C"/>
    <w:rsid w:val="007F0A03"/>
    <w:rsid w:val="00807088"/>
    <w:rsid w:val="00810040"/>
    <w:rsid w:val="0081006D"/>
    <w:rsid w:val="00817401"/>
    <w:rsid w:val="0082023A"/>
    <w:rsid w:val="008209E5"/>
    <w:rsid w:val="00821A7A"/>
    <w:rsid w:val="00824939"/>
    <w:rsid w:val="008253F8"/>
    <w:rsid w:val="00830A4C"/>
    <w:rsid w:val="008325E4"/>
    <w:rsid w:val="00832A2B"/>
    <w:rsid w:val="00842265"/>
    <w:rsid w:val="00845811"/>
    <w:rsid w:val="00846994"/>
    <w:rsid w:val="00850451"/>
    <w:rsid w:val="00852042"/>
    <w:rsid w:val="008520E1"/>
    <w:rsid w:val="008534C9"/>
    <w:rsid w:val="0085599D"/>
    <w:rsid w:val="00856F34"/>
    <w:rsid w:val="008616AE"/>
    <w:rsid w:val="0087076C"/>
    <w:rsid w:val="0087510C"/>
    <w:rsid w:val="008968D2"/>
    <w:rsid w:val="0089738E"/>
    <w:rsid w:val="008B5FDB"/>
    <w:rsid w:val="008C50F4"/>
    <w:rsid w:val="008C5649"/>
    <w:rsid w:val="008E14B2"/>
    <w:rsid w:val="008E44A2"/>
    <w:rsid w:val="008E697D"/>
    <w:rsid w:val="00903263"/>
    <w:rsid w:val="00906A21"/>
    <w:rsid w:val="009079C3"/>
    <w:rsid w:val="00910462"/>
    <w:rsid w:val="00915AB1"/>
    <w:rsid w:val="00917532"/>
    <w:rsid w:val="009235BA"/>
    <w:rsid w:val="00924023"/>
    <w:rsid w:val="00924CE2"/>
    <w:rsid w:val="00925B9F"/>
    <w:rsid w:val="00931AED"/>
    <w:rsid w:val="009327BE"/>
    <w:rsid w:val="0093765C"/>
    <w:rsid w:val="009476A3"/>
    <w:rsid w:val="0095079C"/>
    <w:rsid w:val="0095334F"/>
    <w:rsid w:val="00954B9D"/>
    <w:rsid w:val="00965897"/>
    <w:rsid w:val="00967244"/>
    <w:rsid w:val="0096765C"/>
    <w:rsid w:val="009727E4"/>
    <w:rsid w:val="0098147A"/>
    <w:rsid w:val="009876F9"/>
    <w:rsid w:val="00991831"/>
    <w:rsid w:val="009934C5"/>
    <w:rsid w:val="00994C0F"/>
    <w:rsid w:val="009A1A48"/>
    <w:rsid w:val="009A471C"/>
    <w:rsid w:val="009A73C3"/>
    <w:rsid w:val="009B05CB"/>
    <w:rsid w:val="009B22D7"/>
    <w:rsid w:val="009B72ED"/>
    <w:rsid w:val="009C519B"/>
    <w:rsid w:val="009C6DEB"/>
    <w:rsid w:val="009D125C"/>
    <w:rsid w:val="009D2E44"/>
    <w:rsid w:val="009D6504"/>
    <w:rsid w:val="009E12D7"/>
    <w:rsid w:val="009E2054"/>
    <w:rsid w:val="009E661A"/>
    <w:rsid w:val="009F2FB7"/>
    <w:rsid w:val="009F599D"/>
    <w:rsid w:val="00A06781"/>
    <w:rsid w:val="00A074C3"/>
    <w:rsid w:val="00A1509C"/>
    <w:rsid w:val="00A249B9"/>
    <w:rsid w:val="00A34260"/>
    <w:rsid w:val="00A40A31"/>
    <w:rsid w:val="00A43FD3"/>
    <w:rsid w:val="00A51833"/>
    <w:rsid w:val="00A54CFB"/>
    <w:rsid w:val="00A64F93"/>
    <w:rsid w:val="00A70CFD"/>
    <w:rsid w:val="00A72A0B"/>
    <w:rsid w:val="00A81E42"/>
    <w:rsid w:val="00A84172"/>
    <w:rsid w:val="00A864FE"/>
    <w:rsid w:val="00A86F41"/>
    <w:rsid w:val="00A87D04"/>
    <w:rsid w:val="00A92FE6"/>
    <w:rsid w:val="00A950C5"/>
    <w:rsid w:val="00AA1D25"/>
    <w:rsid w:val="00AB18FB"/>
    <w:rsid w:val="00AB2B1A"/>
    <w:rsid w:val="00AB397F"/>
    <w:rsid w:val="00AB574F"/>
    <w:rsid w:val="00AB5832"/>
    <w:rsid w:val="00AC0DD8"/>
    <w:rsid w:val="00AC51F2"/>
    <w:rsid w:val="00AD3269"/>
    <w:rsid w:val="00AD435C"/>
    <w:rsid w:val="00AD51D1"/>
    <w:rsid w:val="00AE5066"/>
    <w:rsid w:val="00AE5E24"/>
    <w:rsid w:val="00AE61B7"/>
    <w:rsid w:val="00AE6CBA"/>
    <w:rsid w:val="00AE79AD"/>
    <w:rsid w:val="00AF05D0"/>
    <w:rsid w:val="00AF35E4"/>
    <w:rsid w:val="00AF5CDE"/>
    <w:rsid w:val="00B057BF"/>
    <w:rsid w:val="00B1096A"/>
    <w:rsid w:val="00B11A57"/>
    <w:rsid w:val="00B13798"/>
    <w:rsid w:val="00B211C3"/>
    <w:rsid w:val="00B21AC2"/>
    <w:rsid w:val="00B2389A"/>
    <w:rsid w:val="00B25597"/>
    <w:rsid w:val="00B25978"/>
    <w:rsid w:val="00B267B9"/>
    <w:rsid w:val="00B33E09"/>
    <w:rsid w:val="00B4518A"/>
    <w:rsid w:val="00B50708"/>
    <w:rsid w:val="00B50C68"/>
    <w:rsid w:val="00B51293"/>
    <w:rsid w:val="00B5147E"/>
    <w:rsid w:val="00B527E7"/>
    <w:rsid w:val="00B52B1E"/>
    <w:rsid w:val="00B54CE2"/>
    <w:rsid w:val="00B55481"/>
    <w:rsid w:val="00B56C32"/>
    <w:rsid w:val="00B57ACF"/>
    <w:rsid w:val="00B64BB1"/>
    <w:rsid w:val="00B70F79"/>
    <w:rsid w:val="00B72981"/>
    <w:rsid w:val="00B73166"/>
    <w:rsid w:val="00B754ED"/>
    <w:rsid w:val="00B77396"/>
    <w:rsid w:val="00B8426C"/>
    <w:rsid w:val="00B85D0E"/>
    <w:rsid w:val="00B91534"/>
    <w:rsid w:val="00B91B8D"/>
    <w:rsid w:val="00B93A1C"/>
    <w:rsid w:val="00B94E90"/>
    <w:rsid w:val="00BA7357"/>
    <w:rsid w:val="00BB0A82"/>
    <w:rsid w:val="00BB5D14"/>
    <w:rsid w:val="00BB7C94"/>
    <w:rsid w:val="00BC0A9D"/>
    <w:rsid w:val="00BD0F04"/>
    <w:rsid w:val="00BD2B08"/>
    <w:rsid w:val="00BD64FD"/>
    <w:rsid w:val="00BE2349"/>
    <w:rsid w:val="00BE66B0"/>
    <w:rsid w:val="00BF0CCA"/>
    <w:rsid w:val="00BF31F7"/>
    <w:rsid w:val="00BF40ED"/>
    <w:rsid w:val="00BF5BC2"/>
    <w:rsid w:val="00C007E9"/>
    <w:rsid w:val="00C01EE0"/>
    <w:rsid w:val="00C0258E"/>
    <w:rsid w:val="00C1133D"/>
    <w:rsid w:val="00C13895"/>
    <w:rsid w:val="00C27A08"/>
    <w:rsid w:val="00C31312"/>
    <w:rsid w:val="00C31E36"/>
    <w:rsid w:val="00C326C6"/>
    <w:rsid w:val="00C35295"/>
    <w:rsid w:val="00C36ADD"/>
    <w:rsid w:val="00C36E74"/>
    <w:rsid w:val="00C40595"/>
    <w:rsid w:val="00C41621"/>
    <w:rsid w:val="00C449FA"/>
    <w:rsid w:val="00C5384F"/>
    <w:rsid w:val="00C56964"/>
    <w:rsid w:val="00C65105"/>
    <w:rsid w:val="00C656D5"/>
    <w:rsid w:val="00C67103"/>
    <w:rsid w:val="00C71BB9"/>
    <w:rsid w:val="00C809F4"/>
    <w:rsid w:val="00C80E47"/>
    <w:rsid w:val="00C86ED5"/>
    <w:rsid w:val="00C87B2E"/>
    <w:rsid w:val="00C94C28"/>
    <w:rsid w:val="00CB0247"/>
    <w:rsid w:val="00CB3440"/>
    <w:rsid w:val="00CB423E"/>
    <w:rsid w:val="00CB55AE"/>
    <w:rsid w:val="00CB663D"/>
    <w:rsid w:val="00CC1692"/>
    <w:rsid w:val="00CC388C"/>
    <w:rsid w:val="00CC3FC6"/>
    <w:rsid w:val="00CD138B"/>
    <w:rsid w:val="00CD3E31"/>
    <w:rsid w:val="00CD4D25"/>
    <w:rsid w:val="00CD74A3"/>
    <w:rsid w:val="00CE0527"/>
    <w:rsid w:val="00CE5B23"/>
    <w:rsid w:val="00CF2B90"/>
    <w:rsid w:val="00CF70AD"/>
    <w:rsid w:val="00CF7729"/>
    <w:rsid w:val="00D00059"/>
    <w:rsid w:val="00D107FA"/>
    <w:rsid w:val="00D12275"/>
    <w:rsid w:val="00D12766"/>
    <w:rsid w:val="00D20FF4"/>
    <w:rsid w:val="00D24D2C"/>
    <w:rsid w:val="00D35506"/>
    <w:rsid w:val="00D35881"/>
    <w:rsid w:val="00D53101"/>
    <w:rsid w:val="00D651F0"/>
    <w:rsid w:val="00D73AA4"/>
    <w:rsid w:val="00D76B7E"/>
    <w:rsid w:val="00D86B91"/>
    <w:rsid w:val="00D95E0E"/>
    <w:rsid w:val="00DA0959"/>
    <w:rsid w:val="00DA7A03"/>
    <w:rsid w:val="00DA7DA5"/>
    <w:rsid w:val="00DB073B"/>
    <w:rsid w:val="00DB4418"/>
    <w:rsid w:val="00DB78F0"/>
    <w:rsid w:val="00DC0CEA"/>
    <w:rsid w:val="00DC2E43"/>
    <w:rsid w:val="00DC7BD8"/>
    <w:rsid w:val="00DD095C"/>
    <w:rsid w:val="00DD1020"/>
    <w:rsid w:val="00DD1330"/>
    <w:rsid w:val="00DE0411"/>
    <w:rsid w:val="00DE0B83"/>
    <w:rsid w:val="00DE1A81"/>
    <w:rsid w:val="00DE1C13"/>
    <w:rsid w:val="00DE38DF"/>
    <w:rsid w:val="00DE4E10"/>
    <w:rsid w:val="00E021F6"/>
    <w:rsid w:val="00E02ABF"/>
    <w:rsid w:val="00E10181"/>
    <w:rsid w:val="00E14995"/>
    <w:rsid w:val="00E179CD"/>
    <w:rsid w:val="00E22C2D"/>
    <w:rsid w:val="00E23E8D"/>
    <w:rsid w:val="00E24192"/>
    <w:rsid w:val="00E37F98"/>
    <w:rsid w:val="00E42298"/>
    <w:rsid w:val="00E46559"/>
    <w:rsid w:val="00E641B1"/>
    <w:rsid w:val="00E6670C"/>
    <w:rsid w:val="00E776E8"/>
    <w:rsid w:val="00E90EE8"/>
    <w:rsid w:val="00E92C1F"/>
    <w:rsid w:val="00E92F96"/>
    <w:rsid w:val="00E95D4B"/>
    <w:rsid w:val="00EB056C"/>
    <w:rsid w:val="00EB154B"/>
    <w:rsid w:val="00EB199F"/>
    <w:rsid w:val="00EB7667"/>
    <w:rsid w:val="00EC1EF3"/>
    <w:rsid w:val="00EC23F7"/>
    <w:rsid w:val="00EC4BD8"/>
    <w:rsid w:val="00EC63EB"/>
    <w:rsid w:val="00EC7D6A"/>
    <w:rsid w:val="00ED39CF"/>
    <w:rsid w:val="00ED412F"/>
    <w:rsid w:val="00EE1A6B"/>
    <w:rsid w:val="00EE20C6"/>
    <w:rsid w:val="00EF36B2"/>
    <w:rsid w:val="00EF3CB8"/>
    <w:rsid w:val="00EF54B0"/>
    <w:rsid w:val="00F01E32"/>
    <w:rsid w:val="00F1246B"/>
    <w:rsid w:val="00F15442"/>
    <w:rsid w:val="00F201EC"/>
    <w:rsid w:val="00F208A9"/>
    <w:rsid w:val="00F33DA3"/>
    <w:rsid w:val="00F41D75"/>
    <w:rsid w:val="00F47B32"/>
    <w:rsid w:val="00F5139D"/>
    <w:rsid w:val="00F52210"/>
    <w:rsid w:val="00F5543A"/>
    <w:rsid w:val="00F63DAC"/>
    <w:rsid w:val="00F67175"/>
    <w:rsid w:val="00F7296D"/>
    <w:rsid w:val="00F7454F"/>
    <w:rsid w:val="00F764FA"/>
    <w:rsid w:val="00F77988"/>
    <w:rsid w:val="00F77F48"/>
    <w:rsid w:val="00F83741"/>
    <w:rsid w:val="00F96629"/>
    <w:rsid w:val="00FA57F5"/>
    <w:rsid w:val="00FB04B6"/>
    <w:rsid w:val="00FB30F1"/>
    <w:rsid w:val="00FB53E7"/>
    <w:rsid w:val="00FB77D8"/>
    <w:rsid w:val="00FC2EEC"/>
    <w:rsid w:val="00FD2A8A"/>
    <w:rsid w:val="00FE49D3"/>
    <w:rsid w:val="00FF3BCC"/>
    <w:rsid w:val="00FF6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314BA"/>
  <w15:chartTrackingRefBased/>
  <w15:docId w15:val="{52A925D6-A17C-4298-8372-F28FA456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aliases w:val="18pt Bold Char"/>
    <w:link w:val="Header"/>
    <w:uiPriority w:val="99"/>
    <w:rsid w:val="002840F0"/>
    <w:rPr>
      <w:sz w:val="24"/>
      <w:szCs w:val="24"/>
    </w:rPr>
  </w:style>
  <w:style w:type="paragraph" w:styleId="NormalWeb">
    <w:name w:val="Normal (Web)"/>
    <w:basedOn w:val="Normal"/>
    <w:uiPriority w:val="99"/>
    <w:unhideWhenUsed/>
    <w:rsid w:val="00F7296D"/>
    <w:pPr>
      <w:spacing w:before="100" w:beforeAutospacing="1" w:after="100" w:afterAutospacing="1"/>
    </w:pPr>
    <w:rPr>
      <w:rFonts w:ascii="Verdana" w:hAnsi="Verdana"/>
      <w:sz w:val="21"/>
      <w:szCs w:val="21"/>
      <w:lang w:val="en-US" w:eastAsia="en-US"/>
    </w:rPr>
  </w:style>
  <w:style w:type="paragraph" w:styleId="Signature">
    <w:name w:val="Signature"/>
    <w:basedOn w:val="Normal"/>
    <w:next w:val="EnvelopeReturn"/>
    <w:link w:val="SignatureChar"/>
    <w:rsid w:val="00856F34"/>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rsid w:val="00856F34"/>
    <w:rPr>
      <w:sz w:val="26"/>
      <w:lang w:val="en-AU" w:eastAsia="en-US"/>
    </w:rPr>
  </w:style>
  <w:style w:type="paragraph" w:styleId="EnvelopeReturn">
    <w:name w:val="envelope return"/>
    <w:basedOn w:val="Normal"/>
    <w:rsid w:val="00856F34"/>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ra.Luk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13AF-B750-4AE6-9586-4D84DB95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1717</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Grozījumi Ministru kabineta 2010. gada 13. aprīļa noteikumos Nr.353 „Noteikumi par tūrisma operatora, tūrisma aģenta un klienta tiesībām un pienākumiem, kompleksa tūrisma pakalpojuma sagatavošanas un īstenošanas kārtību, klientam sniedzamo informāciju un </vt:lpstr>
    </vt:vector>
  </TitlesOfParts>
  <Company>LR Ekonomikas ministrija</Company>
  <LinksUpToDate>false</LinksUpToDate>
  <CharactersWithSpaces>13606</CharactersWithSpaces>
  <SharedDoc>false</SharedDoc>
  <HLinks>
    <vt:vector size="12" baseType="variant">
      <vt:variant>
        <vt:i4>65576</vt:i4>
      </vt:variant>
      <vt:variant>
        <vt:i4>3</vt:i4>
      </vt:variant>
      <vt:variant>
        <vt:i4>0</vt:i4>
      </vt:variant>
      <vt:variant>
        <vt:i4>5</vt:i4>
      </vt:variant>
      <vt:variant>
        <vt:lpwstr>mailto:Arta.Kruze@em.gov.lv</vt:lpwstr>
      </vt:variant>
      <vt:variant>
        <vt:lpwstr/>
      </vt:variant>
      <vt:variant>
        <vt:i4>6226044</vt:i4>
      </vt:variant>
      <vt:variant>
        <vt:i4>0</vt:i4>
      </vt:variant>
      <vt:variant>
        <vt:i4>0</vt:i4>
      </vt:variant>
      <vt:variant>
        <vt:i4>5</vt:i4>
      </vt:variant>
      <vt:variant>
        <vt:lpwstr>mailto:Madara.Luka@em.gov.lv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13. aprīļa noteikumos Nr.353 „Noteikumi par tūrisma operatora, tūrisma aģenta un klienta tiesībām un pienākumiem, kompleksa tūrisma pakalpojuma sagatavošanas un īstenošanas kārtību, klientam sniedzamo informāciju un naudas drošības garantijas iemaksas kārtību”</dc:title>
  <dc:subject>Anotācija</dc:subject>
  <dc:creator>Gita Pāvule</dc:creator>
  <cp:keywords/>
  <dc:description>Gita.Pavule@em.gov.lv_x000d_
67013272</dc:description>
  <cp:lastModifiedBy>Madara Lūka</cp:lastModifiedBy>
  <cp:revision>10</cp:revision>
  <cp:lastPrinted>2015-08-20T07:54:00Z</cp:lastPrinted>
  <dcterms:created xsi:type="dcterms:W3CDTF">2015-09-15T09:02:00Z</dcterms:created>
  <dcterms:modified xsi:type="dcterms:W3CDTF">2015-09-24T13:06:00Z</dcterms:modified>
  <cp:contentStatus/>
</cp:coreProperties>
</file>