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57A3F" w14:textId="77777777" w:rsidR="00784B94" w:rsidRPr="00C9105A" w:rsidRDefault="00784B94" w:rsidP="00784B94">
      <w:pPr>
        <w:spacing w:after="120"/>
        <w:jc w:val="center"/>
        <w:outlineLvl w:val="0"/>
        <w:rPr>
          <w:b/>
          <w:sz w:val="28"/>
          <w:szCs w:val="28"/>
        </w:rPr>
      </w:pPr>
      <w:r w:rsidRPr="00C9105A">
        <w:rPr>
          <w:b/>
          <w:sz w:val="28"/>
          <w:szCs w:val="28"/>
        </w:rPr>
        <w:t>Informatīvais ziņojums</w:t>
      </w:r>
    </w:p>
    <w:p w14:paraId="33DF92B0" w14:textId="77777777" w:rsidR="00784B94" w:rsidRPr="00C9105A" w:rsidRDefault="00784B94" w:rsidP="00784B94">
      <w:pPr>
        <w:pStyle w:val="BodyText"/>
        <w:spacing w:after="120"/>
        <w:rPr>
          <w:sz w:val="28"/>
          <w:szCs w:val="28"/>
        </w:rPr>
      </w:pPr>
      <w:r w:rsidRPr="00C9105A">
        <w:rPr>
          <w:sz w:val="28"/>
          <w:szCs w:val="28"/>
        </w:rPr>
        <w:t>“Par Eiropas Savienības Konkurētspējas ministru padomes 2015. gada 1.oktobra sanāksmē izskatāmajiem jautājumiem”</w:t>
      </w:r>
    </w:p>
    <w:p w14:paraId="230B2E93" w14:textId="77777777" w:rsidR="00784B94" w:rsidRPr="00C9105A" w:rsidRDefault="00784B94" w:rsidP="00E80502">
      <w:pPr>
        <w:widowControl w:val="0"/>
        <w:tabs>
          <w:tab w:val="left" w:pos="567"/>
        </w:tabs>
        <w:spacing w:before="360" w:after="120"/>
        <w:jc w:val="both"/>
        <w:rPr>
          <w:b/>
          <w:sz w:val="28"/>
          <w:szCs w:val="28"/>
        </w:rPr>
      </w:pPr>
      <w:r w:rsidRPr="00C9105A">
        <w:rPr>
          <w:b/>
          <w:sz w:val="28"/>
          <w:szCs w:val="28"/>
        </w:rPr>
        <w:t>1.</w:t>
      </w:r>
      <w:r w:rsidRPr="00C9105A">
        <w:rPr>
          <w:b/>
          <w:sz w:val="28"/>
          <w:szCs w:val="28"/>
        </w:rPr>
        <w:tab/>
        <w:t>Eiropas Savienības Konkurētspējas ministru padomes sanāksmes darba kārtības jautājumi</w:t>
      </w:r>
    </w:p>
    <w:p w14:paraId="7F067F8F" w14:textId="11A99F12" w:rsidR="00784B94" w:rsidRPr="00C9105A" w:rsidRDefault="00784B94" w:rsidP="00582F77">
      <w:pPr>
        <w:spacing w:before="120"/>
        <w:ind w:firstLine="567"/>
        <w:jc w:val="both"/>
        <w:rPr>
          <w:sz w:val="28"/>
          <w:szCs w:val="28"/>
        </w:rPr>
      </w:pPr>
      <w:r w:rsidRPr="00C9105A">
        <w:rPr>
          <w:sz w:val="28"/>
          <w:szCs w:val="28"/>
        </w:rPr>
        <w:t xml:space="preserve">2015. gada 1.oktobrī </w:t>
      </w:r>
      <w:r w:rsidR="0093409C" w:rsidRPr="00C9105A">
        <w:rPr>
          <w:sz w:val="28"/>
          <w:szCs w:val="28"/>
        </w:rPr>
        <w:t>Luksemburgā</w:t>
      </w:r>
      <w:r w:rsidRPr="00C9105A">
        <w:rPr>
          <w:sz w:val="28"/>
          <w:szCs w:val="28"/>
        </w:rPr>
        <w:t xml:space="preserve"> notiks kārtējā Eiropas Savienības (turpmāk – ES) Konkurētspējas ministru padomes sanāksme iekšējā tirgus un rūpniecības jautājumos. Sanāksmē tiks izskatīti šādi Ekonomikas ministrijas (turpmāk – EM), Tieslietu </w:t>
      </w:r>
      <w:r w:rsidR="007B4865" w:rsidRPr="00C9105A">
        <w:rPr>
          <w:sz w:val="28"/>
          <w:szCs w:val="28"/>
        </w:rPr>
        <w:t>ministrijas</w:t>
      </w:r>
      <w:r w:rsidR="007B4865">
        <w:rPr>
          <w:sz w:val="28"/>
          <w:szCs w:val="28"/>
        </w:rPr>
        <w:t>,</w:t>
      </w:r>
      <w:r w:rsidR="007B4865" w:rsidRPr="00C9105A">
        <w:rPr>
          <w:sz w:val="28"/>
          <w:szCs w:val="28"/>
        </w:rPr>
        <w:t xml:space="preserve"> Finanšu</w:t>
      </w:r>
      <w:r w:rsidRPr="00C9105A">
        <w:rPr>
          <w:sz w:val="28"/>
          <w:szCs w:val="28"/>
        </w:rPr>
        <w:t xml:space="preserve"> ministrijas</w:t>
      </w:r>
      <w:r w:rsidR="00567728">
        <w:rPr>
          <w:sz w:val="28"/>
          <w:szCs w:val="28"/>
        </w:rPr>
        <w:t xml:space="preserve">, </w:t>
      </w:r>
      <w:r w:rsidR="00CD7201">
        <w:rPr>
          <w:sz w:val="28"/>
          <w:szCs w:val="28"/>
        </w:rPr>
        <w:t>Izglītības ministrijas</w:t>
      </w:r>
      <w:r w:rsidRPr="00C9105A">
        <w:rPr>
          <w:sz w:val="28"/>
          <w:szCs w:val="28"/>
        </w:rPr>
        <w:t xml:space="preserve"> </w:t>
      </w:r>
      <w:r w:rsidR="00567728">
        <w:rPr>
          <w:sz w:val="28"/>
          <w:szCs w:val="28"/>
        </w:rPr>
        <w:t xml:space="preserve">un Vides aizsardzības un reģionālās attīstības ministrijas </w:t>
      </w:r>
      <w:r w:rsidRPr="00C9105A">
        <w:rPr>
          <w:sz w:val="28"/>
          <w:szCs w:val="28"/>
        </w:rPr>
        <w:t>kompetencē esoši jautājumi:</w:t>
      </w:r>
    </w:p>
    <w:p w14:paraId="3758A010" w14:textId="77777777" w:rsidR="00075B34" w:rsidRPr="00C9105A" w:rsidRDefault="00075B34" w:rsidP="00E80502">
      <w:pPr>
        <w:jc w:val="both"/>
        <w:rPr>
          <w:sz w:val="28"/>
          <w:szCs w:val="28"/>
        </w:rPr>
      </w:pPr>
    </w:p>
    <w:p w14:paraId="5E015D41" w14:textId="77777777" w:rsidR="00784B94" w:rsidRPr="00C9105A" w:rsidRDefault="006C1A7F" w:rsidP="00582F77">
      <w:pPr>
        <w:pStyle w:val="ListParagraph"/>
        <w:numPr>
          <w:ilvl w:val="0"/>
          <w:numId w:val="3"/>
        </w:numPr>
        <w:spacing w:before="120"/>
        <w:ind w:left="567" w:hanging="567"/>
        <w:contextualSpacing w:val="0"/>
        <w:jc w:val="both"/>
        <w:rPr>
          <w:b/>
          <w:i/>
          <w:sz w:val="28"/>
          <w:szCs w:val="28"/>
        </w:rPr>
      </w:pPr>
      <w:r w:rsidRPr="00C9105A">
        <w:rPr>
          <w:b/>
          <w:i/>
          <w:sz w:val="28"/>
          <w:szCs w:val="28"/>
        </w:rPr>
        <w:t>Konkurētspējas pārbaude</w:t>
      </w:r>
    </w:p>
    <w:p w14:paraId="75635F7A" w14:textId="77777777" w:rsidR="00BC4901" w:rsidRPr="00C9105A" w:rsidRDefault="0093409C" w:rsidP="00582F77">
      <w:pPr>
        <w:pStyle w:val="ListParagraph"/>
        <w:ind w:left="567"/>
        <w:contextualSpacing w:val="0"/>
        <w:jc w:val="both"/>
        <w:rPr>
          <w:b/>
          <w:i/>
          <w:sz w:val="28"/>
          <w:szCs w:val="28"/>
        </w:rPr>
      </w:pPr>
      <w:r w:rsidRPr="00C9105A">
        <w:rPr>
          <w:i/>
          <w:sz w:val="28"/>
          <w:szCs w:val="28"/>
        </w:rPr>
        <w:t xml:space="preserve">= </w:t>
      </w:r>
      <w:r w:rsidR="00BC4901" w:rsidRPr="00C9105A">
        <w:rPr>
          <w:i/>
          <w:sz w:val="28"/>
          <w:szCs w:val="28"/>
        </w:rPr>
        <w:t xml:space="preserve">Eiropas Komisijas (turpmāk –EK) </w:t>
      </w:r>
      <w:r w:rsidR="00147C92">
        <w:rPr>
          <w:i/>
          <w:sz w:val="28"/>
          <w:szCs w:val="28"/>
        </w:rPr>
        <w:t xml:space="preserve">un prezidentūras sniegta informācija, </w:t>
      </w:r>
      <w:r w:rsidR="00BC4901" w:rsidRPr="00C9105A">
        <w:rPr>
          <w:i/>
          <w:sz w:val="28"/>
          <w:szCs w:val="28"/>
        </w:rPr>
        <w:t>un viedokļu apmaiņa</w:t>
      </w:r>
    </w:p>
    <w:p w14:paraId="0052B57F" w14:textId="77777777" w:rsidR="00BC4901" w:rsidRPr="00C9105A" w:rsidRDefault="003170E2" w:rsidP="00582F77">
      <w:pPr>
        <w:spacing w:before="120"/>
        <w:ind w:firstLine="567"/>
        <w:jc w:val="both"/>
        <w:rPr>
          <w:sz w:val="28"/>
          <w:szCs w:val="28"/>
        </w:rPr>
      </w:pPr>
      <w:r w:rsidRPr="00C9105A">
        <w:rPr>
          <w:sz w:val="28"/>
          <w:szCs w:val="28"/>
        </w:rPr>
        <w:t>Luksemburgas prezidentūra</w:t>
      </w:r>
      <w:r w:rsidR="00356C1C" w:rsidRPr="00C9105A">
        <w:rPr>
          <w:sz w:val="28"/>
          <w:szCs w:val="28"/>
        </w:rPr>
        <w:t xml:space="preserve"> (turpmāk – Prezidentūra)</w:t>
      </w:r>
      <w:r w:rsidR="00DB7CFB" w:rsidRPr="00C9105A">
        <w:rPr>
          <w:sz w:val="28"/>
          <w:szCs w:val="28"/>
        </w:rPr>
        <w:t xml:space="preserve">, īstenojot iepriekšējo prezidentūru ES </w:t>
      </w:r>
      <w:r w:rsidR="0093409C" w:rsidRPr="00C9105A">
        <w:rPr>
          <w:sz w:val="28"/>
          <w:szCs w:val="28"/>
        </w:rPr>
        <w:t>P</w:t>
      </w:r>
      <w:r w:rsidR="00DB7CFB" w:rsidRPr="00C9105A">
        <w:rPr>
          <w:sz w:val="28"/>
          <w:szCs w:val="28"/>
        </w:rPr>
        <w:t>adomē</w:t>
      </w:r>
      <w:r w:rsidR="00193A88" w:rsidRPr="00C9105A">
        <w:rPr>
          <w:sz w:val="28"/>
          <w:szCs w:val="28"/>
        </w:rPr>
        <w:t xml:space="preserve"> laikā</w:t>
      </w:r>
      <w:r w:rsidR="00DB7CFB" w:rsidRPr="00C9105A">
        <w:rPr>
          <w:sz w:val="28"/>
          <w:szCs w:val="28"/>
        </w:rPr>
        <w:t xml:space="preserve"> lemto,</w:t>
      </w:r>
      <w:r w:rsidRPr="00C9105A">
        <w:rPr>
          <w:sz w:val="28"/>
          <w:szCs w:val="28"/>
        </w:rPr>
        <w:t xml:space="preserve"> nākusi klajā ar iniciatīvu pilnveidot </w:t>
      </w:r>
      <w:r w:rsidR="0093409C" w:rsidRPr="00C9105A">
        <w:rPr>
          <w:sz w:val="28"/>
          <w:szCs w:val="28"/>
        </w:rPr>
        <w:t xml:space="preserve">ES </w:t>
      </w:r>
      <w:r w:rsidRPr="00C9105A">
        <w:rPr>
          <w:sz w:val="28"/>
          <w:szCs w:val="28"/>
        </w:rPr>
        <w:t>Konkurētspējas ministru padomes darba metodes, šim nolūkam attīstot “konkurētspējas pārbaužu”</w:t>
      </w:r>
      <w:r w:rsidRPr="00C9105A">
        <w:rPr>
          <w:rStyle w:val="FootnoteReference"/>
          <w:sz w:val="28"/>
          <w:szCs w:val="28"/>
        </w:rPr>
        <w:footnoteReference w:id="1"/>
      </w:r>
      <w:r w:rsidRPr="00C9105A">
        <w:rPr>
          <w:sz w:val="28"/>
          <w:szCs w:val="28"/>
        </w:rPr>
        <w:t xml:space="preserve"> pieeju. </w:t>
      </w:r>
      <w:r w:rsidR="00BC4901" w:rsidRPr="00C9105A">
        <w:rPr>
          <w:sz w:val="28"/>
          <w:szCs w:val="28"/>
        </w:rPr>
        <w:t xml:space="preserve"> </w:t>
      </w:r>
      <w:r w:rsidR="001B3D1C" w:rsidRPr="00C9105A">
        <w:rPr>
          <w:sz w:val="28"/>
          <w:szCs w:val="28"/>
        </w:rPr>
        <w:t>Tiek plānotas spontānas diskusijas</w:t>
      </w:r>
      <w:r w:rsidR="00865B96">
        <w:rPr>
          <w:sz w:val="28"/>
          <w:szCs w:val="28"/>
        </w:rPr>
        <w:t xml:space="preserve"> no ministru puses</w:t>
      </w:r>
      <w:r w:rsidR="001B3D1C" w:rsidRPr="00C9105A">
        <w:rPr>
          <w:sz w:val="28"/>
          <w:szCs w:val="28"/>
        </w:rPr>
        <w:t>.</w:t>
      </w:r>
    </w:p>
    <w:p w14:paraId="00098B74" w14:textId="77777777" w:rsidR="0093409C" w:rsidRPr="00C9105A" w:rsidRDefault="00DB7CFB" w:rsidP="00582F77">
      <w:pPr>
        <w:spacing w:before="120"/>
        <w:ind w:firstLine="567"/>
        <w:jc w:val="both"/>
        <w:rPr>
          <w:sz w:val="28"/>
          <w:szCs w:val="28"/>
        </w:rPr>
      </w:pPr>
      <w:r w:rsidRPr="00C9105A">
        <w:rPr>
          <w:sz w:val="28"/>
          <w:szCs w:val="28"/>
        </w:rPr>
        <w:t xml:space="preserve">Pasaules ekonomikas foruma </w:t>
      </w:r>
      <w:r w:rsidR="0093409C" w:rsidRPr="00C9105A">
        <w:rPr>
          <w:sz w:val="28"/>
          <w:szCs w:val="28"/>
        </w:rPr>
        <w:t xml:space="preserve">jaunākais </w:t>
      </w:r>
      <w:r w:rsidRPr="00C9105A">
        <w:rPr>
          <w:sz w:val="28"/>
          <w:szCs w:val="28"/>
        </w:rPr>
        <w:t xml:space="preserve">ikgadējais pētījums par </w:t>
      </w:r>
      <w:r w:rsidR="0093409C" w:rsidRPr="00C9105A">
        <w:rPr>
          <w:sz w:val="28"/>
          <w:szCs w:val="28"/>
        </w:rPr>
        <w:t>valstu g</w:t>
      </w:r>
      <w:r w:rsidRPr="00C9105A">
        <w:rPr>
          <w:sz w:val="28"/>
          <w:szCs w:val="28"/>
        </w:rPr>
        <w:t>lobālo konkurētspēj</w:t>
      </w:r>
      <w:r w:rsidR="0093409C" w:rsidRPr="00C9105A">
        <w:rPr>
          <w:sz w:val="28"/>
          <w:szCs w:val="28"/>
        </w:rPr>
        <w:t>u</w:t>
      </w:r>
      <w:r w:rsidRPr="00C9105A">
        <w:rPr>
          <w:sz w:val="28"/>
          <w:szCs w:val="28"/>
        </w:rPr>
        <w:t xml:space="preserve"> parāda</w:t>
      </w:r>
      <w:r w:rsidR="0093409C" w:rsidRPr="00C9105A">
        <w:rPr>
          <w:rStyle w:val="FootnoteReference"/>
          <w:sz w:val="28"/>
          <w:szCs w:val="28"/>
        </w:rPr>
        <w:footnoteReference w:id="2"/>
      </w:r>
      <w:r w:rsidRPr="00C9105A">
        <w:rPr>
          <w:sz w:val="28"/>
          <w:szCs w:val="28"/>
        </w:rPr>
        <w:t xml:space="preserve">, ka </w:t>
      </w:r>
      <w:r w:rsidR="0093409C" w:rsidRPr="00C9105A">
        <w:rPr>
          <w:sz w:val="28"/>
          <w:szCs w:val="28"/>
        </w:rPr>
        <w:t>v</w:t>
      </w:r>
      <w:r w:rsidRPr="00C9105A">
        <w:rPr>
          <w:sz w:val="28"/>
          <w:szCs w:val="28"/>
        </w:rPr>
        <w:t>idējais ES dalībvalstu konkurētspējas indekss ir 4,74</w:t>
      </w:r>
      <w:r w:rsidR="0093409C" w:rsidRPr="00C9105A">
        <w:rPr>
          <w:sz w:val="28"/>
          <w:szCs w:val="28"/>
        </w:rPr>
        <w:t xml:space="preserve">, kas būtiski atpaliek no ASV un Japānas rādītājiem (skat. attēlu). Arī </w:t>
      </w:r>
      <w:r w:rsidRPr="00C9105A">
        <w:rPr>
          <w:sz w:val="28"/>
          <w:szCs w:val="28"/>
        </w:rPr>
        <w:t>Ķīnas</w:t>
      </w:r>
      <w:r w:rsidR="0093409C" w:rsidRPr="00C9105A">
        <w:rPr>
          <w:sz w:val="28"/>
          <w:szCs w:val="28"/>
        </w:rPr>
        <w:t xml:space="preserve"> </w:t>
      </w:r>
      <w:r w:rsidRPr="00C9105A">
        <w:rPr>
          <w:sz w:val="28"/>
          <w:szCs w:val="28"/>
        </w:rPr>
        <w:t>konkurētspējas indeks</w:t>
      </w:r>
      <w:r w:rsidR="0093409C" w:rsidRPr="00C9105A">
        <w:rPr>
          <w:sz w:val="28"/>
          <w:szCs w:val="28"/>
        </w:rPr>
        <w:t>s</w:t>
      </w:r>
      <w:r w:rsidRPr="00C9105A">
        <w:rPr>
          <w:sz w:val="28"/>
          <w:szCs w:val="28"/>
        </w:rPr>
        <w:t xml:space="preserve"> ir augstāk</w:t>
      </w:r>
      <w:r w:rsidR="0093409C" w:rsidRPr="00C9105A">
        <w:rPr>
          <w:sz w:val="28"/>
          <w:szCs w:val="28"/>
        </w:rPr>
        <w:t>s</w:t>
      </w:r>
      <w:r w:rsidRPr="00C9105A">
        <w:rPr>
          <w:sz w:val="28"/>
          <w:szCs w:val="28"/>
        </w:rPr>
        <w:t xml:space="preserve"> nekā ES vidējais.</w:t>
      </w:r>
      <w:r w:rsidR="00193A88" w:rsidRPr="00C9105A">
        <w:rPr>
          <w:sz w:val="28"/>
          <w:szCs w:val="28"/>
        </w:rPr>
        <w:t xml:space="preserve"> Globālais konkurētspējas indekss </w:t>
      </w:r>
      <w:r w:rsidRPr="00C9105A">
        <w:rPr>
          <w:sz w:val="28"/>
          <w:szCs w:val="28"/>
        </w:rPr>
        <w:t>balstās uz</w:t>
      </w:r>
      <w:r w:rsidR="00193A88" w:rsidRPr="00C9105A">
        <w:rPr>
          <w:sz w:val="28"/>
          <w:szCs w:val="28"/>
        </w:rPr>
        <w:t xml:space="preserve"> 144</w:t>
      </w:r>
      <w:r w:rsidRPr="00C9105A">
        <w:rPr>
          <w:sz w:val="28"/>
          <w:szCs w:val="28"/>
        </w:rPr>
        <w:t xml:space="preserve"> pasaules valstu salīdzinājumu atbilstoši 12 kritēriju grupām: institūcijas, infrastruktūra, makroekonomiskā vide, veselība un primārā izglītība, augstākā izglītība un apmācība, produktu tirgus efektivitāte, darba tirgus efektivitāte, finanšu tirgu attīstība, tehnoloģiskā gatavība, tirgus lielums, biznesa attīstības līmenis un inovācijas.</w:t>
      </w:r>
    </w:p>
    <w:p w14:paraId="09378B1B" w14:textId="77777777" w:rsidR="00DB7CFB" w:rsidRPr="00C9105A" w:rsidRDefault="00DB7CFB" w:rsidP="00582F77">
      <w:pPr>
        <w:spacing w:before="120"/>
        <w:ind w:firstLine="567"/>
        <w:jc w:val="both"/>
        <w:rPr>
          <w:sz w:val="28"/>
          <w:szCs w:val="28"/>
        </w:rPr>
      </w:pPr>
      <w:r w:rsidRPr="00C9105A">
        <w:rPr>
          <w:sz w:val="28"/>
          <w:szCs w:val="28"/>
        </w:rPr>
        <w:t xml:space="preserve">Latvija </w:t>
      </w:r>
      <w:r w:rsidR="0093409C" w:rsidRPr="00C9105A">
        <w:rPr>
          <w:sz w:val="28"/>
          <w:szCs w:val="28"/>
        </w:rPr>
        <w:t xml:space="preserve">šajā </w:t>
      </w:r>
      <w:r w:rsidRPr="00C9105A">
        <w:rPr>
          <w:sz w:val="28"/>
          <w:szCs w:val="28"/>
        </w:rPr>
        <w:t>2014.-2015.gada vērtējumā ieņ</w:t>
      </w:r>
      <w:r w:rsidR="0093409C" w:rsidRPr="00C9105A">
        <w:rPr>
          <w:sz w:val="28"/>
          <w:szCs w:val="28"/>
        </w:rPr>
        <w:t>e</w:t>
      </w:r>
      <w:r w:rsidRPr="00C9105A">
        <w:rPr>
          <w:sz w:val="28"/>
          <w:szCs w:val="28"/>
        </w:rPr>
        <w:t xml:space="preserve">m 42. vietu </w:t>
      </w:r>
      <w:r w:rsidR="0093409C" w:rsidRPr="00C9105A">
        <w:rPr>
          <w:sz w:val="28"/>
          <w:szCs w:val="28"/>
        </w:rPr>
        <w:t xml:space="preserve">un </w:t>
      </w:r>
      <w:r w:rsidRPr="00C9105A">
        <w:rPr>
          <w:sz w:val="28"/>
          <w:szCs w:val="28"/>
        </w:rPr>
        <w:t>novērtē</w:t>
      </w:r>
      <w:r w:rsidR="0093409C" w:rsidRPr="00C9105A">
        <w:rPr>
          <w:sz w:val="28"/>
          <w:szCs w:val="28"/>
        </w:rPr>
        <w:t xml:space="preserve">ta ar </w:t>
      </w:r>
      <w:r w:rsidRPr="00C9105A">
        <w:rPr>
          <w:sz w:val="28"/>
          <w:szCs w:val="28"/>
        </w:rPr>
        <w:t xml:space="preserve">4,5 </w:t>
      </w:r>
      <w:r w:rsidR="0093409C" w:rsidRPr="00C9105A">
        <w:rPr>
          <w:sz w:val="28"/>
          <w:szCs w:val="28"/>
        </w:rPr>
        <w:t xml:space="preserve">punktiem </w:t>
      </w:r>
      <w:r w:rsidRPr="00C9105A">
        <w:rPr>
          <w:sz w:val="28"/>
          <w:szCs w:val="28"/>
        </w:rPr>
        <w:t>no maksimāli iespējam</w:t>
      </w:r>
      <w:r w:rsidR="0093409C" w:rsidRPr="00C9105A">
        <w:rPr>
          <w:sz w:val="28"/>
          <w:szCs w:val="28"/>
        </w:rPr>
        <w:t>iem</w:t>
      </w:r>
      <w:r w:rsidRPr="00C9105A">
        <w:rPr>
          <w:sz w:val="28"/>
          <w:szCs w:val="28"/>
        </w:rPr>
        <w:t xml:space="preserve"> 7. </w:t>
      </w:r>
    </w:p>
    <w:p w14:paraId="32E041DF" w14:textId="77777777" w:rsidR="00547920" w:rsidRPr="00C9105A" w:rsidRDefault="00582F77" w:rsidP="00DB7CFB">
      <w:pPr>
        <w:jc w:val="both"/>
        <w:rPr>
          <w:sz w:val="28"/>
          <w:szCs w:val="28"/>
        </w:rPr>
      </w:pPr>
      <w:r w:rsidRPr="00C9105A">
        <w:rPr>
          <w:noProof/>
          <w:sz w:val="28"/>
          <w:szCs w:val="28"/>
        </w:rPr>
        <w:lastRenderedPageBreak/>
        <w:drawing>
          <wp:inline distT="0" distB="0" distL="0" distR="0" wp14:anchorId="1070C0EE" wp14:editId="50A6317E">
            <wp:extent cx="5019675" cy="2628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BC888" w14:textId="77777777" w:rsidR="00582F77" w:rsidRPr="00C9105A" w:rsidRDefault="00582F77" w:rsidP="00547920">
      <w:pPr>
        <w:rPr>
          <w:sz w:val="28"/>
          <w:szCs w:val="28"/>
        </w:rPr>
      </w:pPr>
    </w:p>
    <w:p w14:paraId="5659018D" w14:textId="77777777" w:rsidR="00193A88" w:rsidRPr="00C9105A" w:rsidRDefault="0093409C" w:rsidP="00582F77">
      <w:pPr>
        <w:jc w:val="center"/>
        <w:rPr>
          <w:sz w:val="28"/>
          <w:szCs w:val="28"/>
        </w:rPr>
      </w:pPr>
      <w:r w:rsidRPr="00C9105A">
        <w:rPr>
          <w:sz w:val="28"/>
          <w:szCs w:val="28"/>
        </w:rPr>
        <w:t xml:space="preserve">Attēls. </w:t>
      </w:r>
      <w:r w:rsidR="00547920" w:rsidRPr="00C9105A">
        <w:rPr>
          <w:sz w:val="28"/>
          <w:szCs w:val="28"/>
        </w:rPr>
        <w:t>Globālās konkurētspējas indekss 2014.-2015.</w:t>
      </w:r>
      <w:r w:rsidRPr="00C9105A">
        <w:rPr>
          <w:sz w:val="28"/>
          <w:szCs w:val="28"/>
        </w:rPr>
        <w:t>gadā</w:t>
      </w:r>
    </w:p>
    <w:p w14:paraId="2F9D7536" w14:textId="77777777" w:rsidR="0093409C" w:rsidRPr="00C9105A" w:rsidRDefault="0093409C" w:rsidP="00582F77">
      <w:pPr>
        <w:spacing w:after="120"/>
        <w:ind w:firstLine="567"/>
        <w:jc w:val="both"/>
        <w:rPr>
          <w:sz w:val="28"/>
          <w:szCs w:val="28"/>
        </w:rPr>
      </w:pPr>
    </w:p>
    <w:p w14:paraId="46A65D2D" w14:textId="77777777" w:rsidR="0050779F" w:rsidRPr="00C9105A" w:rsidRDefault="00193A88" w:rsidP="0050779F">
      <w:pPr>
        <w:spacing w:after="120"/>
        <w:ind w:firstLine="567"/>
        <w:jc w:val="both"/>
        <w:rPr>
          <w:sz w:val="28"/>
          <w:szCs w:val="28"/>
        </w:rPr>
      </w:pPr>
      <w:r w:rsidRPr="00C9105A">
        <w:rPr>
          <w:sz w:val="28"/>
          <w:szCs w:val="28"/>
        </w:rPr>
        <w:t>2014.gadā EK nāca klajā ar Eiropas Konkurētspējas ziņojumu</w:t>
      </w:r>
      <w:r w:rsidR="0093409C" w:rsidRPr="00C9105A">
        <w:rPr>
          <w:rStyle w:val="FootnoteReference"/>
          <w:sz w:val="28"/>
          <w:szCs w:val="28"/>
        </w:rPr>
        <w:footnoteReference w:id="3"/>
      </w:r>
      <w:r w:rsidRPr="00C9105A">
        <w:rPr>
          <w:sz w:val="28"/>
          <w:szCs w:val="28"/>
        </w:rPr>
        <w:t xml:space="preserve">, kurā secināts, ka ES rūpniecība lēnām atkopjas no recesijas, galvenokārt pateicoties </w:t>
      </w:r>
      <w:r w:rsidR="00547920" w:rsidRPr="00C9105A">
        <w:rPr>
          <w:sz w:val="28"/>
          <w:szCs w:val="28"/>
        </w:rPr>
        <w:t xml:space="preserve">tehnoloģiski ietilpīgiem rūpniecības sektoriem, tādiem kā zāļu ražošana, ķīmiskā rūpniecība un mašīnbūve. </w:t>
      </w:r>
      <w:r w:rsidR="0093409C" w:rsidRPr="00C9105A">
        <w:rPr>
          <w:sz w:val="28"/>
          <w:szCs w:val="28"/>
        </w:rPr>
        <w:t xml:space="preserve">Ziņojumā akcentētas būtiskākās </w:t>
      </w:r>
      <w:r w:rsidR="00547920" w:rsidRPr="00C9105A">
        <w:rPr>
          <w:sz w:val="28"/>
          <w:szCs w:val="28"/>
        </w:rPr>
        <w:t>problēma</w:t>
      </w:r>
      <w:r w:rsidR="0093409C" w:rsidRPr="00C9105A">
        <w:rPr>
          <w:sz w:val="28"/>
          <w:szCs w:val="28"/>
        </w:rPr>
        <w:t>s</w:t>
      </w:r>
      <w:r w:rsidR="00547920" w:rsidRPr="00C9105A">
        <w:rPr>
          <w:sz w:val="28"/>
          <w:szCs w:val="28"/>
        </w:rPr>
        <w:t xml:space="preserve"> </w:t>
      </w:r>
      <w:r w:rsidR="0093409C" w:rsidRPr="00C9105A">
        <w:rPr>
          <w:sz w:val="28"/>
          <w:szCs w:val="28"/>
        </w:rPr>
        <w:t xml:space="preserve">ES izaugsmei, t.i. </w:t>
      </w:r>
      <w:r w:rsidR="00547920" w:rsidRPr="00C9105A">
        <w:rPr>
          <w:sz w:val="28"/>
          <w:szCs w:val="28"/>
        </w:rPr>
        <w:t xml:space="preserve">jauniem uzņēmumiem </w:t>
      </w:r>
      <w:r w:rsidR="0093409C" w:rsidRPr="00C9105A">
        <w:rPr>
          <w:sz w:val="28"/>
          <w:szCs w:val="28"/>
        </w:rPr>
        <w:t xml:space="preserve">ir grūti </w:t>
      </w:r>
      <w:r w:rsidR="00547920" w:rsidRPr="00C9105A">
        <w:rPr>
          <w:sz w:val="28"/>
          <w:szCs w:val="28"/>
        </w:rPr>
        <w:t>tikt pie finansējuma, īpaši ilgtermiņa kredītiem, lai attīstītu</w:t>
      </w:r>
      <w:r w:rsidR="00644A53" w:rsidRPr="00C9105A">
        <w:rPr>
          <w:sz w:val="28"/>
          <w:szCs w:val="28"/>
        </w:rPr>
        <w:t xml:space="preserve"> ražošanu. Pēdējos gados </w:t>
      </w:r>
      <w:r w:rsidR="0093409C" w:rsidRPr="00C9105A">
        <w:rPr>
          <w:sz w:val="28"/>
          <w:szCs w:val="28"/>
        </w:rPr>
        <w:t xml:space="preserve">arī </w:t>
      </w:r>
      <w:r w:rsidR="00644A53" w:rsidRPr="00C9105A">
        <w:rPr>
          <w:sz w:val="28"/>
          <w:szCs w:val="28"/>
        </w:rPr>
        <w:t>elektrības un gāzes cenas Eiropā ir augušas daudz straujāk nekā citās ekonomikās</w:t>
      </w:r>
      <w:r w:rsidR="0093409C" w:rsidRPr="00C9105A">
        <w:rPr>
          <w:sz w:val="28"/>
          <w:szCs w:val="28"/>
        </w:rPr>
        <w:t>.</w:t>
      </w:r>
      <w:r w:rsidR="0050779F" w:rsidRPr="00C9105A">
        <w:rPr>
          <w:sz w:val="28"/>
          <w:szCs w:val="28"/>
        </w:rPr>
        <w:t xml:space="preserve"> Vidēji Eiropā uzņēmumi maksā divas reizes lielāku cenu par elektrību un gāzi nekā ASV. Pētījumā ir secināts, ka augstās energoresursu cenas ir atstājušas negatīvu iespaidu uz konkurētspēju eksporta sektoros.</w:t>
      </w:r>
    </w:p>
    <w:p w14:paraId="775168E7" w14:textId="77777777" w:rsidR="003E4AAC" w:rsidRPr="00C9105A" w:rsidRDefault="003E4AAC" w:rsidP="00582F77">
      <w:pPr>
        <w:spacing w:after="120"/>
        <w:ind w:firstLine="567"/>
        <w:jc w:val="both"/>
        <w:rPr>
          <w:sz w:val="28"/>
          <w:szCs w:val="28"/>
        </w:rPr>
      </w:pPr>
      <w:r w:rsidRPr="00C9105A">
        <w:rPr>
          <w:sz w:val="28"/>
          <w:szCs w:val="28"/>
        </w:rPr>
        <w:t xml:space="preserve">Gaidāmajā </w:t>
      </w:r>
      <w:r w:rsidR="0093409C" w:rsidRPr="00C9105A">
        <w:rPr>
          <w:sz w:val="28"/>
          <w:szCs w:val="28"/>
        </w:rPr>
        <w:t>ES</w:t>
      </w:r>
      <w:r w:rsidR="00193A88" w:rsidRPr="00C9105A">
        <w:rPr>
          <w:sz w:val="28"/>
          <w:szCs w:val="28"/>
        </w:rPr>
        <w:t xml:space="preserve"> Konkurētspējas </w:t>
      </w:r>
      <w:r w:rsidR="0093409C" w:rsidRPr="00C9105A">
        <w:rPr>
          <w:sz w:val="28"/>
          <w:szCs w:val="28"/>
        </w:rPr>
        <w:t xml:space="preserve">ministru </w:t>
      </w:r>
      <w:r w:rsidR="00193A88" w:rsidRPr="00C9105A">
        <w:rPr>
          <w:sz w:val="28"/>
          <w:szCs w:val="28"/>
        </w:rPr>
        <w:t>padom</w:t>
      </w:r>
      <w:r w:rsidRPr="00C9105A">
        <w:rPr>
          <w:sz w:val="28"/>
          <w:szCs w:val="28"/>
        </w:rPr>
        <w:t>es sanāksm</w:t>
      </w:r>
      <w:r w:rsidR="00193A88" w:rsidRPr="00C9105A">
        <w:rPr>
          <w:sz w:val="28"/>
          <w:szCs w:val="28"/>
        </w:rPr>
        <w:t xml:space="preserve">ē </w:t>
      </w:r>
      <w:r w:rsidR="0093409C" w:rsidRPr="00C9105A">
        <w:rPr>
          <w:sz w:val="28"/>
          <w:szCs w:val="28"/>
        </w:rPr>
        <w:t xml:space="preserve">EK </w:t>
      </w:r>
      <w:r w:rsidRPr="00C9105A">
        <w:rPr>
          <w:sz w:val="28"/>
          <w:szCs w:val="28"/>
        </w:rPr>
        <w:t xml:space="preserve">ir </w:t>
      </w:r>
      <w:r w:rsidR="0093409C" w:rsidRPr="00C9105A">
        <w:rPr>
          <w:sz w:val="28"/>
          <w:szCs w:val="28"/>
        </w:rPr>
        <w:t xml:space="preserve">aicināta </w:t>
      </w:r>
      <w:r w:rsidR="00193A88" w:rsidRPr="00C9105A">
        <w:rPr>
          <w:sz w:val="28"/>
          <w:szCs w:val="28"/>
        </w:rPr>
        <w:t>prezent</w:t>
      </w:r>
      <w:r w:rsidR="0093409C" w:rsidRPr="00C9105A">
        <w:rPr>
          <w:sz w:val="28"/>
          <w:szCs w:val="28"/>
        </w:rPr>
        <w:t>ēt</w:t>
      </w:r>
      <w:r w:rsidR="00193A88" w:rsidRPr="00C9105A">
        <w:rPr>
          <w:sz w:val="28"/>
          <w:szCs w:val="28"/>
        </w:rPr>
        <w:t xml:space="preserve"> jaunāk</w:t>
      </w:r>
      <w:r w:rsidR="0093409C" w:rsidRPr="00C9105A">
        <w:rPr>
          <w:sz w:val="28"/>
          <w:szCs w:val="28"/>
        </w:rPr>
        <w:t>os</w:t>
      </w:r>
      <w:r w:rsidR="00193A88" w:rsidRPr="00C9105A">
        <w:rPr>
          <w:sz w:val="28"/>
          <w:szCs w:val="28"/>
        </w:rPr>
        <w:t xml:space="preserve"> ekonomiskās attīstības rādītāj</w:t>
      </w:r>
      <w:r w:rsidR="0093409C" w:rsidRPr="00C9105A">
        <w:rPr>
          <w:sz w:val="28"/>
          <w:szCs w:val="28"/>
        </w:rPr>
        <w:t>us</w:t>
      </w:r>
      <w:r w:rsidR="00193A88" w:rsidRPr="00C9105A">
        <w:rPr>
          <w:sz w:val="28"/>
          <w:szCs w:val="28"/>
        </w:rPr>
        <w:t xml:space="preserve"> un to attīstības tendenc</w:t>
      </w:r>
      <w:r w:rsidR="0093409C" w:rsidRPr="00C9105A">
        <w:rPr>
          <w:sz w:val="28"/>
          <w:szCs w:val="28"/>
        </w:rPr>
        <w:t>es</w:t>
      </w:r>
      <w:r w:rsidR="00193A88" w:rsidRPr="00C9105A">
        <w:rPr>
          <w:sz w:val="28"/>
          <w:szCs w:val="28"/>
        </w:rPr>
        <w:t>, lai iezīmētu specifiskas interešu jomas</w:t>
      </w:r>
      <w:r w:rsidR="0093409C" w:rsidRPr="00C9105A">
        <w:rPr>
          <w:sz w:val="28"/>
          <w:szCs w:val="28"/>
        </w:rPr>
        <w:t xml:space="preserve">, pie </w:t>
      </w:r>
      <w:r w:rsidRPr="00C9105A">
        <w:rPr>
          <w:sz w:val="28"/>
          <w:szCs w:val="28"/>
        </w:rPr>
        <w:t>kurām būtu jāstrādā kā ES, tā nacionālā līmenī</w:t>
      </w:r>
      <w:r w:rsidR="00193A88" w:rsidRPr="00C9105A">
        <w:rPr>
          <w:sz w:val="28"/>
          <w:szCs w:val="28"/>
        </w:rPr>
        <w:t>.</w:t>
      </w:r>
    </w:p>
    <w:p w14:paraId="093252CB" w14:textId="77777777" w:rsidR="0050779F" w:rsidRPr="00C9105A" w:rsidRDefault="00356C1C" w:rsidP="00582F77">
      <w:pPr>
        <w:spacing w:after="120"/>
        <w:ind w:firstLine="567"/>
        <w:jc w:val="both"/>
        <w:rPr>
          <w:sz w:val="28"/>
          <w:szCs w:val="28"/>
        </w:rPr>
      </w:pPr>
      <w:r w:rsidRPr="00C9105A">
        <w:rPr>
          <w:sz w:val="28"/>
          <w:szCs w:val="28"/>
        </w:rPr>
        <w:t>P</w:t>
      </w:r>
      <w:r w:rsidR="003E4AAC" w:rsidRPr="00C9105A">
        <w:rPr>
          <w:sz w:val="28"/>
          <w:szCs w:val="28"/>
        </w:rPr>
        <w:t xml:space="preserve">rezidentūra tic, ka šāds konkurētspējas pārbaudes </w:t>
      </w:r>
      <w:proofErr w:type="spellStart"/>
      <w:r w:rsidR="003E4AAC" w:rsidRPr="00C9105A">
        <w:rPr>
          <w:sz w:val="28"/>
          <w:szCs w:val="28"/>
        </w:rPr>
        <w:t>izvērtējums</w:t>
      </w:r>
      <w:proofErr w:type="spellEnd"/>
      <w:r w:rsidR="003E4AAC" w:rsidRPr="00C9105A">
        <w:rPr>
          <w:sz w:val="28"/>
          <w:szCs w:val="28"/>
        </w:rPr>
        <w:t xml:space="preserve"> kļūs par pastāvīgu ES Konkurētspējas ministru padomju sanāksmju darba kārtības punktu. Arī nākamajā ministru sanāksmē, kas plānota 2015. gada 30. novembrī, tiks </w:t>
      </w:r>
      <w:r w:rsidR="00193A88" w:rsidRPr="00C9105A">
        <w:rPr>
          <w:sz w:val="28"/>
          <w:szCs w:val="28"/>
        </w:rPr>
        <w:t>analizēt</w:t>
      </w:r>
      <w:r w:rsidR="003E4AAC" w:rsidRPr="00C9105A">
        <w:rPr>
          <w:sz w:val="28"/>
          <w:szCs w:val="28"/>
        </w:rPr>
        <w:t>i</w:t>
      </w:r>
      <w:r w:rsidR="00193A88" w:rsidRPr="00C9105A">
        <w:rPr>
          <w:sz w:val="28"/>
          <w:szCs w:val="28"/>
        </w:rPr>
        <w:t xml:space="preserve"> </w:t>
      </w:r>
      <w:r w:rsidR="003E4AAC" w:rsidRPr="00C9105A">
        <w:rPr>
          <w:sz w:val="28"/>
          <w:szCs w:val="28"/>
        </w:rPr>
        <w:t xml:space="preserve">atsevišķi </w:t>
      </w:r>
      <w:r w:rsidR="00193A88" w:rsidRPr="00C9105A">
        <w:rPr>
          <w:sz w:val="28"/>
          <w:szCs w:val="28"/>
        </w:rPr>
        <w:t>ekonomiskās attīstības rādītāj</w:t>
      </w:r>
      <w:r w:rsidR="003E4AAC" w:rsidRPr="00C9105A">
        <w:rPr>
          <w:sz w:val="28"/>
          <w:szCs w:val="28"/>
        </w:rPr>
        <w:t>i</w:t>
      </w:r>
      <w:r w:rsidR="00193A88" w:rsidRPr="00C9105A">
        <w:rPr>
          <w:sz w:val="28"/>
          <w:szCs w:val="28"/>
        </w:rPr>
        <w:t xml:space="preserve">, kuri tiešā veidā ietekmē konkurētspēju. </w:t>
      </w:r>
      <w:r w:rsidR="003E4AAC" w:rsidRPr="00C9105A">
        <w:rPr>
          <w:sz w:val="28"/>
          <w:szCs w:val="28"/>
        </w:rPr>
        <w:t xml:space="preserve">Papildus </w:t>
      </w:r>
      <w:r w:rsidRPr="00C9105A">
        <w:rPr>
          <w:sz w:val="28"/>
          <w:szCs w:val="28"/>
        </w:rPr>
        <w:t>P</w:t>
      </w:r>
      <w:r w:rsidR="003E4AAC" w:rsidRPr="00C9105A">
        <w:rPr>
          <w:sz w:val="28"/>
          <w:szCs w:val="28"/>
        </w:rPr>
        <w:t xml:space="preserve">rezidentūra plāno īsi pirms </w:t>
      </w:r>
      <w:r w:rsidR="003E4AAC" w:rsidRPr="00C9105A">
        <w:rPr>
          <w:sz w:val="28"/>
          <w:szCs w:val="28"/>
        </w:rPr>
        <w:lastRenderedPageBreak/>
        <w:t xml:space="preserve">sanāksmes izplatīt apkopojumu ar aktuālajām un plānotajām ES iniciatīvām un tiesību aktu priekšlikumiem, kas palīdzētu ministriem identificēt tos </w:t>
      </w:r>
      <w:proofErr w:type="spellStart"/>
      <w:r w:rsidR="003E4AAC" w:rsidRPr="00C9105A">
        <w:rPr>
          <w:sz w:val="28"/>
          <w:szCs w:val="28"/>
        </w:rPr>
        <w:t>pārnozaru</w:t>
      </w:r>
      <w:proofErr w:type="spellEnd"/>
      <w:r w:rsidR="003E4AAC" w:rsidRPr="00C9105A">
        <w:rPr>
          <w:sz w:val="28"/>
          <w:szCs w:val="28"/>
        </w:rPr>
        <w:t xml:space="preserve"> jautājumus, kuriem </w:t>
      </w:r>
      <w:r w:rsidR="00865B96">
        <w:rPr>
          <w:sz w:val="28"/>
          <w:szCs w:val="28"/>
        </w:rPr>
        <w:t xml:space="preserve">ES </w:t>
      </w:r>
      <w:r w:rsidR="003E4AAC" w:rsidRPr="00C9105A">
        <w:rPr>
          <w:sz w:val="28"/>
          <w:szCs w:val="28"/>
        </w:rPr>
        <w:t xml:space="preserve">Konkurētspējas ministru padomē un tās sagatavošanas struktūrās </w:t>
      </w:r>
      <w:r w:rsidR="0050779F" w:rsidRPr="00C9105A">
        <w:rPr>
          <w:sz w:val="28"/>
          <w:szCs w:val="28"/>
        </w:rPr>
        <w:t>jā</w:t>
      </w:r>
      <w:r w:rsidR="003E4AAC" w:rsidRPr="00C9105A">
        <w:rPr>
          <w:sz w:val="28"/>
          <w:szCs w:val="28"/>
        </w:rPr>
        <w:t>pievēr</w:t>
      </w:r>
      <w:r w:rsidR="0050779F" w:rsidRPr="00C9105A">
        <w:rPr>
          <w:sz w:val="28"/>
          <w:szCs w:val="28"/>
        </w:rPr>
        <w:t>š</w:t>
      </w:r>
      <w:r w:rsidR="003E4AAC" w:rsidRPr="00C9105A">
        <w:rPr>
          <w:sz w:val="28"/>
          <w:szCs w:val="28"/>
        </w:rPr>
        <w:t xml:space="preserve"> pastiprināt</w:t>
      </w:r>
      <w:r w:rsidR="0050779F" w:rsidRPr="00C9105A">
        <w:rPr>
          <w:sz w:val="28"/>
          <w:szCs w:val="28"/>
        </w:rPr>
        <w:t>a</w:t>
      </w:r>
      <w:r w:rsidR="003E4AAC" w:rsidRPr="00C9105A">
        <w:rPr>
          <w:sz w:val="28"/>
          <w:szCs w:val="28"/>
        </w:rPr>
        <w:t xml:space="preserve"> uzmanīb</w:t>
      </w:r>
      <w:r w:rsidR="0050779F" w:rsidRPr="00C9105A">
        <w:rPr>
          <w:sz w:val="28"/>
          <w:szCs w:val="28"/>
        </w:rPr>
        <w:t>a to sagatavošanas un izstrādes procesā.</w:t>
      </w:r>
      <w:r w:rsidR="00865B96">
        <w:rPr>
          <w:sz w:val="28"/>
          <w:szCs w:val="28"/>
        </w:rPr>
        <w:t xml:space="preserve"> Sanāksmē plānota ministru diskusija uz Prezidentūras izplatītā apkopojuma pamata. </w:t>
      </w:r>
    </w:p>
    <w:p w14:paraId="6A9EE65F" w14:textId="77777777" w:rsidR="00F05162" w:rsidRPr="00C9105A" w:rsidRDefault="00F05162" w:rsidP="00582F77">
      <w:pPr>
        <w:spacing w:after="120"/>
        <w:ind w:firstLine="567"/>
        <w:jc w:val="both"/>
        <w:rPr>
          <w:b/>
          <w:sz w:val="28"/>
          <w:szCs w:val="28"/>
          <w:u w:val="single"/>
        </w:rPr>
      </w:pPr>
      <w:r w:rsidRPr="00C9105A">
        <w:rPr>
          <w:b/>
          <w:sz w:val="28"/>
          <w:szCs w:val="28"/>
          <w:u w:val="single"/>
        </w:rPr>
        <w:t>Latvijas nostāja:</w:t>
      </w:r>
    </w:p>
    <w:p w14:paraId="6CF8C64A" w14:textId="77777777" w:rsidR="003170E2" w:rsidRPr="00C9105A" w:rsidRDefault="003170E2" w:rsidP="00582F77">
      <w:pPr>
        <w:spacing w:after="120"/>
        <w:ind w:firstLine="567"/>
        <w:jc w:val="both"/>
        <w:rPr>
          <w:sz w:val="28"/>
          <w:szCs w:val="28"/>
        </w:rPr>
      </w:pPr>
      <w:r w:rsidRPr="00C9105A">
        <w:rPr>
          <w:sz w:val="28"/>
          <w:szCs w:val="28"/>
        </w:rPr>
        <w:t xml:space="preserve">Latvija </w:t>
      </w:r>
      <w:r w:rsidR="00644A53" w:rsidRPr="00C9105A">
        <w:rPr>
          <w:sz w:val="28"/>
          <w:szCs w:val="28"/>
        </w:rPr>
        <w:t xml:space="preserve">kopumā </w:t>
      </w:r>
      <w:r w:rsidRPr="00C9105A">
        <w:rPr>
          <w:sz w:val="28"/>
          <w:szCs w:val="28"/>
        </w:rPr>
        <w:t>atzinīgi vērtē iniciatīvu</w:t>
      </w:r>
      <w:r w:rsidR="0050779F" w:rsidRPr="00C9105A">
        <w:rPr>
          <w:sz w:val="28"/>
          <w:szCs w:val="28"/>
        </w:rPr>
        <w:t xml:space="preserve"> veikt regulārus konkurētspējas pārbaužu </w:t>
      </w:r>
      <w:proofErr w:type="spellStart"/>
      <w:r w:rsidR="0050779F" w:rsidRPr="00C9105A">
        <w:rPr>
          <w:sz w:val="28"/>
          <w:szCs w:val="28"/>
        </w:rPr>
        <w:t>izvērtējumus</w:t>
      </w:r>
      <w:proofErr w:type="spellEnd"/>
      <w:r w:rsidRPr="00C9105A">
        <w:rPr>
          <w:sz w:val="28"/>
          <w:szCs w:val="28"/>
        </w:rPr>
        <w:t xml:space="preserve">, jo </w:t>
      </w:r>
      <w:r w:rsidR="00865B96">
        <w:rPr>
          <w:sz w:val="28"/>
          <w:szCs w:val="28"/>
        </w:rPr>
        <w:t xml:space="preserve">ES </w:t>
      </w:r>
      <w:r w:rsidRPr="00C9105A">
        <w:rPr>
          <w:sz w:val="28"/>
          <w:szCs w:val="28"/>
        </w:rPr>
        <w:t xml:space="preserve">Konkurētspējas </w:t>
      </w:r>
      <w:r w:rsidR="0050779F" w:rsidRPr="00C9105A">
        <w:rPr>
          <w:sz w:val="28"/>
          <w:szCs w:val="28"/>
        </w:rPr>
        <w:t>ministru p</w:t>
      </w:r>
      <w:r w:rsidRPr="00C9105A">
        <w:rPr>
          <w:sz w:val="28"/>
          <w:szCs w:val="28"/>
        </w:rPr>
        <w:t xml:space="preserve">adomes </w:t>
      </w:r>
      <w:r w:rsidR="0050779F" w:rsidRPr="00C9105A">
        <w:rPr>
          <w:sz w:val="28"/>
          <w:szCs w:val="28"/>
        </w:rPr>
        <w:t>pamat</w:t>
      </w:r>
      <w:r w:rsidRPr="00C9105A">
        <w:rPr>
          <w:sz w:val="28"/>
          <w:szCs w:val="28"/>
        </w:rPr>
        <w:t>uzdevums ir nodrošināt politisko atbalstu un pamatu spēcīgai, inovatīvai un ilgtspējīgai rūpniecības bāzei</w:t>
      </w:r>
      <w:r w:rsidR="00865B96">
        <w:rPr>
          <w:sz w:val="28"/>
          <w:szCs w:val="28"/>
        </w:rPr>
        <w:t xml:space="preserve"> un</w:t>
      </w:r>
      <w:r w:rsidRPr="00C9105A">
        <w:rPr>
          <w:sz w:val="28"/>
          <w:szCs w:val="28"/>
        </w:rPr>
        <w:t xml:space="preserve"> pilnībā funkcionējoš</w:t>
      </w:r>
      <w:r w:rsidR="00865B96">
        <w:rPr>
          <w:sz w:val="28"/>
          <w:szCs w:val="28"/>
        </w:rPr>
        <w:t>am</w:t>
      </w:r>
      <w:r w:rsidRPr="00C9105A">
        <w:rPr>
          <w:sz w:val="28"/>
          <w:szCs w:val="28"/>
        </w:rPr>
        <w:t xml:space="preserve"> ES Vienota</w:t>
      </w:r>
      <w:r w:rsidR="00865B96">
        <w:rPr>
          <w:sz w:val="28"/>
          <w:szCs w:val="28"/>
        </w:rPr>
        <w:t>jam</w:t>
      </w:r>
      <w:r w:rsidRPr="00C9105A">
        <w:rPr>
          <w:sz w:val="28"/>
          <w:szCs w:val="28"/>
        </w:rPr>
        <w:t xml:space="preserve"> tirgu</w:t>
      </w:r>
      <w:r w:rsidR="00865B96">
        <w:rPr>
          <w:sz w:val="28"/>
          <w:szCs w:val="28"/>
        </w:rPr>
        <w:t>m</w:t>
      </w:r>
      <w:r w:rsidRPr="00C9105A">
        <w:rPr>
          <w:sz w:val="28"/>
          <w:szCs w:val="28"/>
        </w:rPr>
        <w:t>.</w:t>
      </w:r>
    </w:p>
    <w:p w14:paraId="1EDC07C9" w14:textId="3348299E" w:rsidR="00F14555" w:rsidRPr="00C9105A" w:rsidRDefault="001310F3" w:rsidP="00F14555">
      <w:pPr>
        <w:spacing w:after="120"/>
        <w:ind w:firstLine="567"/>
        <w:jc w:val="both"/>
        <w:rPr>
          <w:sz w:val="28"/>
          <w:szCs w:val="28"/>
        </w:rPr>
      </w:pPr>
      <w:r w:rsidRPr="00C9105A">
        <w:rPr>
          <w:sz w:val="28"/>
          <w:szCs w:val="28"/>
        </w:rPr>
        <w:t>Kā aktuālās ar konkurētspēju saistītas inici</w:t>
      </w:r>
      <w:r w:rsidR="00F14555" w:rsidRPr="00C9105A">
        <w:rPr>
          <w:sz w:val="28"/>
          <w:szCs w:val="28"/>
        </w:rPr>
        <w:t>a</w:t>
      </w:r>
      <w:r w:rsidRPr="00C9105A">
        <w:rPr>
          <w:sz w:val="28"/>
          <w:szCs w:val="28"/>
        </w:rPr>
        <w:t>tīvas</w:t>
      </w:r>
      <w:r w:rsidR="007B4865">
        <w:rPr>
          <w:sz w:val="28"/>
          <w:szCs w:val="28"/>
        </w:rPr>
        <w:t xml:space="preserve"> un jau esošiem likumdošanas priek</w:t>
      </w:r>
      <w:r w:rsidR="00C17EB6">
        <w:rPr>
          <w:sz w:val="28"/>
          <w:szCs w:val="28"/>
        </w:rPr>
        <w:t>šlikumiem</w:t>
      </w:r>
      <w:r w:rsidRPr="00C9105A">
        <w:rPr>
          <w:sz w:val="28"/>
          <w:szCs w:val="28"/>
        </w:rPr>
        <w:t xml:space="preserve">, kas </w:t>
      </w:r>
      <w:r w:rsidR="00F14555" w:rsidRPr="00C9105A">
        <w:rPr>
          <w:sz w:val="28"/>
          <w:szCs w:val="28"/>
        </w:rPr>
        <w:t xml:space="preserve">varētu atstāt nozīmīgu ietekmi uz ES konkurētspēju, šobrīd Latvija ir identificējusi 2015.gada oktobrī gaidāmo </w:t>
      </w:r>
      <w:r w:rsidR="00F14555" w:rsidRPr="00C9105A">
        <w:rPr>
          <w:i/>
          <w:sz w:val="28"/>
          <w:szCs w:val="28"/>
        </w:rPr>
        <w:t>Iekšējā tirgus stratēģiju precēm un pakalpojumiem</w:t>
      </w:r>
      <w:r w:rsidR="00F14555" w:rsidRPr="00C9105A">
        <w:rPr>
          <w:sz w:val="28"/>
          <w:szCs w:val="28"/>
        </w:rPr>
        <w:t xml:space="preserve">, gada beigās plānoto </w:t>
      </w:r>
      <w:r w:rsidR="00F14555" w:rsidRPr="00C9105A">
        <w:rPr>
          <w:i/>
          <w:sz w:val="28"/>
          <w:szCs w:val="28"/>
        </w:rPr>
        <w:t xml:space="preserve">Aprites ekonomikas </w:t>
      </w:r>
      <w:proofErr w:type="spellStart"/>
      <w:r w:rsidR="00F14555" w:rsidRPr="00C9105A">
        <w:rPr>
          <w:i/>
          <w:sz w:val="28"/>
          <w:szCs w:val="28"/>
        </w:rPr>
        <w:t>pakotni</w:t>
      </w:r>
      <w:proofErr w:type="spellEnd"/>
      <w:r w:rsidR="00F14555" w:rsidRPr="00C9105A">
        <w:rPr>
          <w:sz w:val="28"/>
          <w:szCs w:val="28"/>
        </w:rPr>
        <w:t xml:space="preserve"> un virkni likumdošanas priekšlikumu, kas </w:t>
      </w:r>
      <w:r w:rsidR="00D26A4D">
        <w:rPr>
          <w:sz w:val="28"/>
          <w:szCs w:val="28"/>
        </w:rPr>
        <w:t>minēti</w:t>
      </w:r>
      <w:r w:rsidR="00F14555" w:rsidRPr="00C9105A">
        <w:rPr>
          <w:sz w:val="28"/>
          <w:szCs w:val="28"/>
        </w:rPr>
        <w:t xml:space="preserve"> 2015.gada maijā publicēt</w:t>
      </w:r>
      <w:r w:rsidR="00D26A4D">
        <w:rPr>
          <w:sz w:val="28"/>
          <w:szCs w:val="28"/>
        </w:rPr>
        <w:t>aj</w:t>
      </w:r>
      <w:r w:rsidR="00F14555" w:rsidRPr="00C9105A">
        <w:rPr>
          <w:sz w:val="28"/>
          <w:szCs w:val="28"/>
        </w:rPr>
        <w:t xml:space="preserve">ā </w:t>
      </w:r>
      <w:r w:rsidR="00F14555" w:rsidRPr="00C9105A">
        <w:rPr>
          <w:i/>
          <w:sz w:val="28"/>
          <w:szCs w:val="28"/>
        </w:rPr>
        <w:t>Digitālā vienotā tirgus stratēģij</w:t>
      </w:r>
      <w:r w:rsidR="00D26A4D">
        <w:rPr>
          <w:i/>
          <w:sz w:val="28"/>
          <w:szCs w:val="28"/>
        </w:rPr>
        <w:t>ā</w:t>
      </w:r>
      <w:r w:rsidR="000E23E5">
        <w:rPr>
          <w:i/>
          <w:sz w:val="28"/>
          <w:szCs w:val="28"/>
        </w:rPr>
        <w:t xml:space="preserve">, </w:t>
      </w:r>
      <w:r w:rsidR="000E23E5" w:rsidRPr="000E23E5">
        <w:rPr>
          <w:sz w:val="28"/>
          <w:szCs w:val="28"/>
        </w:rPr>
        <w:t>kā arī</w:t>
      </w:r>
      <w:r w:rsidR="000E23E5">
        <w:rPr>
          <w:sz w:val="28"/>
          <w:szCs w:val="28"/>
        </w:rPr>
        <w:t xml:space="preserve"> </w:t>
      </w:r>
      <w:r w:rsidR="000E23E5">
        <w:rPr>
          <w:i/>
          <w:sz w:val="28"/>
          <w:szCs w:val="28"/>
        </w:rPr>
        <w:t xml:space="preserve">Enerģētikas savienības </w:t>
      </w:r>
      <w:proofErr w:type="spellStart"/>
      <w:r w:rsidR="000E23E5">
        <w:rPr>
          <w:i/>
          <w:sz w:val="28"/>
          <w:szCs w:val="28"/>
        </w:rPr>
        <w:t>pakotn</w:t>
      </w:r>
      <w:r w:rsidR="00E047CA">
        <w:rPr>
          <w:i/>
          <w:sz w:val="28"/>
          <w:szCs w:val="28"/>
        </w:rPr>
        <w:t>ē</w:t>
      </w:r>
      <w:proofErr w:type="spellEnd"/>
      <w:r w:rsidR="00F14555" w:rsidRPr="00C9105A">
        <w:rPr>
          <w:sz w:val="28"/>
          <w:szCs w:val="28"/>
        </w:rPr>
        <w:t xml:space="preserve">. </w:t>
      </w:r>
      <w:r w:rsidR="00F05162" w:rsidRPr="00C9105A">
        <w:rPr>
          <w:sz w:val="28"/>
          <w:szCs w:val="28"/>
        </w:rPr>
        <w:t xml:space="preserve">Latvija uzskata, ka izstrādājot jaunas iniciatīvas un likumdošanas priekšlikumus, ir nepieciešams vērtēt ietekmi uz rūpniecību un konkurētspēju, lai neradītu papildus nevajadzīgu </w:t>
      </w:r>
      <w:r w:rsidR="008235D5">
        <w:rPr>
          <w:sz w:val="28"/>
          <w:szCs w:val="28"/>
        </w:rPr>
        <w:t xml:space="preserve">finansiālo un administratīvo </w:t>
      </w:r>
      <w:r w:rsidR="00F05162" w:rsidRPr="00C9105A">
        <w:rPr>
          <w:sz w:val="28"/>
          <w:szCs w:val="28"/>
        </w:rPr>
        <w:t>slogu</w:t>
      </w:r>
      <w:r w:rsidR="008235D5">
        <w:rPr>
          <w:sz w:val="28"/>
          <w:szCs w:val="28"/>
        </w:rPr>
        <w:t xml:space="preserve"> ES uzņēmējiem</w:t>
      </w:r>
      <w:r w:rsidR="00F05162" w:rsidRPr="00C9105A">
        <w:rPr>
          <w:sz w:val="28"/>
          <w:szCs w:val="28"/>
        </w:rPr>
        <w:t>.</w:t>
      </w:r>
    </w:p>
    <w:p w14:paraId="7A236A14" w14:textId="77777777" w:rsidR="00F14555" w:rsidRDefault="00F14555" w:rsidP="00F14555">
      <w:pPr>
        <w:spacing w:after="120"/>
        <w:ind w:firstLine="567"/>
        <w:jc w:val="both"/>
        <w:rPr>
          <w:sz w:val="28"/>
          <w:szCs w:val="28"/>
        </w:rPr>
      </w:pPr>
      <w:r w:rsidRPr="00C9105A">
        <w:rPr>
          <w:sz w:val="28"/>
          <w:szCs w:val="28"/>
        </w:rPr>
        <w:t xml:space="preserve">Vienlaikus Latvija sagaida, ka Augsta līmeņa konkurētspējas un izaugsmes darba grupa tiks izmantota kā platforma ES konkurētspēju ietekmējošo stratēģisko dokumentu analīzei, bet </w:t>
      </w:r>
      <w:r w:rsidR="00D26A4D">
        <w:rPr>
          <w:sz w:val="28"/>
          <w:szCs w:val="28"/>
        </w:rPr>
        <w:t xml:space="preserve">ES Padomes </w:t>
      </w:r>
      <w:r w:rsidRPr="00C9105A">
        <w:rPr>
          <w:sz w:val="28"/>
          <w:szCs w:val="28"/>
        </w:rPr>
        <w:t>Konkurētspējas u</w:t>
      </w:r>
      <w:r w:rsidR="00D26A4D">
        <w:rPr>
          <w:sz w:val="28"/>
          <w:szCs w:val="28"/>
        </w:rPr>
        <w:t>n</w:t>
      </w:r>
      <w:r w:rsidRPr="00C9105A">
        <w:rPr>
          <w:sz w:val="28"/>
          <w:szCs w:val="28"/>
        </w:rPr>
        <w:t xml:space="preserve"> izaugsmes jautājumu darba grupa, kas sanāk dažādos sastāvos atkarībā no darba kārtības tiesību aktu padziļinātai izvērtēšanai, nodrošin</w:t>
      </w:r>
      <w:r w:rsidR="0041397E">
        <w:rPr>
          <w:sz w:val="28"/>
          <w:szCs w:val="28"/>
        </w:rPr>
        <w:t>ās</w:t>
      </w:r>
      <w:r w:rsidRPr="00C9105A">
        <w:rPr>
          <w:sz w:val="28"/>
          <w:szCs w:val="28"/>
        </w:rPr>
        <w:t>, ka jaunās iniciatīvas ir atbilstošas uzņēmēju un patērētāju interesēm.</w:t>
      </w:r>
    </w:p>
    <w:p w14:paraId="629A7995" w14:textId="77777777" w:rsidR="00956A2A" w:rsidRPr="00C9105A" w:rsidRDefault="00956A2A" w:rsidP="00F14555">
      <w:pPr>
        <w:spacing w:after="120"/>
        <w:ind w:firstLine="567"/>
        <w:jc w:val="both"/>
        <w:rPr>
          <w:sz w:val="28"/>
          <w:szCs w:val="28"/>
        </w:rPr>
      </w:pPr>
    </w:p>
    <w:p w14:paraId="7296365E" w14:textId="77777777" w:rsidR="006C1A7F" w:rsidRPr="00C9105A" w:rsidRDefault="006C1A7F" w:rsidP="00582F77">
      <w:pPr>
        <w:pStyle w:val="ListParagraph"/>
        <w:numPr>
          <w:ilvl w:val="0"/>
          <w:numId w:val="3"/>
        </w:numPr>
        <w:ind w:left="567" w:hanging="567"/>
        <w:jc w:val="both"/>
        <w:rPr>
          <w:b/>
          <w:i/>
          <w:sz w:val="28"/>
          <w:szCs w:val="28"/>
        </w:rPr>
      </w:pPr>
      <w:r w:rsidRPr="00C9105A">
        <w:rPr>
          <w:b/>
          <w:i/>
          <w:sz w:val="28"/>
          <w:szCs w:val="28"/>
        </w:rPr>
        <w:t xml:space="preserve">Labāka regulējuma programma </w:t>
      </w:r>
      <w:r w:rsidR="00B46968" w:rsidRPr="00C9105A">
        <w:rPr>
          <w:b/>
          <w:i/>
          <w:sz w:val="28"/>
          <w:szCs w:val="28"/>
        </w:rPr>
        <w:t>Vienotā</w:t>
      </w:r>
      <w:r w:rsidR="00E80502" w:rsidRPr="00C9105A">
        <w:rPr>
          <w:b/>
          <w:i/>
          <w:sz w:val="28"/>
          <w:szCs w:val="28"/>
        </w:rPr>
        <w:t xml:space="preserve"> tirgus stiprināšanā un šķēršļu </w:t>
      </w:r>
      <w:r w:rsidRPr="00C9105A">
        <w:rPr>
          <w:b/>
          <w:i/>
          <w:sz w:val="28"/>
          <w:szCs w:val="28"/>
        </w:rPr>
        <w:t xml:space="preserve">samazināšanā </w:t>
      </w:r>
    </w:p>
    <w:p w14:paraId="07B0A8E4" w14:textId="77777777" w:rsidR="006C1A7F" w:rsidRPr="00C9105A" w:rsidRDefault="00356C1C" w:rsidP="00582F77">
      <w:pPr>
        <w:pStyle w:val="ListParagraph"/>
        <w:spacing w:after="120"/>
        <w:ind w:left="567"/>
        <w:contextualSpacing w:val="0"/>
        <w:jc w:val="both"/>
        <w:rPr>
          <w:i/>
          <w:sz w:val="28"/>
          <w:szCs w:val="28"/>
        </w:rPr>
      </w:pPr>
      <w:r w:rsidRPr="00C9105A">
        <w:rPr>
          <w:i/>
          <w:sz w:val="28"/>
          <w:szCs w:val="28"/>
        </w:rPr>
        <w:t xml:space="preserve">= </w:t>
      </w:r>
      <w:r w:rsidR="000B2D01" w:rsidRPr="00C9105A">
        <w:rPr>
          <w:i/>
          <w:sz w:val="28"/>
          <w:szCs w:val="28"/>
        </w:rPr>
        <w:t>V</w:t>
      </w:r>
      <w:r w:rsidR="00E80502" w:rsidRPr="00C9105A">
        <w:rPr>
          <w:i/>
          <w:sz w:val="28"/>
          <w:szCs w:val="28"/>
        </w:rPr>
        <w:t>iedokļu apmaiņa</w:t>
      </w:r>
    </w:p>
    <w:p w14:paraId="1F4BE64E" w14:textId="77777777" w:rsidR="000B2D01" w:rsidRPr="00C9105A" w:rsidRDefault="00356C1C" w:rsidP="00582F77">
      <w:pPr>
        <w:spacing w:after="120"/>
        <w:ind w:firstLine="567"/>
        <w:jc w:val="both"/>
        <w:rPr>
          <w:sz w:val="28"/>
          <w:szCs w:val="28"/>
        </w:rPr>
      </w:pPr>
      <w:r w:rsidRPr="00C9105A">
        <w:rPr>
          <w:sz w:val="28"/>
          <w:szCs w:val="28"/>
        </w:rPr>
        <w:t>Patreizējās p</w:t>
      </w:r>
      <w:r w:rsidR="00867327" w:rsidRPr="00C9105A">
        <w:rPr>
          <w:sz w:val="28"/>
          <w:szCs w:val="28"/>
        </w:rPr>
        <w:t>rezidentūra</w:t>
      </w:r>
      <w:r w:rsidRPr="00C9105A">
        <w:rPr>
          <w:sz w:val="28"/>
          <w:szCs w:val="28"/>
        </w:rPr>
        <w:t>s</w:t>
      </w:r>
      <w:r w:rsidR="00867327" w:rsidRPr="00C9105A">
        <w:rPr>
          <w:sz w:val="28"/>
          <w:szCs w:val="28"/>
        </w:rPr>
        <w:t xml:space="preserve"> </w:t>
      </w:r>
      <w:r w:rsidR="00E80502" w:rsidRPr="00C9105A">
        <w:rPr>
          <w:sz w:val="28"/>
          <w:szCs w:val="28"/>
        </w:rPr>
        <w:t xml:space="preserve">vadmotīvs ir izaugsmes un nodarbinātības atjaunošana. </w:t>
      </w:r>
      <w:r w:rsidR="004115B6" w:rsidRPr="00C9105A">
        <w:rPr>
          <w:sz w:val="28"/>
          <w:szCs w:val="28"/>
        </w:rPr>
        <w:t>Viens no prioritār</w:t>
      </w:r>
      <w:r w:rsidR="00867327" w:rsidRPr="00C9105A">
        <w:rPr>
          <w:sz w:val="28"/>
          <w:szCs w:val="28"/>
        </w:rPr>
        <w:t xml:space="preserve">iem jautājumiem ir </w:t>
      </w:r>
      <w:r w:rsidR="00D26A4D">
        <w:rPr>
          <w:sz w:val="28"/>
          <w:szCs w:val="28"/>
        </w:rPr>
        <w:t>ES V</w:t>
      </w:r>
      <w:r w:rsidR="00B46968" w:rsidRPr="00C9105A">
        <w:rPr>
          <w:sz w:val="28"/>
          <w:szCs w:val="28"/>
        </w:rPr>
        <w:t xml:space="preserve">ienotā tirgus </w:t>
      </w:r>
      <w:r w:rsidR="0073667E" w:rsidRPr="00C9105A">
        <w:rPr>
          <w:sz w:val="28"/>
          <w:szCs w:val="28"/>
        </w:rPr>
        <w:t>pilnveide</w:t>
      </w:r>
      <w:r w:rsidR="00B46968" w:rsidRPr="00C9105A">
        <w:rPr>
          <w:sz w:val="28"/>
          <w:szCs w:val="28"/>
        </w:rPr>
        <w:t xml:space="preserve">. </w:t>
      </w:r>
      <w:r w:rsidRPr="00C9105A">
        <w:rPr>
          <w:sz w:val="28"/>
          <w:szCs w:val="28"/>
        </w:rPr>
        <w:t>J</w:t>
      </w:r>
      <w:r w:rsidR="00B46968" w:rsidRPr="00C9105A">
        <w:rPr>
          <w:sz w:val="28"/>
          <w:szCs w:val="28"/>
        </w:rPr>
        <w:t xml:space="preserve">aunās Labāka regulējuma programmas, kā arī gaidāmās Iekšējā tirgus stratēģijas precēm un pakalpojumiem kontekstā </w:t>
      </w:r>
      <w:r w:rsidRPr="00C9105A">
        <w:rPr>
          <w:sz w:val="28"/>
          <w:szCs w:val="28"/>
        </w:rPr>
        <w:t>P</w:t>
      </w:r>
      <w:r w:rsidR="00B46968" w:rsidRPr="00C9105A">
        <w:rPr>
          <w:sz w:val="28"/>
          <w:szCs w:val="28"/>
        </w:rPr>
        <w:t xml:space="preserve">rezidentūra </w:t>
      </w:r>
      <w:r w:rsidR="00B46968" w:rsidRPr="00C9105A">
        <w:rPr>
          <w:sz w:val="28"/>
          <w:szCs w:val="28"/>
        </w:rPr>
        <w:lastRenderedPageBreak/>
        <w:t xml:space="preserve">uzskata, ka </w:t>
      </w:r>
      <w:r w:rsidR="00D26A4D">
        <w:rPr>
          <w:sz w:val="28"/>
          <w:szCs w:val="28"/>
        </w:rPr>
        <w:t xml:space="preserve">ES </w:t>
      </w:r>
      <w:r w:rsidR="00B46968" w:rsidRPr="00C9105A">
        <w:rPr>
          <w:sz w:val="28"/>
          <w:szCs w:val="28"/>
        </w:rPr>
        <w:t xml:space="preserve">Konkurētspējas </w:t>
      </w:r>
      <w:r w:rsidRPr="00C9105A">
        <w:rPr>
          <w:sz w:val="28"/>
          <w:szCs w:val="28"/>
        </w:rPr>
        <w:t xml:space="preserve">ministru </w:t>
      </w:r>
      <w:r w:rsidR="00B46968" w:rsidRPr="00C9105A">
        <w:rPr>
          <w:sz w:val="28"/>
          <w:szCs w:val="28"/>
        </w:rPr>
        <w:t xml:space="preserve">sanāksmē </w:t>
      </w:r>
      <w:r w:rsidR="000B2D01" w:rsidRPr="00C9105A">
        <w:rPr>
          <w:sz w:val="28"/>
          <w:szCs w:val="28"/>
        </w:rPr>
        <w:t xml:space="preserve">ir </w:t>
      </w:r>
      <w:r w:rsidR="00B46968" w:rsidRPr="00C9105A">
        <w:rPr>
          <w:sz w:val="28"/>
          <w:szCs w:val="28"/>
        </w:rPr>
        <w:t xml:space="preserve">ļoti būtiski </w:t>
      </w:r>
      <w:r w:rsidRPr="00C9105A">
        <w:rPr>
          <w:sz w:val="28"/>
          <w:szCs w:val="28"/>
        </w:rPr>
        <w:t>apskatīt</w:t>
      </w:r>
      <w:r w:rsidR="00B46968" w:rsidRPr="00C9105A">
        <w:rPr>
          <w:sz w:val="28"/>
          <w:szCs w:val="28"/>
        </w:rPr>
        <w:t xml:space="preserve">, kā </w:t>
      </w:r>
      <w:r w:rsidR="00E1367F" w:rsidRPr="00C9105A">
        <w:rPr>
          <w:sz w:val="28"/>
          <w:szCs w:val="28"/>
        </w:rPr>
        <w:t xml:space="preserve">var palielināt </w:t>
      </w:r>
      <w:r w:rsidR="00B46968" w:rsidRPr="00C9105A">
        <w:rPr>
          <w:sz w:val="28"/>
          <w:szCs w:val="28"/>
        </w:rPr>
        <w:t>sinerģiju starp labāku regul</w:t>
      </w:r>
      <w:r w:rsidR="00867327" w:rsidRPr="00C9105A">
        <w:rPr>
          <w:sz w:val="28"/>
          <w:szCs w:val="28"/>
        </w:rPr>
        <w:t>ējumu un v</w:t>
      </w:r>
      <w:r w:rsidR="00E1367F" w:rsidRPr="00C9105A">
        <w:rPr>
          <w:sz w:val="28"/>
          <w:szCs w:val="28"/>
        </w:rPr>
        <w:t>ienotā tirgus politiku</w:t>
      </w:r>
      <w:r w:rsidR="00B46968" w:rsidRPr="00C9105A">
        <w:rPr>
          <w:sz w:val="28"/>
          <w:szCs w:val="28"/>
        </w:rPr>
        <w:t xml:space="preserve">, lai </w:t>
      </w:r>
      <w:r w:rsidR="000B2D01" w:rsidRPr="00C9105A">
        <w:rPr>
          <w:sz w:val="28"/>
          <w:szCs w:val="28"/>
        </w:rPr>
        <w:t>sa</w:t>
      </w:r>
      <w:r w:rsidR="00B46968" w:rsidRPr="00C9105A">
        <w:rPr>
          <w:sz w:val="28"/>
          <w:szCs w:val="28"/>
        </w:rPr>
        <w:t>sniegtu konkrētus rezultātus Eiropas uzņēmumiem un iedzīvotājiem.</w:t>
      </w:r>
      <w:r w:rsidR="000B2D01" w:rsidRPr="00C9105A">
        <w:rPr>
          <w:sz w:val="28"/>
          <w:szCs w:val="28"/>
        </w:rPr>
        <w:t xml:space="preserve"> </w:t>
      </w:r>
    </w:p>
    <w:p w14:paraId="3DCF1002" w14:textId="77777777" w:rsidR="00DA19DD" w:rsidRPr="00C9105A" w:rsidRDefault="00DA19DD" w:rsidP="00582F77">
      <w:pPr>
        <w:spacing w:after="120"/>
        <w:ind w:firstLine="567"/>
        <w:jc w:val="both"/>
        <w:rPr>
          <w:sz w:val="28"/>
          <w:szCs w:val="28"/>
        </w:rPr>
      </w:pPr>
      <w:r w:rsidRPr="00C9105A">
        <w:rPr>
          <w:sz w:val="28"/>
          <w:szCs w:val="28"/>
        </w:rPr>
        <w:t>Iespējamie ekonomiskie ieguvumi no pilnībā funkcionē</w:t>
      </w:r>
      <w:r w:rsidR="004901AA" w:rsidRPr="00C9105A">
        <w:rPr>
          <w:sz w:val="28"/>
          <w:szCs w:val="28"/>
        </w:rPr>
        <w:t xml:space="preserve">joša </w:t>
      </w:r>
      <w:r w:rsidR="00D26A4D">
        <w:rPr>
          <w:sz w:val="28"/>
          <w:szCs w:val="28"/>
        </w:rPr>
        <w:t>ES V</w:t>
      </w:r>
      <w:r w:rsidR="004901AA" w:rsidRPr="00C9105A">
        <w:rPr>
          <w:sz w:val="28"/>
          <w:szCs w:val="28"/>
        </w:rPr>
        <w:t>ienotā tirgus būtu</w:t>
      </w:r>
      <w:r w:rsidRPr="00C9105A">
        <w:rPr>
          <w:sz w:val="28"/>
          <w:szCs w:val="28"/>
        </w:rPr>
        <w:t xml:space="preserve"> milzīgi: nesen</w:t>
      </w:r>
      <w:r w:rsidR="00356C1C" w:rsidRPr="00C9105A">
        <w:rPr>
          <w:sz w:val="28"/>
          <w:szCs w:val="28"/>
        </w:rPr>
        <w:t>ais</w:t>
      </w:r>
      <w:r w:rsidRPr="00C9105A">
        <w:rPr>
          <w:sz w:val="28"/>
          <w:szCs w:val="28"/>
        </w:rPr>
        <w:t xml:space="preserve"> </w:t>
      </w:r>
      <w:r w:rsidR="00356C1C" w:rsidRPr="00C9105A">
        <w:rPr>
          <w:sz w:val="28"/>
          <w:szCs w:val="28"/>
        </w:rPr>
        <w:t xml:space="preserve">EK </w:t>
      </w:r>
      <w:r w:rsidRPr="00C9105A">
        <w:rPr>
          <w:sz w:val="28"/>
          <w:szCs w:val="28"/>
        </w:rPr>
        <w:t>pētījums</w:t>
      </w:r>
      <w:r w:rsidR="00356C1C" w:rsidRPr="00C9105A">
        <w:rPr>
          <w:rStyle w:val="FootnoteReference"/>
          <w:sz w:val="28"/>
          <w:szCs w:val="28"/>
        </w:rPr>
        <w:footnoteReference w:id="4"/>
      </w:r>
      <w:r w:rsidRPr="00C9105A">
        <w:rPr>
          <w:sz w:val="28"/>
          <w:szCs w:val="28"/>
        </w:rPr>
        <w:t xml:space="preserve"> liecina, ka, samazinot šķēršļus pakalpojumu sfērā vien ES IKP gadā varētu pievienot aptuveni € 230 miljardus (kas atbilst</w:t>
      </w:r>
      <w:r w:rsidR="00FB03C0" w:rsidRPr="00C9105A">
        <w:rPr>
          <w:sz w:val="28"/>
          <w:szCs w:val="28"/>
        </w:rPr>
        <w:t>u</w:t>
      </w:r>
      <w:r w:rsidRPr="00C9105A">
        <w:rPr>
          <w:sz w:val="28"/>
          <w:szCs w:val="28"/>
        </w:rPr>
        <w:t xml:space="preserve"> aptuveni 1,5% papildu IKP pieaugumam). </w:t>
      </w:r>
      <w:r w:rsidR="0021527E" w:rsidRPr="00C9105A">
        <w:rPr>
          <w:sz w:val="28"/>
          <w:szCs w:val="28"/>
        </w:rPr>
        <w:t>Lai atjaunotu izaugsmi, ir nepieciešama steidzama rīcība</w:t>
      </w:r>
      <w:r w:rsidR="00866F9E" w:rsidRPr="00C9105A">
        <w:rPr>
          <w:sz w:val="28"/>
          <w:szCs w:val="28"/>
        </w:rPr>
        <w:t xml:space="preserve">, palīdzot </w:t>
      </w:r>
      <w:r w:rsidR="00ED4CBF" w:rsidRPr="00C9105A">
        <w:rPr>
          <w:sz w:val="28"/>
          <w:szCs w:val="28"/>
        </w:rPr>
        <w:t xml:space="preserve">maziem uz vidējiem </w:t>
      </w:r>
      <w:r w:rsidR="00D26A4D">
        <w:rPr>
          <w:sz w:val="28"/>
          <w:szCs w:val="28"/>
        </w:rPr>
        <w:t>uzņēmumiem</w:t>
      </w:r>
      <w:r w:rsidR="00ED4CBF" w:rsidRPr="00C9105A">
        <w:rPr>
          <w:sz w:val="28"/>
          <w:szCs w:val="28"/>
        </w:rPr>
        <w:t xml:space="preserve"> (turpmāk – </w:t>
      </w:r>
      <w:r w:rsidR="00866F9E" w:rsidRPr="00C9105A">
        <w:rPr>
          <w:sz w:val="28"/>
          <w:szCs w:val="28"/>
        </w:rPr>
        <w:t>MV</w:t>
      </w:r>
      <w:r w:rsidR="00D26A4D">
        <w:rPr>
          <w:sz w:val="28"/>
          <w:szCs w:val="28"/>
        </w:rPr>
        <w:t>U</w:t>
      </w:r>
      <w:r w:rsidR="00ED4CBF" w:rsidRPr="00C9105A">
        <w:rPr>
          <w:sz w:val="28"/>
          <w:szCs w:val="28"/>
        </w:rPr>
        <w:t>)</w:t>
      </w:r>
      <w:r w:rsidR="00866F9E" w:rsidRPr="00C9105A">
        <w:rPr>
          <w:sz w:val="28"/>
          <w:szCs w:val="28"/>
        </w:rPr>
        <w:t>, jo ī</w:t>
      </w:r>
      <w:r w:rsidRPr="00C9105A">
        <w:rPr>
          <w:sz w:val="28"/>
          <w:szCs w:val="28"/>
        </w:rPr>
        <w:t xml:space="preserve">paši </w:t>
      </w:r>
      <w:proofErr w:type="spellStart"/>
      <w:r w:rsidRPr="00C9105A">
        <w:rPr>
          <w:sz w:val="28"/>
          <w:szCs w:val="28"/>
        </w:rPr>
        <w:t>mikrouzņēmumiem</w:t>
      </w:r>
      <w:proofErr w:type="spellEnd"/>
      <w:r w:rsidRPr="00C9105A">
        <w:rPr>
          <w:sz w:val="28"/>
          <w:szCs w:val="28"/>
        </w:rPr>
        <w:t>, efektīvi</w:t>
      </w:r>
      <w:r w:rsidR="00866F9E" w:rsidRPr="00C9105A">
        <w:rPr>
          <w:sz w:val="28"/>
          <w:szCs w:val="28"/>
        </w:rPr>
        <w:t xml:space="preserve"> izmantot visas iespējas, ko sniedz iekšē</w:t>
      </w:r>
      <w:r w:rsidR="00035974" w:rsidRPr="00C9105A">
        <w:rPr>
          <w:sz w:val="28"/>
          <w:szCs w:val="28"/>
        </w:rPr>
        <w:t>jā tirgus regulējums.</w:t>
      </w:r>
    </w:p>
    <w:p w14:paraId="4BA5F61E" w14:textId="77777777" w:rsidR="00393280" w:rsidRPr="00C9105A" w:rsidRDefault="00393280" w:rsidP="00582F77">
      <w:pPr>
        <w:spacing w:after="120"/>
        <w:ind w:firstLine="567"/>
        <w:jc w:val="both"/>
        <w:rPr>
          <w:sz w:val="28"/>
          <w:szCs w:val="28"/>
        </w:rPr>
      </w:pPr>
      <w:r w:rsidRPr="00C9105A">
        <w:rPr>
          <w:sz w:val="28"/>
          <w:szCs w:val="28"/>
        </w:rPr>
        <w:t>Pieredze liecina, ka ne minimālā</w:t>
      </w:r>
      <w:r w:rsidR="00FB03C0" w:rsidRPr="00C9105A">
        <w:rPr>
          <w:sz w:val="28"/>
          <w:szCs w:val="28"/>
        </w:rPr>
        <w:t>,</w:t>
      </w:r>
      <w:r w:rsidR="00DA19DD" w:rsidRPr="00C9105A">
        <w:rPr>
          <w:sz w:val="28"/>
          <w:szCs w:val="28"/>
        </w:rPr>
        <w:t xml:space="preserve"> ne maksimālā harmonizācija</w:t>
      </w:r>
      <w:r w:rsidR="00FB03C0" w:rsidRPr="00C9105A">
        <w:rPr>
          <w:sz w:val="28"/>
          <w:szCs w:val="28"/>
        </w:rPr>
        <w:t xml:space="preserve"> kā metodes nav devušas gaidītos rezultātus iekšējā tirgus darbības uzlabošanā. Tieši pretēji – tās ir radījušas ievērojamus šķēršļus un izmaksas uzņēmējiem, ieskaitot tos, kuri nenodarbojas ar pārrobežu tirdzniecību. Lai novērstu iekšējā tirgus sadrumstalotību, ko rada atšķirīgie valstu noteikumi, ir nepieciešama jauna, stingrāka metodika un pragmatiski risinājumi.</w:t>
      </w:r>
      <w:r w:rsidRPr="00C9105A">
        <w:rPr>
          <w:sz w:val="28"/>
          <w:szCs w:val="28"/>
        </w:rPr>
        <w:t xml:space="preserve"> To var panākt tikai ar ES līmeņa regulējumu. </w:t>
      </w:r>
      <w:r w:rsidR="001347FC" w:rsidRPr="00C9105A">
        <w:rPr>
          <w:sz w:val="28"/>
          <w:szCs w:val="28"/>
        </w:rPr>
        <w:t>Prezidentūra piedāvā sekojošu</w:t>
      </w:r>
      <w:r w:rsidR="00F226C5" w:rsidRPr="00C9105A">
        <w:rPr>
          <w:sz w:val="28"/>
          <w:szCs w:val="28"/>
        </w:rPr>
        <w:t>s</w:t>
      </w:r>
      <w:r w:rsidR="001347FC" w:rsidRPr="00C9105A">
        <w:rPr>
          <w:sz w:val="28"/>
          <w:szCs w:val="28"/>
        </w:rPr>
        <w:t xml:space="preserve"> rīcības modeļus</w:t>
      </w:r>
      <w:r w:rsidRPr="00C9105A">
        <w:rPr>
          <w:sz w:val="28"/>
          <w:szCs w:val="28"/>
        </w:rPr>
        <w:t>:</w:t>
      </w:r>
    </w:p>
    <w:p w14:paraId="38DFAB20" w14:textId="56F5408E" w:rsidR="00E644A9" w:rsidRPr="00C9105A" w:rsidRDefault="00393280" w:rsidP="00956A2A">
      <w:pPr>
        <w:pStyle w:val="ListParagraph"/>
        <w:numPr>
          <w:ilvl w:val="0"/>
          <w:numId w:val="6"/>
        </w:numPr>
        <w:spacing w:before="120" w:after="120"/>
        <w:ind w:left="992" w:hanging="425"/>
        <w:jc w:val="both"/>
        <w:rPr>
          <w:sz w:val="28"/>
          <w:szCs w:val="28"/>
        </w:rPr>
      </w:pPr>
      <w:r w:rsidRPr="00C9105A">
        <w:rPr>
          <w:sz w:val="28"/>
          <w:szCs w:val="28"/>
        </w:rPr>
        <w:t>ES regulējumam ir jābūt skaidram un vienkāršam; tam jāpiedāvā uzņēmējiem tiesiska noteiktība, kas nepieciešama darbības paplašināšanai arī citās ES valstīs; jākoncentrējas uz pasākumiem ar reālu pievienoto vērtību, neuzliek</w:t>
      </w:r>
      <w:r w:rsidR="00956A2A">
        <w:rPr>
          <w:sz w:val="28"/>
          <w:szCs w:val="28"/>
        </w:rPr>
        <w:t>ot uzņēmumiem nevajadzīgu slogu;</w:t>
      </w:r>
    </w:p>
    <w:p w14:paraId="2123C2A6" w14:textId="466F2AB9" w:rsidR="00956A2A" w:rsidRPr="00956A2A" w:rsidRDefault="00723C40" w:rsidP="00956A2A">
      <w:pPr>
        <w:pStyle w:val="ListParagraph"/>
        <w:numPr>
          <w:ilvl w:val="0"/>
          <w:numId w:val="6"/>
        </w:numPr>
        <w:spacing w:before="120" w:after="120"/>
        <w:ind w:left="992" w:hanging="425"/>
        <w:jc w:val="both"/>
        <w:rPr>
          <w:sz w:val="28"/>
          <w:szCs w:val="28"/>
        </w:rPr>
      </w:pPr>
      <w:r w:rsidRPr="00C9105A">
        <w:rPr>
          <w:sz w:val="28"/>
          <w:szCs w:val="28"/>
        </w:rPr>
        <w:t>Lielāku tiesisko noteiktību (skaidrākus noteikumus iekšējā tirgus piekļuvei</w:t>
      </w:r>
      <w:r w:rsidR="00E17619" w:rsidRPr="00C9105A">
        <w:rPr>
          <w:sz w:val="28"/>
          <w:szCs w:val="28"/>
        </w:rPr>
        <w:t>, līdz ar to arī izmaksu samazinājumu)</w:t>
      </w:r>
      <w:r w:rsidRPr="00C9105A">
        <w:rPr>
          <w:sz w:val="28"/>
          <w:szCs w:val="28"/>
        </w:rPr>
        <w:t xml:space="preserve"> var sasniegt,  </w:t>
      </w:r>
      <w:r w:rsidR="00E17619" w:rsidRPr="00C9105A">
        <w:rPr>
          <w:sz w:val="28"/>
          <w:szCs w:val="28"/>
        </w:rPr>
        <w:t>piemēram, apvienojot mērķtiecīgu tiesību a</w:t>
      </w:r>
      <w:r w:rsidR="00D567A4" w:rsidRPr="00C9105A">
        <w:rPr>
          <w:sz w:val="28"/>
          <w:szCs w:val="28"/>
        </w:rPr>
        <w:t>ktu harmonizāciju ar savstarpējā</w:t>
      </w:r>
      <w:r w:rsidR="00E17619" w:rsidRPr="00C9105A">
        <w:rPr>
          <w:sz w:val="28"/>
          <w:szCs w:val="28"/>
        </w:rPr>
        <w:t xml:space="preserve">s atzīšanas klauzulu ES tiesību aktos. Plašāka </w:t>
      </w:r>
      <w:r w:rsidR="00D567A4" w:rsidRPr="00C9105A">
        <w:rPr>
          <w:sz w:val="28"/>
          <w:szCs w:val="28"/>
        </w:rPr>
        <w:t>savstarpējā</w:t>
      </w:r>
      <w:r w:rsidR="00E17619" w:rsidRPr="00C9105A">
        <w:rPr>
          <w:sz w:val="28"/>
          <w:szCs w:val="28"/>
        </w:rPr>
        <w:t xml:space="preserve">s atzīšanas klauzulas izmantošana ievērojami palielinātu </w:t>
      </w:r>
      <w:r w:rsidR="00E644A9" w:rsidRPr="00C9105A">
        <w:rPr>
          <w:sz w:val="28"/>
          <w:szCs w:val="28"/>
        </w:rPr>
        <w:t>tirdzniecības plūsmu</w:t>
      </w:r>
      <w:r w:rsidR="00E17619" w:rsidRPr="00C9105A">
        <w:rPr>
          <w:sz w:val="28"/>
          <w:szCs w:val="28"/>
        </w:rPr>
        <w:t xml:space="preserve"> </w:t>
      </w:r>
      <w:r w:rsidR="00E644A9" w:rsidRPr="00C9105A">
        <w:rPr>
          <w:sz w:val="28"/>
          <w:szCs w:val="28"/>
        </w:rPr>
        <w:t>ES iekšējā tirgū</w:t>
      </w:r>
      <w:r w:rsidR="00956A2A">
        <w:rPr>
          <w:sz w:val="28"/>
          <w:szCs w:val="28"/>
        </w:rPr>
        <w:t>;</w:t>
      </w:r>
    </w:p>
    <w:p w14:paraId="6AC57337" w14:textId="31D436F5" w:rsidR="006554D5" w:rsidRPr="00C9105A" w:rsidRDefault="00E644A9" w:rsidP="00956A2A">
      <w:pPr>
        <w:pStyle w:val="ListParagraph"/>
        <w:numPr>
          <w:ilvl w:val="0"/>
          <w:numId w:val="6"/>
        </w:numPr>
        <w:spacing w:before="120" w:after="120"/>
        <w:ind w:left="992" w:hanging="425"/>
        <w:jc w:val="both"/>
        <w:rPr>
          <w:sz w:val="28"/>
          <w:szCs w:val="28"/>
        </w:rPr>
      </w:pPr>
      <w:r w:rsidRPr="00C9105A">
        <w:rPr>
          <w:sz w:val="28"/>
          <w:szCs w:val="28"/>
        </w:rPr>
        <w:t xml:space="preserve">Izmantojot </w:t>
      </w:r>
      <w:r w:rsidR="00356C1C" w:rsidRPr="00C9105A">
        <w:rPr>
          <w:sz w:val="28"/>
          <w:szCs w:val="28"/>
        </w:rPr>
        <w:t xml:space="preserve">EK </w:t>
      </w:r>
      <w:r w:rsidR="006554D5" w:rsidRPr="00C9105A">
        <w:rPr>
          <w:sz w:val="28"/>
          <w:szCs w:val="28"/>
        </w:rPr>
        <w:t>Normatīvās atbilstības un izpildes programmu (REFIT)</w:t>
      </w:r>
      <w:r w:rsidRPr="00C9105A">
        <w:rPr>
          <w:sz w:val="28"/>
          <w:szCs w:val="28"/>
        </w:rPr>
        <w:t xml:space="preserve">, varētu uzlabot iekšējā tirgus funkcionēšanu, veicinot regulējuma kvalitātes uzlabošanu un sistemātiski ņemot vērā atbilstības nodrošināšanas izmaksas, kas radušās uzņēmumiem, veicot pārrobežu darbības, kā arī novērtējot, kādā veidā ar </w:t>
      </w:r>
      <w:r w:rsidR="00D567A4" w:rsidRPr="00C9105A">
        <w:rPr>
          <w:sz w:val="28"/>
          <w:szCs w:val="28"/>
        </w:rPr>
        <w:t>savstarpējā</w:t>
      </w:r>
      <w:r w:rsidRPr="00C9105A">
        <w:rPr>
          <w:sz w:val="28"/>
          <w:szCs w:val="28"/>
        </w:rPr>
        <w:t xml:space="preserve">s atzīšanas klauzulas </w:t>
      </w:r>
      <w:r w:rsidR="006554D5" w:rsidRPr="00C9105A">
        <w:rPr>
          <w:sz w:val="28"/>
          <w:szCs w:val="28"/>
        </w:rPr>
        <w:t xml:space="preserve">palīdzību </w:t>
      </w:r>
      <w:r w:rsidRPr="00C9105A">
        <w:rPr>
          <w:sz w:val="28"/>
          <w:szCs w:val="28"/>
        </w:rPr>
        <w:t xml:space="preserve">varētu tikt uzlabota esošo tiesību aktu </w:t>
      </w:r>
      <w:r w:rsidR="00956A2A">
        <w:rPr>
          <w:sz w:val="28"/>
          <w:szCs w:val="28"/>
        </w:rPr>
        <w:t>efektivitāte;</w:t>
      </w:r>
    </w:p>
    <w:p w14:paraId="33E1E604" w14:textId="77777777" w:rsidR="006554D5" w:rsidRPr="00C9105A" w:rsidRDefault="006554D5" w:rsidP="00956A2A">
      <w:pPr>
        <w:pStyle w:val="ListParagraph"/>
        <w:numPr>
          <w:ilvl w:val="0"/>
          <w:numId w:val="6"/>
        </w:numPr>
        <w:spacing w:before="120" w:after="120"/>
        <w:ind w:left="992" w:hanging="425"/>
        <w:jc w:val="both"/>
        <w:rPr>
          <w:sz w:val="28"/>
          <w:szCs w:val="28"/>
        </w:rPr>
      </w:pPr>
      <w:r w:rsidRPr="00C9105A">
        <w:rPr>
          <w:sz w:val="28"/>
          <w:szCs w:val="28"/>
        </w:rPr>
        <w:lastRenderedPageBreak/>
        <w:t xml:space="preserve">Turpmāko </w:t>
      </w:r>
      <w:r w:rsidR="00356C1C" w:rsidRPr="00C9105A">
        <w:rPr>
          <w:sz w:val="28"/>
          <w:szCs w:val="28"/>
        </w:rPr>
        <w:t xml:space="preserve">EK </w:t>
      </w:r>
      <w:r w:rsidRPr="00C9105A">
        <w:rPr>
          <w:sz w:val="28"/>
          <w:szCs w:val="28"/>
        </w:rPr>
        <w:t xml:space="preserve">ziņojumu par </w:t>
      </w:r>
      <w:r w:rsidR="00F226C5" w:rsidRPr="00C9105A">
        <w:rPr>
          <w:sz w:val="28"/>
          <w:szCs w:val="28"/>
        </w:rPr>
        <w:t xml:space="preserve">savstarpējo </w:t>
      </w:r>
      <w:r w:rsidRPr="00C9105A">
        <w:rPr>
          <w:sz w:val="28"/>
          <w:szCs w:val="28"/>
        </w:rPr>
        <w:t>atzīšanu un pakalpojumu</w:t>
      </w:r>
      <w:r w:rsidRPr="00C9105A">
        <w:rPr>
          <w:b/>
          <w:sz w:val="28"/>
          <w:szCs w:val="28"/>
        </w:rPr>
        <w:t xml:space="preserve"> </w:t>
      </w:r>
      <w:r w:rsidRPr="00C9105A">
        <w:rPr>
          <w:sz w:val="28"/>
          <w:szCs w:val="28"/>
        </w:rPr>
        <w:t>iekšējo tirgu</w:t>
      </w:r>
      <w:r w:rsidR="00762A50" w:rsidRPr="00C9105A">
        <w:rPr>
          <w:sz w:val="28"/>
          <w:szCs w:val="28"/>
        </w:rPr>
        <w:t>, kam</w:t>
      </w:r>
      <w:r w:rsidRPr="00C9105A">
        <w:rPr>
          <w:sz w:val="28"/>
          <w:szCs w:val="28"/>
        </w:rPr>
        <w:t xml:space="preserve"> būtu jāsniedz </w:t>
      </w:r>
      <w:r w:rsidR="00762A50" w:rsidRPr="00C9105A">
        <w:rPr>
          <w:sz w:val="28"/>
          <w:szCs w:val="28"/>
        </w:rPr>
        <w:t xml:space="preserve">informācija par patreizējo stāvokli </w:t>
      </w:r>
      <w:r w:rsidRPr="00C9105A">
        <w:rPr>
          <w:sz w:val="28"/>
          <w:szCs w:val="28"/>
        </w:rPr>
        <w:t xml:space="preserve">attiecībā </w:t>
      </w:r>
      <w:r w:rsidR="00762A50" w:rsidRPr="00C9105A">
        <w:rPr>
          <w:sz w:val="28"/>
          <w:szCs w:val="28"/>
        </w:rPr>
        <w:t>uz atlikušajiem šķēršļiem iekšējā tirgū</w:t>
      </w:r>
      <w:r w:rsidR="00BA3C23" w:rsidRPr="00C9105A">
        <w:rPr>
          <w:sz w:val="28"/>
          <w:szCs w:val="28"/>
        </w:rPr>
        <w:t xml:space="preserve"> un</w:t>
      </w:r>
      <w:r w:rsidRPr="00C9105A">
        <w:rPr>
          <w:sz w:val="28"/>
          <w:szCs w:val="28"/>
        </w:rPr>
        <w:t xml:space="preserve"> </w:t>
      </w:r>
      <w:r w:rsidR="00356C1C" w:rsidRPr="00C9105A">
        <w:rPr>
          <w:sz w:val="28"/>
          <w:szCs w:val="28"/>
        </w:rPr>
        <w:t xml:space="preserve">EK </w:t>
      </w:r>
      <w:r w:rsidRPr="00C9105A">
        <w:rPr>
          <w:sz w:val="28"/>
          <w:szCs w:val="28"/>
        </w:rPr>
        <w:t>nepieciešamo faktu bāzi turpmākai politikas veidošanai</w:t>
      </w:r>
      <w:r w:rsidR="00BA3C23" w:rsidRPr="00C9105A">
        <w:rPr>
          <w:sz w:val="28"/>
          <w:szCs w:val="28"/>
        </w:rPr>
        <w:t>, potenciāla izmantošana</w:t>
      </w:r>
      <w:r w:rsidRPr="00C9105A">
        <w:rPr>
          <w:sz w:val="28"/>
          <w:szCs w:val="28"/>
        </w:rPr>
        <w:t>.</w:t>
      </w:r>
    </w:p>
    <w:p w14:paraId="7C41E39E" w14:textId="77777777" w:rsidR="00762A50" w:rsidRPr="00C9105A" w:rsidRDefault="00762A50" w:rsidP="00582F77">
      <w:pPr>
        <w:pStyle w:val="ListParagraph"/>
        <w:spacing w:after="120"/>
        <w:rPr>
          <w:sz w:val="28"/>
          <w:szCs w:val="28"/>
        </w:rPr>
      </w:pPr>
    </w:p>
    <w:p w14:paraId="06C61F23" w14:textId="77777777" w:rsidR="00BD6D9B" w:rsidRPr="00C9105A" w:rsidRDefault="00887980" w:rsidP="001E0876">
      <w:pPr>
        <w:spacing w:after="120"/>
        <w:jc w:val="both"/>
        <w:rPr>
          <w:sz w:val="28"/>
          <w:szCs w:val="28"/>
        </w:rPr>
      </w:pPr>
      <w:r w:rsidRPr="00C9105A">
        <w:rPr>
          <w:sz w:val="28"/>
          <w:szCs w:val="28"/>
        </w:rPr>
        <w:t>Ministri ir aicināti diskutēt par to, kā jaunā EK Labāka regulējuma</w:t>
      </w:r>
      <w:r w:rsidR="00FF3B83">
        <w:rPr>
          <w:sz w:val="28"/>
          <w:szCs w:val="28"/>
        </w:rPr>
        <w:t xml:space="preserve"> programma</w:t>
      </w:r>
      <w:r w:rsidRPr="00C9105A">
        <w:rPr>
          <w:sz w:val="28"/>
          <w:szCs w:val="28"/>
        </w:rPr>
        <w:t xml:space="preserve">, īpaši REFIT programma, var tikt izmantota ES </w:t>
      </w:r>
      <w:r w:rsidR="00D26A4D">
        <w:rPr>
          <w:sz w:val="28"/>
          <w:szCs w:val="28"/>
        </w:rPr>
        <w:t>V</w:t>
      </w:r>
      <w:r w:rsidRPr="00C9105A">
        <w:rPr>
          <w:sz w:val="28"/>
          <w:szCs w:val="28"/>
        </w:rPr>
        <w:t xml:space="preserve">ienotā tirgus funkcionalitātes uzlabošanai un darba vietu radīšanai. </w:t>
      </w:r>
      <w:r w:rsidR="00305B6D" w:rsidRPr="00C9105A">
        <w:rPr>
          <w:sz w:val="28"/>
          <w:szCs w:val="28"/>
        </w:rPr>
        <w:t xml:space="preserve">Dalībvalstis ir aicinātas iezīmēt </w:t>
      </w:r>
      <w:r w:rsidRPr="00C9105A">
        <w:rPr>
          <w:sz w:val="28"/>
          <w:szCs w:val="28"/>
        </w:rPr>
        <w:t>aktivitāt</w:t>
      </w:r>
      <w:r w:rsidR="00305B6D" w:rsidRPr="00C9105A">
        <w:rPr>
          <w:sz w:val="28"/>
          <w:szCs w:val="28"/>
        </w:rPr>
        <w:t>es, kuras</w:t>
      </w:r>
      <w:r w:rsidRPr="00C9105A">
        <w:rPr>
          <w:sz w:val="28"/>
          <w:szCs w:val="28"/>
        </w:rPr>
        <w:t xml:space="preserve"> būtu jāievieš vispirms.</w:t>
      </w:r>
    </w:p>
    <w:p w14:paraId="79A52334" w14:textId="77777777" w:rsidR="00BA3C23" w:rsidRPr="00C9105A" w:rsidRDefault="00BA3C23" w:rsidP="00582F77">
      <w:pPr>
        <w:spacing w:after="120"/>
        <w:ind w:firstLine="567"/>
        <w:rPr>
          <w:b/>
          <w:sz w:val="28"/>
          <w:szCs w:val="28"/>
          <w:u w:val="single"/>
        </w:rPr>
      </w:pPr>
      <w:r w:rsidRPr="00C9105A">
        <w:rPr>
          <w:b/>
          <w:sz w:val="28"/>
          <w:szCs w:val="28"/>
          <w:u w:val="single"/>
        </w:rPr>
        <w:t>Latvijas nostāja:</w:t>
      </w:r>
    </w:p>
    <w:p w14:paraId="4F448983" w14:textId="77777777" w:rsidR="00BA3C23" w:rsidRPr="00C9105A" w:rsidRDefault="00887980" w:rsidP="00582F77">
      <w:pPr>
        <w:spacing w:after="120"/>
        <w:ind w:firstLine="567"/>
        <w:jc w:val="both"/>
        <w:rPr>
          <w:sz w:val="28"/>
          <w:szCs w:val="28"/>
        </w:rPr>
      </w:pPr>
      <w:r w:rsidRPr="00C9105A">
        <w:rPr>
          <w:sz w:val="28"/>
          <w:szCs w:val="28"/>
        </w:rPr>
        <w:t xml:space="preserve">Latvija uzskata, ka visi piedāvātie rīcības modeļi ir atbalstāmi un nepieciešami. Norādām, ka </w:t>
      </w:r>
      <w:r w:rsidR="00BA3C23" w:rsidRPr="00C9105A">
        <w:rPr>
          <w:sz w:val="28"/>
          <w:szCs w:val="28"/>
        </w:rPr>
        <w:t xml:space="preserve">ES </w:t>
      </w:r>
      <w:r w:rsidR="00DB4C41">
        <w:rPr>
          <w:sz w:val="28"/>
          <w:szCs w:val="28"/>
        </w:rPr>
        <w:t>V</w:t>
      </w:r>
      <w:r w:rsidR="00BA3C23" w:rsidRPr="00C9105A">
        <w:rPr>
          <w:sz w:val="28"/>
          <w:szCs w:val="28"/>
        </w:rPr>
        <w:t>ienotā tirgus neapgūtā potenciāla iz</w:t>
      </w:r>
      <w:r w:rsidR="004115B6" w:rsidRPr="00C9105A">
        <w:rPr>
          <w:sz w:val="28"/>
          <w:szCs w:val="28"/>
        </w:rPr>
        <w:t>mantošana veicinās ES ekonomikas</w:t>
      </w:r>
      <w:r w:rsidR="00BA3C23" w:rsidRPr="00C9105A">
        <w:rPr>
          <w:sz w:val="28"/>
          <w:szCs w:val="28"/>
        </w:rPr>
        <w:t xml:space="preserve"> izaugsmi. </w:t>
      </w:r>
    </w:p>
    <w:p w14:paraId="135C37BE" w14:textId="77777777" w:rsidR="00BA3C23" w:rsidRPr="00C9105A" w:rsidRDefault="00BA3C23" w:rsidP="00582F77">
      <w:pPr>
        <w:spacing w:after="120"/>
        <w:ind w:firstLine="567"/>
        <w:jc w:val="both"/>
        <w:rPr>
          <w:sz w:val="28"/>
          <w:szCs w:val="28"/>
        </w:rPr>
      </w:pPr>
      <w:r w:rsidRPr="00C9105A">
        <w:rPr>
          <w:sz w:val="28"/>
          <w:szCs w:val="28"/>
        </w:rPr>
        <w:t xml:space="preserve">Viens no pieejamiem un efektīviem līdzekļiem ir labāka regulējuma pieejas attiecināšana uz </w:t>
      </w:r>
      <w:r w:rsidR="004115B6" w:rsidRPr="00C9105A">
        <w:rPr>
          <w:sz w:val="28"/>
          <w:szCs w:val="28"/>
        </w:rPr>
        <w:t>ES iekšējā tirgus regulējumu un tajā noteikto</w:t>
      </w:r>
      <w:r w:rsidRPr="00C9105A">
        <w:rPr>
          <w:sz w:val="28"/>
          <w:szCs w:val="28"/>
        </w:rPr>
        <w:t xml:space="preserve"> prasību īstenošanu. Savstarpējās atzīšanas princips ir veicinājis brīvu preču kustību viscaur ES un būtiski atvieglojis pārrobežu uzņēmējdarbības veikšanu. </w:t>
      </w:r>
      <w:r w:rsidR="004115B6" w:rsidRPr="00C9105A">
        <w:rPr>
          <w:sz w:val="28"/>
          <w:szCs w:val="28"/>
        </w:rPr>
        <w:t xml:space="preserve">Ar interesi gaidām REFIT ietvaros </w:t>
      </w:r>
      <w:r w:rsidR="00356C1C" w:rsidRPr="00C9105A">
        <w:rPr>
          <w:sz w:val="28"/>
          <w:szCs w:val="28"/>
        </w:rPr>
        <w:t xml:space="preserve">EK </w:t>
      </w:r>
      <w:r w:rsidR="004115B6" w:rsidRPr="00C9105A">
        <w:rPr>
          <w:sz w:val="28"/>
          <w:szCs w:val="28"/>
        </w:rPr>
        <w:t xml:space="preserve">uzsāktos </w:t>
      </w:r>
      <w:proofErr w:type="spellStart"/>
      <w:r w:rsidR="004115B6" w:rsidRPr="00C9105A">
        <w:rPr>
          <w:sz w:val="28"/>
          <w:szCs w:val="28"/>
        </w:rPr>
        <w:t>izvērtējumus</w:t>
      </w:r>
      <w:proofErr w:type="spellEnd"/>
      <w:r w:rsidR="004115B6" w:rsidRPr="00C9105A">
        <w:rPr>
          <w:sz w:val="28"/>
          <w:szCs w:val="28"/>
        </w:rPr>
        <w:t xml:space="preserve"> attiecībā uz savstarpējās atzīšanas principa piemērošanu</w:t>
      </w:r>
      <w:r w:rsidR="00F0117B">
        <w:rPr>
          <w:sz w:val="28"/>
          <w:szCs w:val="28"/>
        </w:rPr>
        <w:t>, piemēram,</w:t>
      </w:r>
      <w:r w:rsidR="004115B6" w:rsidRPr="00C9105A">
        <w:rPr>
          <w:sz w:val="28"/>
          <w:szCs w:val="28"/>
        </w:rPr>
        <w:t xml:space="preserve"> tādās jomās kā preču kustība, standartizācija</w:t>
      </w:r>
      <w:r w:rsidR="00356C1C" w:rsidRPr="00C9105A">
        <w:rPr>
          <w:sz w:val="28"/>
          <w:szCs w:val="28"/>
        </w:rPr>
        <w:t xml:space="preserve"> un</w:t>
      </w:r>
      <w:r w:rsidR="004115B6" w:rsidRPr="00C9105A">
        <w:rPr>
          <w:sz w:val="28"/>
          <w:szCs w:val="28"/>
        </w:rPr>
        <w:t xml:space="preserve"> būvniecība.</w:t>
      </w:r>
    </w:p>
    <w:p w14:paraId="53D31CA2" w14:textId="77777777" w:rsidR="00BA3C23" w:rsidRPr="00C9105A" w:rsidRDefault="00BA3C23" w:rsidP="00582F77">
      <w:pPr>
        <w:spacing w:after="120"/>
        <w:ind w:firstLine="567"/>
        <w:jc w:val="both"/>
        <w:rPr>
          <w:sz w:val="28"/>
          <w:szCs w:val="28"/>
        </w:rPr>
      </w:pPr>
      <w:r w:rsidRPr="00C9105A">
        <w:rPr>
          <w:sz w:val="28"/>
          <w:szCs w:val="28"/>
        </w:rPr>
        <w:t xml:space="preserve">Turpmāk nepieciešams strādāt, lai pakāpeniski </w:t>
      </w:r>
      <w:r w:rsidR="00EF19FA" w:rsidRPr="00C9105A">
        <w:rPr>
          <w:sz w:val="28"/>
          <w:szCs w:val="28"/>
        </w:rPr>
        <w:t xml:space="preserve">sasniegtu </w:t>
      </w:r>
      <w:r w:rsidRPr="00C9105A">
        <w:rPr>
          <w:sz w:val="28"/>
          <w:szCs w:val="28"/>
        </w:rPr>
        <w:t>līdzīgu rezultātu</w:t>
      </w:r>
      <w:r w:rsidR="00F226C5" w:rsidRPr="00C9105A">
        <w:rPr>
          <w:sz w:val="28"/>
          <w:szCs w:val="28"/>
        </w:rPr>
        <w:t>, kā tas ir preču brīvas aprites jomā,</w:t>
      </w:r>
      <w:r w:rsidRPr="00C9105A">
        <w:rPr>
          <w:sz w:val="28"/>
          <w:szCs w:val="28"/>
        </w:rPr>
        <w:t xml:space="preserve"> </w:t>
      </w:r>
      <w:r w:rsidR="00F226C5" w:rsidRPr="00C9105A">
        <w:rPr>
          <w:sz w:val="28"/>
          <w:szCs w:val="28"/>
        </w:rPr>
        <w:t>arī</w:t>
      </w:r>
      <w:r w:rsidRPr="00C9105A">
        <w:rPr>
          <w:sz w:val="28"/>
          <w:szCs w:val="28"/>
        </w:rPr>
        <w:t xml:space="preserve"> attiecībā uz pakalpojumu </w:t>
      </w:r>
      <w:r w:rsidR="00F226C5" w:rsidRPr="00C9105A">
        <w:rPr>
          <w:sz w:val="28"/>
          <w:szCs w:val="28"/>
        </w:rPr>
        <w:t xml:space="preserve">brīvu </w:t>
      </w:r>
      <w:r w:rsidRPr="00C9105A">
        <w:rPr>
          <w:sz w:val="28"/>
          <w:szCs w:val="28"/>
        </w:rPr>
        <w:t xml:space="preserve">kustību. </w:t>
      </w:r>
      <w:r w:rsidR="00ED4CBF" w:rsidRPr="00C9105A">
        <w:rPr>
          <w:sz w:val="28"/>
          <w:szCs w:val="28"/>
        </w:rPr>
        <w:t xml:space="preserve">EK </w:t>
      </w:r>
      <w:r w:rsidRPr="00C9105A">
        <w:rPr>
          <w:sz w:val="28"/>
          <w:szCs w:val="28"/>
        </w:rPr>
        <w:t>sadarbībā ar dalībvalstīm un nozari pārstāvošām organizācijām ES līmenī ir nepieciešams identificēt tās jomas, kurās savstarpējās atzīšanas principa iedzīvināšana spētu nest vislielāko ekonomisko ieguvumu.</w:t>
      </w:r>
    </w:p>
    <w:p w14:paraId="64FE5DEC" w14:textId="77777777" w:rsidR="00BA3C23" w:rsidRDefault="00BA3C23" w:rsidP="00582F77">
      <w:pPr>
        <w:spacing w:after="120"/>
        <w:ind w:firstLine="567"/>
        <w:jc w:val="both"/>
        <w:rPr>
          <w:sz w:val="28"/>
          <w:szCs w:val="28"/>
        </w:rPr>
      </w:pPr>
      <w:r w:rsidRPr="00C9105A">
        <w:rPr>
          <w:sz w:val="28"/>
          <w:szCs w:val="28"/>
        </w:rPr>
        <w:t>Par sektoru ar augstu pievienoto vērtību, jo īpaši nākotnē, ir uzskatāma pārrobežu preču un pakalpojumu kustība digitālajā vidē. Tāpēc Latvija rosina turpmākajā darba plānā ietvert atbilstošus pasākumus, kas veicinātu savstarpējās atzīšanas principa iedzīvināšanu digitālā vidē.</w:t>
      </w:r>
    </w:p>
    <w:p w14:paraId="5B37388C" w14:textId="77777777" w:rsidR="00956A2A" w:rsidRPr="00C9105A" w:rsidRDefault="00956A2A" w:rsidP="00582F77">
      <w:pPr>
        <w:spacing w:after="120"/>
        <w:ind w:firstLine="567"/>
        <w:jc w:val="both"/>
        <w:rPr>
          <w:sz w:val="28"/>
          <w:szCs w:val="28"/>
        </w:rPr>
      </w:pPr>
    </w:p>
    <w:p w14:paraId="35D41555" w14:textId="3C05C644" w:rsidR="005E6FC9" w:rsidRPr="00C9105A" w:rsidRDefault="005E6FC9" w:rsidP="005E6FC9">
      <w:pPr>
        <w:pStyle w:val="ListParagraph"/>
        <w:numPr>
          <w:ilvl w:val="0"/>
          <w:numId w:val="3"/>
        </w:numPr>
        <w:ind w:left="567" w:hanging="567"/>
        <w:jc w:val="both"/>
        <w:rPr>
          <w:b/>
          <w:i/>
          <w:sz w:val="28"/>
          <w:szCs w:val="28"/>
        </w:rPr>
      </w:pPr>
      <w:r w:rsidRPr="00C9105A">
        <w:rPr>
          <w:b/>
          <w:i/>
          <w:sz w:val="28"/>
          <w:szCs w:val="28"/>
        </w:rPr>
        <w:t>ES Emisijas</w:t>
      </w:r>
      <w:r>
        <w:rPr>
          <w:b/>
          <w:i/>
          <w:sz w:val="28"/>
          <w:szCs w:val="28"/>
        </w:rPr>
        <w:t xml:space="preserve"> kvotu</w:t>
      </w:r>
      <w:r w:rsidRPr="00C9105A">
        <w:rPr>
          <w:b/>
          <w:i/>
          <w:sz w:val="28"/>
          <w:szCs w:val="28"/>
        </w:rPr>
        <w:t xml:space="preserve"> tirdzniecības sistēmas (turpmāk –ETS) reforma</w:t>
      </w:r>
    </w:p>
    <w:p w14:paraId="244339D1" w14:textId="77777777" w:rsidR="005E6FC9" w:rsidRPr="00C9105A" w:rsidRDefault="005E6FC9" w:rsidP="005E6FC9">
      <w:pPr>
        <w:pStyle w:val="ListParagraph"/>
        <w:spacing w:after="120"/>
        <w:ind w:left="567"/>
        <w:contextualSpacing w:val="0"/>
        <w:jc w:val="both"/>
        <w:rPr>
          <w:i/>
          <w:sz w:val="28"/>
          <w:szCs w:val="28"/>
        </w:rPr>
      </w:pPr>
      <w:r w:rsidRPr="00C9105A">
        <w:rPr>
          <w:i/>
          <w:sz w:val="28"/>
          <w:szCs w:val="28"/>
        </w:rPr>
        <w:t>= Neformāla viedokļu apmaiņa pusdienās</w:t>
      </w:r>
    </w:p>
    <w:p w14:paraId="420DDBE5" w14:textId="2E66D6D2" w:rsidR="005E6FC9" w:rsidRDefault="005E6FC9" w:rsidP="00956A2A">
      <w:pPr>
        <w:autoSpaceDE w:val="0"/>
        <w:autoSpaceDN w:val="0"/>
        <w:adjustRightInd w:val="0"/>
        <w:spacing w:before="120"/>
        <w:ind w:firstLine="567"/>
        <w:jc w:val="both"/>
        <w:rPr>
          <w:color w:val="000000" w:themeColor="text1"/>
          <w:sz w:val="28"/>
          <w:szCs w:val="28"/>
        </w:rPr>
      </w:pPr>
      <w:r w:rsidRPr="00C9105A">
        <w:rPr>
          <w:color w:val="000000" w:themeColor="text1"/>
          <w:sz w:val="28"/>
          <w:szCs w:val="28"/>
        </w:rPr>
        <w:t>ES ETS ir centrālā ES klimata politika</w:t>
      </w:r>
      <w:r>
        <w:rPr>
          <w:color w:val="000000" w:themeColor="text1"/>
          <w:sz w:val="28"/>
          <w:szCs w:val="28"/>
        </w:rPr>
        <w:t>,</w:t>
      </w:r>
      <w:r w:rsidRPr="00C9105A">
        <w:rPr>
          <w:color w:val="000000" w:themeColor="text1"/>
          <w:sz w:val="28"/>
          <w:szCs w:val="28"/>
        </w:rPr>
        <w:t xml:space="preserve"> un tās mērķis ir samazināt </w:t>
      </w:r>
      <w:r>
        <w:rPr>
          <w:color w:val="000000" w:themeColor="text1"/>
          <w:sz w:val="28"/>
          <w:szCs w:val="28"/>
        </w:rPr>
        <w:t>enerģētikas un rūpnieciskās ražošanas SEG</w:t>
      </w:r>
      <w:r w:rsidRPr="00C9105A">
        <w:rPr>
          <w:color w:val="000000" w:themeColor="text1"/>
          <w:sz w:val="28"/>
          <w:szCs w:val="28"/>
        </w:rPr>
        <w:t xml:space="preserve"> </w:t>
      </w:r>
      <w:r>
        <w:rPr>
          <w:color w:val="000000" w:themeColor="text1"/>
          <w:sz w:val="28"/>
          <w:szCs w:val="28"/>
        </w:rPr>
        <w:t xml:space="preserve">emisijas </w:t>
      </w:r>
      <w:r w:rsidRPr="00C9105A">
        <w:rPr>
          <w:color w:val="000000" w:themeColor="text1"/>
          <w:sz w:val="28"/>
          <w:szCs w:val="28"/>
        </w:rPr>
        <w:t xml:space="preserve">izmaksu efektīvā veidā, ierobežojot emisijas no spēkstacijām, enerģijas intensīvās </w:t>
      </w:r>
      <w:r w:rsidRPr="00C9105A">
        <w:rPr>
          <w:color w:val="000000" w:themeColor="text1"/>
          <w:sz w:val="28"/>
          <w:szCs w:val="28"/>
        </w:rPr>
        <w:lastRenderedPageBreak/>
        <w:t xml:space="preserve">rūpniecības un komerciālās  aviācijas. </w:t>
      </w:r>
      <w:r w:rsidRPr="00305979">
        <w:rPr>
          <w:sz w:val="28"/>
          <w:szCs w:val="28"/>
        </w:rPr>
        <w:t>EK priek</w:t>
      </w:r>
      <w:r w:rsidRPr="00651E9E">
        <w:rPr>
          <w:sz w:val="28"/>
          <w:szCs w:val="28"/>
        </w:rPr>
        <w:t>šlikums ES ETS reformai ir daļa no ES oglekļa tirgus reformas</w:t>
      </w:r>
      <w:r w:rsidRPr="00AF3774">
        <w:rPr>
          <w:sz w:val="28"/>
          <w:szCs w:val="28"/>
        </w:rPr>
        <w:t>, lai nodro</w:t>
      </w:r>
      <w:r w:rsidRPr="00651E9E">
        <w:rPr>
          <w:sz w:val="28"/>
          <w:szCs w:val="28"/>
        </w:rPr>
        <w:t xml:space="preserve">šinātu, ka </w:t>
      </w:r>
      <w:r w:rsidRPr="001F0D14">
        <w:rPr>
          <w:rFonts w:ascii="TimesNewRoman" w:eastAsiaTheme="minorHAnsi" w:hAnsi="TimesNewRoman" w:cs="TimesNewRoman"/>
          <w:sz w:val="28"/>
          <w:szCs w:val="28"/>
          <w:lang w:eastAsia="en-US"/>
        </w:rPr>
        <w:t>labi funkcionējoša, reformēta ES ETS ir galvenais Eiropas instruments siltumnīcefekta gāzu emisiju</w:t>
      </w:r>
      <w:r>
        <w:rPr>
          <w:rFonts w:ascii="TimesNewRoman" w:eastAsiaTheme="minorHAnsi" w:hAnsi="TimesNewRoman" w:cs="TimesNewRoman"/>
          <w:sz w:val="28"/>
          <w:szCs w:val="28"/>
          <w:lang w:eastAsia="en-US"/>
        </w:rPr>
        <w:t xml:space="preserve"> (turpmāk – SEG)</w:t>
      </w:r>
      <w:r w:rsidRPr="001F0D14">
        <w:rPr>
          <w:rFonts w:ascii="TimesNewRoman" w:eastAsiaTheme="minorHAnsi" w:hAnsi="TimesNewRoman" w:cs="TimesNewRoman"/>
          <w:sz w:val="28"/>
          <w:szCs w:val="28"/>
          <w:lang w:eastAsia="en-US"/>
        </w:rPr>
        <w:t xml:space="preserve"> samazināšanas mērķa sasniegšanai</w:t>
      </w:r>
      <w:r w:rsidRPr="00305979">
        <w:rPr>
          <w:sz w:val="28"/>
          <w:szCs w:val="28"/>
        </w:rPr>
        <w:t xml:space="preserve">. </w:t>
      </w:r>
      <w:r>
        <w:rPr>
          <w:sz w:val="28"/>
          <w:szCs w:val="28"/>
        </w:rPr>
        <w:t xml:space="preserve">ES ETS reformas veikšanas nepieciešamība tika noteikta </w:t>
      </w:r>
      <w:r w:rsidRPr="00305979">
        <w:rPr>
          <w:sz w:val="28"/>
          <w:szCs w:val="28"/>
        </w:rPr>
        <w:t>Klimata un enerģētikas politikas</w:t>
      </w:r>
      <w:r w:rsidRPr="00C9105A">
        <w:rPr>
          <w:sz w:val="28"/>
          <w:szCs w:val="28"/>
        </w:rPr>
        <w:t xml:space="preserve"> satvarā laika posmam no 2020.gad</w:t>
      </w:r>
      <w:r w:rsidR="0004017D">
        <w:rPr>
          <w:sz w:val="28"/>
          <w:szCs w:val="28"/>
        </w:rPr>
        <w:t>a līdz 2030.gadam (turpmāk - KE</w:t>
      </w:r>
      <w:r w:rsidRPr="00C9105A">
        <w:rPr>
          <w:sz w:val="28"/>
          <w:szCs w:val="28"/>
        </w:rPr>
        <w:t>P</w:t>
      </w:r>
      <w:r w:rsidR="0004017D">
        <w:rPr>
          <w:sz w:val="28"/>
          <w:szCs w:val="28"/>
        </w:rPr>
        <w:t>S</w:t>
      </w:r>
      <w:r w:rsidRPr="00C9105A">
        <w:rPr>
          <w:sz w:val="28"/>
          <w:szCs w:val="28"/>
        </w:rPr>
        <w:t xml:space="preserve">2030), ko apstiprināja 2014.gada oktobra Eiropadomē. </w:t>
      </w:r>
      <w:r w:rsidRPr="00C9105A">
        <w:rPr>
          <w:color w:val="000000" w:themeColor="text1"/>
          <w:sz w:val="28"/>
          <w:szCs w:val="28"/>
        </w:rPr>
        <w:t xml:space="preserve">Lai sasniegtu kopējo 40% samazinājuma mērķi, </w:t>
      </w:r>
      <w:r>
        <w:rPr>
          <w:color w:val="000000" w:themeColor="text1"/>
          <w:sz w:val="28"/>
          <w:szCs w:val="28"/>
        </w:rPr>
        <w:t>visiem ES ETS  iekļauto iekārtu operatoriem</w:t>
      </w:r>
      <w:r w:rsidRPr="00C9105A">
        <w:rPr>
          <w:color w:val="000000" w:themeColor="text1"/>
          <w:sz w:val="28"/>
          <w:szCs w:val="28"/>
        </w:rPr>
        <w:t xml:space="preserve"> ir jāsamazina </w:t>
      </w:r>
      <w:r>
        <w:rPr>
          <w:color w:val="000000" w:themeColor="text1"/>
          <w:sz w:val="28"/>
          <w:szCs w:val="28"/>
        </w:rPr>
        <w:t xml:space="preserve">savs kopējo SEG </w:t>
      </w:r>
      <w:r w:rsidRPr="00C9105A">
        <w:rPr>
          <w:color w:val="000000" w:themeColor="text1"/>
          <w:sz w:val="28"/>
          <w:szCs w:val="28"/>
        </w:rPr>
        <w:t>emisij</w:t>
      </w:r>
      <w:r>
        <w:rPr>
          <w:color w:val="000000" w:themeColor="text1"/>
          <w:sz w:val="28"/>
          <w:szCs w:val="28"/>
        </w:rPr>
        <w:t>u apjoms</w:t>
      </w:r>
      <w:r w:rsidRPr="00C9105A">
        <w:rPr>
          <w:color w:val="000000" w:themeColor="text1"/>
          <w:sz w:val="28"/>
          <w:szCs w:val="28"/>
        </w:rPr>
        <w:t xml:space="preserve"> par 43% salīdzinot ar 2005.gadu. </w:t>
      </w:r>
    </w:p>
    <w:p w14:paraId="28B9B948" w14:textId="77777777" w:rsidR="005E6FC9" w:rsidRPr="00C9105A" w:rsidRDefault="005E6FC9" w:rsidP="00956A2A">
      <w:pPr>
        <w:spacing w:before="120" w:after="120"/>
        <w:ind w:firstLine="567"/>
        <w:jc w:val="both"/>
        <w:rPr>
          <w:color w:val="000000" w:themeColor="text1"/>
          <w:sz w:val="28"/>
          <w:szCs w:val="28"/>
        </w:rPr>
      </w:pPr>
      <w:r>
        <w:rPr>
          <w:color w:val="000000" w:themeColor="text1"/>
          <w:sz w:val="28"/>
          <w:szCs w:val="28"/>
        </w:rPr>
        <w:t>SEG emisiju samazināšanas pasākumi</w:t>
      </w:r>
      <w:r w:rsidRPr="00C9105A">
        <w:rPr>
          <w:color w:val="000000" w:themeColor="text1"/>
          <w:sz w:val="28"/>
          <w:szCs w:val="28"/>
        </w:rPr>
        <w:t xml:space="preserve"> tiešā un netiešā veidā </w:t>
      </w:r>
      <w:r>
        <w:rPr>
          <w:color w:val="000000" w:themeColor="text1"/>
          <w:sz w:val="28"/>
          <w:szCs w:val="28"/>
        </w:rPr>
        <w:t xml:space="preserve">var </w:t>
      </w:r>
      <w:r w:rsidRPr="00C9105A">
        <w:rPr>
          <w:color w:val="000000" w:themeColor="text1"/>
          <w:sz w:val="28"/>
          <w:szCs w:val="28"/>
        </w:rPr>
        <w:t>ietekmē</w:t>
      </w:r>
      <w:r>
        <w:rPr>
          <w:color w:val="000000" w:themeColor="text1"/>
          <w:sz w:val="28"/>
          <w:szCs w:val="28"/>
        </w:rPr>
        <w:t>t</w:t>
      </w:r>
      <w:r w:rsidRPr="00C9105A">
        <w:rPr>
          <w:color w:val="000000" w:themeColor="text1"/>
          <w:sz w:val="28"/>
          <w:szCs w:val="28"/>
        </w:rPr>
        <w:t xml:space="preserve"> uzņēmumus</w:t>
      </w:r>
      <w:r>
        <w:rPr>
          <w:color w:val="000000" w:themeColor="text1"/>
          <w:sz w:val="28"/>
          <w:szCs w:val="28"/>
        </w:rPr>
        <w:t>, piemēram, būs nepieciešamas papildus investīcijas, lai samazinātu emisijas, vienlaikus, dažos gadījumos, ja uzņēmums izmantos atjaunojamos energoresursus var veidoties bezmaksas emisijas kvotu piešķīruma pārpalikums, kas var rezultēties papildus ieņēmumos</w:t>
      </w:r>
      <w:r w:rsidRPr="00C9105A">
        <w:rPr>
          <w:color w:val="000000" w:themeColor="text1"/>
          <w:sz w:val="28"/>
          <w:szCs w:val="28"/>
        </w:rPr>
        <w:t>.</w:t>
      </w:r>
      <w:r>
        <w:rPr>
          <w:color w:val="000000" w:themeColor="text1"/>
          <w:sz w:val="28"/>
          <w:szCs w:val="28"/>
        </w:rPr>
        <w:t xml:space="preserve"> </w:t>
      </w:r>
      <w:r w:rsidRPr="00C9105A">
        <w:rPr>
          <w:color w:val="000000" w:themeColor="text1"/>
          <w:sz w:val="28"/>
          <w:szCs w:val="28"/>
        </w:rPr>
        <w:t xml:space="preserve"> Tāpēc ir būtiski sabalansēt </w:t>
      </w:r>
      <w:r w:rsidRPr="001F0D14">
        <w:rPr>
          <w:sz w:val="28"/>
          <w:szCs w:val="28"/>
        </w:rPr>
        <w:t xml:space="preserve">vides aizsardzības, konkurētspējas (ekonomikas), un dažādās klimata un enerģētikas </w:t>
      </w:r>
      <w:r w:rsidRPr="00651E9E">
        <w:rPr>
          <w:color w:val="000000" w:themeColor="text1"/>
          <w:sz w:val="28"/>
          <w:szCs w:val="28"/>
        </w:rPr>
        <w:t>p</w:t>
      </w:r>
      <w:r w:rsidRPr="00C9105A">
        <w:rPr>
          <w:color w:val="000000" w:themeColor="text1"/>
          <w:sz w:val="28"/>
          <w:szCs w:val="28"/>
        </w:rPr>
        <w:t>olitikas, no vienas puses</w:t>
      </w:r>
      <w:r>
        <w:rPr>
          <w:color w:val="000000" w:themeColor="text1"/>
          <w:sz w:val="28"/>
          <w:szCs w:val="28"/>
        </w:rPr>
        <w:t xml:space="preserve"> sniedzot</w:t>
      </w:r>
      <w:r w:rsidRPr="00C9105A">
        <w:rPr>
          <w:color w:val="000000" w:themeColor="text1"/>
          <w:sz w:val="28"/>
          <w:szCs w:val="28"/>
        </w:rPr>
        <w:t xml:space="preserve"> ieguldījum</w:t>
      </w:r>
      <w:r>
        <w:rPr>
          <w:color w:val="000000" w:themeColor="text1"/>
          <w:sz w:val="28"/>
          <w:szCs w:val="28"/>
        </w:rPr>
        <w:t>u</w:t>
      </w:r>
      <w:r w:rsidRPr="00C9105A">
        <w:rPr>
          <w:color w:val="000000" w:themeColor="text1"/>
          <w:sz w:val="28"/>
          <w:szCs w:val="28"/>
        </w:rPr>
        <w:t xml:space="preserve"> klimata</w:t>
      </w:r>
      <w:r>
        <w:rPr>
          <w:color w:val="000000" w:themeColor="text1"/>
          <w:sz w:val="28"/>
          <w:szCs w:val="28"/>
        </w:rPr>
        <w:t xml:space="preserve"> pārmaiņu samazināšanā</w:t>
      </w:r>
      <w:r w:rsidRPr="00C9105A">
        <w:rPr>
          <w:color w:val="000000" w:themeColor="text1"/>
          <w:sz w:val="28"/>
          <w:szCs w:val="28"/>
        </w:rPr>
        <w:t>, no otras puses aizsargājot ES konkurētspēju.</w:t>
      </w:r>
    </w:p>
    <w:p w14:paraId="7805D7DE" w14:textId="77777777" w:rsidR="005E6FC9" w:rsidRDefault="005E6FC9" w:rsidP="00956A2A">
      <w:pPr>
        <w:spacing w:before="120" w:after="120"/>
        <w:ind w:firstLine="567"/>
        <w:jc w:val="both"/>
        <w:rPr>
          <w:sz w:val="28"/>
          <w:szCs w:val="28"/>
        </w:rPr>
      </w:pPr>
      <w:r w:rsidRPr="00C9105A">
        <w:rPr>
          <w:sz w:val="28"/>
          <w:szCs w:val="28"/>
        </w:rPr>
        <w:t xml:space="preserve">Pusdienu diskusiju mērķis ir analizēt specifiskus konkurētspējas aspektus attiecībā uz ES ETS reformas priekšlikumu. </w:t>
      </w:r>
    </w:p>
    <w:p w14:paraId="13376240" w14:textId="77777777" w:rsidR="005E6FC9" w:rsidRPr="00460D4F" w:rsidRDefault="005E6FC9" w:rsidP="00956A2A">
      <w:pPr>
        <w:spacing w:before="120" w:after="120"/>
        <w:ind w:firstLine="567"/>
        <w:jc w:val="both"/>
        <w:rPr>
          <w:sz w:val="28"/>
          <w:szCs w:val="28"/>
        </w:rPr>
      </w:pPr>
      <w:r w:rsidRPr="00460D4F">
        <w:rPr>
          <w:sz w:val="28"/>
          <w:szCs w:val="28"/>
        </w:rPr>
        <w:t>Direktīvas projekts ir sagatavots, ņemot vērā Eiropadomes secinājumos</w:t>
      </w:r>
      <w:r>
        <w:rPr>
          <w:sz w:val="28"/>
          <w:szCs w:val="28"/>
        </w:rPr>
        <w:t xml:space="preserve"> par KEPS2030</w:t>
      </w:r>
      <w:r w:rsidRPr="00460D4F">
        <w:rPr>
          <w:sz w:val="28"/>
          <w:szCs w:val="28"/>
        </w:rPr>
        <w:t xml:space="preserve"> noteiktos principus attiecībā uz ES ETS darbību – emisijas kvotu kopapjoma samazinājuma koeficients, bezmaksas emisijas kvotu piešķiršanas turpināšana, oglekļa dioksīda pārvirzes riskam pakļauto uzņēmumu atbalsts, emisijas kvotu izsolīšanas apjomi, bezmaksas emisijas kvotu piešķiršanas elektroenerģijas ražotājiem turpinājums. </w:t>
      </w:r>
    </w:p>
    <w:p w14:paraId="4EC0FBCE" w14:textId="77777777" w:rsidR="005E6FC9" w:rsidRDefault="005E6FC9" w:rsidP="00956A2A">
      <w:pPr>
        <w:spacing w:before="120" w:after="120"/>
        <w:ind w:firstLine="567"/>
        <w:jc w:val="both"/>
        <w:rPr>
          <w:sz w:val="28"/>
          <w:szCs w:val="28"/>
        </w:rPr>
      </w:pPr>
      <w:r w:rsidRPr="00460D4F">
        <w:rPr>
          <w:sz w:val="28"/>
          <w:szCs w:val="28"/>
        </w:rPr>
        <w:t xml:space="preserve">Direktīvas projektā ir iekļauti jauni nosacījumi attiecībā uz atbalsta fondiem – </w:t>
      </w:r>
      <w:r>
        <w:rPr>
          <w:sz w:val="28"/>
          <w:szCs w:val="28"/>
        </w:rPr>
        <w:t>Inovācijas fonds</w:t>
      </w:r>
      <w:r w:rsidRPr="00460D4F">
        <w:rPr>
          <w:sz w:val="28"/>
          <w:szCs w:val="28"/>
        </w:rPr>
        <w:t>, ar ko tiek turpināts NER300 fonds, kas jau šobrīd darbojas ETS ietvaros, bet tiek palielināts tā ietvaros pieejamais finansējums un atbalstāmie projekti, kā arī ir noteikts jaunais Modernizācijas fonds, tā darbības principi un atbalstāmo projekti izvēles un fina</w:t>
      </w:r>
      <w:r>
        <w:rPr>
          <w:sz w:val="28"/>
          <w:szCs w:val="28"/>
        </w:rPr>
        <w:t>nsējuma piešķiršanas nosacījumi.</w:t>
      </w:r>
    </w:p>
    <w:p w14:paraId="5C88DD69" w14:textId="77777777" w:rsidR="005E6FC9" w:rsidRDefault="005E6FC9" w:rsidP="005E6FC9">
      <w:pPr>
        <w:spacing w:after="120"/>
        <w:jc w:val="both"/>
        <w:rPr>
          <w:b/>
          <w:sz w:val="28"/>
          <w:szCs w:val="28"/>
          <w:u w:val="single"/>
        </w:rPr>
      </w:pPr>
      <w:r w:rsidRPr="00C9105A">
        <w:rPr>
          <w:b/>
          <w:sz w:val="28"/>
          <w:szCs w:val="28"/>
          <w:u w:val="single"/>
        </w:rPr>
        <w:t>Latvijas nostāja:</w:t>
      </w:r>
    </w:p>
    <w:p w14:paraId="09A2DB3E" w14:textId="77777777" w:rsidR="005E6FC9" w:rsidRDefault="005E6FC9" w:rsidP="00956A2A">
      <w:pPr>
        <w:spacing w:after="120"/>
        <w:ind w:firstLine="340"/>
        <w:jc w:val="both"/>
        <w:rPr>
          <w:sz w:val="28"/>
          <w:szCs w:val="28"/>
        </w:rPr>
      </w:pPr>
      <w:r w:rsidRPr="00C9105A">
        <w:rPr>
          <w:sz w:val="28"/>
          <w:szCs w:val="28"/>
        </w:rPr>
        <w:t>Diskusiju laikā plānojam paust Latvijas viedokli,</w:t>
      </w:r>
      <w:r>
        <w:rPr>
          <w:sz w:val="28"/>
          <w:szCs w:val="28"/>
        </w:rPr>
        <w:t xml:space="preserve"> kas sagatavots </w:t>
      </w:r>
      <w:r w:rsidRPr="006B180A">
        <w:rPr>
          <w:sz w:val="28"/>
          <w:szCs w:val="28"/>
        </w:rPr>
        <w:t>pamatojoties uz</w:t>
      </w:r>
      <w:r>
        <w:rPr>
          <w:sz w:val="28"/>
          <w:szCs w:val="28"/>
        </w:rPr>
        <w:t>:</w:t>
      </w:r>
    </w:p>
    <w:p w14:paraId="47C181AF" w14:textId="77777777" w:rsidR="005E6FC9" w:rsidRDefault="005E6FC9" w:rsidP="005E6FC9">
      <w:pPr>
        <w:pStyle w:val="ListParagraph"/>
        <w:numPr>
          <w:ilvl w:val="0"/>
          <w:numId w:val="15"/>
        </w:numPr>
        <w:spacing w:after="120"/>
        <w:ind w:left="340" w:hanging="340"/>
        <w:contextualSpacing w:val="0"/>
        <w:jc w:val="both"/>
        <w:rPr>
          <w:color w:val="000000" w:themeColor="text1"/>
          <w:sz w:val="28"/>
          <w:szCs w:val="28"/>
        </w:rPr>
      </w:pPr>
      <w:r w:rsidRPr="008E30A9">
        <w:rPr>
          <w:sz w:val="28"/>
          <w:szCs w:val="28"/>
        </w:rPr>
        <w:lastRenderedPageBreak/>
        <w:t xml:space="preserve">Vides aizsardzības un reģionālās attīstības ministrijas 2014.gada 7.oktobra pozīciju Nr.3 </w:t>
      </w:r>
      <w:r w:rsidRPr="008E30A9">
        <w:rPr>
          <w:color w:val="000000" w:themeColor="text1"/>
          <w:sz w:val="28"/>
          <w:szCs w:val="28"/>
        </w:rPr>
        <w:t xml:space="preserve">Par </w:t>
      </w:r>
      <w:r w:rsidRPr="008E30A9">
        <w:rPr>
          <w:noProof/>
          <w:color w:val="000000" w:themeColor="text1"/>
          <w:sz w:val="28"/>
          <w:szCs w:val="28"/>
        </w:rPr>
        <w:t xml:space="preserve">Klimata un enerģētikas politikas satvaru laikposmam no 2020.gada līdz 2030.gadam un Par </w:t>
      </w:r>
      <w:r w:rsidRPr="008E30A9">
        <w:rPr>
          <w:color w:val="000000" w:themeColor="text1"/>
          <w:sz w:val="28"/>
          <w:szCs w:val="28"/>
        </w:rPr>
        <w:t>Energoefektivitāti un tās ieguldījumu enerģētiskajā drošībā un Klimata un enerģētikas politikas satvarā laika posmam no 2020.gada līdz 2030.gadam.</w:t>
      </w:r>
    </w:p>
    <w:p w14:paraId="6598FE33" w14:textId="77777777" w:rsidR="005E6FC9" w:rsidRPr="00420AC0" w:rsidRDefault="005E6FC9" w:rsidP="005E6FC9">
      <w:pPr>
        <w:pStyle w:val="ListParagraph"/>
        <w:numPr>
          <w:ilvl w:val="0"/>
          <w:numId w:val="15"/>
        </w:numPr>
        <w:spacing w:after="120"/>
        <w:ind w:left="340" w:hanging="340"/>
        <w:contextualSpacing w:val="0"/>
        <w:jc w:val="both"/>
        <w:rPr>
          <w:color w:val="000000" w:themeColor="text1"/>
          <w:sz w:val="28"/>
          <w:szCs w:val="28"/>
        </w:rPr>
      </w:pPr>
      <w:r w:rsidRPr="00420AC0">
        <w:rPr>
          <w:color w:val="000000" w:themeColor="text1"/>
          <w:sz w:val="28"/>
          <w:szCs w:val="28"/>
        </w:rPr>
        <w:t>Latvijas viedokli, kas tika iesniegts EK 2015.gada 15.martā publiskās konsultācijas „Par Eiropas Savienības Emisijas kvotu tirdzniecības sistēmas strukturālo reformu pēc 2020.gada” ietvaros;</w:t>
      </w:r>
    </w:p>
    <w:p w14:paraId="395CCC62" w14:textId="77777777" w:rsidR="005E6FC9" w:rsidRDefault="005E6FC9" w:rsidP="005E6FC9">
      <w:pPr>
        <w:pStyle w:val="ListParagraph"/>
        <w:numPr>
          <w:ilvl w:val="0"/>
          <w:numId w:val="15"/>
        </w:numPr>
        <w:spacing w:after="120"/>
        <w:ind w:left="340" w:hanging="340"/>
        <w:contextualSpacing w:val="0"/>
        <w:jc w:val="both"/>
        <w:rPr>
          <w:color w:val="000000" w:themeColor="text1"/>
          <w:sz w:val="28"/>
          <w:szCs w:val="28"/>
        </w:rPr>
      </w:pPr>
      <w:r w:rsidRPr="00420AC0">
        <w:rPr>
          <w:color w:val="000000" w:themeColor="text1"/>
          <w:sz w:val="28"/>
          <w:szCs w:val="28"/>
        </w:rPr>
        <w:t>Latvijas sākotnējais viedoklis, kas sagatavots Latvijas pārstāvim  ES Padomes vides darba grupās (7.09., 22.09.) par ES ETS reformu.</w:t>
      </w:r>
    </w:p>
    <w:p w14:paraId="3819ADFC" w14:textId="77777777" w:rsidR="005E6FC9" w:rsidRDefault="005E6FC9" w:rsidP="00956A2A">
      <w:pPr>
        <w:spacing w:after="120"/>
        <w:ind w:firstLine="340"/>
        <w:jc w:val="both"/>
        <w:rPr>
          <w:color w:val="000000" w:themeColor="text1"/>
          <w:sz w:val="28"/>
          <w:szCs w:val="28"/>
        </w:rPr>
      </w:pPr>
      <w:r>
        <w:rPr>
          <w:color w:val="000000" w:themeColor="text1"/>
          <w:sz w:val="28"/>
          <w:szCs w:val="28"/>
        </w:rPr>
        <w:t>Plānojam uzsvērt, ka v</w:t>
      </w:r>
      <w:r w:rsidRPr="00420AC0">
        <w:rPr>
          <w:color w:val="000000" w:themeColor="text1"/>
          <w:sz w:val="28"/>
          <w:szCs w:val="28"/>
        </w:rPr>
        <w:t>ienošanās par direktīvas projektu ir nepieciešama, lai uzlabotu ES ETS darbību 4.periodā (2021-2030.gads), lai sistēmu padarītu efektīvu un labi funkcionējošu, lai tā dotu pietiekamu ieguldījumu SEG emisiju samazināšanas mērķu sasniegšanā.</w:t>
      </w:r>
      <w:r>
        <w:rPr>
          <w:color w:val="000000" w:themeColor="text1"/>
          <w:sz w:val="28"/>
          <w:szCs w:val="28"/>
        </w:rPr>
        <w:t xml:space="preserve"> </w:t>
      </w:r>
    </w:p>
    <w:p w14:paraId="4C3462FB" w14:textId="77777777" w:rsidR="005E6FC9" w:rsidRDefault="005E6FC9" w:rsidP="00956A2A">
      <w:pPr>
        <w:spacing w:after="120"/>
        <w:ind w:firstLine="340"/>
        <w:jc w:val="both"/>
        <w:rPr>
          <w:color w:val="000000" w:themeColor="text1"/>
          <w:sz w:val="28"/>
          <w:szCs w:val="28"/>
        </w:rPr>
      </w:pPr>
      <w:r w:rsidRPr="00925998">
        <w:rPr>
          <w:color w:val="000000" w:themeColor="text1"/>
          <w:sz w:val="28"/>
          <w:szCs w:val="28"/>
        </w:rPr>
        <w:t>Latvijai ir būtiski, lai direktīvas projektā iekļautie nosacījumi neietekmētu tirgus stabilitāti, kā arī neradītu ES ETS operatoriem neskaidrību par saviem pienākumiem, kā arī neietekmētu ES ETS operatoru stabilitāti un ilglaicīgo darbības plānošanu.</w:t>
      </w:r>
    </w:p>
    <w:p w14:paraId="10C60723" w14:textId="77777777" w:rsidR="005E6FC9" w:rsidRPr="00420AC0" w:rsidRDefault="005E6FC9" w:rsidP="00956A2A">
      <w:pPr>
        <w:spacing w:after="120"/>
        <w:ind w:firstLine="340"/>
        <w:jc w:val="both"/>
        <w:rPr>
          <w:color w:val="000000" w:themeColor="text1"/>
          <w:sz w:val="28"/>
          <w:szCs w:val="28"/>
        </w:rPr>
      </w:pPr>
      <w:r>
        <w:rPr>
          <w:color w:val="000000" w:themeColor="text1"/>
          <w:sz w:val="28"/>
          <w:szCs w:val="28"/>
        </w:rPr>
        <w:t xml:space="preserve">Tādējādi šajā kontekstā norādīsim, ka </w:t>
      </w:r>
      <w:r w:rsidRPr="00420AC0">
        <w:rPr>
          <w:color w:val="000000" w:themeColor="text1"/>
          <w:sz w:val="28"/>
          <w:szCs w:val="28"/>
        </w:rPr>
        <w:t>iepazīstoties ar direktīvas projektu un ietekmes novērtējumu, saskatām problemātiskus jautājumus attiecībā uz:</w:t>
      </w:r>
    </w:p>
    <w:p w14:paraId="180C75ED" w14:textId="77777777" w:rsidR="005E6FC9" w:rsidRDefault="005E6FC9" w:rsidP="005E6FC9">
      <w:pPr>
        <w:pStyle w:val="ListParagraph"/>
        <w:numPr>
          <w:ilvl w:val="0"/>
          <w:numId w:val="16"/>
        </w:numPr>
        <w:spacing w:after="120"/>
        <w:ind w:left="340" w:hanging="340"/>
        <w:contextualSpacing w:val="0"/>
        <w:jc w:val="both"/>
        <w:rPr>
          <w:color w:val="000000" w:themeColor="text1"/>
          <w:sz w:val="28"/>
          <w:szCs w:val="28"/>
        </w:rPr>
      </w:pPr>
      <w:r w:rsidRPr="008E30A9">
        <w:rPr>
          <w:color w:val="000000" w:themeColor="text1"/>
          <w:sz w:val="28"/>
          <w:szCs w:val="28"/>
        </w:rPr>
        <w:t>emisijas kvotu kopapjomu ES ETS 4.periodā un tā pārdalījuma struktūru</w:t>
      </w:r>
      <w:r>
        <w:rPr>
          <w:color w:val="000000" w:themeColor="text1"/>
          <w:sz w:val="28"/>
          <w:szCs w:val="28"/>
        </w:rPr>
        <w:t>;</w:t>
      </w:r>
    </w:p>
    <w:p w14:paraId="3114BF05" w14:textId="77777777" w:rsidR="005E6FC9" w:rsidRDefault="005E6FC9" w:rsidP="005E6FC9">
      <w:pPr>
        <w:pStyle w:val="ListParagraph"/>
        <w:numPr>
          <w:ilvl w:val="0"/>
          <w:numId w:val="16"/>
        </w:numPr>
        <w:spacing w:after="120"/>
        <w:ind w:left="340" w:hanging="340"/>
        <w:contextualSpacing w:val="0"/>
        <w:jc w:val="both"/>
        <w:rPr>
          <w:color w:val="000000" w:themeColor="text1"/>
          <w:sz w:val="28"/>
          <w:szCs w:val="28"/>
        </w:rPr>
      </w:pPr>
      <w:r>
        <w:rPr>
          <w:color w:val="000000" w:themeColor="text1"/>
          <w:sz w:val="28"/>
          <w:szCs w:val="28"/>
        </w:rPr>
        <w:t xml:space="preserve">bezmaksas emisijas kvotu piešķīruma aprēķinu, samazinot izmantoto </w:t>
      </w:r>
      <w:proofErr w:type="spellStart"/>
      <w:r>
        <w:rPr>
          <w:color w:val="000000" w:themeColor="text1"/>
          <w:sz w:val="28"/>
          <w:szCs w:val="28"/>
        </w:rPr>
        <w:t>līmeņatzīmi</w:t>
      </w:r>
      <w:proofErr w:type="spellEnd"/>
      <w:r>
        <w:rPr>
          <w:color w:val="000000" w:themeColor="text1"/>
          <w:sz w:val="28"/>
          <w:szCs w:val="28"/>
        </w:rPr>
        <w:t xml:space="preserve"> piemērojot konstantu samazinājuma koeficientu, nevis pārskatot visas </w:t>
      </w:r>
      <w:proofErr w:type="spellStart"/>
      <w:r>
        <w:rPr>
          <w:color w:val="000000" w:themeColor="text1"/>
          <w:sz w:val="28"/>
          <w:szCs w:val="28"/>
        </w:rPr>
        <w:t>līmeņatzīmes</w:t>
      </w:r>
      <w:proofErr w:type="spellEnd"/>
      <w:r>
        <w:rPr>
          <w:color w:val="000000" w:themeColor="text1"/>
          <w:sz w:val="28"/>
          <w:szCs w:val="28"/>
        </w:rPr>
        <w:t xml:space="preserve"> balstoties uz aktuālo informāciju par rūpnieciskās ražošanas tehnoloģisko progresu;</w:t>
      </w:r>
    </w:p>
    <w:p w14:paraId="03F0E5F5" w14:textId="08608CFE" w:rsidR="005E6FC9" w:rsidRDefault="005E6FC9" w:rsidP="005E6FC9">
      <w:pPr>
        <w:pStyle w:val="ListParagraph"/>
        <w:numPr>
          <w:ilvl w:val="0"/>
          <w:numId w:val="16"/>
        </w:numPr>
        <w:spacing w:after="120"/>
        <w:ind w:left="340" w:hanging="340"/>
        <w:contextualSpacing w:val="0"/>
        <w:jc w:val="both"/>
        <w:rPr>
          <w:color w:val="000000" w:themeColor="text1"/>
          <w:sz w:val="28"/>
          <w:szCs w:val="28"/>
        </w:rPr>
      </w:pPr>
      <w:r>
        <w:rPr>
          <w:color w:val="000000" w:themeColor="text1"/>
          <w:sz w:val="28"/>
          <w:szCs w:val="28"/>
        </w:rPr>
        <w:t xml:space="preserve">oglekļa dioksīda pārvirzes riska novēršanas nosacījumiem (oglekļa dioksīda pārvirzes </w:t>
      </w:r>
      <w:r w:rsidRPr="00925998">
        <w:rPr>
          <w:color w:val="000000" w:themeColor="text1"/>
          <w:sz w:val="28"/>
          <w:szCs w:val="28"/>
        </w:rPr>
        <w:t>riska novēršanas jautājumi</w:t>
      </w:r>
      <w:r>
        <w:rPr>
          <w:color w:val="000000" w:themeColor="text1"/>
          <w:sz w:val="28"/>
          <w:szCs w:val="28"/>
        </w:rPr>
        <w:t xml:space="preserve">em ir jābūt risinātiem </w:t>
      </w:r>
      <w:r w:rsidRPr="00925998">
        <w:rPr>
          <w:color w:val="000000" w:themeColor="text1"/>
          <w:sz w:val="28"/>
          <w:szCs w:val="28"/>
        </w:rPr>
        <w:t>ES līmenī,</w:t>
      </w:r>
      <w:r>
        <w:rPr>
          <w:color w:val="000000" w:themeColor="text1"/>
          <w:sz w:val="28"/>
          <w:szCs w:val="28"/>
        </w:rPr>
        <w:t xml:space="preserve"> piemērojot vienādus atbalsta mehānisms līdzvērtīgos apjomos)</w:t>
      </w:r>
      <w:r w:rsidR="00956A2A">
        <w:rPr>
          <w:color w:val="000000" w:themeColor="text1"/>
          <w:sz w:val="28"/>
          <w:szCs w:val="28"/>
        </w:rPr>
        <w:t>;</w:t>
      </w:r>
    </w:p>
    <w:p w14:paraId="4BB291E3" w14:textId="77777777" w:rsidR="005E6FC9" w:rsidRPr="008E30A9" w:rsidRDefault="005E6FC9" w:rsidP="005E6FC9">
      <w:pPr>
        <w:pStyle w:val="ListParagraph"/>
        <w:numPr>
          <w:ilvl w:val="0"/>
          <w:numId w:val="16"/>
        </w:numPr>
        <w:spacing w:after="120"/>
        <w:ind w:left="340" w:hanging="340"/>
        <w:contextualSpacing w:val="0"/>
        <w:jc w:val="both"/>
        <w:rPr>
          <w:color w:val="000000" w:themeColor="text1"/>
          <w:sz w:val="28"/>
          <w:szCs w:val="28"/>
        </w:rPr>
      </w:pPr>
      <w:r>
        <w:rPr>
          <w:color w:val="000000" w:themeColor="text1"/>
          <w:sz w:val="28"/>
          <w:szCs w:val="28"/>
        </w:rPr>
        <w:t>ES ETS ietvaros izveidoto finansēšanas mehānismu – Inovācijas fonda un Modernizācijas fonda aptvērumu, darbības nosacījumiem un finansēšanas pieejamību</w:t>
      </w:r>
      <w:r w:rsidRPr="008E30A9">
        <w:rPr>
          <w:color w:val="000000" w:themeColor="text1"/>
          <w:sz w:val="28"/>
          <w:szCs w:val="28"/>
        </w:rPr>
        <w:t>.</w:t>
      </w:r>
    </w:p>
    <w:p w14:paraId="3C5CFCC2" w14:textId="1437A57B" w:rsidR="0021527E" w:rsidRDefault="0021527E" w:rsidP="00E80502">
      <w:pPr>
        <w:rPr>
          <w:sz w:val="28"/>
          <w:szCs w:val="28"/>
        </w:rPr>
      </w:pPr>
    </w:p>
    <w:p w14:paraId="70813084" w14:textId="77777777" w:rsidR="00956A2A" w:rsidRDefault="00956A2A" w:rsidP="00E80502">
      <w:pPr>
        <w:rPr>
          <w:sz w:val="28"/>
          <w:szCs w:val="28"/>
        </w:rPr>
      </w:pPr>
    </w:p>
    <w:p w14:paraId="272F3A1B" w14:textId="77777777" w:rsidR="00956A2A" w:rsidRPr="00C9105A" w:rsidRDefault="00956A2A" w:rsidP="00E80502">
      <w:pPr>
        <w:rPr>
          <w:sz w:val="28"/>
          <w:szCs w:val="28"/>
        </w:rPr>
      </w:pPr>
    </w:p>
    <w:p w14:paraId="56596223" w14:textId="77777777" w:rsidR="00DD2C00" w:rsidRPr="00C9105A" w:rsidRDefault="00DD2C00" w:rsidP="00DD2C00">
      <w:pPr>
        <w:jc w:val="both"/>
        <w:rPr>
          <w:b/>
          <w:iCs/>
          <w:sz w:val="28"/>
          <w:szCs w:val="28"/>
        </w:rPr>
      </w:pPr>
      <w:r w:rsidRPr="00C9105A">
        <w:rPr>
          <w:b/>
          <w:iCs/>
          <w:sz w:val="28"/>
          <w:szCs w:val="28"/>
        </w:rPr>
        <w:lastRenderedPageBreak/>
        <w:t>Citi jautājumi:</w:t>
      </w:r>
    </w:p>
    <w:p w14:paraId="3E16B361" w14:textId="77777777" w:rsidR="00DD2C00" w:rsidRPr="00C9105A" w:rsidRDefault="00DD2C00" w:rsidP="00DD2C00">
      <w:pPr>
        <w:pStyle w:val="ListParagraph"/>
        <w:numPr>
          <w:ilvl w:val="0"/>
          <w:numId w:val="3"/>
        </w:numPr>
        <w:ind w:left="567" w:hanging="567"/>
        <w:jc w:val="both"/>
        <w:rPr>
          <w:b/>
          <w:sz w:val="28"/>
          <w:szCs w:val="28"/>
        </w:rPr>
      </w:pPr>
      <w:r w:rsidRPr="00C9105A">
        <w:rPr>
          <w:b/>
          <w:i/>
          <w:iCs/>
          <w:sz w:val="28"/>
          <w:szCs w:val="28"/>
        </w:rPr>
        <w:t xml:space="preserve">(a) Neformālā Kosmosa padome </w:t>
      </w:r>
    </w:p>
    <w:p w14:paraId="07EC61D7" w14:textId="77777777" w:rsidR="00DD2C00" w:rsidRPr="00C9105A" w:rsidRDefault="00DD2C00" w:rsidP="00DD2C00">
      <w:pPr>
        <w:pStyle w:val="ListParagraph"/>
        <w:spacing w:after="120"/>
        <w:ind w:left="567"/>
        <w:contextualSpacing w:val="0"/>
        <w:jc w:val="both"/>
        <w:rPr>
          <w:i/>
          <w:sz w:val="28"/>
          <w:szCs w:val="28"/>
        </w:rPr>
      </w:pPr>
      <w:r w:rsidRPr="00C9105A">
        <w:rPr>
          <w:b/>
          <w:i/>
          <w:iCs/>
          <w:sz w:val="28"/>
          <w:szCs w:val="28"/>
        </w:rPr>
        <w:t xml:space="preserve">= </w:t>
      </w:r>
      <w:r w:rsidRPr="00C9105A">
        <w:rPr>
          <w:i/>
          <w:sz w:val="28"/>
          <w:szCs w:val="28"/>
        </w:rPr>
        <w:t>Informācija no prezidentūras</w:t>
      </w:r>
    </w:p>
    <w:p w14:paraId="1272212B" w14:textId="2FDF819B" w:rsidR="00DD2C00" w:rsidRPr="00EB3A7B" w:rsidRDefault="00E047CA" w:rsidP="00DD2C00">
      <w:pPr>
        <w:pStyle w:val="ListParagraph"/>
        <w:spacing w:after="120"/>
        <w:ind w:left="0" w:firstLine="567"/>
        <w:contextualSpacing w:val="0"/>
        <w:jc w:val="both"/>
        <w:rPr>
          <w:sz w:val="28"/>
          <w:szCs w:val="28"/>
        </w:rPr>
      </w:pPr>
      <w:r w:rsidRPr="00C62C0D">
        <w:rPr>
          <w:rFonts w:eastAsiaTheme="minorHAnsi"/>
          <w:sz w:val="28"/>
          <w:szCs w:val="28"/>
          <w:lang w:eastAsia="en-US"/>
        </w:rPr>
        <w:t>P</w:t>
      </w:r>
      <w:r>
        <w:rPr>
          <w:rFonts w:eastAsiaTheme="minorHAnsi"/>
          <w:sz w:val="28"/>
          <w:szCs w:val="28"/>
          <w:lang w:eastAsia="en-US"/>
        </w:rPr>
        <w:t>rezidentūra</w:t>
      </w:r>
      <w:r w:rsidRPr="00C62C0D">
        <w:rPr>
          <w:rFonts w:eastAsiaTheme="minorHAnsi"/>
          <w:sz w:val="28"/>
          <w:szCs w:val="28"/>
          <w:lang w:eastAsia="en-US"/>
        </w:rPr>
        <w:t xml:space="preserve"> ir informējusi, ka </w:t>
      </w:r>
      <w:r>
        <w:rPr>
          <w:rFonts w:eastAsiaTheme="minorHAnsi"/>
          <w:sz w:val="28"/>
          <w:szCs w:val="28"/>
          <w:lang w:eastAsia="en-US"/>
        </w:rPr>
        <w:t xml:space="preserve">š.g. </w:t>
      </w:r>
      <w:r w:rsidRPr="00C62C0D">
        <w:rPr>
          <w:rFonts w:eastAsiaTheme="minorHAnsi"/>
          <w:sz w:val="28"/>
          <w:szCs w:val="28"/>
          <w:lang w:eastAsia="en-US"/>
        </w:rPr>
        <w:t>30.novembrī Briselē, L</w:t>
      </w:r>
      <w:r>
        <w:rPr>
          <w:rFonts w:eastAsiaTheme="minorHAnsi"/>
          <w:sz w:val="28"/>
          <w:szCs w:val="28"/>
          <w:lang w:eastAsia="en-US"/>
        </w:rPr>
        <w:t>uksemburgas</w:t>
      </w:r>
      <w:r w:rsidRPr="00C62C0D">
        <w:rPr>
          <w:rFonts w:eastAsiaTheme="minorHAnsi"/>
          <w:sz w:val="28"/>
          <w:szCs w:val="28"/>
          <w:lang w:eastAsia="en-US"/>
        </w:rPr>
        <w:t xml:space="preserve"> Pastāvīgās pārstāvniecības telpās</w:t>
      </w:r>
      <w:r>
        <w:rPr>
          <w:rFonts w:eastAsiaTheme="minorHAnsi"/>
          <w:sz w:val="28"/>
          <w:szCs w:val="28"/>
          <w:lang w:eastAsia="en-US"/>
        </w:rPr>
        <w:t>,</w:t>
      </w:r>
      <w:r w:rsidRPr="00C62C0D">
        <w:rPr>
          <w:rFonts w:eastAsiaTheme="minorHAnsi"/>
          <w:sz w:val="28"/>
          <w:szCs w:val="28"/>
          <w:lang w:eastAsia="en-US"/>
        </w:rPr>
        <w:t xml:space="preserve"> plāno organizēt Neformālo E</w:t>
      </w:r>
      <w:r>
        <w:rPr>
          <w:rFonts w:eastAsiaTheme="minorHAnsi"/>
          <w:sz w:val="28"/>
          <w:szCs w:val="28"/>
          <w:lang w:eastAsia="en-US"/>
        </w:rPr>
        <w:t>S</w:t>
      </w:r>
      <w:r w:rsidRPr="00C62C0D">
        <w:rPr>
          <w:rFonts w:eastAsiaTheme="minorHAnsi"/>
          <w:sz w:val="28"/>
          <w:szCs w:val="28"/>
          <w:lang w:eastAsia="en-US"/>
        </w:rPr>
        <w:t xml:space="preserve"> un Eiropas Kosmosa aģentūras (ESA) dalībvalstu ministru sanāksmi (</w:t>
      </w:r>
      <w:r>
        <w:rPr>
          <w:rFonts w:eastAsiaTheme="minorHAnsi"/>
          <w:sz w:val="28"/>
          <w:szCs w:val="28"/>
          <w:lang w:eastAsia="en-US"/>
        </w:rPr>
        <w:t xml:space="preserve">Neformālo </w:t>
      </w:r>
      <w:r w:rsidRPr="00C62C0D">
        <w:rPr>
          <w:rFonts w:eastAsiaTheme="minorHAnsi"/>
          <w:sz w:val="28"/>
          <w:szCs w:val="28"/>
          <w:lang w:eastAsia="en-US"/>
        </w:rPr>
        <w:t xml:space="preserve">Kosmosa </w:t>
      </w:r>
      <w:r>
        <w:rPr>
          <w:rFonts w:eastAsiaTheme="minorHAnsi"/>
          <w:sz w:val="28"/>
          <w:szCs w:val="28"/>
          <w:lang w:eastAsia="en-US"/>
        </w:rPr>
        <w:t>p</w:t>
      </w:r>
      <w:r w:rsidRPr="00C62C0D">
        <w:rPr>
          <w:rFonts w:eastAsiaTheme="minorHAnsi"/>
          <w:sz w:val="28"/>
          <w:szCs w:val="28"/>
          <w:lang w:eastAsia="en-US"/>
        </w:rPr>
        <w:t xml:space="preserve">adomi), kas notiks pēc </w:t>
      </w:r>
      <w:r>
        <w:rPr>
          <w:rFonts w:eastAsiaTheme="minorHAnsi"/>
          <w:sz w:val="28"/>
          <w:szCs w:val="28"/>
          <w:lang w:eastAsia="en-US"/>
        </w:rPr>
        <w:t>ES Konkurētspējas ministru padomes</w:t>
      </w:r>
      <w:r w:rsidRPr="00C62C0D">
        <w:rPr>
          <w:rFonts w:eastAsiaTheme="minorHAnsi"/>
          <w:sz w:val="28"/>
          <w:szCs w:val="28"/>
          <w:lang w:eastAsia="en-US"/>
        </w:rPr>
        <w:t xml:space="preserve"> (industrijas un iekšējā tirgus jautājumu) sanāksmes.  P</w:t>
      </w:r>
      <w:r>
        <w:rPr>
          <w:rFonts w:eastAsiaTheme="minorHAnsi"/>
          <w:sz w:val="28"/>
          <w:szCs w:val="28"/>
          <w:lang w:eastAsia="en-US"/>
        </w:rPr>
        <w:t>rezidentūra</w:t>
      </w:r>
      <w:r w:rsidRPr="00C62C0D">
        <w:rPr>
          <w:rFonts w:eastAsiaTheme="minorHAnsi"/>
          <w:sz w:val="28"/>
          <w:szCs w:val="28"/>
          <w:lang w:eastAsia="en-US"/>
        </w:rPr>
        <w:t xml:space="preserve"> plāno Neformālajā Kosmosa padomē apspriest 3 jautājumu blokus 1) Kosmosa padomes evolūcija</w:t>
      </w:r>
      <w:r>
        <w:rPr>
          <w:rFonts w:eastAsiaTheme="minorHAnsi"/>
          <w:sz w:val="28"/>
          <w:szCs w:val="28"/>
          <w:lang w:eastAsia="en-US"/>
        </w:rPr>
        <w:t>,</w:t>
      </w:r>
      <w:r w:rsidRPr="00C62C0D">
        <w:rPr>
          <w:rFonts w:eastAsiaTheme="minorHAnsi"/>
          <w:sz w:val="28"/>
          <w:szCs w:val="28"/>
          <w:lang w:eastAsia="en-US"/>
        </w:rPr>
        <w:t xml:space="preserve"> 2) institucionālais tirgus starta iekārtām, 3) Kosmosa sistēmu un datu izmantošanas veicināšana publiskajā sektorā (politikas veidošanā).</w:t>
      </w:r>
    </w:p>
    <w:p w14:paraId="3F6F1A9B" w14:textId="77777777" w:rsidR="00DD2C00" w:rsidRPr="00C9105A" w:rsidRDefault="00DD2C00" w:rsidP="00DD2C00">
      <w:pPr>
        <w:jc w:val="both"/>
        <w:rPr>
          <w:b/>
          <w:sz w:val="28"/>
          <w:szCs w:val="28"/>
        </w:rPr>
      </w:pPr>
    </w:p>
    <w:p w14:paraId="245C77B0" w14:textId="77777777" w:rsidR="00DD2C00" w:rsidRPr="00C9105A" w:rsidRDefault="00DD2C00" w:rsidP="00DD2C00">
      <w:pPr>
        <w:pStyle w:val="ListParagraph"/>
        <w:numPr>
          <w:ilvl w:val="0"/>
          <w:numId w:val="3"/>
        </w:numPr>
        <w:ind w:left="567" w:hanging="567"/>
        <w:jc w:val="both"/>
        <w:rPr>
          <w:b/>
          <w:sz w:val="28"/>
          <w:szCs w:val="28"/>
        </w:rPr>
      </w:pPr>
      <w:r w:rsidRPr="00C9105A">
        <w:rPr>
          <w:b/>
          <w:i/>
          <w:iCs/>
          <w:sz w:val="28"/>
          <w:szCs w:val="28"/>
        </w:rPr>
        <w:t xml:space="preserve">(b) Progress Grāmatvedības direktīvas ieviešanā </w:t>
      </w:r>
    </w:p>
    <w:p w14:paraId="0A686A71" w14:textId="77777777" w:rsidR="00DD2C00" w:rsidRPr="00C9105A" w:rsidRDefault="00DD2C00" w:rsidP="00DD2C00">
      <w:pPr>
        <w:pStyle w:val="ListParagraph"/>
        <w:spacing w:after="120"/>
        <w:ind w:left="567"/>
        <w:contextualSpacing w:val="0"/>
        <w:jc w:val="both"/>
        <w:rPr>
          <w:i/>
          <w:sz w:val="28"/>
          <w:szCs w:val="28"/>
        </w:rPr>
      </w:pPr>
      <w:r w:rsidRPr="00C9105A">
        <w:rPr>
          <w:b/>
          <w:i/>
          <w:iCs/>
          <w:sz w:val="28"/>
          <w:szCs w:val="28"/>
        </w:rPr>
        <w:t xml:space="preserve">= </w:t>
      </w:r>
      <w:r w:rsidRPr="00C9105A">
        <w:rPr>
          <w:i/>
          <w:sz w:val="28"/>
          <w:szCs w:val="28"/>
        </w:rPr>
        <w:t>Informācija no EK pēc Nīderlandes pieprasījuma</w:t>
      </w:r>
    </w:p>
    <w:p w14:paraId="62C819CF" w14:textId="77777777" w:rsidR="00DD2C00" w:rsidRPr="00C9105A" w:rsidRDefault="00DD2C00" w:rsidP="00DD2C00">
      <w:pPr>
        <w:spacing w:after="120"/>
        <w:ind w:firstLine="567"/>
        <w:jc w:val="both"/>
        <w:rPr>
          <w:sz w:val="28"/>
          <w:szCs w:val="28"/>
        </w:rPr>
      </w:pPr>
      <w:r w:rsidRPr="00C9105A">
        <w:rPr>
          <w:sz w:val="28"/>
          <w:szCs w:val="28"/>
        </w:rPr>
        <w:t xml:space="preserve">Ar mērķi vienkāršot regulatīvo vidi un samazināt administratīvo slogu ES komercsabiedrībām (akciju sabiedrībām, sabiedrībām ar ierobežotu atbildību un ES dalībvalstu norādītām cita veida komercsabiedrībām), jo sevišķi MVK, tika izstrādāta Eiropas Parlamenta un Padomes Direktīva 2013/34/ES par noteiktu veidu uzņēmumu gada finanšu pārskatiem, konsolidētajiem finanšu pārskatiem un saistītiem ziņojumiem, ar ko groza Eiropas Parlamenta un Padomes Direktīvu 2006/43/EK un atceļ Padomes Direktīvas 78/660/EEK un 83/349/EEK. Direktīva 2013/34/ES tika pieņemta 2013.gada 26.jūnijā. Direktīvā 2013/34/ES ir iestrādātas pārskatītas prasības no Padomes 1978.gada 25.jūlija Ceturto direktīvas 78/660/EEK, kas attiecas uz noteiktu veidu sabiedrību gada pārskatiem, un Padomes 1983.gada 13.jūnija Septīto direktīvas 83/349/EEK, kas attiecas uz konsolidētajiem pārskatiem, kā arī noteiktas jaunas prasības. </w:t>
      </w:r>
    </w:p>
    <w:p w14:paraId="31931336" w14:textId="77777777" w:rsidR="00DD2C00" w:rsidRPr="00C9105A" w:rsidRDefault="00DD2C00" w:rsidP="00DD2C00">
      <w:pPr>
        <w:spacing w:after="120"/>
        <w:ind w:firstLine="567"/>
        <w:jc w:val="both"/>
        <w:rPr>
          <w:sz w:val="28"/>
          <w:szCs w:val="28"/>
        </w:rPr>
      </w:pPr>
      <w:r w:rsidRPr="00C9105A">
        <w:rPr>
          <w:sz w:val="28"/>
          <w:szCs w:val="28"/>
        </w:rPr>
        <w:t>Direktīvā 2013/34/ES tika noteiktas jaunas pārskatāmības prasības, kas ES lielajiem uzņēmumiem un sabiedriskas nozīmes uzņēmumiem (uzņēmumi, kuru pārvedamie vērtspapīri tiek tirgoti jebkurā ES regulētā tirgū, kredītiestādes, apdrošināšanas uzņēmumi un uzņēmumi, kurus par sabiedriski nozīmīgiem uzņēmumiem noteikušas dalībvalstis), kas darbojas ieguves rūpniecībā vai pirmatnējo mežu izstrādē, uzliek pienākumu sagatavot un publiskot ikgadēju ziņojumu par valstu pārvaldes struktūrām sniegtajiem maksājumiem (par licencēm, nomu, ražošanas tiesībām, infrastruktūras uzlabojumiem, nodokļiem u.c.) (10.nodaļa, 41.- 48.pants).</w:t>
      </w:r>
    </w:p>
    <w:p w14:paraId="7254BF81" w14:textId="77777777" w:rsidR="00DD2C00" w:rsidRPr="00C9105A" w:rsidRDefault="00DD2C00" w:rsidP="00DD2C00">
      <w:pPr>
        <w:spacing w:after="120"/>
        <w:ind w:firstLine="567"/>
        <w:jc w:val="both"/>
        <w:rPr>
          <w:sz w:val="28"/>
          <w:szCs w:val="28"/>
        </w:rPr>
      </w:pPr>
      <w:r w:rsidRPr="00C9105A">
        <w:rPr>
          <w:sz w:val="28"/>
          <w:szCs w:val="28"/>
        </w:rPr>
        <w:lastRenderedPageBreak/>
        <w:t>Sākotnēji šādas prasības bija ASV likumdošanā (</w:t>
      </w:r>
      <w:proofErr w:type="spellStart"/>
      <w:r w:rsidRPr="00C9105A">
        <w:rPr>
          <w:i/>
          <w:sz w:val="28"/>
          <w:szCs w:val="28"/>
        </w:rPr>
        <w:t>Dodd</w:t>
      </w:r>
      <w:proofErr w:type="spellEnd"/>
      <w:r w:rsidRPr="00C9105A">
        <w:rPr>
          <w:i/>
          <w:sz w:val="28"/>
          <w:szCs w:val="28"/>
        </w:rPr>
        <w:t>-Frank-</w:t>
      </w:r>
      <w:proofErr w:type="spellStart"/>
      <w:r w:rsidRPr="00C9105A">
        <w:rPr>
          <w:i/>
          <w:sz w:val="28"/>
          <w:szCs w:val="28"/>
        </w:rPr>
        <w:t>Act</w:t>
      </w:r>
      <w:proofErr w:type="spellEnd"/>
      <w:r w:rsidRPr="00C9105A">
        <w:rPr>
          <w:sz w:val="28"/>
          <w:szCs w:val="28"/>
        </w:rPr>
        <w:t xml:space="preserve">, 21.07.2010.), bet tās 2013.gada 2.jūlijā ASV tiesa atcēla. ASV kompetentā iestāde (Vērtspapīru un biržu komisija) šobrīd izstrādā jaunas pārskatāmības prasības, tomēr laika grafiks, kādā jaunās prasības tiks izstrādātas un pieņemtas, nav zināms. </w:t>
      </w:r>
    </w:p>
    <w:p w14:paraId="14F42439" w14:textId="77777777" w:rsidR="00DD2C00" w:rsidRPr="00C9105A" w:rsidRDefault="00DD2C00" w:rsidP="00DD2C00">
      <w:pPr>
        <w:spacing w:after="120"/>
        <w:ind w:firstLine="567"/>
        <w:rPr>
          <w:b/>
          <w:sz w:val="28"/>
          <w:szCs w:val="28"/>
          <w:u w:val="single"/>
        </w:rPr>
      </w:pPr>
      <w:r w:rsidRPr="00C9105A">
        <w:rPr>
          <w:b/>
          <w:sz w:val="28"/>
          <w:szCs w:val="28"/>
          <w:u w:val="single"/>
        </w:rPr>
        <w:t>Latvijas nostāja:</w:t>
      </w:r>
    </w:p>
    <w:p w14:paraId="751E6A3B" w14:textId="77777777" w:rsidR="00DD2C00" w:rsidRPr="00C9105A" w:rsidRDefault="00DD2C00" w:rsidP="00DD2C00">
      <w:pPr>
        <w:spacing w:after="120"/>
        <w:ind w:firstLine="567"/>
        <w:jc w:val="both"/>
        <w:rPr>
          <w:sz w:val="28"/>
          <w:szCs w:val="28"/>
        </w:rPr>
      </w:pPr>
      <w:r w:rsidRPr="00C9105A">
        <w:rPr>
          <w:sz w:val="28"/>
          <w:szCs w:val="28"/>
        </w:rPr>
        <w:t>EK sniegto informāciju pieņemt zināšanai.</w:t>
      </w:r>
    </w:p>
    <w:p w14:paraId="2ADE5D3C" w14:textId="77777777" w:rsidR="00DD2C00" w:rsidRPr="00C9105A" w:rsidRDefault="00DD2C00" w:rsidP="00DD2C00">
      <w:pPr>
        <w:spacing w:after="120"/>
        <w:ind w:firstLine="567"/>
        <w:jc w:val="both"/>
        <w:rPr>
          <w:sz w:val="28"/>
          <w:szCs w:val="28"/>
        </w:rPr>
      </w:pPr>
    </w:p>
    <w:p w14:paraId="2FAB8DC1" w14:textId="77777777" w:rsidR="00DD2C00" w:rsidRPr="00C9105A" w:rsidRDefault="00DD2C00" w:rsidP="00DD2C00">
      <w:pPr>
        <w:pStyle w:val="ListParagraph"/>
        <w:numPr>
          <w:ilvl w:val="0"/>
          <w:numId w:val="10"/>
        </w:numPr>
        <w:rPr>
          <w:b/>
          <w:i/>
          <w:sz w:val="28"/>
          <w:szCs w:val="28"/>
        </w:rPr>
      </w:pPr>
      <w:r w:rsidRPr="00C9105A">
        <w:rPr>
          <w:b/>
          <w:i/>
          <w:sz w:val="28"/>
          <w:szCs w:val="28"/>
        </w:rPr>
        <w:t>(c) Progress Vienotā patenta ieviešanā</w:t>
      </w:r>
    </w:p>
    <w:p w14:paraId="6369FF7A" w14:textId="77777777" w:rsidR="00DD2C00" w:rsidRPr="00C9105A" w:rsidRDefault="00DD2C00" w:rsidP="00DD2C00">
      <w:pPr>
        <w:pStyle w:val="ListParagraph"/>
        <w:numPr>
          <w:ilvl w:val="0"/>
          <w:numId w:val="10"/>
        </w:numPr>
        <w:rPr>
          <w:i/>
          <w:sz w:val="28"/>
          <w:szCs w:val="28"/>
        </w:rPr>
      </w:pPr>
      <w:r w:rsidRPr="00C9105A">
        <w:rPr>
          <w:i/>
          <w:sz w:val="28"/>
          <w:szCs w:val="28"/>
        </w:rPr>
        <w:t>Informācija no EK</w:t>
      </w:r>
    </w:p>
    <w:p w14:paraId="747AC768" w14:textId="77777777" w:rsidR="00DD2C00" w:rsidRPr="00C9105A" w:rsidRDefault="00DD2C00" w:rsidP="00DD2C00">
      <w:pPr>
        <w:pStyle w:val="ListParagraph"/>
        <w:numPr>
          <w:ilvl w:val="0"/>
          <w:numId w:val="10"/>
        </w:numPr>
        <w:rPr>
          <w:i/>
          <w:sz w:val="28"/>
          <w:szCs w:val="28"/>
        </w:rPr>
      </w:pPr>
      <w:r w:rsidRPr="00C9105A">
        <w:rPr>
          <w:i/>
          <w:sz w:val="28"/>
          <w:szCs w:val="28"/>
        </w:rPr>
        <w:t>Vienotās patentu tiesas nolīguma protokola parakstīšana</w:t>
      </w:r>
    </w:p>
    <w:p w14:paraId="2540C3B0" w14:textId="77777777" w:rsidR="00DD2C00" w:rsidRPr="00C9105A" w:rsidRDefault="00DD2C00" w:rsidP="00DD2C00">
      <w:pPr>
        <w:pStyle w:val="ListParagraph"/>
        <w:rPr>
          <w:sz w:val="28"/>
          <w:szCs w:val="28"/>
        </w:rPr>
      </w:pPr>
    </w:p>
    <w:p w14:paraId="40A007C9" w14:textId="77777777" w:rsidR="00DD2C00" w:rsidRPr="00C9105A" w:rsidRDefault="00DD2C00" w:rsidP="00DD2C00">
      <w:pPr>
        <w:jc w:val="both"/>
        <w:rPr>
          <w:sz w:val="28"/>
          <w:szCs w:val="28"/>
        </w:rPr>
      </w:pPr>
      <w:r w:rsidRPr="00C9105A">
        <w:rPr>
          <w:sz w:val="28"/>
          <w:szCs w:val="28"/>
        </w:rPr>
        <w:t xml:space="preserve">EK sniegs informāciju par progresu Vienotā patenta ieviešanā un mudinās ES dalībvalstis ātrāk ratificēt Vienotās patentu tiesas nolīgumu.  </w:t>
      </w:r>
    </w:p>
    <w:p w14:paraId="5657837C" w14:textId="77777777" w:rsidR="00DD2C00" w:rsidRPr="00C9105A" w:rsidRDefault="00DD2C00" w:rsidP="00DD2C00">
      <w:pPr>
        <w:jc w:val="both"/>
        <w:rPr>
          <w:sz w:val="28"/>
          <w:szCs w:val="28"/>
        </w:rPr>
      </w:pPr>
    </w:p>
    <w:p w14:paraId="765C013D" w14:textId="23155261" w:rsidR="00DD2C00" w:rsidRDefault="00DD2C00" w:rsidP="007E2696">
      <w:pPr>
        <w:jc w:val="both"/>
        <w:rPr>
          <w:sz w:val="28"/>
          <w:szCs w:val="28"/>
        </w:rPr>
      </w:pPr>
      <w:r w:rsidRPr="007E2696">
        <w:rPr>
          <w:sz w:val="28"/>
          <w:szCs w:val="28"/>
        </w:rPr>
        <w:t xml:space="preserve">Vienotās patentu tiesas nolīguma protokola parakstīšana. Gatavojoties Vienotā patenta ieviešanai, tika konstatēts, ka sagatavošanās darbu veikšanai ir nepieciešams, lai daži nolīguma par Vienoto patentu tiesu panti stātos spēkā ātrāk. Praktisks piemēram: tiesnesis uzsāks darbu pēc tam, kad nolīgums būs stājies spēkā, bet pirms tam šis tiesnesis ir jāatlasa no kandidātu saraksta un jāapmāca, kam arī vajag juridisko pamatu. Rezultātā tika pieņemts lēmums parakstīt protokolu par to, ka atsevišķi panti sāk darboties ātrāk. Šo protokolu var parakstīt jebkurā laikā. </w:t>
      </w:r>
    </w:p>
    <w:p w14:paraId="42A86F28" w14:textId="77777777" w:rsidR="00DD2C00" w:rsidRPr="00C9105A" w:rsidRDefault="00DD2C00" w:rsidP="00DD2C00">
      <w:pPr>
        <w:jc w:val="both"/>
        <w:rPr>
          <w:i/>
          <w:sz w:val="28"/>
          <w:szCs w:val="28"/>
        </w:rPr>
      </w:pPr>
    </w:p>
    <w:p w14:paraId="52BD1DE2" w14:textId="77777777" w:rsidR="00DD2C00" w:rsidRPr="00C9105A" w:rsidRDefault="00DD2C00" w:rsidP="00DD2C00">
      <w:pPr>
        <w:spacing w:after="120"/>
        <w:ind w:firstLine="567"/>
        <w:rPr>
          <w:b/>
          <w:sz w:val="28"/>
          <w:szCs w:val="28"/>
          <w:u w:val="single"/>
        </w:rPr>
      </w:pPr>
      <w:r w:rsidRPr="00C9105A">
        <w:rPr>
          <w:b/>
          <w:sz w:val="28"/>
          <w:szCs w:val="28"/>
          <w:u w:val="single"/>
        </w:rPr>
        <w:t>Latvijas nostāja:</w:t>
      </w:r>
    </w:p>
    <w:p w14:paraId="3C304476" w14:textId="77777777" w:rsidR="00DD2C00" w:rsidRPr="00C9105A" w:rsidRDefault="00DD2C00" w:rsidP="00DD2C00">
      <w:pPr>
        <w:spacing w:after="120"/>
        <w:ind w:firstLine="567"/>
        <w:jc w:val="both"/>
        <w:rPr>
          <w:sz w:val="28"/>
          <w:szCs w:val="28"/>
        </w:rPr>
      </w:pPr>
      <w:r w:rsidRPr="00C9105A">
        <w:rPr>
          <w:sz w:val="28"/>
          <w:szCs w:val="28"/>
        </w:rPr>
        <w:t>EK sniegto informāciju pieņemt zināšanai.</w:t>
      </w:r>
    </w:p>
    <w:p w14:paraId="22BF4925" w14:textId="77777777" w:rsidR="00DD2C00" w:rsidRPr="00C9105A" w:rsidRDefault="00DD2C00" w:rsidP="00DD2C00">
      <w:pPr>
        <w:jc w:val="both"/>
        <w:rPr>
          <w:b/>
          <w:sz w:val="28"/>
          <w:szCs w:val="28"/>
        </w:rPr>
      </w:pPr>
      <w:r w:rsidRPr="00C9105A">
        <w:rPr>
          <w:b/>
          <w:sz w:val="28"/>
          <w:szCs w:val="28"/>
        </w:rPr>
        <w:t>2.  Latvijas delegācija</w:t>
      </w:r>
    </w:p>
    <w:p w14:paraId="1F65E7F6" w14:textId="77777777" w:rsidR="00DD2C00" w:rsidRPr="00C9105A" w:rsidRDefault="00DD2C00" w:rsidP="00DD2C00">
      <w:pPr>
        <w:ind w:left="2835" w:hanging="2977"/>
        <w:jc w:val="both"/>
        <w:rPr>
          <w:sz w:val="28"/>
          <w:szCs w:val="28"/>
        </w:rPr>
      </w:pPr>
      <w:r w:rsidRPr="00C9105A">
        <w:rPr>
          <w:sz w:val="28"/>
          <w:szCs w:val="28"/>
        </w:rPr>
        <w:t xml:space="preserve">Delegācijas vadītājs: </w:t>
      </w:r>
      <w:r w:rsidRPr="00C9105A">
        <w:rPr>
          <w:sz w:val="28"/>
          <w:szCs w:val="28"/>
        </w:rPr>
        <w:tab/>
      </w:r>
      <w:r w:rsidRPr="00C9105A">
        <w:rPr>
          <w:b/>
          <w:sz w:val="28"/>
          <w:szCs w:val="28"/>
        </w:rPr>
        <w:t>Edgars Putra</w:t>
      </w:r>
      <w:r w:rsidRPr="00C9105A">
        <w:rPr>
          <w:sz w:val="28"/>
          <w:szCs w:val="28"/>
        </w:rPr>
        <w:t>, Ekonomikas ministrijas parlamentārais sekretārs.</w:t>
      </w:r>
    </w:p>
    <w:p w14:paraId="238081D7" w14:textId="77777777" w:rsidR="00DD2C00" w:rsidRPr="00C9105A" w:rsidRDefault="00DD2C00" w:rsidP="00DD2C00">
      <w:pPr>
        <w:ind w:left="2977" w:hanging="2977"/>
        <w:jc w:val="both"/>
        <w:rPr>
          <w:sz w:val="28"/>
          <w:szCs w:val="28"/>
        </w:rPr>
      </w:pPr>
    </w:p>
    <w:p w14:paraId="1401D4CC" w14:textId="77777777" w:rsidR="00DD2C00" w:rsidRPr="00C9105A" w:rsidRDefault="00DD2C00" w:rsidP="00DD2C00">
      <w:pPr>
        <w:ind w:left="2835" w:hanging="2977"/>
        <w:jc w:val="both"/>
        <w:rPr>
          <w:sz w:val="28"/>
          <w:szCs w:val="28"/>
        </w:rPr>
      </w:pPr>
      <w:r w:rsidRPr="00C9105A">
        <w:rPr>
          <w:sz w:val="28"/>
          <w:szCs w:val="28"/>
        </w:rPr>
        <w:t xml:space="preserve">Delegācijas dalībnieki: </w:t>
      </w:r>
      <w:r w:rsidRPr="00C9105A">
        <w:rPr>
          <w:sz w:val="28"/>
          <w:szCs w:val="28"/>
        </w:rPr>
        <w:tab/>
      </w:r>
      <w:r w:rsidRPr="003B4968">
        <w:rPr>
          <w:b/>
          <w:sz w:val="28"/>
          <w:szCs w:val="28"/>
        </w:rPr>
        <w:t xml:space="preserve">Juris </w:t>
      </w:r>
      <w:proofErr w:type="spellStart"/>
      <w:r w:rsidRPr="003B4968">
        <w:rPr>
          <w:b/>
          <w:sz w:val="28"/>
          <w:szCs w:val="28"/>
        </w:rPr>
        <w:t>Štālmeistars</w:t>
      </w:r>
      <w:proofErr w:type="spellEnd"/>
      <w:r>
        <w:rPr>
          <w:sz w:val="28"/>
          <w:szCs w:val="28"/>
        </w:rPr>
        <w:t xml:space="preserve">, vēstnieks, </w:t>
      </w:r>
      <w:r w:rsidRPr="0057294D">
        <w:rPr>
          <w:sz w:val="28"/>
          <w:szCs w:val="28"/>
        </w:rPr>
        <w:t>Latvijas Republikas pastāvīgā pārst</w:t>
      </w:r>
      <w:r>
        <w:rPr>
          <w:sz w:val="28"/>
          <w:szCs w:val="28"/>
        </w:rPr>
        <w:t xml:space="preserve">āvja Eiropas Savienībā vietnieks; </w:t>
      </w:r>
      <w:r w:rsidRPr="00C9105A">
        <w:rPr>
          <w:b/>
          <w:sz w:val="28"/>
          <w:szCs w:val="28"/>
        </w:rPr>
        <w:t>Zaiga Liepiņa</w:t>
      </w:r>
      <w:r w:rsidRPr="00C9105A">
        <w:rPr>
          <w:sz w:val="28"/>
          <w:szCs w:val="28"/>
        </w:rPr>
        <w:t>, Ekonomikas ministrijas valsts sekretāra vietniece;</w:t>
      </w:r>
    </w:p>
    <w:p w14:paraId="254D58B9" w14:textId="77777777" w:rsidR="00DD2C00" w:rsidRPr="00C9105A" w:rsidRDefault="00DD2C00" w:rsidP="00DD2C00">
      <w:pPr>
        <w:ind w:left="2835"/>
        <w:jc w:val="both"/>
        <w:rPr>
          <w:sz w:val="28"/>
          <w:szCs w:val="28"/>
        </w:rPr>
      </w:pPr>
      <w:r w:rsidRPr="00C9105A">
        <w:rPr>
          <w:b/>
          <w:sz w:val="28"/>
          <w:szCs w:val="28"/>
        </w:rPr>
        <w:t xml:space="preserve">Lita Stauvere, </w:t>
      </w:r>
      <w:r w:rsidRPr="00C9105A">
        <w:rPr>
          <w:sz w:val="28"/>
          <w:szCs w:val="28"/>
        </w:rPr>
        <w:t>Ekonomikas ministrijas Ārējo ekonomisko attiecību departamenta direktores vietniece;</w:t>
      </w:r>
    </w:p>
    <w:p w14:paraId="2351770B" w14:textId="77777777" w:rsidR="00DD2C00" w:rsidRPr="00C9105A" w:rsidRDefault="00DD2C00" w:rsidP="00DD2C00">
      <w:pPr>
        <w:ind w:left="2835"/>
        <w:jc w:val="both"/>
        <w:rPr>
          <w:sz w:val="28"/>
          <w:szCs w:val="28"/>
        </w:rPr>
      </w:pPr>
      <w:r w:rsidRPr="00C9105A">
        <w:rPr>
          <w:b/>
          <w:bCs/>
          <w:sz w:val="28"/>
          <w:szCs w:val="28"/>
        </w:rPr>
        <w:lastRenderedPageBreak/>
        <w:t>Rinalds Celmiņš</w:t>
      </w:r>
      <w:r w:rsidRPr="00C9105A">
        <w:rPr>
          <w:bCs/>
          <w:sz w:val="28"/>
          <w:szCs w:val="28"/>
        </w:rPr>
        <w:t xml:space="preserve">, </w:t>
      </w:r>
      <w:r w:rsidRPr="00C9105A">
        <w:rPr>
          <w:sz w:val="28"/>
          <w:szCs w:val="28"/>
        </w:rPr>
        <w:t>Ekonomikas ministrijas nozares padomnieks Latvijas Republikas Pastāvīgajā pārstāvniecībā Eiropas Savienībā;</w:t>
      </w:r>
    </w:p>
    <w:p w14:paraId="07509F91" w14:textId="77777777" w:rsidR="00DD2C00" w:rsidRPr="00C9105A" w:rsidRDefault="00DD2C00" w:rsidP="00DD2C00">
      <w:pPr>
        <w:ind w:left="2835"/>
        <w:jc w:val="both"/>
        <w:rPr>
          <w:sz w:val="28"/>
          <w:szCs w:val="28"/>
        </w:rPr>
      </w:pPr>
      <w:r w:rsidRPr="00C9105A">
        <w:rPr>
          <w:b/>
          <w:bCs/>
          <w:sz w:val="28"/>
          <w:szCs w:val="28"/>
        </w:rPr>
        <w:t xml:space="preserve">Māra Rone, </w:t>
      </w:r>
      <w:r w:rsidRPr="00C9105A">
        <w:rPr>
          <w:bCs/>
          <w:sz w:val="28"/>
          <w:szCs w:val="28"/>
        </w:rPr>
        <w:t xml:space="preserve">Ekonomikas ministrijas </w:t>
      </w:r>
      <w:r w:rsidRPr="00C9105A">
        <w:rPr>
          <w:sz w:val="28"/>
          <w:szCs w:val="28"/>
        </w:rPr>
        <w:t>Ārējo ekonomisko attiecību departamenta ES lietu nodaļas vadītāja.</w:t>
      </w:r>
    </w:p>
    <w:p w14:paraId="3B06247D" w14:textId="77777777" w:rsidR="00DD2C00" w:rsidRPr="00C9105A" w:rsidRDefault="00DD2C00" w:rsidP="00DD2C00">
      <w:pPr>
        <w:ind w:left="2835"/>
        <w:jc w:val="both"/>
        <w:rPr>
          <w:sz w:val="28"/>
          <w:szCs w:val="28"/>
        </w:rPr>
      </w:pPr>
      <w:r w:rsidRPr="00C9105A">
        <w:rPr>
          <w:b/>
          <w:bCs/>
          <w:sz w:val="28"/>
          <w:szCs w:val="28"/>
        </w:rPr>
        <w:t xml:space="preserve"> </w:t>
      </w:r>
    </w:p>
    <w:p w14:paraId="75B2ACB1" w14:textId="77777777" w:rsidR="00DD60C6" w:rsidRPr="00C9105A" w:rsidRDefault="00DD60C6" w:rsidP="00DD60C6">
      <w:pPr>
        <w:ind w:left="2977"/>
        <w:jc w:val="both"/>
        <w:rPr>
          <w:bCs/>
          <w:sz w:val="28"/>
          <w:szCs w:val="28"/>
        </w:rPr>
      </w:pPr>
    </w:p>
    <w:p w14:paraId="629807F9" w14:textId="77777777" w:rsidR="00DD60C6" w:rsidRPr="00C9105A" w:rsidRDefault="00DD60C6" w:rsidP="00DD60C6">
      <w:pPr>
        <w:tabs>
          <w:tab w:val="right" w:pos="8931"/>
        </w:tabs>
        <w:spacing w:after="120"/>
        <w:rPr>
          <w:sz w:val="28"/>
          <w:szCs w:val="28"/>
        </w:rPr>
      </w:pPr>
      <w:r w:rsidRPr="00C9105A">
        <w:rPr>
          <w:sz w:val="28"/>
          <w:szCs w:val="28"/>
        </w:rPr>
        <w:t xml:space="preserve">Iesniedzējs: </w:t>
      </w:r>
      <w:r w:rsidRPr="00C9105A">
        <w:rPr>
          <w:sz w:val="28"/>
          <w:szCs w:val="28"/>
        </w:rPr>
        <w:tab/>
      </w:r>
    </w:p>
    <w:p w14:paraId="7D76B717" w14:textId="77777777" w:rsidR="00DD60C6" w:rsidRPr="00C9105A" w:rsidRDefault="00DD60C6" w:rsidP="00DD60C6">
      <w:pPr>
        <w:tabs>
          <w:tab w:val="right" w:pos="8931"/>
        </w:tabs>
        <w:spacing w:after="120"/>
        <w:rPr>
          <w:sz w:val="28"/>
          <w:szCs w:val="28"/>
        </w:rPr>
      </w:pPr>
      <w:r w:rsidRPr="00C9105A">
        <w:rPr>
          <w:sz w:val="28"/>
          <w:szCs w:val="28"/>
        </w:rPr>
        <w:t>Ekonomikas ministrs</w:t>
      </w:r>
      <w:r w:rsidRPr="00C9105A">
        <w:rPr>
          <w:sz w:val="28"/>
          <w:szCs w:val="28"/>
        </w:rPr>
        <w:tab/>
      </w:r>
      <w:proofErr w:type="spellStart"/>
      <w:r w:rsidRPr="00C9105A">
        <w:rPr>
          <w:sz w:val="28"/>
          <w:szCs w:val="28"/>
        </w:rPr>
        <w:t>D.Reizniece</w:t>
      </w:r>
      <w:proofErr w:type="spellEnd"/>
      <w:r w:rsidRPr="00C9105A">
        <w:rPr>
          <w:sz w:val="28"/>
          <w:szCs w:val="28"/>
        </w:rPr>
        <w:t>-Ozola</w:t>
      </w:r>
    </w:p>
    <w:p w14:paraId="4E5AF32D" w14:textId="77777777" w:rsidR="00DD60C6" w:rsidRPr="00C9105A" w:rsidRDefault="00DD60C6" w:rsidP="00DD60C6">
      <w:pPr>
        <w:spacing w:after="120"/>
        <w:jc w:val="both"/>
        <w:rPr>
          <w:sz w:val="28"/>
          <w:szCs w:val="28"/>
        </w:rPr>
      </w:pPr>
    </w:p>
    <w:p w14:paraId="122FEF13" w14:textId="77777777" w:rsidR="00DD60C6" w:rsidRPr="00C9105A" w:rsidRDefault="00DD60C6" w:rsidP="00DD60C6">
      <w:pPr>
        <w:tabs>
          <w:tab w:val="right" w:pos="8931"/>
        </w:tabs>
        <w:rPr>
          <w:sz w:val="28"/>
          <w:szCs w:val="28"/>
        </w:rPr>
      </w:pPr>
      <w:r w:rsidRPr="00C9105A">
        <w:rPr>
          <w:sz w:val="28"/>
          <w:szCs w:val="28"/>
        </w:rPr>
        <w:t xml:space="preserve">Vīzē: </w:t>
      </w:r>
    </w:p>
    <w:p w14:paraId="53F36AB1" w14:textId="77777777" w:rsidR="00DD60C6" w:rsidRPr="00C9105A" w:rsidRDefault="00DD60C6" w:rsidP="00DD60C6">
      <w:pPr>
        <w:tabs>
          <w:tab w:val="right" w:pos="8931"/>
        </w:tabs>
        <w:rPr>
          <w:sz w:val="28"/>
          <w:szCs w:val="28"/>
        </w:rPr>
      </w:pPr>
      <w:r w:rsidRPr="00C9105A">
        <w:rPr>
          <w:sz w:val="28"/>
          <w:szCs w:val="28"/>
        </w:rPr>
        <w:t xml:space="preserve">Valsts sekretārs </w:t>
      </w:r>
      <w:r w:rsidRPr="00C9105A">
        <w:rPr>
          <w:sz w:val="28"/>
          <w:szCs w:val="28"/>
        </w:rPr>
        <w:tab/>
      </w:r>
      <w:proofErr w:type="spellStart"/>
      <w:r w:rsidRPr="00C9105A">
        <w:rPr>
          <w:sz w:val="28"/>
          <w:szCs w:val="28"/>
        </w:rPr>
        <w:t>R.Beinarovičs</w:t>
      </w:r>
      <w:proofErr w:type="spellEnd"/>
    </w:p>
    <w:p w14:paraId="3C50EA62" w14:textId="77777777" w:rsidR="00DD60C6" w:rsidRPr="00C9105A" w:rsidRDefault="00DD60C6" w:rsidP="00DD60C6">
      <w:pPr>
        <w:jc w:val="both"/>
        <w:rPr>
          <w:sz w:val="28"/>
          <w:szCs w:val="28"/>
          <w:u w:val="single"/>
        </w:rPr>
      </w:pPr>
    </w:p>
    <w:p w14:paraId="073C8287" w14:textId="77777777" w:rsidR="001B3D1C" w:rsidRPr="00C9105A" w:rsidRDefault="001B3D1C" w:rsidP="00DD60C6">
      <w:pPr>
        <w:jc w:val="both"/>
        <w:rPr>
          <w:sz w:val="28"/>
          <w:szCs w:val="28"/>
          <w:u w:val="single"/>
        </w:rPr>
      </w:pPr>
    </w:p>
    <w:p w14:paraId="37682F1D" w14:textId="77777777" w:rsidR="001B3D1C" w:rsidRPr="00C9105A" w:rsidRDefault="001B3D1C" w:rsidP="00DD60C6">
      <w:pPr>
        <w:jc w:val="both"/>
        <w:rPr>
          <w:sz w:val="28"/>
          <w:szCs w:val="28"/>
          <w:u w:val="single"/>
        </w:rPr>
      </w:pPr>
    </w:p>
    <w:p w14:paraId="32E43C9C" w14:textId="77777777" w:rsidR="00DD60C6" w:rsidRPr="00C9105A" w:rsidRDefault="00DD60C6" w:rsidP="00DD60C6">
      <w:pPr>
        <w:jc w:val="both"/>
        <w:rPr>
          <w:sz w:val="28"/>
          <w:szCs w:val="28"/>
          <w:u w:val="single"/>
        </w:rPr>
      </w:pPr>
    </w:p>
    <w:p w14:paraId="78F5F4AD" w14:textId="325F8AD1" w:rsidR="00DD60C6" w:rsidRPr="00C9105A" w:rsidRDefault="00956A2A" w:rsidP="00DD60C6">
      <w:pPr>
        <w:jc w:val="both"/>
        <w:rPr>
          <w:sz w:val="28"/>
          <w:szCs w:val="28"/>
        </w:rPr>
      </w:pPr>
      <w:r>
        <w:rPr>
          <w:sz w:val="28"/>
          <w:szCs w:val="28"/>
        </w:rPr>
        <w:t>28.09.2015.</w:t>
      </w:r>
      <w:bookmarkStart w:id="0" w:name="_GoBack"/>
      <w:bookmarkEnd w:id="0"/>
      <w:r>
        <w:rPr>
          <w:sz w:val="28"/>
          <w:szCs w:val="28"/>
        </w:rPr>
        <w:t xml:space="preserve"> 11</w:t>
      </w:r>
      <w:r w:rsidR="00DD60C6" w:rsidRPr="00C9105A">
        <w:rPr>
          <w:sz w:val="28"/>
          <w:szCs w:val="28"/>
        </w:rPr>
        <w:t>:00</w:t>
      </w:r>
    </w:p>
    <w:p w14:paraId="0EB8800B" w14:textId="4C3743A7" w:rsidR="00DD60C6" w:rsidRPr="00C9105A" w:rsidRDefault="00956A2A" w:rsidP="00DD60C6">
      <w:pPr>
        <w:jc w:val="both"/>
        <w:rPr>
          <w:sz w:val="28"/>
          <w:szCs w:val="28"/>
        </w:rPr>
      </w:pPr>
      <w:r>
        <w:rPr>
          <w:sz w:val="28"/>
          <w:szCs w:val="28"/>
        </w:rPr>
        <w:t>2269</w:t>
      </w:r>
    </w:p>
    <w:p w14:paraId="5714EEC0" w14:textId="77777777" w:rsidR="00DD60C6" w:rsidRPr="00C9105A" w:rsidRDefault="00DD60C6" w:rsidP="00DD60C6">
      <w:pPr>
        <w:jc w:val="both"/>
        <w:rPr>
          <w:sz w:val="28"/>
          <w:szCs w:val="28"/>
        </w:rPr>
      </w:pPr>
      <w:proofErr w:type="spellStart"/>
      <w:r w:rsidRPr="00C9105A">
        <w:rPr>
          <w:sz w:val="28"/>
          <w:szCs w:val="28"/>
        </w:rPr>
        <w:t>M.Rone</w:t>
      </w:r>
      <w:proofErr w:type="spellEnd"/>
    </w:p>
    <w:p w14:paraId="66DFFC8C" w14:textId="77777777" w:rsidR="00DD60C6" w:rsidRPr="00C9105A" w:rsidRDefault="00DD60C6" w:rsidP="00DD60C6">
      <w:pPr>
        <w:jc w:val="both"/>
        <w:rPr>
          <w:sz w:val="28"/>
          <w:szCs w:val="28"/>
        </w:rPr>
      </w:pPr>
      <w:r w:rsidRPr="00C9105A">
        <w:rPr>
          <w:sz w:val="28"/>
          <w:szCs w:val="28"/>
        </w:rPr>
        <w:t xml:space="preserve">67013265, Mara.Rone@em.gov.lv </w:t>
      </w:r>
    </w:p>
    <w:p w14:paraId="39E87647" w14:textId="77777777" w:rsidR="00A24077" w:rsidRPr="00C9105A" w:rsidRDefault="00A24077" w:rsidP="00A24077">
      <w:pPr>
        <w:rPr>
          <w:color w:val="1F497D"/>
          <w:sz w:val="28"/>
          <w:szCs w:val="28"/>
        </w:rPr>
      </w:pPr>
    </w:p>
    <w:p w14:paraId="260E5F75" w14:textId="77777777" w:rsidR="00BD6D9B" w:rsidRPr="00C9105A" w:rsidRDefault="00BD6D9B" w:rsidP="00BD6D9B">
      <w:pPr>
        <w:spacing w:after="120"/>
        <w:jc w:val="both"/>
        <w:rPr>
          <w:sz w:val="28"/>
          <w:szCs w:val="28"/>
        </w:rPr>
      </w:pPr>
    </w:p>
    <w:sectPr w:rsidR="00BD6D9B" w:rsidRPr="00C9105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5D43" w14:textId="77777777" w:rsidR="00E86AD8" w:rsidRDefault="00E86AD8" w:rsidP="003170E2">
      <w:r>
        <w:separator/>
      </w:r>
    </w:p>
  </w:endnote>
  <w:endnote w:type="continuationSeparator" w:id="0">
    <w:p w14:paraId="71320178" w14:textId="77777777" w:rsidR="00E86AD8" w:rsidRDefault="00E86AD8" w:rsidP="0031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FE9E" w14:textId="77777777" w:rsidR="006C5624" w:rsidRDefault="006C5624" w:rsidP="006C5624">
    <w:pPr>
      <w:pStyle w:val="Header"/>
      <w:rPr>
        <w:b/>
        <w:bCs/>
        <w:i/>
        <w:sz w:val="22"/>
      </w:rPr>
    </w:pPr>
  </w:p>
  <w:p w14:paraId="5FABDF85" w14:textId="77777777" w:rsidR="006C5624" w:rsidRDefault="006C5624" w:rsidP="006C5624"/>
  <w:p w14:paraId="5FAACF46" w14:textId="77777777" w:rsidR="006C5624" w:rsidRDefault="006C5624" w:rsidP="006C5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17D">
      <w:rPr>
        <w:rStyle w:val="PageNumber"/>
        <w:noProof/>
      </w:rPr>
      <w:t>8</w:t>
    </w:r>
    <w:r>
      <w:rPr>
        <w:rStyle w:val="PageNumber"/>
      </w:rPr>
      <w:fldChar w:fldCharType="end"/>
    </w:r>
  </w:p>
  <w:p w14:paraId="36DEA817" w14:textId="77777777" w:rsidR="006C5624" w:rsidRDefault="006C5624" w:rsidP="006C5624">
    <w:pPr>
      <w:pStyle w:val="Footer"/>
      <w:ind w:right="360"/>
    </w:pPr>
  </w:p>
  <w:p w14:paraId="16E35745" w14:textId="77777777" w:rsidR="006C5624" w:rsidRDefault="006C5624" w:rsidP="006C5624"/>
  <w:p w14:paraId="2A97AE89" w14:textId="5FD183C5" w:rsidR="006C5624" w:rsidRPr="006C5624" w:rsidRDefault="007730D7" w:rsidP="006C5624">
    <w:pPr>
      <w:pStyle w:val="BodyText"/>
      <w:spacing w:after="120"/>
      <w:jc w:val="left"/>
      <w:rPr>
        <w:b w:val="0"/>
        <w:sz w:val="20"/>
      </w:rPr>
    </w:pPr>
    <w:r>
      <w:rPr>
        <w:b w:val="0"/>
        <w:sz w:val="20"/>
      </w:rPr>
      <w:t>EMzino_2809</w:t>
    </w:r>
    <w:r w:rsidR="006C5624" w:rsidRPr="006C5624">
      <w:rPr>
        <w:b w:val="0"/>
        <w:sz w:val="20"/>
      </w:rPr>
      <w:t>15_Konkuretspejas_padome; Informatīvais ziņojums par Eiropas Savienības Konkurētspējas ministru padomes 2015. gada 1.oktobra san</w:t>
    </w:r>
    <w:r w:rsidR="006C5624">
      <w:rPr>
        <w:b w:val="0"/>
        <w:sz w:val="20"/>
      </w:rPr>
      <w:t>āksmē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B850" w14:textId="77777777" w:rsidR="00E86AD8" w:rsidRDefault="00E86AD8" w:rsidP="003170E2">
      <w:r>
        <w:separator/>
      </w:r>
    </w:p>
  </w:footnote>
  <w:footnote w:type="continuationSeparator" w:id="0">
    <w:p w14:paraId="7A5FA368" w14:textId="77777777" w:rsidR="00E86AD8" w:rsidRDefault="00E86AD8" w:rsidP="003170E2">
      <w:r>
        <w:continuationSeparator/>
      </w:r>
    </w:p>
  </w:footnote>
  <w:footnote w:id="1">
    <w:p w14:paraId="25CEA7A6" w14:textId="77777777" w:rsidR="003170E2" w:rsidRDefault="003170E2" w:rsidP="003170E2">
      <w:pPr>
        <w:pStyle w:val="FootnoteText"/>
      </w:pPr>
      <w:r>
        <w:rPr>
          <w:rStyle w:val="FootnoteReference"/>
        </w:rPr>
        <w:footnoteRef/>
      </w:r>
      <w:r>
        <w:t xml:space="preserve"> Tulk. no angļu val. </w:t>
      </w:r>
      <w:r w:rsidRPr="00582F77">
        <w:rPr>
          <w:i/>
        </w:rPr>
        <w:t>“</w:t>
      </w:r>
      <w:proofErr w:type="spellStart"/>
      <w:r w:rsidRPr="00582F77">
        <w:rPr>
          <w:i/>
        </w:rPr>
        <w:t>competitiveness</w:t>
      </w:r>
      <w:proofErr w:type="spellEnd"/>
      <w:r w:rsidRPr="00582F77">
        <w:rPr>
          <w:i/>
        </w:rPr>
        <w:t xml:space="preserve"> </w:t>
      </w:r>
      <w:proofErr w:type="spellStart"/>
      <w:r w:rsidRPr="00582F77">
        <w:rPr>
          <w:i/>
        </w:rPr>
        <w:t>check-up</w:t>
      </w:r>
      <w:proofErr w:type="spellEnd"/>
      <w:r w:rsidRPr="00582F77">
        <w:rPr>
          <w:i/>
        </w:rPr>
        <w:t>”</w:t>
      </w:r>
    </w:p>
  </w:footnote>
  <w:footnote w:id="2">
    <w:p w14:paraId="04025676" w14:textId="5DC1DBB6" w:rsidR="0093409C" w:rsidRDefault="0093409C">
      <w:pPr>
        <w:pStyle w:val="FootnoteText"/>
      </w:pPr>
      <w:r>
        <w:rPr>
          <w:rStyle w:val="FootnoteReference"/>
        </w:rPr>
        <w:footnoteRef/>
      </w:r>
      <w:r>
        <w:t xml:space="preserve"> </w:t>
      </w:r>
      <w:r w:rsidR="00A02490" w:rsidRPr="00A02490">
        <w:rPr>
          <w:lang w:val="en-US"/>
        </w:rPr>
        <w:t xml:space="preserve">Global Competitiveness </w:t>
      </w:r>
      <w:r w:rsidR="00A02490">
        <w:rPr>
          <w:lang w:val="en-US"/>
        </w:rPr>
        <w:t>R</w:t>
      </w:r>
      <w:r w:rsidR="00A02490" w:rsidRPr="00A02490">
        <w:rPr>
          <w:lang w:val="en-US"/>
        </w:rPr>
        <w:t>eport 2014-2015, World Economic Forum</w:t>
      </w:r>
      <w:r w:rsidR="000E23E5">
        <w:rPr>
          <w:lang w:val="en-US"/>
        </w:rPr>
        <w:t xml:space="preserve">; </w:t>
      </w:r>
      <w:r w:rsidR="000E23E5" w:rsidRPr="000E23E5">
        <w:rPr>
          <w:lang w:val="en-US"/>
        </w:rPr>
        <w:t>http://www.weforum.org/reports/global-competitiveness-report-2014-2015</w:t>
      </w:r>
    </w:p>
  </w:footnote>
  <w:footnote w:id="3">
    <w:p w14:paraId="68BBA775" w14:textId="1E8E7947" w:rsidR="0093409C" w:rsidRPr="000E23E5" w:rsidRDefault="0093409C" w:rsidP="00A02490">
      <w:pPr>
        <w:autoSpaceDE w:val="0"/>
        <w:autoSpaceDN w:val="0"/>
        <w:adjustRightInd w:val="0"/>
        <w:rPr>
          <w:sz w:val="20"/>
          <w:szCs w:val="20"/>
        </w:rPr>
      </w:pPr>
      <w:r w:rsidRPr="000E23E5">
        <w:rPr>
          <w:rStyle w:val="FootnoteReference"/>
          <w:sz w:val="20"/>
          <w:szCs w:val="20"/>
        </w:rPr>
        <w:footnoteRef/>
      </w:r>
      <w:r w:rsidR="00A02490" w:rsidRPr="000E23E5">
        <w:rPr>
          <w:sz w:val="20"/>
          <w:szCs w:val="20"/>
        </w:rPr>
        <w:t xml:space="preserve"> </w:t>
      </w:r>
      <w:r w:rsidR="00A02490" w:rsidRPr="000E23E5">
        <w:rPr>
          <w:sz w:val="20"/>
          <w:szCs w:val="20"/>
          <w:lang w:val="en-US"/>
        </w:rPr>
        <w:t xml:space="preserve">European Competitiveness report 2014 Helping Firms to </w:t>
      </w:r>
      <w:r w:rsidR="00597C84" w:rsidRPr="000E23E5">
        <w:rPr>
          <w:sz w:val="20"/>
          <w:szCs w:val="20"/>
          <w:lang w:val="en-US"/>
        </w:rPr>
        <w:t>G</w:t>
      </w:r>
      <w:r w:rsidR="00A02490" w:rsidRPr="000E23E5">
        <w:rPr>
          <w:sz w:val="20"/>
          <w:szCs w:val="20"/>
          <w:lang w:val="en-US"/>
        </w:rPr>
        <w:t xml:space="preserve">row </w:t>
      </w:r>
      <w:r w:rsidR="00A02490" w:rsidRPr="000E23E5">
        <w:rPr>
          <w:rFonts w:eastAsiaTheme="minorHAnsi"/>
          <w:bCs/>
          <w:sz w:val="20"/>
          <w:szCs w:val="20"/>
          <w:lang w:val="en-US" w:eastAsia="en-US"/>
        </w:rPr>
        <w:t>Commission Staff Working Document SWD(2014)277 final</w:t>
      </w:r>
      <w:r w:rsidR="000E23E5" w:rsidRPr="000E23E5">
        <w:rPr>
          <w:rFonts w:eastAsiaTheme="minorHAnsi"/>
          <w:bCs/>
          <w:sz w:val="20"/>
          <w:szCs w:val="20"/>
          <w:lang w:val="en-US" w:eastAsia="en-US"/>
        </w:rPr>
        <w:t xml:space="preserve">; </w:t>
      </w:r>
      <w:hyperlink r:id="rId1" w:history="1">
        <w:r w:rsidR="000E23E5" w:rsidRPr="000E23E5">
          <w:rPr>
            <w:rStyle w:val="Hyperlink"/>
            <w:sz w:val="20"/>
            <w:szCs w:val="20"/>
          </w:rPr>
          <w:t>http://ec.europa.eu/DocsRoom/documents/6706/attachments/1/translations/en/renditions/native</w:t>
        </w:r>
      </w:hyperlink>
    </w:p>
  </w:footnote>
  <w:footnote w:id="4">
    <w:p w14:paraId="0214355C" w14:textId="1B625C9F" w:rsidR="00356C1C" w:rsidRDefault="00356C1C">
      <w:pPr>
        <w:pStyle w:val="FootnoteText"/>
      </w:pPr>
      <w:r w:rsidRPr="000E23E5">
        <w:rPr>
          <w:rStyle w:val="FootnoteReference"/>
        </w:rPr>
        <w:footnoteRef/>
      </w:r>
      <w:r w:rsidR="000E23E5" w:rsidRPr="000E23E5">
        <w:t>https://www.gov.uk/government/publications/reforming-the-single-market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4A0"/>
    <w:multiLevelType w:val="hybridMultilevel"/>
    <w:tmpl w:val="EE04C258"/>
    <w:lvl w:ilvl="0" w:tplc="1D664FE2">
      <w:start w:val="2014"/>
      <w:numFmt w:val="bullet"/>
      <w:lvlText w:val="-"/>
      <w:lvlJc w:val="left"/>
      <w:pPr>
        <w:ind w:left="720" w:hanging="360"/>
      </w:pPr>
      <w:rPr>
        <w:rFonts w:ascii="Times New Roman" w:eastAsia="Times New Roman" w:hAnsi="Times New Roman" w:cs="Times New Roman"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44662"/>
    <w:multiLevelType w:val="hybridMultilevel"/>
    <w:tmpl w:val="E6584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0150ED"/>
    <w:multiLevelType w:val="hybridMultilevel"/>
    <w:tmpl w:val="60E0CD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F1A2C9E"/>
    <w:multiLevelType w:val="hybridMultilevel"/>
    <w:tmpl w:val="E932E932"/>
    <w:lvl w:ilvl="0" w:tplc="919EF51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9E7504"/>
    <w:multiLevelType w:val="hybridMultilevel"/>
    <w:tmpl w:val="6D34F09E"/>
    <w:lvl w:ilvl="0" w:tplc="2FA2D538">
      <w:start w:val="13"/>
      <w:numFmt w:val="bullet"/>
      <w:lvlText w:val="–"/>
      <w:lvlJc w:val="left"/>
      <w:pPr>
        <w:ind w:left="720" w:hanging="360"/>
      </w:pPr>
      <w:rPr>
        <w:rFonts w:ascii="Cambria" w:eastAsia="Calibri" w:hAnsi="Cambri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B766C6D"/>
    <w:multiLevelType w:val="hybridMultilevel"/>
    <w:tmpl w:val="FD600D6E"/>
    <w:lvl w:ilvl="0" w:tplc="BCA240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5756DAF"/>
    <w:multiLevelType w:val="hybridMultilevel"/>
    <w:tmpl w:val="274042E4"/>
    <w:lvl w:ilvl="0" w:tplc="88F0F7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6D0F95"/>
    <w:multiLevelType w:val="hybridMultilevel"/>
    <w:tmpl w:val="1C0E8BE0"/>
    <w:lvl w:ilvl="0" w:tplc="71E8605C">
      <w:start w:val="1"/>
      <w:numFmt w:val="bullet"/>
      <w:lvlText w:val=""/>
      <w:lvlJc w:val="left"/>
      <w:pPr>
        <w:ind w:left="720" w:hanging="360"/>
      </w:pPr>
      <w:rPr>
        <w:rFonts w:ascii="Symbol" w:hAnsi="Symbol" w:hint="default"/>
        <w:color w:val="auto"/>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4F297A"/>
    <w:multiLevelType w:val="hybridMultilevel"/>
    <w:tmpl w:val="B4F8062E"/>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6123D1"/>
    <w:multiLevelType w:val="hybridMultilevel"/>
    <w:tmpl w:val="B6F6B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500953"/>
    <w:multiLevelType w:val="multilevel"/>
    <w:tmpl w:val="E182F1A8"/>
    <w:lvl w:ilvl="0">
      <w:start w:val="1"/>
      <w:numFmt w:val="decimal"/>
      <w:lvlText w:val="%1."/>
      <w:lvlJc w:val="left"/>
      <w:pPr>
        <w:ind w:left="1211" w:hanging="360"/>
      </w:pPr>
      <w:rPr>
        <w:rFonts w:hint="default"/>
        <w:b/>
        <w:i w:val="0"/>
        <w:u w:val="none"/>
      </w:rPr>
    </w:lvl>
    <w:lvl w:ilvl="1">
      <w:start w:val="1"/>
      <w:numFmt w:val="decimal"/>
      <w:isLgl/>
      <w:lvlText w:val="%1.%2."/>
      <w:lvlJc w:val="left"/>
      <w:pPr>
        <w:ind w:left="2084" w:hanging="360"/>
      </w:pPr>
      <w:rPr>
        <w:rFonts w:hint="default"/>
      </w:rPr>
    </w:lvl>
    <w:lvl w:ilvl="2">
      <w:start w:val="1"/>
      <w:numFmt w:val="decimal"/>
      <w:isLgl/>
      <w:lvlText w:val="%1.%2.%3."/>
      <w:lvlJc w:val="left"/>
      <w:pPr>
        <w:ind w:left="3317" w:hanging="720"/>
      </w:pPr>
      <w:rPr>
        <w:rFonts w:hint="default"/>
      </w:rPr>
    </w:lvl>
    <w:lvl w:ilvl="3">
      <w:start w:val="1"/>
      <w:numFmt w:val="decimal"/>
      <w:isLgl/>
      <w:lvlText w:val="%1.%2.%3.%4."/>
      <w:lvlJc w:val="left"/>
      <w:pPr>
        <w:ind w:left="4190" w:hanging="720"/>
      </w:pPr>
      <w:rPr>
        <w:rFonts w:hint="default"/>
      </w:rPr>
    </w:lvl>
    <w:lvl w:ilvl="4">
      <w:start w:val="1"/>
      <w:numFmt w:val="decimal"/>
      <w:isLgl/>
      <w:lvlText w:val="%1.%2.%3.%4.%5."/>
      <w:lvlJc w:val="left"/>
      <w:pPr>
        <w:ind w:left="5423" w:hanging="1080"/>
      </w:pPr>
      <w:rPr>
        <w:rFonts w:hint="default"/>
      </w:rPr>
    </w:lvl>
    <w:lvl w:ilvl="5">
      <w:start w:val="1"/>
      <w:numFmt w:val="decimal"/>
      <w:isLgl/>
      <w:lvlText w:val="%1.%2.%3.%4.%5.%6."/>
      <w:lvlJc w:val="left"/>
      <w:pPr>
        <w:ind w:left="6296" w:hanging="1080"/>
      </w:pPr>
      <w:rPr>
        <w:rFonts w:hint="default"/>
      </w:rPr>
    </w:lvl>
    <w:lvl w:ilvl="6">
      <w:start w:val="1"/>
      <w:numFmt w:val="decimal"/>
      <w:isLgl/>
      <w:lvlText w:val="%1.%2.%3.%4.%5.%6.%7."/>
      <w:lvlJc w:val="left"/>
      <w:pPr>
        <w:ind w:left="7529" w:hanging="1440"/>
      </w:pPr>
      <w:rPr>
        <w:rFonts w:hint="default"/>
      </w:rPr>
    </w:lvl>
    <w:lvl w:ilvl="7">
      <w:start w:val="1"/>
      <w:numFmt w:val="decimal"/>
      <w:isLgl/>
      <w:lvlText w:val="%1.%2.%3.%4.%5.%6.%7.%8."/>
      <w:lvlJc w:val="left"/>
      <w:pPr>
        <w:ind w:left="8402" w:hanging="1440"/>
      </w:pPr>
      <w:rPr>
        <w:rFonts w:hint="default"/>
      </w:rPr>
    </w:lvl>
    <w:lvl w:ilvl="8">
      <w:start w:val="1"/>
      <w:numFmt w:val="decimal"/>
      <w:isLgl/>
      <w:lvlText w:val="%1.%2.%3.%4.%5.%6.%7.%8.%9."/>
      <w:lvlJc w:val="left"/>
      <w:pPr>
        <w:ind w:left="9635" w:hanging="1800"/>
      </w:pPr>
      <w:rPr>
        <w:rFonts w:hint="default"/>
      </w:rPr>
    </w:lvl>
  </w:abstractNum>
  <w:abstractNum w:abstractNumId="11" w15:restartNumberingAfterBreak="0">
    <w:nsid w:val="73AE396A"/>
    <w:multiLevelType w:val="hybridMultilevel"/>
    <w:tmpl w:val="1D5A759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69094C"/>
    <w:multiLevelType w:val="hybridMultilevel"/>
    <w:tmpl w:val="D6004052"/>
    <w:lvl w:ilvl="0" w:tplc="AE101A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155A1A"/>
    <w:multiLevelType w:val="hybridMultilevel"/>
    <w:tmpl w:val="CA70E5B4"/>
    <w:lvl w:ilvl="0" w:tplc="04260001">
      <w:start w:val="1"/>
      <w:numFmt w:val="bullet"/>
      <w:lvlText w:val=""/>
      <w:lvlJc w:val="left"/>
      <w:pPr>
        <w:ind w:left="2147" w:hanging="360"/>
      </w:pPr>
      <w:rPr>
        <w:rFonts w:ascii="Symbol" w:hAnsi="Symbol" w:hint="default"/>
      </w:rPr>
    </w:lvl>
    <w:lvl w:ilvl="1" w:tplc="04260003" w:tentative="1">
      <w:start w:val="1"/>
      <w:numFmt w:val="bullet"/>
      <w:lvlText w:val="o"/>
      <w:lvlJc w:val="left"/>
      <w:pPr>
        <w:ind w:left="2867" w:hanging="360"/>
      </w:pPr>
      <w:rPr>
        <w:rFonts w:ascii="Courier New" w:hAnsi="Courier New" w:cs="Courier New" w:hint="default"/>
      </w:rPr>
    </w:lvl>
    <w:lvl w:ilvl="2" w:tplc="04260005" w:tentative="1">
      <w:start w:val="1"/>
      <w:numFmt w:val="bullet"/>
      <w:lvlText w:val=""/>
      <w:lvlJc w:val="left"/>
      <w:pPr>
        <w:ind w:left="3587" w:hanging="360"/>
      </w:pPr>
      <w:rPr>
        <w:rFonts w:ascii="Wingdings" w:hAnsi="Wingdings" w:hint="default"/>
      </w:rPr>
    </w:lvl>
    <w:lvl w:ilvl="3" w:tplc="04260001" w:tentative="1">
      <w:start w:val="1"/>
      <w:numFmt w:val="bullet"/>
      <w:lvlText w:val=""/>
      <w:lvlJc w:val="left"/>
      <w:pPr>
        <w:ind w:left="4307" w:hanging="360"/>
      </w:pPr>
      <w:rPr>
        <w:rFonts w:ascii="Symbol" w:hAnsi="Symbol" w:hint="default"/>
      </w:rPr>
    </w:lvl>
    <w:lvl w:ilvl="4" w:tplc="04260003" w:tentative="1">
      <w:start w:val="1"/>
      <w:numFmt w:val="bullet"/>
      <w:lvlText w:val="o"/>
      <w:lvlJc w:val="left"/>
      <w:pPr>
        <w:ind w:left="5027" w:hanging="360"/>
      </w:pPr>
      <w:rPr>
        <w:rFonts w:ascii="Courier New" w:hAnsi="Courier New" w:cs="Courier New" w:hint="default"/>
      </w:rPr>
    </w:lvl>
    <w:lvl w:ilvl="5" w:tplc="04260005" w:tentative="1">
      <w:start w:val="1"/>
      <w:numFmt w:val="bullet"/>
      <w:lvlText w:val=""/>
      <w:lvlJc w:val="left"/>
      <w:pPr>
        <w:ind w:left="5747" w:hanging="360"/>
      </w:pPr>
      <w:rPr>
        <w:rFonts w:ascii="Wingdings" w:hAnsi="Wingdings" w:hint="default"/>
      </w:rPr>
    </w:lvl>
    <w:lvl w:ilvl="6" w:tplc="04260001" w:tentative="1">
      <w:start w:val="1"/>
      <w:numFmt w:val="bullet"/>
      <w:lvlText w:val=""/>
      <w:lvlJc w:val="left"/>
      <w:pPr>
        <w:ind w:left="6467" w:hanging="360"/>
      </w:pPr>
      <w:rPr>
        <w:rFonts w:ascii="Symbol" w:hAnsi="Symbol" w:hint="default"/>
      </w:rPr>
    </w:lvl>
    <w:lvl w:ilvl="7" w:tplc="04260003" w:tentative="1">
      <w:start w:val="1"/>
      <w:numFmt w:val="bullet"/>
      <w:lvlText w:val="o"/>
      <w:lvlJc w:val="left"/>
      <w:pPr>
        <w:ind w:left="7187" w:hanging="360"/>
      </w:pPr>
      <w:rPr>
        <w:rFonts w:ascii="Courier New" w:hAnsi="Courier New" w:cs="Courier New" w:hint="default"/>
      </w:rPr>
    </w:lvl>
    <w:lvl w:ilvl="8" w:tplc="04260005" w:tentative="1">
      <w:start w:val="1"/>
      <w:numFmt w:val="bullet"/>
      <w:lvlText w:val=""/>
      <w:lvlJc w:val="left"/>
      <w:pPr>
        <w:ind w:left="7907" w:hanging="360"/>
      </w:pPr>
      <w:rPr>
        <w:rFonts w:ascii="Wingdings" w:hAnsi="Wingdings" w:hint="default"/>
      </w:rPr>
    </w:lvl>
  </w:abstractNum>
  <w:abstractNum w:abstractNumId="14" w15:restartNumberingAfterBreak="0">
    <w:nsid w:val="7B3A2C5C"/>
    <w:multiLevelType w:val="hybridMultilevel"/>
    <w:tmpl w:val="F28C93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51319F"/>
    <w:multiLevelType w:val="hybridMultilevel"/>
    <w:tmpl w:val="E7A64A94"/>
    <w:lvl w:ilvl="0" w:tplc="4B1A96E2">
      <w:start w:val="2"/>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5"/>
  </w:num>
  <w:num w:numId="6">
    <w:abstractNumId w:val="1"/>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1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94"/>
    <w:rsid w:val="0001229D"/>
    <w:rsid w:val="00035974"/>
    <w:rsid w:val="0004017D"/>
    <w:rsid w:val="0006214D"/>
    <w:rsid w:val="00075B34"/>
    <w:rsid w:val="000B2D01"/>
    <w:rsid w:val="000D7071"/>
    <w:rsid w:val="000E23E5"/>
    <w:rsid w:val="000E6A99"/>
    <w:rsid w:val="001310F3"/>
    <w:rsid w:val="001347FC"/>
    <w:rsid w:val="00134834"/>
    <w:rsid w:val="00140149"/>
    <w:rsid w:val="00147C92"/>
    <w:rsid w:val="0019148B"/>
    <w:rsid w:val="00193A88"/>
    <w:rsid w:val="001A7E96"/>
    <w:rsid w:val="001B3D1C"/>
    <w:rsid w:val="001E0876"/>
    <w:rsid w:val="001F18F0"/>
    <w:rsid w:val="0021527E"/>
    <w:rsid w:val="00261B72"/>
    <w:rsid w:val="002A2D91"/>
    <w:rsid w:val="002D65C9"/>
    <w:rsid w:val="00305B6D"/>
    <w:rsid w:val="003170E2"/>
    <w:rsid w:val="00356C1C"/>
    <w:rsid w:val="00393280"/>
    <w:rsid w:val="003E4AAC"/>
    <w:rsid w:val="004115B6"/>
    <w:rsid w:val="0041397E"/>
    <w:rsid w:val="00453353"/>
    <w:rsid w:val="00460D4F"/>
    <w:rsid w:val="004901AA"/>
    <w:rsid w:val="00493F5D"/>
    <w:rsid w:val="004F450D"/>
    <w:rsid w:val="0050779F"/>
    <w:rsid w:val="00535554"/>
    <w:rsid w:val="00547920"/>
    <w:rsid w:val="00560CD9"/>
    <w:rsid w:val="00567728"/>
    <w:rsid w:val="0057294D"/>
    <w:rsid w:val="00582F77"/>
    <w:rsid w:val="00597C84"/>
    <w:rsid w:val="005E6FC9"/>
    <w:rsid w:val="00602C68"/>
    <w:rsid w:val="00644A53"/>
    <w:rsid w:val="006554D5"/>
    <w:rsid w:val="00670FF1"/>
    <w:rsid w:val="006B13B9"/>
    <w:rsid w:val="006C1A7F"/>
    <w:rsid w:val="006C5624"/>
    <w:rsid w:val="00723C40"/>
    <w:rsid w:val="0073648D"/>
    <w:rsid w:val="0073667E"/>
    <w:rsid w:val="00742D10"/>
    <w:rsid w:val="00762A50"/>
    <w:rsid w:val="007730D7"/>
    <w:rsid w:val="00777144"/>
    <w:rsid w:val="00784B94"/>
    <w:rsid w:val="007B4865"/>
    <w:rsid w:val="007C16D5"/>
    <w:rsid w:val="007E2696"/>
    <w:rsid w:val="008235D5"/>
    <w:rsid w:val="0085424B"/>
    <w:rsid w:val="00864D87"/>
    <w:rsid w:val="00865B96"/>
    <w:rsid w:val="00866F9E"/>
    <w:rsid w:val="00867327"/>
    <w:rsid w:val="008836E4"/>
    <w:rsid w:val="00887980"/>
    <w:rsid w:val="008B0376"/>
    <w:rsid w:val="008D2985"/>
    <w:rsid w:val="0093409C"/>
    <w:rsid w:val="00955F7A"/>
    <w:rsid w:val="00956A2A"/>
    <w:rsid w:val="00983E3A"/>
    <w:rsid w:val="00A02490"/>
    <w:rsid w:val="00A24077"/>
    <w:rsid w:val="00A35C24"/>
    <w:rsid w:val="00A410B7"/>
    <w:rsid w:val="00A52ABB"/>
    <w:rsid w:val="00AB2AEA"/>
    <w:rsid w:val="00AD5427"/>
    <w:rsid w:val="00AF71CC"/>
    <w:rsid w:val="00B331EA"/>
    <w:rsid w:val="00B46968"/>
    <w:rsid w:val="00BA3C23"/>
    <w:rsid w:val="00BC4901"/>
    <w:rsid w:val="00BD6D9B"/>
    <w:rsid w:val="00BE49E3"/>
    <w:rsid w:val="00C17EB6"/>
    <w:rsid w:val="00C6462E"/>
    <w:rsid w:val="00C65E1B"/>
    <w:rsid w:val="00C9105A"/>
    <w:rsid w:val="00CD7201"/>
    <w:rsid w:val="00CE7C7F"/>
    <w:rsid w:val="00D26A4D"/>
    <w:rsid w:val="00D567A4"/>
    <w:rsid w:val="00D86947"/>
    <w:rsid w:val="00DA19DD"/>
    <w:rsid w:val="00DA29E3"/>
    <w:rsid w:val="00DB4C41"/>
    <w:rsid w:val="00DB7CFB"/>
    <w:rsid w:val="00DD2C00"/>
    <w:rsid w:val="00DD60C6"/>
    <w:rsid w:val="00E047CA"/>
    <w:rsid w:val="00E1367F"/>
    <w:rsid w:val="00E17619"/>
    <w:rsid w:val="00E31F81"/>
    <w:rsid w:val="00E644A9"/>
    <w:rsid w:val="00E80502"/>
    <w:rsid w:val="00E86AD8"/>
    <w:rsid w:val="00EB67DC"/>
    <w:rsid w:val="00ED4CBF"/>
    <w:rsid w:val="00EF19FA"/>
    <w:rsid w:val="00F0117B"/>
    <w:rsid w:val="00F05162"/>
    <w:rsid w:val="00F14555"/>
    <w:rsid w:val="00F226C5"/>
    <w:rsid w:val="00FB03C0"/>
    <w:rsid w:val="00FD6209"/>
    <w:rsid w:val="00FF2249"/>
    <w:rsid w:val="00FF3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50D7"/>
  <w15:docId w15:val="{D10D60DF-62F8-4C79-A49A-A993894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4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983E3A"/>
    <w:pPr>
      <w:keepNext/>
      <w:jc w:val="center"/>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784B94"/>
    <w:pPr>
      <w:jc w:val="center"/>
    </w:pPr>
    <w:rPr>
      <w:b/>
      <w:szCs w:val="20"/>
      <w:lang w:eastAsia="en-US"/>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784B94"/>
    <w:rPr>
      <w:rFonts w:ascii="Times New Roman" w:eastAsia="Times New Roman" w:hAnsi="Times New Roman" w:cs="Times New Roman"/>
      <w:b/>
      <w:sz w:val="24"/>
      <w:szCs w:val="20"/>
    </w:rPr>
  </w:style>
  <w:style w:type="paragraph" w:styleId="ListParagraph">
    <w:name w:val="List Paragraph"/>
    <w:basedOn w:val="Normal"/>
    <w:link w:val="ListParagraphChar"/>
    <w:uiPriority w:val="34"/>
    <w:qFormat/>
    <w:rsid w:val="00784B94"/>
    <w:pPr>
      <w:ind w:left="720"/>
      <w:contextualSpacing/>
    </w:pPr>
  </w:style>
  <w:style w:type="character" w:customStyle="1" w:styleId="ListParagraphChar">
    <w:name w:val="List Paragraph Char"/>
    <w:link w:val="ListParagraph"/>
    <w:uiPriority w:val="34"/>
    <w:locked/>
    <w:rsid w:val="00E8050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60D4F"/>
    <w:rPr>
      <w:rFonts w:asciiTheme="minorHAnsi" w:hAnsiTheme="minorHAnsi" w:cs="Segoe UI"/>
      <w:sz w:val="22"/>
      <w:szCs w:val="18"/>
    </w:rPr>
  </w:style>
  <w:style w:type="character" w:customStyle="1" w:styleId="BalloonTextChar">
    <w:name w:val="Balloon Text Char"/>
    <w:basedOn w:val="DefaultParagraphFont"/>
    <w:link w:val="BalloonText"/>
    <w:uiPriority w:val="99"/>
    <w:semiHidden/>
    <w:rsid w:val="00460D4F"/>
    <w:rPr>
      <w:rFonts w:eastAsia="Times New Roman" w:cs="Segoe UI"/>
      <w:szCs w:val="18"/>
      <w:lang w:eastAsia="lv-LV"/>
    </w:rPr>
  </w:style>
  <w:style w:type="character" w:styleId="CommentReference">
    <w:name w:val="annotation reference"/>
    <w:basedOn w:val="DefaultParagraphFont"/>
    <w:uiPriority w:val="99"/>
    <w:semiHidden/>
    <w:unhideWhenUsed/>
    <w:rsid w:val="0073667E"/>
    <w:rPr>
      <w:sz w:val="16"/>
      <w:szCs w:val="16"/>
    </w:rPr>
  </w:style>
  <w:style w:type="paragraph" w:styleId="CommentText">
    <w:name w:val="annotation text"/>
    <w:basedOn w:val="Normal"/>
    <w:link w:val="CommentTextChar"/>
    <w:uiPriority w:val="99"/>
    <w:unhideWhenUsed/>
    <w:rsid w:val="0073667E"/>
    <w:rPr>
      <w:sz w:val="20"/>
      <w:szCs w:val="20"/>
    </w:rPr>
  </w:style>
  <w:style w:type="character" w:customStyle="1" w:styleId="CommentTextChar">
    <w:name w:val="Comment Text Char"/>
    <w:basedOn w:val="DefaultParagraphFont"/>
    <w:link w:val="CommentText"/>
    <w:uiPriority w:val="99"/>
    <w:rsid w:val="0073667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basedOn w:val="CommentTextChar"/>
    <w:link w:val="CommentSubject"/>
    <w:uiPriority w:val="99"/>
    <w:semiHidden/>
    <w:rsid w:val="0073667E"/>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3170E2"/>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70E2"/>
    <w:rPr>
      <w:rFonts w:ascii="Times New Roman" w:hAnsi="Times New Roman"/>
      <w:sz w:val="20"/>
      <w:szCs w:val="20"/>
    </w:rPr>
  </w:style>
  <w:style w:type="character" w:styleId="FootnoteReference">
    <w:name w:val="footnote reference"/>
    <w:basedOn w:val="DefaultParagraphFont"/>
    <w:uiPriority w:val="99"/>
    <w:semiHidden/>
    <w:unhideWhenUsed/>
    <w:rsid w:val="003170E2"/>
    <w:rPr>
      <w:vertAlign w:val="superscript"/>
    </w:rPr>
  </w:style>
  <w:style w:type="paragraph" w:customStyle="1" w:styleId="Default">
    <w:name w:val="Default"/>
    <w:basedOn w:val="Normal"/>
    <w:rsid w:val="00F05162"/>
    <w:pPr>
      <w:autoSpaceDE w:val="0"/>
      <w:autoSpaceDN w:val="0"/>
    </w:pPr>
    <w:rPr>
      <w:rFonts w:eastAsiaTheme="minorHAnsi"/>
      <w:color w:val="000000"/>
      <w:lang w:eastAsia="en-US"/>
    </w:rPr>
  </w:style>
  <w:style w:type="paragraph" w:styleId="Revision">
    <w:name w:val="Revision"/>
    <w:hidden/>
    <w:uiPriority w:val="99"/>
    <w:semiHidden/>
    <w:rsid w:val="0093409C"/>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6C5624"/>
    <w:pPr>
      <w:tabs>
        <w:tab w:val="center" w:pos="4153"/>
        <w:tab w:val="right" w:pos="8306"/>
      </w:tabs>
    </w:pPr>
  </w:style>
  <w:style w:type="character" w:customStyle="1" w:styleId="HeaderChar">
    <w:name w:val="Header Char"/>
    <w:basedOn w:val="DefaultParagraphFont"/>
    <w:link w:val="Header"/>
    <w:uiPriority w:val="99"/>
    <w:rsid w:val="006C562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C5624"/>
    <w:pPr>
      <w:tabs>
        <w:tab w:val="center" w:pos="4153"/>
        <w:tab w:val="right" w:pos="8306"/>
      </w:tabs>
    </w:pPr>
  </w:style>
  <w:style w:type="character" w:customStyle="1" w:styleId="FooterChar">
    <w:name w:val="Footer Char"/>
    <w:basedOn w:val="DefaultParagraphFont"/>
    <w:link w:val="Footer"/>
    <w:uiPriority w:val="99"/>
    <w:rsid w:val="006C5624"/>
    <w:rPr>
      <w:rFonts w:ascii="Times New Roman" w:eastAsia="Times New Roman" w:hAnsi="Times New Roman" w:cs="Times New Roman"/>
      <w:sz w:val="24"/>
      <w:szCs w:val="24"/>
      <w:lang w:eastAsia="lv-LV"/>
    </w:rPr>
  </w:style>
  <w:style w:type="character" w:styleId="PageNumber">
    <w:name w:val="page number"/>
    <w:basedOn w:val="DefaultParagraphFont"/>
    <w:rsid w:val="006C5624"/>
  </w:style>
  <w:style w:type="character" w:customStyle="1" w:styleId="Heading4Char">
    <w:name w:val="Heading 4 Char"/>
    <w:basedOn w:val="DefaultParagraphFont"/>
    <w:link w:val="Heading4"/>
    <w:rsid w:val="00983E3A"/>
    <w:rPr>
      <w:rFonts w:ascii="Calibri" w:eastAsia="Times New Roman" w:hAnsi="Calibri" w:cs="Times New Roman"/>
      <w:b/>
      <w:bCs/>
      <w:sz w:val="28"/>
      <w:szCs w:val="28"/>
    </w:rPr>
  </w:style>
  <w:style w:type="paragraph" w:customStyle="1" w:styleId="Titreobjet">
    <w:name w:val="Titre objet"/>
    <w:basedOn w:val="Normal"/>
    <w:next w:val="Normal"/>
    <w:rsid w:val="00983E3A"/>
    <w:pPr>
      <w:suppressAutoHyphens/>
      <w:autoSpaceDN w:val="0"/>
      <w:spacing w:before="360" w:after="360"/>
      <w:jc w:val="center"/>
      <w:textAlignment w:val="baseline"/>
    </w:pPr>
    <w:rPr>
      <w:b/>
      <w:lang w:eastAsia="en-US"/>
    </w:rPr>
  </w:style>
  <w:style w:type="character" w:styleId="Hyperlink">
    <w:name w:val="Hyperlink"/>
    <w:basedOn w:val="DefaultParagraphFont"/>
    <w:uiPriority w:val="99"/>
    <w:semiHidden/>
    <w:unhideWhenUsed/>
    <w:rsid w:val="000E23E5"/>
    <w:rPr>
      <w:color w:val="0563C1"/>
      <w:u w:val="single"/>
    </w:rPr>
  </w:style>
  <w:style w:type="paragraph" w:styleId="BodyText2">
    <w:name w:val="Body Text 2"/>
    <w:basedOn w:val="Normal"/>
    <w:link w:val="BodyText2Char"/>
    <w:uiPriority w:val="99"/>
    <w:semiHidden/>
    <w:unhideWhenUsed/>
    <w:rsid w:val="00460D4F"/>
    <w:pPr>
      <w:spacing w:after="120" w:line="480" w:lineRule="auto"/>
    </w:pPr>
  </w:style>
  <w:style w:type="character" w:customStyle="1" w:styleId="BodyText2Char">
    <w:name w:val="Body Text 2 Char"/>
    <w:basedOn w:val="DefaultParagraphFont"/>
    <w:link w:val="BodyText2"/>
    <w:uiPriority w:val="99"/>
    <w:semiHidden/>
    <w:rsid w:val="00460D4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0455">
      <w:bodyDiv w:val="1"/>
      <w:marLeft w:val="0"/>
      <w:marRight w:val="0"/>
      <w:marTop w:val="0"/>
      <w:marBottom w:val="0"/>
      <w:divBdr>
        <w:top w:val="none" w:sz="0" w:space="0" w:color="auto"/>
        <w:left w:val="none" w:sz="0" w:space="0" w:color="auto"/>
        <w:bottom w:val="none" w:sz="0" w:space="0" w:color="auto"/>
        <w:right w:val="none" w:sz="0" w:space="0" w:color="auto"/>
      </w:divBdr>
    </w:div>
    <w:div w:id="872571835">
      <w:bodyDiv w:val="1"/>
      <w:marLeft w:val="0"/>
      <w:marRight w:val="0"/>
      <w:marTop w:val="0"/>
      <w:marBottom w:val="0"/>
      <w:divBdr>
        <w:top w:val="none" w:sz="0" w:space="0" w:color="auto"/>
        <w:left w:val="none" w:sz="0" w:space="0" w:color="auto"/>
        <w:bottom w:val="none" w:sz="0" w:space="0" w:color="auto"/>
        <w:right w:val="none" w:sz="0" w:space="0" w:color="auto"/>
      </w:divBdr>
    </w:div>
    <w:div w:id="876087661">
      <w:bodyDiv w:val="1"/>
      <w:marLeft w:val="0"/>
      <w:marRight w:val="0"/>
      <w:marTop w:val="0"/>
      <w:marBottom w:val="0"/>
      <w:divBdr>
        <w:top w:val="none" w:sz="0" w:space="0" w:color="auto"/>
        <w:left w:val="none" w:sz="0" w:space="0" w:color="auto"/>
        <w:bottom w:val="none" w:sz="0" w:space="0" w:color="auto"/>
        <w:right w:val="none" w:sz="0" w:space="0" w:color="auto"/>
      </w:divBdr>
    </w:div>
    <w:div w:id="1201550015">
      <w:bodyDiv w:val="1"/>
      <w:marLeft w:val="0"/>
      <w:marRight w:val="0"/>
      <w:marTop w:val="0"/>
      <w:marBottom w:val="0"/>
      <w:divBdr>
        <w:top w:val="none" w:sz="0" w:space="0" w:color="auto"/>
        <w:left w:val="none" w:sz="0" w:space="0" w:color="auto"/>
        <w:bottom w:val="none" w:sz="0" w:space="0" w:color="auto"/>
        <w:right w:val="none" w:sz="0" w:space="0" w:color="auto"/>
      </w:divBdr>
    </w:div>
    <w:div w:id="17158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6706/attachments/1/translations/en/renditions/native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ls5\Arejo%20ekonomisko%20attiecibu%20departaments\ES%20lietu%20nodala\Padomes\COMPET\COMPET_2015_10_01\Konuretspejas%20indekss_grafi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626786744616055E-2"/>
          <c:y val="4.1025635001650421E-2"/>
          <c:w val="0.91080721223365613"/>
          <c:h val="0.54708256930307531"/>
        </c:manualLayout>
      </c:layout>
      <c:barChart>
        <c:barDir val="col"/>
        <c:grouping val="clustered"/>
        <c:varyColors val="0"/>
        <c:ser>
          <c:idx val="0"/>
          <c:order val="0"/>
          <c:tx>
            <c:strRef>
              <c:f>Sheet1!$C$5</c:f>
              <c:strCache>
                <c:ptCount val="1"/>
                <c:pt idx="0">
                  <c:v>Globālais konkurētspējas indekss (2014-2015)</c:v>
                </c:pt>
              </c:strCache>
            </c:strRef>
          </c:tx>
          <c:spPr>
            <a:solidFill>
              <a:schemeClr val="accent1"/>
            </a:solidFill>
            <a:ln>
              <a:noFill/>
            </a:ln>
            <a:effectLst/>
          </c:spPr>
          <c:invertIfNegative val="0"/>
          <c:dPt>
            <c:idx val="16"/>
            <c:invertIfNegative val="0"/>
            <c:bubble3D val="0"/>
            <c:spPr>
              <a:solidFill>
                <a:schemeClr val="accent1">
                  <a:lumMod val="75000"/>
                </a:schemeClr>
              </a:solidFill>
              <a:ln>
                <a:noFill/>
              </a:ln>
              <a:effectLst/>
            </c:spPr>
          </c:dPt>
          <c:dPt>
            <c:idx val="28"/>
            <c:invertIfNegative val="0"/>
            <c:bubble3D val="0"/>
            <c:spPr>
              <a:solidFill>
                <a:schemeClr val="accent2">
                  <a:lumMod val="60000"/>
                  <a:lumOff val="40000"/>
                </a:schemeClr>
              </a:solidFill>
              <a:ln>
                <a:noFill/>
              </a:ln>
              <a:effectLst/>
            </c:spPr>
          </c:dPt>
          <c:dPt>
            <c:idx val="29"/>
            <c:invertIfNegative val="0"/>
            <c:bubble3D val="0"/>
            <c:spPr>
              <a:solidFill>
                <a:schemeClr val="accent2">
                  <a:lumMod val="60000"/>
                  <a:lumOff val="40000"/>
                </a:schemeClr>
              </a:solidFill>
              <a:ln>
                <a:noFill/>
              </a:ln>
              <a:effectLst/>
            </c:spPr>
          </c:dPt>
          <c:dPt>
            <c:idx val="30"/>
            <c:invertIfNegative val="0"/>
            <c:bubble3D val="0"/>
            <c:spPr>
              <a:solidFill>
                <a:schemeClr val="accent2">
                  <a:lumMod val="60000"/>
                  <a:lumOff val="40000"/>
                </a:schemeClr>
              </a:solidFill>
              <a:ln>
                <a:noFill/>
              </a:ln>
              <a:effectLst/>
            </c:spPr>
          </c:dPt>
          <c:dPt>
            <c:idx val="31"/>
            <c:invertIfNegative val="0"/>
            <c:bubble3D val="0"/>
            <c:spPr>
              <a:solidFill>
                <a:schemeClr val="accent2">
                  <a:lumMod val="60000"/>
                  <a:lumOff val="40000"/>
                </a:schemeClr>
              </a:solidFill>
              <a:ln>
                <a:noFill/>
              </a:ln>
              <a:effectLst/>
            </c:spPr>
          </c:dPt>
          <c:dPt>
            <c:idx val="32"/>
            <c:invertIfNegative val="0"/>
            <c:bubble3D val="0"/>
            <c:spPr>
              <a:solidFill>
                <a:schemeClr val="accent2">
                  <a:lumMod val="60000"/>
                  <a:lumOff val="40000"/>
                </a:schemeClr>
              </a:solidFill>
              <a:ln>
                <a:noFill/>
              </a:ln>
              <a:effectLst/>
            </c:spPr>
          </c:dPt>
          <c:dLbls>
            <c:dLbl>
              <c:idx val="16"/>
              <c:layout>
                <c:manualLayout>
                  <c:x val="-8.1142439613860786E-17"/>
                  <c:y val="-1.11888095459046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(Sheet1!$B$6:$B$16,Sheet1!$B$18:$B$39)</c:f>
              <c:strCache>
                <c:ptCount val="33"/>
                <c:pt idx="0">
                  <c:v>Somija</c:v>
                </c:pt>
                <c:pt idx="1">
                  <c:v>Vācija</c:v>
                </c:pt>
                <c:pt idx="2">
                  <c:v>Nīderlande</c:v>
                </c:pt>
                <c:pt idx="3">
                  <c:v>Apvienotā Karaliste</c:v>
                </c:pt>
                <c:pt idx="4">
                  <c:v>Zviedrija</c:v>
                </c:pt>
                <c:pt idx="5">
                  <c:v>Dānija</c:v>
                </c:pt>
                <c:pt idx="6">
                  <c:v>Beļģija</c:v>
                </c:pt>
                <c:pt idx="7">
                  <c:v>Luksemburga</c:v>
                </c:pt>
                <c:pt idx="8">
                  <c:v>Austrija</c:v>
                </c:pt>
                <c:pt idx="9">
                  <c:v>Francija</c:v>
                </c:pt>
                <c:pt idx="10">
                  <c:v>Īrija</c:v>
                </c:pt>
                <c:pt idx="11">
                  <c:v>Igaunija</c:v>
                </c:pt>
                <c:pt idx="12">
                  <c:v>Spānija</c:v>
                </c:pt>
                <c:pt idx="13">
                  <c:v>Portugāle</c:v>
                </c:pt>
                <c:pt idx="14">
                  <c:v>Čehija</c:v>
                </c:pt>
                <c:pt idx="15">
                  <c:v>Lietuva</c:v>
                </c:pt>
                <c:pt idx="16">
                  <c:v>Latvija</c:v>
                </c:pt>
                <c:pt idx="17">
                  <c:v>Polija</c:v>
                </c:pt>
                <c:pt idx="18">
                  <c:v>Malta</c:v>
                </c:pt>
                <c:pt idx="19">
                  <c:v>Itālija</c:v>
                </c:pt>
                <c:pt idx="20">
                  <c:v>Bulgārija</c:v>
                </c:pt>
                <c:pt idx="21">
                  <c:v>Kipra</c:v>
                </c:pt>
                <c:pt idx="22">
                  <c:v>Rumānija</c:v>
                </c:pt>
                <c:pt idx="23">
                  <c:v>Ungārija</c:v>
                </c:pt>
                <c:pt idx="24">
                  <c:v>Slovēnija</c:v>
                </c:pt>
                <c:pt idx="25">
                  <c:v>Slovākija</c:v>
                </c:pt>
                <c:pt idx="26">
                  <c:v>Horvātija</c:v>
                </c:pt>
                <c:pt idx="27">
                  <c:v>Grieķija</c:v>
                </c:pt>
                <c:pt idx="28">
                  <c:v>ASV</c:v>
                </c:pt>
                <c:pt idx="29">
                  <c:v>Japāna</c:v>
                </c:pt>
                <c:pt idx="30">
                  <c:v>Ķīna</c:v>
                </c:pt>
                <c:pt idx="31">
                  <c:v>Krievijas Federācija</c:v>
                </c:pt>
                <c:pt idx="32">
                  <c:v>Indija</c:v>
                </c:pt>
              </c:strCache>
            </c:strRef>
          </c:cat>
          <c:val>
            <c:numRef>
              <c:f>(Sheet1!$C$6:$C$16,Sheet1!$C$18:$C$39)</c:f>
              <c:numCache>
                <c:formatCode>0.00</c:formatCode>
                <c:ptCount val="33"/>
                <c:pt idx="0">
                  <c:v>5.5</c:v>
                </c:pt>
                <c:pt idx="1">
                  <c:v>5.49</c:v>
                </c:pt>
                <c:pt idx="2">
                  <c:v>5.45</c:v>
                </c:pt>
                <c:pt idx="3">
                  <c:v>5.41</c:v>
                </c:pt>
                <c:pt idx="4">
                  <c:v>5.41</c:v>
                </c:pt>
                <c:pt idx="5">
                  <c:v>5.29</c:v>
                </c:pt>
                <c:pt idx="6">
                  <c:v>5.18</c:v>
                </c:pt>
                <c:pt idx="7">
                  <c:v>5.17</c:v>
                </c:pt>
                <c:pt idx="8">
                  <c:v>5.16</c:v>
                </c:pt>
                <c:pt idx="9">
                  <c:v>5.08</c:v>
                </c:pt>
                <c:pt idx="10">
                  <c:v>4.9800000000000004</c:v>
                </c:pt>
                <c:pt idx="11">
                  <c:v>4.71</c:v>
                </c:pt>
                <c:pt idx="12">
                  <c:v>4.55</c:v>
                </c:pt>
                <c:pt idx="13">
                  <c:v>4.54</c:v>
                </c:pt>
                <c:pt idx="14">
                  <c:v>4.53</c:v>
                </c:pt>
                <c:pt idx="15">
                  <c:v>4.51</c:v>
                </c:pt>
                <c:pt idx="16">
                  <c:v>4.5</c:v>
                </c:pt>
                <c:pt idx="17">
                  <c:v>4.4800000000000004</c:v>
                </c:pt>
                <c:pt idx="18">
                  <c:v>4.45</c:v>
                </c:pt>
                <c:pt idx="19">
                  <c:v>4.42</c:v>
                </c:pt>
                <c:pt idx="20">
                  <c:v>4.37</c:v>
                </c:pt>
                <c:pt idx="21">
                  <c:v>4.3099999999999996</c:v>
                </c:pt>
                <c:pt idx="22">
                  <c:v>4.3</c:v>
                </c:pt>
                <c:pt idx="23">
                  <c:v>4.28</c:v>
                </c:pt>
                <c:pt idx="24">
                  <c:v>4.22</c:v>
                </c:pt>
                <c:pt idx="25">
                  <c:v>4.1500000000000004</c:v>
                </c:pt>
                <c:pt idx="26">
                  <c:v>4.13</c:v>
                </c:pt>
                <c:pt idx="27">
                  <c:v>4.04</c:v>
                </c:pt>
                <c:pt idx="28">
                  <c:v>5.54</c:v>
                </c:pt>
                <c:pt idx="29">
                  <c:v>5.47</c:v>
                </c:pt>
                <c:pt idx="30">
                  <c:v>4.8</c:v>
                </c:pt>
                <c:pt idx="31">
                  <c:v>4.37</c:v>
                </c:pt>
                <c:pt idx="32">
                  <c:v>4.21</c:v>
                </c:pt>
              </c:numCache>
            </c:numRef>
          </c:val>
        </c:ser>
        <c:dLbls>
          <c:showLegendKey val="0"/>
          <c:showVal val="0"/>
          <c:showCatName val="0"/>
          <c:showSerName val="0"/>
          <c:showPercent val="0"/>
          <c:showBubbleSize val="0"/>
        </c:dLbls>
        <c:gapWidth val="50"/>
        <c:axId val="375088416"/>
        <c:axId val="338302280"/>
      </c:barChart>
      <c:lineChart>
        <c:grouping val="standard"/>
        <c:varyColors val="0"/>
        <c:ser>
          <c:idx val="1"/>
          <c:order val="1"/>
          <c:tx>
            <c:strRef>
              <c:f>Sheet1!$D$5</c:f>
              <c:strCache>
                <c:ptCount val="1"/>
                <c:pt idx="0">
                  <c:v>Vidēji ES-28</c:v>
                </c:pt>
              </c:strCache>
            </c:strRef>
          </c:tx>
          <c:spPr>
            <a:ln w="28575" cap="rnd">
              <a:solidFill>
                <a:schemeClr val="accent6">
                  <a:lumMod val="75000"/>
                </a:schemeClr>
              </a:solidFill>
              <a:round/>
            </a:ln>
            <a:effectLst/>
          </c:spPr>
          <c:marker>
            <c:symbol val="none"/>
          </c:marker>
          <c:dLbls>
            <c:dLbl>
              <c:idx val="30"/>
              <c:delete val="1"/>
              <c:extLst>
                <c:ext xmlns:c15="http://schemas.microsoft.com/office/drawing/2012/chart" uri="{CE6537A1-D6FC-4f65-9D91-7224C49458BB}"/>
              </c:extLst>
            </c:dLbl>
            <c:dLbl>
              <c:idx val="32"/>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75000"/>
                      </a:schemeClr>
                    </a:solidFill>
                    <a:latin typeface="+mn-lt"/>
                    <a:ea typeface="+mn-ea"/>
                    <a:cs typeface="+mn-cs"/>
                  </a:defRPr>
                </a:pPr>
                <a:endParaRPr lang="lv-LV"/>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(Sheet1!$B$6:$B$16,Sheet1!$B$18:$B$39)</c:f>
              <c:strCache>
                <c:ptCount val="33"/>
                <c:pt idx="0">
                  <c:v>Somija</c:v>
                </c:pt>
                <c:pt idx="1">
                  <c:v>Vācija</c:v>
                </c:pt>
                <c:pt idx="2">
                  <c:v>Nīderlande</c:v>
                </c:pt>
                <c:pt idx="3">
                  <c:v>Apvienotā Karaliste</c:v>
                </c:pt>
                <c:pt idx="4">
                  <c:v>Zviedrija</c:v>
                </c:pt>
                <c:pt idx="5">
                  <c:v>Dānija</c:v>
                </c:pt>
                <c:pt idx="6">
                  <c:v>Beļģija</c:v>
                </c:pt>
                <c:pt idx="7">
                  <c:v>Luksemburga</c:v>
                </c:pt>
                <c:pt idx="8">
                  <c:v>Austrija</c:v>
                </c:pt>
                <c:pt idx="9">
                  <c:v>Francija</c:v>
                </c:pt>
                <c:pt idx="10">
                  <c:v>Īrija</c:v>
                </c:pt>
                <c:pt idx="11">
                  <c:v>Igaunija</c:v>
                </c:pt>
                <c:pt idx="12">
                  <c:v>Spānija</c:v>
                </c:pt>
                <c:pt idx="13">
                  <c:v>Portugāle</c:v>
                </c:pt>
                <c:pt idx="14">
                  <c:v>Čehija</c:v>
                </c:pt>
                <c:pt idx="15">
                  <c:v>Lietuva</c:v>
                </c:pt>
                <c:pt idx="16">
                  <c:v>Latvija</c:v>
                </c:pt>
                <c:pt idx="17">
                  <c:v>Polija</c:v>
                </c:pt>
                <c:pt idx="18">
                  <c:v>Malta</c:v>
                </c:pt>
                <c:pt idx="19">
                  <c:v>Itālija</c:v>
                </c:pt>
                <c:pt idx="20">
                  <c:v>Bulgārija</c:v>
                </c:pt>
                <c:pt idx="21">
                  <c:v>Kipra</c:v>
                </c:pt>
                <c:pt idx="22">
                  <c:v>Rumānija</c:v>
                </c:pt>
                <c:pt idx="23">
                  <c:v>Ungārija</c:v>
                </c:pt>
                <c:pt idx="24">
                  <c:v>Slovēnija</c:v>
                </c:pt>
                <c:pt idx="25">
                  <c:v>Slovākija</c:v>
                </c:pt>
                <c:pt idx="26">
                  <c:v>Horvātija</c:v>
                </c:pt>
                <c:pt idx="27">
                  <c:v>Grieķija</c:v>
                </c:pt>
                <c:pt idx="28">
                  <c:v>ASV</c:v>
                </c:pt>
                <c:pt idx="29">
                  <c:v>Japāna</c:v>
                </c:pt>
                <c:pt idx="30">
                  <c:v>Ķīna</c:v>
                </c:pt>
                <c:pt idx="31">
                  <c:v>Krievijas Federācija</c:v>
                </c:pt>
                <c:pt idx="32">
                  <c:v>Indija</c:v>
                </c:pt>
              </c:strCache>
            </c:strRef>
          </c:cat>
          <c:val>
            <c:numRef>
              <c:f>(Sheet1!$D$6:$D$16,Sheet1!$D$18:$D$39)</c:f>
              <c:numCache>
                <c:formatCode>General</c:formatCode>
                <c:ptCount val="33"/>
                <c:pt idx="0">
                  <c:v>4.74</c:v>
                </c:pt>
                <c:pt idx="1">
                  <c:v>4.74</c:v>
                </c:pt>
                <c:pt idx="2">
                  <c:v>4.74</c:v>
                </c:pt>
                <c:pt idx="3">
                  <c:v>4.74</c:v>
                </c:pt>
                <c:pt idx="4">
                  <c:v>4.74</c:v>
                </c:pt>
                <c:pt idx="5">
                  <c:v>4.74</c:v>
                </c:pt>
                <c:pt idx="6">
                  <c:v>4.74</c:v>
                </c:pt>
                <c:pt idx="7">
                  <c:v>4.74</c:v>
                </c:pt>
                <c:pt idx="8">
                  <c:v>4.74</c:v>
                </c:pt>
                <c:pt idx="9">
                  <c:v>4.74</c:v>
                </c:pt>
                <c:pt idx="10">
                  <c:v>4.74</c:v>
                </c:pt>
                <c:pt idx="11">
                  <c:v>4.74</c:v>
                </c:pt>
                <c:pt idx="12">
                  <c:v>4.74</c:v>
                </c:pt>
                <c:pt idx="13">
                  <c:v>4.74</c:v>
                </c:pt>
                <c:pt idx="14">
                  <c:v>4.74</c:v>
                </c:pt>
                <c:pt idx="15">
                  <c:v>4.74</c:v>
                </c:pt>
                <c:pt idx="16">
                  <c:v>4.74</c:v>
                </c:pt>
                <c:pt idx="17">
                  <c:v>4.74</c:v>
                </c:pt>
                <c:pt idx="18">
                  <c:v>4.74</c:v>
                </c:pt>
                <c:pt idx="19">
                  <c:v>4.74</c:v>
                </c:pt>
                <c:pt idx="20">
                  <c:v>4.74</c:v>
                </c:pt>
                <c:pt idx="21">
                  <c:v>4.74</c:v>
                </c:pt>
                <c:pt idx="22">
                  <c:v>4.74</c:v>
                </c:pt>
                <c:pt idx="23">
                  <c:v>4.74</c:v>
                </c:pt>
                <c:pt idx="24">
                  <c:v>4.74</c:v>
                </c:pt>
                <c:pt idx="25">
                  <c:v>4.74</c:v>
                </c:pt>
                <c:pt idx="26">
                  <c:v>4.74</c:v>
                </c:pt>
                <c:pt idx="27">
                  <c:v>4.74</c:v>
                </c:pt>
                <c:pt idx="28">
                  <c:v>4.74</c:v>
                </c:pt>
                <c:pt idx="29">
                  <c:v>4.74</c:v>
                </c:pt>
                <c:pt idx="30">
                  <c:v>4.74</c:v>
                </c:pt>
                <c:pt idx="31">
                  <c:v>4.74</c:v>
                </c:pt>
                <c:pt idx="32">
                  <c:v>4.74</c:v>
                </c:pt>
              </c:numCache>
            </c:numRef>
          </c:val>
          <c:smooth val="0"/>
        </c:ser>
        <c:dLbls>
          <c:showLegendKey val="0"/>
          <c:showVal val="0"/>
          <c:showCatName val="0"/>
          <c:showSerName val="0"/>
          <c:showPercent val="0"/>
          <c:showBubbleSize val="0"/>
        </c:dLbls>
        <c:marker val="1"/>
        <c:smooth val="0"/>
        <c:axId val="375088416"/>
        <c:axId val="338302280"/>
      </c:lineChart>
      <c:catAx>
        <c:axId val="3750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8302280"/>
        <c:crosses val="autoZero"/>
        <c:auto val="1"/>
        <c:lblAlgn val="ctr"/>
        <c:lblOffset val="100"/>
        <c:noMultiLvlLbl val="0"/>
      </c:catAx>
      <c:valAx>
        <c:axId val="338302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5088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FFC6-1F17-4C63-9E42-F6103D2B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11695</Words>
  <Characters>6667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Papāne</dc:creator>
  <cp:lastModifiedBy>Māra Rone</cp:lastModifiedBy>
  <cp:revision>5</cp:revision>
  <cp:lastPrinted>2015-09-28T10:14:00Z</cp:lastPrinted>
  <dcterms:created xsi:type="dcterms:W3CDTF">2015-09-28T08:03:00Z</dcterms:created>
  <dcterms:modified xsi:type="dcterms:W3CDTF">2015-09-28T10:14:00Z</dcterms:modified>
</cp:coreProperties>
</file>